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06EFCD">
      <w:pPr>
        <w:tabs>
          <w:tab w:val="left" w:pos="5700"/>
          <w:tab w:val="right" w:pos="10245"/>
        </w:tabs>
        <w:wordWrap w:val="0"/>
        <w:spacing w:line="360" w:lineRule="auto"/>
        <w:jc w:val="left"/>
        <w:rPr>
          <w:rFonts w:ascii="宋体"/>
          <w:color w:val="auto"/>
          <w:sz w:val="30"/>
          <w:szCs w:val="30"/>
          <w:u w:val="single"/>
        </w:rPr>
      </w:pPr>
      <w:r>
        <w:rPr>
          <w:rFonts w:ascii="宋体"/>
          <w:color w:val="auto"/>
          <w:sz w:val="30"/>
          <w:szCs w:val="30"/>
        </w:rPr>
        <w:tab/>
      </w:r>
      <w:r>
        <w:rPr>
          <w:rFonts w:hint="eastAsia" w:ascii="宋体" w:hAnsi="宋体"/>
          <w:color w:val="auto"/>
          <w:sz w:val="30"/>
          <w:szCs w:val="30"/>
        </w:rPr>
        <w:t>合同编号：</w:t>
      </w:r>
    </w:p>
    <w:p w14:paraId="32FDC9CF">
      <w:pPr>
        <w:spacing w:line="360" w:lineRule="auto"/>
        <w:jc w:val="right"/>
        <w:rPr>
          <w:rFonts w:ascii="宋体"/>
          <w:color w:val="auto"/>
          <w:sz w:val="32"/>
          <w:szCs w:val="32"/>
          <w:u w:val="single"/>
        </w:rPr>
      </w:pPr>
    </w:p>
    <w:p w14:paraId="31EA7D33">
      <w:pPr>
        <w:spacing w:line="360" w:lineRule="auto"/>
        <w:rPr>
          <w:rFonts w:ascii="宋体"/>
          <w:color w:val="auto"/>
          <w:sz w:val="32"/>
          <w:szCs w:val="32"/>
          <w:u w:val="single"/>
        </w:rPr>
      </w:pPr>
    </w:p>
    <w:p w14:paraId="0DC7C2B2">
      <w:pPr>
        <w:spacing w:line="360" w:lineRule="auto"/>
        <w:jc w:val="center"/>
        <w:rPr>
          <w:rFonts w:ascii="宋体" w:cs="黑体"/>
          <w:b/>
          <w:bCs/>
          <w:color w:val="auto"/>
          <w:spacing w:val="-40"/>
          <w:kern w:val="0"/>
          <w:sz w:val="44"/>
          <w:szCs w:val="44"/>
        </w:rPr>
      </w:pPr>
      <w:r>
        <w:rPr>
          <w:rFonts w:hint="eastAsia" w:ascii="宋体" w:hAnsi="宋体" w:cs="黑体"/>
          <w:b/>
          <w:bCs/>
          <w:color w:val="auto"/>
          <w:spacing w:val="-40"/>
          <w:kern w:val="0"/>
          <w:sz w:val="44"/>
          <w:szCs w:val="44"/>
        </w:rPr>
        <w:t>华南师范大学石牌校园中区1号教师宿舍外供电工程设计施工总承包（EPC）合同</w:t>
      </w:r>
    </w:p>
    <w:p w14:paraId="6E12FE71">
      <w:pPr>
        <w:spacing w:line="360" w:lineRule="auto"/>
        <w:rPr>
          <w:rFonts w:ascii="宋体"/>
          <w:color w:val="auto"/>
          <w:sz w:val="32"/>
          <w:szCs w:val="32"/>
        </w:rPr>
      </w:pPr>
    </w:p>
    <w:p w14:paraId="38389D14">
      <w:pPr>
        <w:pStyle w:val="3"/>
        <w:rPr>
          <w:rFonts w:ascii="宋体"/>
          <w:color w:val="auto"/>
          <w:sz w:val="32"/>
          <w:szCs w:val="32"/>
        </w:rPr>
      </w:pPr>
    </w:p>
    <w:p w14:paraId="4C65B966">
      <w:pPr>
        <w:rPr>
          <w:rFonts w:ascii="宋体"/>
          <w:color w:val="auto"/>
          <w:sz w:val="32"/>
          <w:szCs w:val="32"/>
        </w:rPr>
      </w:pPr>
    </w:p>
    <w:p w14:paraId="61B66657">
      <w:pPr>
        <w:pStyle w:val="2"/>
        <w:rPr>
          <w:rFonts w:ascii="宋体"/>
          <w:color w:val="auto"/>
          <w:sz w:val="32"/>
          <w:szCs w:val="32"/>
        </w:rPr>
      </w:pPr>
    </w:p>
    <w:p w14:paraId="78834021">
      <w:pPr>
        <w:pStyle w:val="2"/>
        <w:rPr>
          <w:rFonts w:ascii="宋体"/>
          <w:color w:val="auto"/>
          <w:sz w:val="32"/>
          <w:szCs w:val="32"/>
        </w:rPr>
      </w:pPr>
    </w:p>
    <w:p w14:paraId="594F51C3">
      <w:pPr>
        <w:pStyle w:val="2"/>
        <w:rPr>
          <w:rFonts w:ascii="宋体"/>
          <w:color w:val="auto"/>
          <w:sz w:val="32"/>
          <w:szCs w:val="32"/>
        </w:rPr>
      </w:pPr>
    </w:p>
    <w:p w14:paraId="5BE99955">
      <w:pPr>
        <w:pStyle w:val="3"/>
        <w:rPr>
          <w:color w:val="auto"/>
        </w:rPr>
      </w:pPr>
    </w:p>
    <w:p w14:paraId="75F68ABF">
      <w:pPr>
        <w:spacing w:before="240" w:beforeLines="100" w:after="120" w:afterLines="50" w:line="360" w:lineRule="auto"/>
        <w:ind w:left="1679" w:leftChars="133" w:hanging="1400" w:hangingChars="500"/>
        <w:rPr>
          <w:rFonts w:ascii="宋体"/>
          <w:color w:val="auto"/>
          <w:sz w:val="28"/>
          <w:szCs w:val="28"/>
          <w:u w:val="single"/>
        </w:rPr>
      </w:pPr>
      <w:r>
        <w:rPr>
          <w:rFonts w:hint="eastAsia" w:ascii="宋体" w:hAnsi="宋体"/>
          <w:color w:val="auto"/>
          <w:sz w:val="28"/>
          <w:szCs w:val="28"/>
        </w:rPr>
        <w:t>工程名称：</w:t>
      </w:r>
      <w:r>
        <w:rPr>
          <w:rFonts w:hint="eastAsia" w:ascii="宋体" w:hAnsi="宋体" w:cs="宋体"/>
          <w:color w:val="auto"/>
          <w:kern w:val="0"/>
          <w:sz w:val="28"/>
          <w:szCs w:val="28"/>
          <w:u w:val="single"/>
          <w:lang w:eastAsia="zh-CN"/>
        </w:rPr>
        <w:t>华南师范大学石牌校园中区1号教师宿舍外供电工程设计施工总承包（EPC）</w:t>
      </w:r>
    </w:p>
    <w:p w14:paraId="543CB02C">
      <w:pPr>
        <w:spacing w:before="240" w:beforeLines="100" w:after="120" w:afterLines="50" w:line="360" w:lineRule="auto"/>
        <w:ind w:firstLine="280" w:firstLineChars="100"/>
        <w:rPr>
          <w:rFonts w:ascii="宋体"/>
          <w:color w:val="auto"/>
          <w:sz w:val="28"/>
          <w:szCs w:val="28"/>
        </w:rPr>
      </w:pPr>
      <w:r>
        <w:rPr>
          <w:rFonts w:hint="eastAsia" w:ascii="宋体" w:hAnsi="宋体"/>
          <w:color w:val="auto"/>
          <w:sz w:val="28"/>
          <w:szCs w:val="28"/>
        </w:rPr>
        <w:t>工程地点：</w:t>
      </w:r>
      <w:r>
        <w:rPr>
          <w:rFonts w:hint="eastAsia" w:ascii="宋体" w:hAnsi="宋体"/>
          <w:color w:val="auto"/>
          <w:sz w:val="28"/>
          <w:szCs w:val="28"/>
          <w:u w:val="single"/>
        </w:rPr>
        <w:t>广州市</w:t>
      </w:r>
      <w:r>
        <w:rPr>
          <w:rFonts w:hint="eastAsia" w:ascii="宋体" w:hAnsi="宋体"/>
          <w:color w:val="auto"/>
          <w:sz w:val="28"/>
          <w:szCs w:val="28"/>
          <w:u w:val="single"/>
          <w:lang w:val="en-US" w:eastAsia="zh-CN"/>
        </w:rPr>
        <w:t>天河</w:t>
      </w:r>
      <w:r>
        <w:rPr>
          <w:rFonts w:hint="eastAsia" w:ascii="宋体" w:hAnsi="宋体"/>
          <w:color w:val="auto"/>
          <w:sz w:val="28"/>
          <w:szCs w:val="28"/>
          <w:u w:val="single"/>
        </w:rPr>
        <w:t>区</w:t>
      </w:r>
    </w:p>
    <w:p w14:paraId="34CA8408">
      <w:pPr>
        <w:spacing w:line="360" w:lineRule="auto"/>
        <w:ind w:firstLine="280" w:firstLineChars="100"/>
        <w:rPr>
          <w:rFonts w:hint="eastAsia" w:ascii="宋体" w:hAnsi="宋体"/>
          <w:color w:val="auto"/>
          <w:sz w:val="28"/>
          <w:szCs w:val="28"/>
          <w:u w:val="single"/>
          <w:lang w:eastAsia="zh-CN"/>
        </w:rPr>
      </w:pPr>
      <w:r>
        <w:rPr>
          <w:rFonts w:hint="eastAsia" w:ascii="宋体" w:hAnsi="宋体"/>
          <w:color w:val="auto"/>
          <w:sz w:val="28"/>
          <w:szCs w:val="28"/>
        </w:rPr>
        <w:t>发包人：</w:t>
      </w:r>
      <w:r>
        <w:rPr>
          <w:rFonts w:hint="eastAsia" w:ascii="宋体" w:hAnsi="宋体"/>
          <w:color w:val="auto"/>
          <w:sz w:val="28"/>
          <w:szCs w:val="28"/>
          <w:u w:val="single"/>
          <w:lang w:eastAsia="zh-CN"/>
        </w:rPr>
        <w:t>华南师范大学</w:t>
      </w:r>
    </w:p>
    <w:p w14:paraId="4CE98672">
      <w:pPr>
        <w:spacing w:line="360" w:lineRule="auto"/>
        <w:ind w:firstLine="280" w:firstLineChars="100"/>
        <w:rPr>
          <w:color w:val="auto"/>
          <w:sz w:val="28"/>
          <w:szCs w:val="28"/>
          <w:u w:val="single"/>
        </w:rPr>
      </w:pPr>
      <w:r>
        <w:rPr>
          <w:rFonts w:hint="eastAsia" w:ascii="宋体" w:hAnsi="宋体"/>
          <w:color w:val="auto"/>
          <w:sz w:val="28"/>
          <w:szCs w:val="28"/>
        </w:rPr>
        <w:t>承包人：</w:t>
      </w:r>
      <w:r>
        <w:rPr>
          <w:rFonts w:hint="eastAsia" w:cs="宋体"/>
          <w:color w:val="auto"/>
          <w:sz w:val="28"/>
          <w:szCs w:val="28"/>
          <w:u w:val="single"/>
        </w:rPr>
        <w:t>（主办）</w:t>
      </w:r>
      <w:r>
        <w:rPr>
          <w:color w:val="auto"/>
          <w:sz w:val="28"/>
          <w:szCs w:val="28"/>
          <w:u w:val="single"/>
        </w:rPr>
        <w:t xml:space="preserve">                              </w:t>
      </w:r>
    </w:p>
    <w:p w14:paraId="7355337C">
      <w:pPr>
        <w:spacing w:line="360" w:lineRule="auto"/>
        <w:ind w:firstLine="1400" w:firstLineChars="500"/>
        <w:rPr>
          <w:color w:val="auto"/>
          <w:sz w:val="28"/>
          <w:szCs w:val="28"/>
          <w:u w:val="single"/>
        </w:rPr>
      </w:pPr>
      <w:r>
        <w:rPr>
          <w:rFonts w:hint="eastAsia" w:cs="宋体"/>
          <w:color w:val="auto"/>
          <w:sz w:val="28"/>
          <w:szCs w:val="28"/>
          <w:u w:val="single"/>
        </w:rPr>
        <w:t>（成员）</w:t>
      </w:r>
      <w:r>
        <w:rPr>
          <w:color w:val="auto"/>
          <w:sz w:val="28"/>
          <w:szCs w:val="28"/>
          <w:u w:val="single"/>
        </w:rPr>
        <w:t xml:space="preserve">                             </w:t>
      </w:r>
    </w:p>
    <w:p w14:paraId="74CBB888">
      <w:pPr>
        <w:spacing w:before="240" w:beforeLines="100" w:after="120" w:afterLines="50" w:line="360" w:lineRule="auto"/>
        <w:ind w:firstLine="300" w:firstLineChars="100"/>
        <w:rPr>
          <w:rFonts w:ascii="宋体"/>
          <w:color w:val="auto"/>
          <w:sz w:val="30"/>
          <w:szCs w:val="30"/>
          <w:u w:val="single"/>
        </w:rPr>
      </w:pPr>
    </w:p>
    <w:p w14:paraId="6F691D8F">
      <w:pPr>
        <w:pStyle w:val="2"/>
        <w:rPr>
          <w:color w:val="auto"/>
        </w:rPr>
      </w:pPr>
    </w:p>
    <w:p w14:paraId="36A7F8A3">
      <w:pPr>
        <w:jc w:val="center"/>
        <w:rPr>
          <w:rFonts w:ascii="宋体"/>
          <w:b/>
          <w:color w:val="auto"/>
          <w:spacing w:val="20"/>
          <w:sz w:val="32"/>
          <w:szCs w:val="32"/>
        </w:rPr>
      </w:pPr>
      <w:r>
        <w:rPr>
          <w:rFonts w:hint="eastAsia" w:ascii="宋体" w:hAnsi="宋体"/>
          <w:b/>
          <w:color w:val="auto"/>
          <w:spacing w:val="20"/>
          <w:sz w:val="32"/>
          <w:szCs w:val="32"/>
        </w:rPr>
        <w:t>广州市城乡建设委员会</w:t>
      </w:r>
    </w:p>
    <w:p w14:paraId="5CB5952F">
      <w:pPr>
        <w:jc w:val="center"/>
        <w:rPr>
          <w:rFonts w:ascii="宋体"/>
          <w:b/>
          <w:color w:val="auto"/>
          <w:spacing w:val="20"/>
          <w:sz w:val="32"/>
          <w:szCs w:val="32"/>
        </w:rPr>
      </w:pPr>
      <w:r>
        <w:rPr>
          <w:rFonts w:hint="eastAsia" w:ascii="宋体" w:hAnsi="宋体"/>
          <w:b/>
          <w:color w:val="auto"/>
          <w:spacing w:val="20"/>
          <w:sz w:val="32"/>
          <w:szCs w:val="32"/>
        </w:rPr>
        <w:t>广州市工商行政管理局</w:t>
      </w:r>
    </w:p>
    <w:p w14:paraId="1FC6F870">
      <w:pPr>
        <w:jc w:val="center"/>
        <w:rPr>
          <w:rFonts w:ascii="宋体"/>
          <w:b/>
          <w:color w:val="auto"/>
          <w:spacing w:val="20"/>
          <w:sz w:val="32"/>
          <w:szCs w:val="32"/>
        </w:rPr>
      </w:pPr>
      <w:r>
        <w:rPr>
          <w:rFonts w:hint="eastAsia" w:ascii="宋体" w:hAnsi="宋体"/>
          <w:b/>
          <w:color w:val="auto"/>
          <w:spacing w:val="20"/>
          <w:sz w:val="32"/>
          <w:szCs w:val="32"/>
        </w:rPr>
        <w:t>制定</w:t>
      </w:r>
    </w:p>
    <w:p w14:paraId="4904133C">
      <w:pPr>
        <w:jc w:val="center"/>
        <w:rPr>
          <w:rFonts w:ascii="宋体"/>
          <w:b/>
          <w:color w:val="auto"/>
          <w:spacing w:val="20"/>
          <w:sz w:val="32"/>
          <w:szCs w:val="32"/>
        </w:rPr>
      </w:pPr>
    </w:p>
    <w:p w14:paraId="44F85FD9">
      <w:pPr>
        <w:jc w:val="center"/>
        <w:rPr>
          <w:rFonts w:ascii="宋体" w:hAnsi="宋体"/>
          <w:b/>
          <w:color w:val="auto"/>
          <w:spacing w:val="20"/>
          <w:sz w:val="32"/>
          <w:szCs w:val="32"/>
        </w:rPr>
      </w:pPr>
      <w:r>
        <w:rPr>
          <w:rFonts w:hint="eastAsia" w:ascii="宋体" w:hAnsi="宋体"/>
          <w:b/>
          <w:color w:val="auto"/>
          <w:spacing w:val="20"/>
          <w:sz w:val="32"/>
          <w:szCs w:val="32"/>
          <w:lang w:eastAsia="zh-CN"/>
        </w:rPr>
        <w:t>2024年</w:t>
      </w:r>
      <w:r>
        <w:rPr>
          <w:rFonts w:hint="eastAsia" w:ascii="宋体" w:hAnsi="宋体"/>
          <w:b/>
          <w:color w:val="auto"/>
          <w:spacing w:val="20"/>
          <w:sz w:val="32"/>
          <w:szCs w:val="32"/>
        </w:rPr>
        <w:t xml:space="preserve"> 月</w:t>
      </w:r>
    </w:p>
    <w:p w14:paraId="73782CDC">
      <w:pPr>
        <w:rPr>
          <w:rFonts w:ascii="宋体"/>
          <w:b/>
          <w:color w:val="auto"/>
          <w:spacing w:val="80"/>
          <w:sz w:val="36"/>
          <w:szCs w:val="36"/>
        </w:rPr>
      </w:pPr>
      <w:bookmarkStart w:id="0" w:name="_Toc18985701"/>
      <w:bookmarkStart w:id="1" w:name="_Toc18984943"/>
      <w:bookmarkStart w:id="2" w:name="_Toc18985535"/>
      <w:bookmarkStart w:id="3" w:name="_Toc18985581"/>
      <w:r>
        <w:rPr>
          <w:rFonts w:ascii="宋体"/>
          <w:b/>
          <w:color w:val="auto"/>
          <w:spacing w:val="80"/>
          <w:sz w:val="36"/>
          <w:szCs w:val="36"/>
        </w:rPr>
        <w:br w:type="page"/>
      </w:r>
    </w:p>
    <w:p w14:paraId="353E9D1D">
      <w:pPr>
        <w:pStyle w:val="2"/>
        <w:rPr>
          <w:color w:val="auto"/>
        </w:rPr>
        <w:sectPr>
          <w:headerReference r:id="rId5" w:type="first"/>
          <w:footerReference r:id="rId8" w:type="first"/>
          <w:headerReference r:id="rId3" w:type="default"/>
          <w:footerReference r:id="rId6" w:type="default"/>
          <w:headerReference r:id="rId4" w:type="even"/>
          <w:footerReference r:id="rId7" w:type="even"/>
          <w:endnotePr>
            <w:numFmt w:val="decimal"/>
          </w:endnotePr>
          <w:pgSz w:w="11906" w:h="16838"/>
          <w:pgMar w:top="1440" w:right="1080" w:bottom="1440" w:left="1080" w:header="0" w:footer="850" w:gutter="0"/>
          <w:pgNumType w:start="0"/>
          <w:cols w:space="720" w:num="1"/>
          <w:titlePg/>
          <w:docGrid w:linePitch="312" w:charSpace="0"/>
        </w:sectPr>
      </w:pPr>
    </w:p>
    <w:p w14:paraId="78DF2D5B">
      <w:pPr>
        <w:spacing w:line="360" w:lineRule="auto"/>
        <w:jc w:val="center"/>
        <w:outlineLvl w:val="0"/>
        <w:rPr>
          <w:rFonts w:ascii="宋体"/>
          <w:color w:val="auto"/>
          <w:sz w:val="36"/>
        </w:rPr>
      </w:pPr>
      <w:bookmarkStart w:id="4" w:name="_Toc266892751"/>
      <w:r>
        <w:rPr>
          <w:rFonts w:hint="eastAsia" w:ascii="宋体" w:hAnsi="宋体"/>
          <w:b/>
          <w:color w:val="auto"/>
          <w:sz w:val="36"/>
        </w:rPr>
        <w:t>第一部分协议书</w:t>
      </w:r>
      <w:bookmarkEnd w:id="4"/>
    </w:p>
    <w:p w14:paraId="0F69C158">
      <w:pPr>
        <w:spacing w:line="360" w:lineRule="auto"/>
        <w:ind w:firstLine="480" w:firstLineChars="200"/>
        <w:rPr>
          <w:rFonts w:ascii="宋体"/>
          <w:color w:val="auto"/>
          <w:sz w:val="24"/>
        </w:rPr>
      </w:pPr>
    </w:p>
    <w:p w14:paraId="3B01292E">
      <w:pPr>
        <w:spacing w:line="360" w:lineRule="auto"/>
        <w:ind w:firstLine="480" w:firstLineChars="200"/>
        <w:rPr>
          <w:rFonts w:hint="eastAsia" w:ascii="宋体" w:hAnsi="宋体"/>
          <w:color w:val="auto"/>
          <w:sz w:val="24"/>
          <w:u w:val="single"/>
          <w:lang w:eastAsia="zh-CN"/>
        </w:rPr>
      </w:pPr>
      <w:r>
        <w:rPr>
          <w:rFonts w:hint="eastAsia" w:ascii="宋体" w:hAnsi="宋体"/>
          <w:color w:val="auto"/>
          <w:sz w:val="24"/>
        </w:rPr>
        <w:t>发包人（全称）：</w:t>
      </w:r>
      <w:r>
        <w:rPr>
          <w:rFonts w:hint="eastAsia" w:ascii="宋体" w:hAnsi="宋体"/>
          <w:color w:val="auto"/>
          <w:sz w:val="24"/>
          <w:u w:val="single"/>
          <w:lang w:eastAsia="zh-CN"/>
        </w:rPr>
        <w:t>华南师范大学</w:t>
      </w:r>
    </w:p>
    <w:p w14:paraId="71CD8429">
      <w:pPr>
        <w:spacing w:line="360" w:lineRule="auto"/>
        <w:ind w:firstLine="480" w:firstLineChars="200"/>
        <w:rPr>
          <w:color w:val="auto"/>
          <w:sz w:val="24"/>
          <w:u w:val="single"/>
        </w:rPr>
      </w:pPr>
      <w:r>
        <w:rPr>
          <w:rFonts w:hint="eastAsia" w:ascii="宋体" w:hAnsi="宋体"/>
          <w:color w:val="auto"/>
          <w:sz w:val="24"/>
        </w:rPr>
        <w:t>承包人（全称）：</w:t>
      </w:r>
      <w:r>
        <w:rPr>
          <w:rFonts w:hint="eastAsia" w:cs="宋体"/>
          <w:color w:val="auto"/>
          <w:sz w:val="24"/>
          <w:u w:val="single"/>
        </w:rPr>
        <w:t>（主办）</w:t>
      </w:r>
      <w:r>
        <w:rPr>
          <w:color w:val="auto"/>
          <w:sz w:val="24"/>
          <w:u w:val="single"/>
        </w:rPr>
        <w:t xml:space="preserve">                              </w:t>
      </w:r>
    </w:p>
    <w:p w14:paraId="5A7D2131">
      <w:pPr>
        <w:spacing w:line="360" w:lineRule="auto"/>
        <w:ind w:firstLine="2160" w:firstLineChars="900"/>
        <w:rPr>
          <w:color w:val="auto"/>
          <w:sz w:val="24"/>
          <w:u w:val="single"/>
        </w:rPr>
      </w:pPr>
      <w:r>
        <w:rPr>
          <w:rFonts w:hint="eastAsia" w:cs="宋体"/>
          <w:color w:val="auto"/>
          <w:sz w:val="24"/>
          <w:u w:val="single"/>
        </w:rPr>
        <w:t>（成员）</w:t>
      </w:r>
      <w:r>
        <w:rPr>
          <w:color w:val="auto"/>
          <w:sz w:val="24"/>
          <w:u w:val="single"/>
        </w:rPr>
        <w:t xml:space="preserve">                              </w:t>
      </w:r>
    </w:p>
    <w:p w14:paraId="612338AB">
      <w:pPr>
        <w:spacing w:line="360" w:lineRule="auto"/>
        <w:rPr>
          <w:rFonts w:ascii="宋体"/>
          <w:color w:val="auto"/>
          <w:sz w:val="24"/>
        </w:rPr>
      </w:pPr>
    </w:p>
    <w:p w14:paraId="6B8FC492">
      <w:pPr>
        <w:spacing w:line="360" w:lineRule="auto"/>
        <w:ind w:firstLine="480" w:firstLineChars="200"/>
        <w:rPr>
          <w:color w:val="auto"/>
          <w:sz w:val="24"/>
        </w:rPr>
      </w:pPr>
      <w:bookmarkStart w:id="5" w:name="_Toc266892752"/>
      <w:r>
        <w:rPr>
          <w:rFonts w:hint="eastAsia" w:cs="宋体"/>
          <w:color w:val="auto"/>
          <w:sz w:val="24"/>
        </w:rPr>
        <w:t>依照《中华人民共和国</w:t>
      </w:r>
      <w:r>
        <w:rPr>
          <w:rFonts w:hint="eastAsia" w:cs="宋体"/>
          <w:color w:val="auto"/>
          <w:sz w:val="24"/>
          <w:lang w:val="en-US" w:eastAsia="zh-CN"/>
        </w:rPr>
        <w:t>民法典</w:t>
      </w:r>
      <w:r>
        <w:rPr>
          <w:rFonts w:hint="eastAsia" w:cs="宋体"/>
          <w:color w:val="auto"/>
          <w:sz w:val="24"/>
        </w:rPr>
        <w:t>》、《中华人民共和国建筑法》、《中华人民共和国招标投标法》及相关法律、行政法规，遵循平等、自愿、公平和诚信原则，合同各方就</w:t>
      </w:r>
      <w:r>
        <w:rPr>
          <w:rFonts w:hint="eastAsia" w:ascii="宋体" w:hAnsi="宋体"/>
          <w:color w:val="auto"/>
          <w:sz w:val="24"/>
          <w:u w:val="single"/>
          <w:lang w:eastAsia="zh-CN"/>
        </w:rPr>
        <w:t>华南师范大学石牌校园中区1号教师宿舍外供电工程设计施工总承包（EPC）</w:t>
      </w:r>
      <w:r>
        <w:rPr>
          <w:color w:val="auto"/>
          <w:sz w:val="24"/>
          <w:u w:val="single"/>
        </w:rPr>
        <w:t xml:space="preserve"> </w:t>
      </w:r>
      <w:r>
        <w:rPr>
          <w:rFonts w:hint="eastAsia" w:cs="宋体"/>
          <w:color w:val="auto"/>
          <w:sz w:val="24"/>
        </w:rPr>
        <w:t>事宜经协商一致，订立本合同，且承包人应就本项目向发包人负责有连带的和各自的法律责任。联合体主办方代表联合体成员承担责任和接受发包人的指令、指示和通知，并且在整个合同实施过程中的全部事宜均由联合体主办方负责</w:t>
      </w:r>
      <w:r>
        <w:rPr>
          <w:rFonts w:hint="eastAsia" w:ascii="宋体" w:hAnsi="宋体"/>
          <w:color w:val="auto"/>
          <w:sz w:val="24"/>
        </w:rPr>
        <w:t>。</w:t>
      </w:r>
    </w:p>
    <w:p w14:paraId="2B2000CB">
      <w:pPr>
        <w:spacing w:line="360" w:lineRule="auto"/>
        <w:ind w:firstLine="472" w:firstLineChars="196"/>
        <w:outlineLvl w:val="1"/>
        <w:rPr>
          <w:rFonts w:ascii="宋体"/>
          <w:b/>
          <w:bCs/>
          <w:color w:val="auto"/>
          <w:sz w:val="24"/>
        </w:rPr>
      </w:pPr>
    </w:p>
    <w:p w14:paraId="0654AA0E">
      <w:pPr>
        <w:spacing w:line="360" w:lineRule="auto"/>
        <w:outlineLvl w:val="1"/>
        <w:rPr>
          <w:rFonts w:ascii="宋体"/>
          <w:color w:val="auto"/>
          <w:sz w:val="24"/>
        </w:rPr>
      </w:pPr>
      <w:r>
        <w:rPr>
          <w:rFonts w:hint="eastAsia" w:ascii="宋体" w:hAnsi="宋体"/>
          <w:b/>
          <w:bCs/>
          <w:color w:val="auto"/>
          <w:sz w:val="24"/>
        </w:rPr>
        <w:t>一、工程概况</w:t>
      </w:r>
      <w:bookmarkEnd w:id="5"/>
    </w:p>
    <w:p w14:paraId="1A4DBA5E">
      <w:pPr>
        <w:spacing w:line="360" w:lineRule="auto"/>
        <w:ind w:left="2" w:firstLine="477" w:firstLineChars="199"/>
        <w:rPr>
          <w:rFonts w:hint="eastAsia" w:ascii="宋体" w:hAnsi="宋体"/>
          <w:color w:val="auto"/>
          <w:sz w:val="24"/>
          <w:u w:val="single"/>
          <w:lang w:eastAsia="zh-CN"/>
        </w:rPr>
      </w:pPr>
      <w:r>
        <w:rPr>
          <w:rFonts w:hint="eastAsia" w:ascii="宋体" w:hAnsi="宋体"/>
          <w:color w:val="auto"/>
          <w:sz w:val="24"/>
        </w:rPr>
        <w:t>1.工程名称：</w:t>
      </w:r>
      <w:r>
        <w:rPr>
          <w:rFonts w:hint="eastAsia" w:ascii="宋体" w:hAnsi="宋体"/>
          <w:color w:val="auto"/>
          <w:sz w:val="24"/>
          <w:u w:val="single"/>
          <w:lang w:eastAsia="zh-CN"/>
        </w:rPr>
        <w:t>华南师范大学石牌校园中区1号教师宿舍外供电工程设计施工总承包（EPC）</w:t>
      </w:r>
    </w:p>
    <w:p w14:paraId="1177F8C4">
      <w:pPr>
        <w:spacing w:line="360" w:lineRule="auto"/>
        <w:ind w:left="2" w:firstLine="477" w:firstLineChars="199"/>
        <w:rPr>
          <w:color w:val="auto"/>
          <w:sz w:val="24"/>
        </w:rPr>
      </w:pPr>
      <w:r>
        <w:rPr>
          <w:rFonts w:hint="eastAsia"/>
          <w:color w:val="auto"/>
          <w:sz w:val="24"/>
        </w:rPr>
        <w:t>1.2</w:t>
      </w:r>
      <w:r>
        <w:rPr>
          <w:rFonts w:hint="eastAsia" w:cs="宋体"/>
          <w:color w:val="auto"/>
          <w:sz w:val="24"/>
        </w:rPr>
        <w:t>备案文号：</w:t>
      </w:r>
      <w:r>
        <w:rPr>
          <w:rFonts w:hint="eastAsia" w:cs="宋体"/>
          <w:color w:val="auto"/>
          <w:sz w:val="24"/>
          <w:u w:val="single"/>
          <w:lang w:val="en-US" w:eastAsia="zh-CN"/>
        </w:rPr>
        <w:t xml:space="preserve">    </w:t>
      </w:r>
      <w:r>
        <w:rPr>
          <w:rFonts w:ascii="宋体" w:hAnsi="宋体" w:cs="宋体"/>
          <w:color w:val="auto"/>
          <w:sz w:val="24"/>
          <w:u w:val="single"/>
        </w:rPr>
        <w:t xml:space="preserve"> </w:t>
      </w:r>
    </w:p>
    <w:p w14:paraId="11226B4D">
      <w:pPr>
        <w:spacing w:line="360" w:lineRule="auto"/>
        <w:ind w:firstLine="480" w:firstLineChars="200"/>
        <w:rPr>
          <w:rFonts w:ascii="宋体"/>
          <w:color w:val="auto"/>
          <w:sz w:val="24"/>
          <w:u w:val="single"/>
        </w:rPr>
      </w:pPr>
      <w:r>
        <w:rPr>
          <w:rFonts w:hint="eastAsia" w:ascii="宋体" w:hAnsi="宋体"/>
          <w:color w:val="auto"/>
          <w:sz w:val="24"/>
        </w:rPr>
        <w:t>2.工程地点：</w:t>
      </w:r>
      <w:r>
        <w:rPr>
          <w:rFonts w:hint="eastAsia" w:ascii="宋体" w:hAnsi="宋体" w:cs="宋体"/>
          <w:color w:val="auto"/>
          <w:sz w:val="24"/>
          <w:u w:val="single"/>
        </w:rPr>
        <w:t>广州市</w:t>
      </w:r>
      <w:r>
        <w:rPr>
          <w:rFonts w:hint="eastAsia" w:ascii="宋体" w:hAnsi="宋体" w:eastAsia="宋体" w:cs="宋体"/>
          <w:color w:val="auto"/>
          <w:sz w:val="24"/>
          <w:szCs w:val="24"/>
          <w:u w:val="single"/>
        </w:rPr>
        <w:t>天河区中山大道西55号</w:t>
      </w:r>
    </w:p>
    <w:p w14:paraId="04D07780">
      <w:pPr>
        <w:pStyle w:val="4"/>
        <w:spacing w:line="360" w:lineRule="auto"/>
        <w:ind w:firstLine="480" w:firstLineChars="200"/>
        <w:rPr>
          <w:rFonts w:ascii="宋体" w:hAnsi="宋体" w:cs="宋体"/>
          <w:color w:val="auto"/>
          <w:szCs w:val="24"/>
          <w:u w:val="single"/>
        </w:rPr>
      </w:pPr>
      <w:r>
        <w:rPr>
          <w:rFonts w:hint="eastAsia" w:ascii="宋体" w:hAnsi="宋体"/>
          <w:color w:val="auto"/>
        </w:rPr>
        <w:t>3.</w:t>
      </w:r>
      <w:r>
        <w:rPr>
          <w:rFonts w:hint="eastAsia" w:ascii="宋体" w:hAnsi="宋体" w:cs="宋体"/>
          <w:color w:val="auto"/>
          <w:szCs w:val="24"/>
        </w:rPr>
        <w:t>工程承包范围：</w:t>
      </w:r>
      <w:r>
        <w:rPr>
          <w:rFonts w:hint="eastAsia" w:ascii="宋体" w:hAnsi="宋体" w:cs="宋体"/>
          <w:color w:val="auto"/>
          <w:szCs w:val="24"/>
          <w:u w:val="single"/>
        </w:rPr>
        <w:t>包括但不限于以下内容：</w:t>
      </w:r>
    </w:p>
    <w:p w14:paraId="155B0C6B">
      <w:pPr>
        <w:pStyle w:val="4"/>
        <w:spacing w:line="360" w:lineRule="auto"/>
        <w:ind w:firstLine="480" w:firstLineChars="200"/>
        <w:rPr>
          <w:rFonts w:hint="eastAsia" w:ascii="宋体" w:hAnsi="宋体" w:cs="宋体"/>
          <w:color w:val="auto"/>
          <w:kern w:val="0"/>
          <w:highlight w:val="none"/>
          <w:u w:val="single"/>
        </w:rPr>
      </w:pPr>
      <w:r>
        <w:rPr>
          <w:rFonts w:hint="eastAsia" w:ascii="宋体" w:hAnsi="宋体" w:cs="宋体"/>
          <w:color w:val="auto"/>
          <w:kern w:val="0"/>
          <w:u w:val="single"/>
        </w:rPr>
        <w:t>完成本项目的设计工作（包括但不限于进行施工图设计、施工图预算、竣工图设计、</w:t>
      </w:r>
      <w:r>
        <w:rPr>
          <w:rFonts w:hint="eastAsia" w:ascii="宋体" w:hAnsi="宋体" w:cs="宋体"/>
          <w:color w:val="auto"/>
          <w:szCs w:val="24"/>
          <w:u w:val="single"/>
        </w:rPr>
        <w:t>专业深化设计</w:t>
      </w:r>
      <w:r>
        <w:rPr>
          <w:rFonts w:hint="eastAsia" w:ascii="宋体" w:hAnsi="宋体" w:cs="宋体"/>
          <w:color w:val="auto"/>
          <w:kern w:val="0"/>
          <w:u w:val="single"/>
        </w:rPr>
        <w:t>等后续所有设计和现场服务工作）；</w:t>
      </w:r>
      <w:r>
        <w:rPr>
          <w:rFonts w:hint="eastAsia" w:ascii="宋体" w:hAnsi="宋体" w:cs="宋体"/>
          <w:color w:val="auto"/>
          <w:szCs w:val="24"/>
          <w:u w:val="single"/>
        </w:rPr>
        <w:t>项目现场技术指导、服务与监督、</w:t>
      </w:r>
      <w:r>
        <w:rPr>
          <w:rFonts w:hint="eastAsia" w:ascii="宋体" w:hAnsi="宋体"/>
          <w:color w:val="auto"/>
          <w:szCs w:val="24"/>
          <w:u w:val="single"/>
        </w:rPr>
        <w:t>报批图纸资料编制</w:t>
      </w:r>
      <w:r>
        <w:rPr>
          <w:rFonts w:hint="eastAsia" w:ascii="宋体" w:hAnsi="宋体" w:cs="宋体"/>
          <w:color w:val="auto"/>
          <w:szCs w:val="24"/>
          <w:highlight w:val="none"/>
          <w:u w:val="single"/>
        </w:rPr>
        <w:t>等</w:t>
      </w:r>
      <w:r>
        <w:rPr>
          <w:rFonts w:hint="eastAsia" w:ascii="宋体" w:hAnsi="宋体" w:cs="宋体"/>
          <w:color w:val="auto"/>
          <w:szCs w:val="24"/>
          <w:u w:val="single"/>
        </w:rPr>
        <w:t>；</w:t>
      </w:r>
      <w:r>
        <w:rPr>
          <w:rFonts w:hint="eastAsia" w:ascii="宋体" w:hAnsi="宋体" w:cs="宋体"/>
          <w:color w:val="auto"/>
          <w:kern w:val="0"/>
          <w:u w:val="single"/>
        </w:rPr>
        <w:t>施工至工程竣工验收送电、工程结算、工程保修以及项目移交等</w:t>
      </w:r>
      <w:r>
        <w:rPr>
          <w:rFonts w:hint="eastAsia" w:ascii="宋体" w:hAnsi="宋体"/>
          <w:color w:val="auto"/>
          <w:u w:val="single"/>
        </w:rPr>
        <w:t>。</w:t>
      </w:r>
      <w:r>
        <w:rPr>
          <w:rFonts w:hint="eastAsia" w:ascii="宋体" w:hAnsi="宋体" w:cs="宋体"/>
          <w:color w:val="auto"/>
          <w:kern w:val="0"/>
          <w:u w:val="single"/>
        </w:rPr>
        <w:t>完成并配合业主办理报建、报</w:t>
      </w:r>
      <w:r>
        <w:rPr>
          <w:rFonts w:hint="eastAsia" w:ascii="宋体" w:hAnsi="宋体" w:cs="宋体"/>
          <w:color w:val="auto"/>
          <w:kern w:val="0"/>
          <w:highlight w:val="none"/>
          <w:u w:val="single"/>
        </w:rPr>
        <w:t>批、相关部门结（决）算审计等工作。</w:t>
      </w:r>
    </w:p>
    <w:p w14:paraId="6CF8F7F0">
      <w:pPr>
        <w:spacing w:line="360" w:lineRule="auto"/>
        <w:ind w:firstLine="480" w:firstLineChars="200"/>
        <w:rPr>
          <w:rFonts w:hint="default" w:ascii="宋体" w:hAnsi="宋体" w:cs="宋体"/>
          <w:color w:val="auto"/>
          <w:kern w:val="1"/>
          <w:sz w:val="24"/>
          <w:szCs w:val="24"/>
          <w:highlight w:val="none"/>
          <w:lang w:val="en-US" w:eastAsia="zh-CN"/>
        </w:rPr>
      </w:pPr>
      <w:r>
        <w:rPr>
          <w:rFonts w:hint="eastAsia" w:ascii="宋体" w:hAnsi="宋体" w:cs="宋体"/>
          <w:color w:val="auto"/>
          <w:kern w:val="1"/>
          <w:sz w:val="24"/>
          <w:szCs w:val="24"/>
          <w:highlight w:val="none"/>
          <w:lang w:val="en-US" w:eastAsia="zh-CN"/>
        </w:rPr>
        <w:t>保供电措施：项目涉及＃2高压室、心理学院高压室等改造，＃2高压室供电占全校1/2用电负荷，重点供电单位有：行政楼、</w:t>
      </w:r>
      <w:bookmarkStart w:id="25" w:name="_GoBack"/>
      <w:bookmarkEnd w:id="25"/>
      <w:r>
        <w:rPr>
          <w:rFonts w:hint="eastAsia" w:ascii="宋体" w:hAnsi="宋体" w:cs="宋体"/>
          <w:color w:val="auto"/>
          <w:kern w:val="1"/>
          <w:sz w:val="24"/>
          <w:szCs w:val="24"/>
          <w:highlight w:val="none"/>
          <w:lang w:val="en-US" w:eastAsia="zh-CN"/>
        </w:rPr>
        <w:t>第一课室大楼、生命科学楼、旧物理楼、教学主楼、华师实验中心、心理学院、量电子楼、文科楼等，要求施工过程须分批次停电，且每次停电时长原则不超过10小时，在停电期间将通过调配发电车等措施进行保供电，保护重点单位的用电安全，保证重要设备不间断供电。</w:t>
      </w:r>
    </w:p>
    <w:p w14:paraId="0588FF23">
      <w:pPr>
        <w:pStyle w:val="4"/>
        <w:spacing w:line="360" w:lineRule="auto"/>
        <w:ind w:firstLine="480" w:firstLineChars="200"/>
        <w:rPr>
          <w:rFonts w:hint="eastAsia" w:ascii="宋体" w:hAnsi="宋体" w:cs="宋体"/>
          <w:color w:val="auto"/>
          <w:kern w:val="0"/>
          <w:highlight w:val="none"/>
          <w:u w:val="single"/>
        </w:rPr>
      </w:pPr>
    </w:p>
    <w:p w14:paraId="41E6B609">
      <w:pPr>
        <w:pStyle w:val="4"/>
        <w:spacing w:line="360" w:lineRule="auto"/>
        <w:ind w:firstLine="480" w:firstLineChars="200"/>
        <w:rPr>
          <w:rFonts w:ascii="宋体"/>
          <w:color w:val="auto"/>
        </w:rPr>
      </w:pPr>
      <w:r>
        <w:rPr>
          <w:rFonts w:hint="eastAsia" w:ascii="宋体" w:hAnsi="宋体"/>
          <w:color w:val="auto"/>
        </w:rPr>
        <w:t>4.根据招标人和设计任务书要求进行限额施工。</w:t>
      </w:r>
    </w:p>
    <w:p w14:paraId="46A2FF35">
      <w:pPr>
        <w:spacing w:line="360" w:lineRule="auto"/>
        <w:ind w:firstLine="480" w:firstLineChars="200"/>
        <w:rPr>
          <w:rFonts w:ascii="宋体"/>
          <w:color w:val="auto"/>
          <w:sz w:val="24"/>
        </w:rPr>
      </w:pPr>
      <w:r>
        <w:rPr>
          <w:rFonts w:ascii="宋体" w:hAnsi="宋体"/>
          <w:color w:val="auto"/>
          <w:sz w:val="24"/>
        </w:rPr>
        <w:t>5.</w:t>
      </w:r>
      <w:r>
        <w:rPr>
          <w:rFonts w:hint="eastAsia" w:ascii="宋体" w:hAnsi="宋体"/>
          <w:color w:val="auto"/>
          <w:sz w:val="24"/>
        </w:rPr>
        <w:t>负责项目实施阶段全过程建设管理，直至项目移交。</w:t>
      </w:r>
    </w:p>
    <w:p w14:paraId="4883B020">
      <w:pPr>
        <w:pStyle w:val="21"/>
        <w:spacing w:line="360" w:lineRule="auto"/>
        <w:rPr>
          <w:rFonts w:hint="default" w:eastAsia="宋体"/>
          <w:color w:val="auto"/>
          <w:u w:val="single"/>
          <w:lang w:val="en-US" w:eastAsia="zh-CN"/>
        </w:rPr>
      </w:pPr>
      <w:r>
        <w:rPr>
          <w:rFonts w:hint="eastAsia"/>
          <w:color w:val="auto"/>
        </w:rPr>
        <w:t>6.工程规模：</w:t>
      </w:r>
      <w:r>
        <w:rPr>
          <w:rFonts w:hint="eastAsia"/>
          <w:color w:val="auto"/>
          <w:u w:val="single"/>
          <w:lang w:val="en-US" w:eastAsia="zh-CN"/>
        </w:rPr>
        <w:t xml:space="preserve">                        </w:t>
      </w:r>
    </w:p>
    <w:p w14:paraId="3F59BC62">
      <w:pPr>
        <w:spacing w:line="460" w:lineRule="exact"/>
        <w:ind w:firstLine="480" w:firstLineChars="200"/>
        <w:rPr>
          <w:rFonts w:ascii="宋体" w:hAnsi="宋体"/>
          <w:color w:val="auto"/>
          <w:sz w:val="24"/>
          <w:szCs w:val="20"/>
        </w:rPr>
      </w:pPr>
      <w:r>
        <w:rPr>
          <w:rFonts w:hint="eastAsia" w:ascii="宋体" w:hAnsi="宋体"/>
          <w:color w:val="auto"/>
          <w:sz w:val="24"/>
          <w:szCs w:val="20"/>
        </w:rPr>
        <w:t>7. 其他：</w:t>
      </w:r>
    </w:p>
    <w:p w14:paraId="09553938">
      <w:pPr>
        <w:spacing w:line="460" w:lineRule="exact"/>
        <w:ind w:firstLine="480" w:firstLineChars="200"/>
        <w:rPr>
          <w:rFonts w:ascii="宋体" w:hAnsi="宋体" w:cs="宋体"/>
          <w:color w:val="auto"/>
          <w:sz w:val="24"/>
        </w:rPr>
      </w:pPr>
      <w:bookmarkStart w:id="6" w:name="_Toc266892753"/>
      <w:r>
        <w:rPr>
          <w:rFonts w:hint="eastAsia" w:ascii="宋体" w:hAnsi="宋体" w:cs="宋体"/>
          <w:color w:val="auto"/>
          <w:sz w:val="24"/>
        </w:rPr>
        <w:t>7.1联合体承包（如有）情况下，主办方必须为施工单位。</w:t>
      </w:r>
    </w:p>
    <w:p w14:paraId="2C8979E7">
      <w:pPr>
        <w:spacing w:line="460" w:lineRule="exact"/>
        <w:ind w:firstLine="480" w:firstLineChars="200"/>
        <w:rPr>
          <w:rFonts w:ascii="宋体" w:hAnsi="宋体"/>
          <w:color w:val="auto"/>
          <w:sz w:val="24"/>
          <w:szCs w:val="20"/>
        </w:rPr>
      </w:pPr>
      <w:r>
        <w:rPr>
          <w:rFonts w:hint="eastAsia" w:ascii="宋体" w:hAnsi="宋体" w:cs="宋体"/>
          <w:color w:val="auto"/>
          <w:sz w:val="24"/>
        </w:rPr>
        <w:t>7.2作为联合体主办方对业主负全面主体责任，在合同执行过程为承包方的当然第一责任主体，包括但不限于由于设计、施工和管理失误或不当造成的各种损失（不可抗力和业主因素造成的除外）。除承担本项目的施工外，还对本项目的进度、质量、安全、投资控制、管理、协调等负全责。</w:t>
      </w:r>
    </w:p>
    <w:p w14:paraId="7B368FE5">
      <w:pPr>
        <w:spacing w:line="360" w:lineRule="auto"/>
        <w:ind w:firstLine="482" w:firstLineChars="200"/>
        <w:outlineLvl w:val="1"/>
        <w:rPr>
          <w:rFonts w:ascii="宋体"/>
          <w:b/>
          <w:bCs/>
          <w:color w:val="auto"/>
          <w:sz w:val="24"/>
        </w:rPr>
      </w:pPr>
    </w:p>
    <w:p w14:paraId="6BA03477">
      <w:pPr>
        <w:spacing w:line="360" w:lineRule="auto"/>
        <w:outlineLvl w:val="1"/>
        <w:rPr>
          <w:rFonts w:ascii="宋体"/>
          <w:b/>
          <w:bCs/>
          <w:color w:val="auto"/>
          <w:sz w:val="24"/>
        </w:rPr>
      </w:pPr>
      <w:r>
        <w:rPr>
          <w:rFonts w:hint="eastAsia" w:ascii="宋体" w:hAnsi="宋体"/>
          <w:b/>
          <w:bCs/>
          <w:color w:val="auto"/>
          <w:sz w:val="24"/>
        </w:rPr>
        <w:t>二、工程承包范围</w:t>
      </w:r>
      <w:bookmarkEnd w:id="6"/>
      <w:r>
        <w:rPr>
          <w:rFonts w:hint="eastAsia" w:ascii="宋体" w:hAnsi="宋体"/>
          <w:b/>
          <w:bCs/>
          <w:color w:val="auto"/>
          <w:sz w:val="24"/>
        </w:rPr>
        <w:t>和承包方式</w:t>
      </w:r>
    </w:p>
    <w:p w14:paraId="4F45D76C">
      <w:pPr>
        <w:adjustRightInd w:val="0"/>
        <w:snapToGrid w:val="0"/>
        <w:spacing w:line="360" w:lineRule="auto"/>
        <w:ind w:right="11" w:firstLine="480" w:firstLineChars="200"/>
        <w:rPr>
          <w:rFonts w:ascii="宋体" w:hAnsi="宋体"/>
          <w:bCs/>
          <w:snapToGrid w:val="0"/>
          <w:color w:val="auto"/>
          <w:kern w:val="0"/>
          <w:sz w:val="24"/>
        </w:rPr>
      </w:pPr>
      <w:r>
        <w:rPr>
          <w:rFonts w:hint="eastAsia" w:ascii="宋体" w:hAnsi="宋体"/>
          <w:bCs/>
          <w:snapToGrid w:val="0"/>
          <w:color w:val="auto"/>
          <w:kern w:val="0"/>
          <w:sz w:val="24"/>
        </w:rPr>
        <w:t>承</w:t>
      </w:r>
      <w:r>
        <w:rPr>
          <w:rFonts w:hint="eastAsia" w:ascii="宋体" w:hAnsi="宋体"/>
          <w:color w:val="auto"/>
          <w:sz w:val="24"/>
        </w:rPr>
        <w:t>包人根据招标文件、合同文件、有关资料及说明等对本项目实施设计施工总承包，包设计，本项目实行限额设计，</w:t>
      </w:r>
      <w:r>
        <w:rPr>
          <w:rFonts w:hint="eastAsia" w:ascii="宋体" w:hAnsi="宋体"/>
          <w:color w:val="auto"/>
          <w:sz w:val="24"/>
          <w:highlight w:val="none"/>
        </w:rPr>
        <w:t>建设项目</w:t>
      </w:r>
      <w:r>
        <w:rPr>
          <w:rFonts w:hint="eastAsia" w:ascii="宋体" w:hAnsi="宋体"/>
          <w:color w:val="auto"/>
          <w:sz w:val="24"/>
          <w:highlight w:val="none"/>
          <w:lang w:val="en-US" w:eastAsia="zh-CN"/>
        </w:rPr>
        <w:t>施工图预算</w:t>
      </w:r>
      <w:r>
        <w:rPr>
          <w:rFonts w:hint="eastAsia" w:ascii="宋体" w:hAnsi="宋体"/>
          <w:color w:val="auto"/>
          <w:sz w:val="24"/>
          <w:highlight w:val="none"/>
        </w:rPr>
        <w:t>不得超过项目立项规模下总投资</w:t>
      </w:r>
      <w:r>
        <w:rPr>
          <w:rFonts w:hint="eastAsia" w:ascii="宋体" w:hAnsi="宋体"/>
          <w:color w:val="auto"/>
          <w:sz w:val="24"/>
        </w:rPr>
        <w:t>。包施工，包括不限于包工、包料、包工期、包质量、包安全、包文明施工、包承包范围内工程验收通过、包送电、包移交、包结算、包资料整理、包承包人应当购买的保险、包竣工图编制</w:t>
      </w:r>
      <w:bookmarkStart w:id="7" w:name="OLE_LINK17"/>
      <w:r>
        <w:rPr>
          <w:rFonts w:hint="eastAsia" w:ascii="宋体" w:hAnsi="宋体"/>
          <w:color w:val="auto"/>
          <w:sz w:val="24"/>
        </w:rPr>
        <w:t>、</w:t>
      </w:r>
      <w:r>
        <w:rPr>
          <w:rFonts w:hint="eastAsia" w:ascii="宋体" w:hAnsi="宋体"/>
          <w:bCs/>
          <w:snapToGrid w:val="0"/>
          <w:color w:val="auto"/>
          <w:kern w:val="0"/>
          <w:sz w:val="24"/>
        </w:rPr>
        <w:t>包控制投资、</w:t>
      </w:r>
      <w:r>
        <w:rPr>
          <w:rFonts w:hint="eastAsia" w:ascii="宋体" w:hAnsi="宋体" w:cs="宋体"/>
          <w:color w:val="auto"/>
          <w:sz w:val="24"/>
        </w:rPr>
        <w:t>包项目协调管理、包</w:t>
      </w:r>
      <w:r>
        <w:rPr>
          <w:rFonts w:hint="eastAsia"/>
          <w:color w:val="auto"/>
          <w:sz w:val="24"/>
        </w:rPr>
        <w:t>报建及</w:t>
      </w:r>
      <w:r>
        <w:rPr>
          <w:rFonts w:hint="eastAsia" w:ascii="宋体" w:hAnsi="宋体" w:cs="宋体"/>
          <w:color w:val="auto"/>
          <w:sz w:val="24"/>
        </w:rPr>
        <w:t>验收审批手续办理</w:t>
      </w:r>
      <w:r>
        <w:rPr>
          <w:rFonts w:hint="eastAsia"/>
          <w:color w:val="auto"/>
          <w:sz w:val="24"/>
        </w:rPr>
        <w:t>、包</w:t>
      </w:r>
      <w:r>
        <w:rPr>
          <w:rFonts w:hint="eastAsia" w:ascii="宋体" w:hAnsi="宋体" w:cs="宋体"/>
          <w:color w:val="auto"/>
          <w:sz w:val="24"/>
        </w:rPr>
        <w:t>竣工资料收集整理备案、包保修。</w:t>
      </w:r>
      <w:r>
        <w:rPr>
          <w:rFonts w:hint="eastAsia" w:ascii="宋体" w:hAnsi="宋体"/>
          <w:bCs/>
          <w:snapToGrid w:val="0"/>
          <w:color w:val="auto"/>
          <w:kern w:val="0"/>
          <w:sz w:val="24"/>
        </w:rPr>
        <w:t>合同价款</w:t>
      </w:r>
      <w:r>
        <w:rPr>
          <w:rFonts w:ascii="宋体" w:hAnsi="宋体"/>
          <w:bCs/>
          <w:snapToGrid w:val="0"/>
          <w:color w:val="auto"/>
          <w:kern w:val="0"/>
          <w:sz w:val="24"/>
        </w:rPr>
        <w:t>根据招标文件</w:t>
      </w:r>
      <w:r>
        <w:rPr>
          <w:rFonts w:hint="eastAsia" w:ascii="宋体" w:hAnsi="宋体"/>
          <w:bCs/>
          <w:snapToGrid w:val="0"/>
          <w:color w:val="auto"/>
          <w:kern w:val="0"/>
          <w:sz w:val="24"/>
        </w:rPr>
        <w:t>和本</w:t>
      </w:r>
      <w:r>
        <w:rPr>
          <w:rFonts w:ascii="宋体" w:hAnsi="宋体"/>
          <w:bCs/>
          <w:snapToGrid w:val="0"/>
          <w:color w:val="auto"/>
          <w:kern w:val="0"/>
          <w:sz w:val="24"/>
        </w:rPr>
        <w:t>合同约定的计价方式进行计价和结算</w:t>
      </w:r>
      <w:r>
        <w:rPr>
          <w:rFonts w:hint="eastAsia" w:ascii="宋体" w:hAnsi="宋体"/>
          <w:bCs/>
          <w:snapToGrid w:val="0"/>
          <w:color w:val="auto"/>
          <w:kern w:val="0"/>
          <w:sz w:val="24"/>
        </w:rPr>
        <w:t>。组织本项目的整体竣工验收及备案和整体工程资料汇总及整理归档工作，具体施工范围详见招标文件。</w:t>
      </w:r>
    </w:p>
    <w:p w14:paraId="0786C6CF">
      <w:pPr>
        <w:adjustRightInd w:val="0"/>
        <w:snapToGrid w:val="0"/>
        <w:spacing w:line="360" w:lineRule="auto"/>
        <w:ind w:right="11" w:firstLine="480" w:firstLineChars="200"/>
        <w:rPr>
          <w:rFonts w:ascii="宋体" w:hAnsi="宋体"/>
          <w:bCs/>
          <w:snapToGrid w:val="0"/>
          <w:color w:val="auto"/>
          <w:kern w:val="0"/>
          <w:sz w:val="24"/>
        </w:rPr>
      </w:pPr>
      <w:r>
        <w:rPr>
          <w:rFonts w:hint="eastAsia" w:ascii="宋体" w:hAnsi="宋体"/>
          <w:bCs/>
          <w:snapToGrid w:val="0"/>
          <w:color w:val="auto"/>
          <w:kern w:val="0"/>
          <w:sz w:val="24"/>
        </w:rPr>
        <w:t>在本工程范围内工程资料正式移交给发包人及相关建设主管部门之前所产生的一切费用均包括在承包人合同价款中。</w:t>
      </w:r>
    </w:p>
    <w:p w14:paraId="4ED9AE08">
      <w:pPr>
        <w:autoSpaceDE w:val="0"/>
        <w:autoSpaceDN w:val="0"/>
        <w:adjustRightInd w:val="0"/>
        <w:spacing w:line="360" w:lineRule="auto"/>
        <w:ind w:firstLine="480" w:firstLineChars="200"/>
        <w:jc w:val="left"/>
        <w:rPr>
          <w:rFonts w:ascii="宋体" w:hAnsi="Calibri" w:cs="宋体"/>
          <w:color w:val="auto"/>
          <w:kern w:val="0"/>
          <w:sz w:val="24"/>
        </w:rPr>
      </w:pPr>
      <w:r>
        <w:rPr>
          <w:rFonts w:hint="eastAsia" w:ascii="宋体" w:hAnsi="Calibri" w:cs="宋体"/>
          <w:color w:val="auto"/>
          <w:kern w:val="0"/>
          <w:sz w:val="24"/>
        </w:rPr>
        <w:t>完成本项目设计、施工、工程总承包管理、试运行至工程竣工验收、移交的“交钥匙”工程总承包、工程保修，配合招标人办理报建、报批、相关部门结（决）算审核、配合招标人的审计和审计的调查、项目建设阶段全过程的综合协调等工作（具体详见设计任务书和合同约定条款）。</w:t>
      </w:r>
    </w:p>
    <w:p w14:paraId="6AFFF6E0">
      <w:pPr>
        <w:autoSpaceDE w:val="0"/>
        <w:autoSpaceDN w:val="0"/>
        <w:adjustRightInd w:val="0"/>
        <w:spacing w:line="360" w:lineRule="auto"/>
        <w:ind w:firstLine="480" w:firstLineChars="200"/>
        <w:jc w:val="left"/>
        <w:rPr>
          <w:rFonts w:ascii="宋体" w:hAnsi="Calibri" w:cs="宋体"/>
          <w:color w:val="auto"/>
          <w:kern w:val="0"/>
          <w:sz w:val="24"/>
          <w:u w:val="single"/>
        </w:rPr>
      </w:pPr>
      <w:r>
        <w:rPr>
          <w:rFonts w:hint="eastAsia" w:ascii="宋体" w:hAnsi="Calibri" w:cs="宋体"/>
          <w:color w:val="auto"/>
          <w:kern w:val="0"/>
          <w:sz w:val="24"/>
        </w:rPr>
        <w:t>（一）承包范围:</w:t>
      </w:r>
    </w:p>
    <w:p w14:paraId="7340B2C5">
      <w:pPr>
        <w:pStyle w:val="24"/>
        <w:autoSpaceDE w:val="0"/>
        <w:autoSpaceDN w:val="0"/>
        <w:adjustRightInd w:val="0"/>
        <w:spacing w:line="360" w:lineRule="auto"/>
        <w:ind w:left="420" w:firstLine="480"/>
        <w:jc w:val="left"/>
        <w:rPr>
          <w:rFonts w:ascii="宋体" w:hAnsi="宋体"/>
          <w:color w:val="auto"/>
          <w:sz w:val="24"/>
          <w:u w:val="single"/>
        </w:rPr>
      </w:pPr>
      <w:r>
        <w:rPr>
          <w:rFonts w:hint="eastAsia" w:ascii="宋体" w:hAnsi="Calibri" w:cs="宋体"/>
          <w:color w:val="auto"/>
          <w:kern w:val="0"/>
          <w:sz w:val="24"/>
        </w:rPr>
        <w:t>（1）设计部分：</w:t>
      </w:r>
      <w:r>
        <w:rPr>
          <w:rFonts w:hint="eastAsia" w:ascii="宋体" w:hAnsi="Calibri" w:cs="宋体"/>
          <w:color w:val="auto"/>
          <w:kern w:val="0"/>
          <w:sz w:val="24"/>
          <w:u w:val="single"/>
        </w:rPr>
        <w:t>包括施工图设计、各类专业设计、竣工图编制以及与设计相关的其他工作、满足项目实施所需的服务和施工现场各项管理服务工作等。主要工作内容详见设计任务书或用户需求。</w:t>
      </w:r>
    </w:p>
    <w:p w14:paraId="74066BBA">
      <w:pPr>
        <w:pStyle w:val="24"/>
        <w:autoSpaceDE w:val="0"/>
        <w:autoSpaceDN w:val="0"/>
        <w:adjustRightInd w:val="0"/>
        <w:spacing w:line="360" w:lineRule="auto"/>
        <w:ind w:left="420" w:firstLine="480"/>
        <w:jc w:val="left"/>
        <w:rPr>
          <w:rFonts w:ascii="宋体" w:hAnsi="Calibri" w:cs="宋体"/>
          <w:color w:val="auto"/>
          <w:kern w:val="0"/>
          <w:sz w:val="24"/>
          <w:u w:val="single"/>
        </w:rPr>
      </w:pPr>
      <w:r>
        <w:rPr>
          <w:rFonts w:hint="eastAsia" w:ascii="宋体" w:hAnsi="Calibri" w:cs="宋体"/>
          <w:color w:val="auto"/>
          <w:kern w:val="0"/>
          <w:sz w:val="24"/>
        </w:rPr>
        <w:t>（2）施工部分：</w:t>
      </w:r>
      <w:r>
        <w:rPr>
          <w:rFonts w:hint="eastAsia" w:ascii="宋体" w:hAnsi="宋体" w:cs="Calibri"/>
          <w:color w:val="auto"/>
          <w:sz w:val="24"/>
          <w:u w:val="single"/>
        </w:rPr>
        <w:t>包括但不限于完成本项目所需的所有的施工工作、配合相关部门预结（决）算审核、工程保修等工作，组织本项目的验收和工程资料汇总及整理归档工作、负责办理工程开工及验收所需的各项手续并承担办理上述手续施工方的费用、完成施工其它相关工作、负责协调施工过程中的相关职能部门及周边居民、施工期交通疏解等。</w:t>
      </w:r>
    </w:p>
    <w:p w14:paraId="35AC4EF6">
      <w:pPr>
        <w:numPr>
          <w:ilvl w:val="0"/>
          <w:numId w:val="1"/>
        </w:numPr>
        <w:snapToGrid w:val="0"/>
        <w:spacing w:line="360" w:lineRule="auto"/>
        <w:ind w:firstLine="480" w:firstLineChars="200"/>
        <w:rPr>
          <w:rFonts w:ascii="宋体" w:hAnsi="宋体"/>
          <w:color w:val="auto"/>
          <w:sz w:val="24"/>
          <w:highlight w:val="none"/>
          <w:u w:val="single"/>
        </w:rPr>
      </w:pPr>
      <w:r>
        <w:rPr>
          <w:rFonts w:hint="eastAsia" w:ascii="宋体" w:hAnsi="Calibri" w:cs="宋体"/>
          <w:color w:val="auto"/>
          <w:kern w:val="0"/>
          <w:sz w:val="24"/>
        </w:rPr>
        <w:t>承包方式</w:t>
      </w:r>
    </w:p>
    <w:p w14:paraId="6636E5DD">
      <w:pPr>
        <w:pStyle w:val="24"/>
        <w:spacing w:line="360" w:lineRule="auto"/>
        <w:ind w:left="420" w:firstLine="480"/>
        <w:rPr>
          <w:rFonts w:hint="eastAsia" w:ascii="宋体" w:hAnsi="Calibri" w:cs="宋体"/>
          <w:color w:val="auto"/>
          <w:kern w:val="0"/>
          <w:sz w:val="24"/>
          <w:highlight w:val="none"/>
        </w:rPr>
      </w:pPr>
      <w:r>
        <w:rPr>
          <w:rFonts w:hint="eastAsia" w:ascii="宋体" w:hAnsi="Calibri" w:cs="宋体"/>
          <w:color w:val="auto"/>
          <w:kern w:val="0"/>
          <w:sz w:val="24"/>
          <w:highlight w:val="none"/>
        </w:rPr>
        <w:t>承包方式为工程设计施工总承包，设计费按照投标报价总价包干，施工费按施工图预算审核确定的总价采用总价包干形式，除根据实际需要且由发包人提出的工程变更外，结算价不予调整。</w:t>
      </w:r>
    </w:p>
    <w:p w14:paraId="32EEEF9B">
      <w:pPr>
        <w:pStyle w:val="24"/>
        <w:spacing w:line="360" w:lineRule="auto"/>
        <w:ind w:left="420" w:firstLine="480"/>
        <w:rPr>
          <w:rFonts w:hint="eastAsia" w:ascii="宋体" w:hAnsi="Calibri" w:cs="宋体"/>
          <w:color w:val="auto"/>
          <w:kern w:val="0"/>
          <w:sz w:val="24"/>
          <w:highlight w:val="none"/>
        </w:rPr>
      </w:pPr>
      <w:r>
        <w:rPr>
          <w:rFonts w:hint="eastAsia" w:ascii="宋体" w:hAnsi="Calibri" w:cs="宋体"/>
          <w:color w:val="auto"/>
          <w:kern w:val="0"/>
          <w:sz w:val="24"/>
          <w:highlight w:val="none"/>
        </w:rPr>
        <w:t>包施工图设计（含深化设计、预算清单编制）、包工程施工、包工、包料、包工期、包质量、包安全、包文明施工、包验收通过、包保修、包预结算编制、包控制投资、包项目协调管理、包验收移交、包竣工资料收集整理。包承包人应当购买的保险、包竣工图编制、包控制投资、包项目协调管理、包报建及验收审批手续办理、包竣工资料收集整理备案、包保修。合同价款根据招标文件和本合同约定的计价方式进行计价和结算。组织本项目的整体竣工验收和整体工程资料汇总及整理归档工作，具体施工范围详见招标文件。</w:t>
      </w:r>
    </w:p>
    <w:p w14:paraId="30992AA9">
      <w:pPr>
        <w:pStyle w:val="24"/>
        <w:snapToGrid w:val="0"/>
        <w:spacing w:line="360" w:lineRule="auto"/>
        <w:ind w:left="420" w:firstLine="480" w:firstLineChars="200"/>
        <w:rPr>
          <w:rFonts w:ascii="宋体" w:hAnsi="宋体"/>
          <w:color w:val="auto"/>
          <w:sz w:val="24"/>
        </w:rPr>
      </w:pPr>
      <w:r>
        <w:rPr>
          <w:rFonts w:hint="eastAsia" w:ascii="宋体" w:hAnsi="Calibri" w:cs="宋体"/>
          <w:color w:val="auto"/>
          <w:kern w:val="0"/>
          <w:sz w:val="24"/>
          <w:highlight w:val="none"/>
        </w:rPr>
        <w:t>在本工程范围内工程资料正式移交给发包人及相关建设主管部门之前所产生的一切费用均包括在承包人合同价款中。</w:t>
      </w:r>
    </w:p>
    <w:p w14:paraId="2CBC60A3">
      <w:pPr>
        <w:snapToGrid w:val="0"/>
        <w:spacing w:line="360" w:lineRule="auto"/>
        <w:ind w:firstLine="960" w:firstLineChars="400"/>
        <w:rPr>
          <w:rFonts w:ascii="宋体" w:hAnsi="宋体"/>
          <w:color w:val="auto"/>
          <w:sz w:val="24"/>
        </w:rPr>
      </w:pPr>
      <w:r>
        <w:rPr>
          <w:rFonts w:hint="eastAsia" w:ascii="宋体" w:hAnsi="宋体"/>
          <w:color w:val="auto"/>
          <w:sz w:val="24"/>
        </w:rPr>
        <w:t>（三）设计、施工的限额及标准</w:t>
      </w:r>
    </w:p>
    <w:p w14:paraId="6805BE43">
      <w:pPr>
        <w:snapToGrid w:val="0"/>
        <w:spacing w:line="360" w:lineRule="auto"/>
        <w:ind w:firstLine="960" w:firstLineChars="400"/>
        <w:rPr>
          <w:rFonts w:ascii="宋体" w:hAnsi="宋体"/>
          <w:strike/>
          <w:color w:val="auto"/>
          <w:sz w:val="24"/>
        </w:rPr>
      </w:pPr>
      <w:r>
        <w:rPr>
          <w:rFonts w:hint="eastAsia" w:ascii="宋体" w:hAnsi="宋体"/>
          <w:color w:val="auto"/>
          <w:sz w:val="24"/>
        </w:rPr>
        <w:t>1、本次实施内容的工程总投资限额</w:t>
      </w:r>
      <w:r>
        <w:rPr>
          <w:rFonts w:hint="eastAsia" w:ascii="宋体" w:hAnsi="Calibri"/>
          <w:color w:val="auto"/>
          <w:kern w:val="0"/>
          <w:sz w:val="24"/>
        </w:rPr>
        <w:t>最高限价为</w:t>
      </w:r>
      <w:r>
        <w:rPr>
          <w:rFonts w:hint="eastAsia" w:ascii="宋体" w:hAnsi="宋体"/>
          <w:color w:val="auto"/>
          <w:kern w:val="0"/>
          <w:sz w:val="24"/>
        </w:rPr>
        <w:t>￥</w:t>
      </w:r>
      <w:r>
        <w:rPr>
          <w:rFonts w:hint="eastAsia" w:ascii="宋体" w:hAnsi="宋体"/>
          <w:color w:val="auto"/>
          <w:kern w:val="0"/>
          <w:sz w:val="24"/>
          <w:u w:val="single"/>
        </w:rPr>
        <w:t xml:space="preserve">       </w:t>
      </w:r>
      <w:r>
        <w:rPr>
          <w:rFonts w:hint="eastAsia" w:ascii="宋体" w:hAnsi="Calibri"/>
          <w:color w:val="auto"/>
          <w:kern w:val="0"/>
          <w:sz w:val="24"/>
        </w:rPr>
        <w:t>元。其中，设计费为</w:t>
      </w:r>
      <w:r>
        <w:rPr>
          <w:rFonts w:hint="eastAsia" w:ascii="宋体" w:hAnsi="宋体"/>
          <w:color w:val="auto"/>
          <w:kern w:val="0"/>
          <w:sz w:val="24"/>
        </w:rPr>
        <w:t>￥</w:t>
      </w:r>
      <w:r>
        <w:rPr>
          <w:rFonts w:hint="eastAsia" w:ascii="宋体" w:hAnsi="宋体"/>
          <w:color w:val="auto"/>
          <w:kern w:val="0"/>
          <w:sz w:val="24"/>
          <w:u w:val="single"/>
        </w:rPr>
        <w:t xml:space="preserve">      </w:t>
      </w:r>
      <w:r>
        <w:rPr>
          <w:rFonts w:hint="eastAsia" w:ascii="宋体" w:hAnsi="Calibri"/>
          <w:color w:val="auto"/>
          <w:kern w:val="0"/>
          <w:sz w:val="24"/>
        </w:rPr>
        <w:t>元，施工费投标最高限价为</w:t>
      </w:r>
      <w:r>
        <w:rPr>
          <w:rFonts w:hint="eastAsia" w:ascii="宋体" w:hAnsi="宋体"/>
          <w:color w:val="auto"/>
          <w:kern w:val="0"/>
          <w:sz w:val="24"/>
        </w:rPr>
        <w:t>￥</w:t>
      </w:r>
      <w:r>
        <w:rPr>
          <w:rFonts w:hint="eastAsia" w:ascii="宋体" w:hAnsi="宋体"/>
          <w:i/>
          <w:color w:val="auto"/>
          <w:kern w:val="0"/>
          <w:sz w:val="24"/>
          <w:u w:val="single"/>
        </w:rPr>
        <w:t xml:space="preserve">     </w:t>
      </w:r>
      <w:r>
        <w:rPr>
          <w:rFonts w:hint="eastAsia" w:ascii="宋体" w:hAnsi="宋体"/>
          <w:color w:val="auto"/>
          <w:kern w:val="0"/>
          <w:sz w:val="24"/>
          <w:u w:val="single"/>
        </w:rPr>
        <w:t xml:space="preserve">  </w:t>
      </w:r>
      <w:r>
        <w:rPr>
          <w:rFonts w:hint="eastAsia" w:ascii="宋体" w:hAnsi="Calibri"/>
          <w:color w:val="auto"/>
          <w:kern w:val="0"/>
          <w:sz w:val="24"/>
        </w:rPr>
        <w:t>元</w:t>
      </w:r>
      <w:r>
        <w:rPr>
          <w:rFonts w:hint="eastAsia" w:ascii="宋体" w:hAnsi="宋体"/>
          <w:color w:val="auto"/>
          <w:sz w:val="24"/>
        </w:rPr>
        <w:t>。应按照发包人的要求，在投资限额目标的基础上，并结合全要素标准的各项内容、要求，遵循功能适用、标准合理、经济合理的原则开展设计。</w:t>
      </w:r>
    </w:p>
    <w:p w14:paraId="1C1D678D">
      <w:pPr>
        <w:autoSpaceDE w:val="0"/>
        <w:autoSpaceDN w:val="0"/>
        <w:adjustRightInd w:val="0"/>
        <w:spacing w:line="360" w:lineRule="auto"/>
        <w:ind w:left="-1" w:firstLine="900" w:firstLineChars="375"/>
        <w:jc w:val="left"/>
        <w:rPr>
          <w:rFonts w:ascii="宋体" w:hAnsi="宋体"/>
          <w:color w:val="auto"/>
          <w:sz w:val="24"/>
        </w:rPr>
      </w:pPr>
      <w:r>
        <w:rPr>
          <w:rFonts w:hint="eastAsia" w:ascii="宋体" w:hAnsi="宋体"/>
          <w:color w:val="auto"/>
          <w:sz w:val="24"/>
        </w:rPr>
        <w:t>2、预算编制依据：设计费应按照《2002年勘察设计收费标准》；工程建安费采用清单计价方式，计价依据执行《建设工程工程量清单计价规范》（GB50500-2013）与《广东省市政工程综合定额（2018）》；《</w:t>
      </w:r>
      <w:r>
        <w:rPr>
          <w:rFonts w:hint="eastAsia" w:ascii="宋体" w:hAnsi="宋体"/>
          <w:color w:val="auto"/>
          <w:sz w:val="24"/>
          <w:lang w:val="en-US" w:eastAsia="zh-CN"/>
        </w:rPr>
        <w:t>广东省通用安装工程综合</w:t>
      </w:r>
      <w:r>
        <w:rPr>
          <w:rFonts w:hint="eastAsia" w:ascii="宋体" w:hAnsi="宋体"/>
          <w:color w:val="auto"/>
          <w:sz w:val="24"/>
        </w:rPr>
        <w:t>定额（2018）》；《广东省园林绿化工程综合定额（2018）》，套用预算编制期适用的广东省工程造价管理机构发布的当期定额及广州市人、材、机信息价格（广州市造价管理机构发布的</w:t>
      </w:r>
      <w:r>
        <w:rPr>
          <w:rFonts w:hint="eastAsia" w:ascii="宋体" w:hAnsi="宋体"/>
          <w:color w:val="auto"/>
          <w:sz w:val="24"/>
          <w:lang w:val="en-US" w:eastAsia="zh-CN"/>
        </w:rPr>
        <w:t>常用材料综合</w:t>
      </w:r>
      <w:r>
        <w:rPr>
          <w:rFonts w:hint="eastAsia" w:ascii="宋体" w:hAnsi="宋体"/>
          <w:color w:val="auto"/>
          <w:sz w:val="24"/>
        </w:rPr>
        <w:t>价格</w:t>
      </w:r>
      <w:r>
        <w:rPr>
          <w:rFonts w:hint="eastAsia" w:ascii="宋体" w:hAnsi="宋体"/>
          <w:color w:val="auto"/>
          <w:sz w:val="24"/>
          <w:lang w:val="en-US" w:eastAsia="zh-CN"/>
        </w:rPr>
        <w:t>或</w:t>
      </w:r>
      <w:r>
        <w:rPr>
          <w:rFonts w:ascii="宋体" w:hAnsi="宋体" w:cs="宋体"/>
          <w:color w:val="auto"/>
          <w:sz w:val="24"/>
        </w:rPr>
        <w:t>《广州地区建设工程材料（设备）厂商价格信息》</w:t>
      </w:r>
      <w:r>
        <w:rPr>
          <w:rFonts w:hint="eastAsia" w:ascii="宋体" w:hAnsi="宋体"/>
          <w:color w:val="auto"/>
          <w:sz w:val="24"/>
        </w:rPr>
        <w:t>或实行市场询价）。</w:t>
      </w:r>
    </w:p>
    <w:p w14:paraId="535E14B7">
      <w:pPr>
        <w:autoSpaceDE w:val="0"/>
        <w:autoSpaceDN w:val="0"/>
        <w:adjustRightInd w:val="0"/>
        <w:spacing w:line="360" w:lineRule="auto"/>
        <w:ind w:left="-1" w:firstLine="900" w:firstLineChars="375"/>
        <w:jc w:val="left"/>
        <w:rPr>
          <w:rFonts w:ascii="宋体" w:hAnsi="宋体"/>
          <w:color w:val="auto"/>
          <w:sz w:val="24"/>
        </w:rPr>
      </w:pPr>
      <w:r>
        <w:rPr>
          <w:rFonts w:hint="eastAsia" w:ascii="宋体" w:hAnsi="宋体"/>
          <w:color w:val="auto"/>
          <w:sz w:val="24"/>
          <w:lang w:val="en-US" w:eastAsia="zh-CN"/>
        </w:rPr>
        <w:t>3</w:t>
      </w:r>
      <w:r>
        <w:rPr>
          <w:rFonts w:hint="eastAsia" w:ascii="宋体" w:hAnsi="宋体"/>
          <w:color w:val="auto"/>
          <w:sz w:val="24"/>
        </w:rPr>
        <w:t>、投资控制</w:t>
      </w:r>
    </w:p>
    <w:p w14:paraId="2A38165D">
      <w:pPr>
        <w:autoSpaceDE w:val="0"/>
        <w:autoSpaceDN w:val="0"/>
        <w:adjustRightInd w:val="0"/>
        <w:spacing w:line="360" w:lineRule="auto"/>
        <w:ind w:left="-1" w:firstLine="900" w:firstLineChars="375"/>
        <w:jc w:val="left"/>
        <w:rPr>
          <w:rFonts w:ascii="宋体" w:hAnsi="宋体"/>
          <w:strike/>
          <w:color w:val="auto"/>
          <w:sz w:val="24"/>
        </w:rPr>
      </w:pPr>
      <w:r>
        <w:rPr>
          <w:rFonts w:hint="eastAsia" w:ascii="宋体" w:hAnsi="宋体"/>
          <w:color w:val="auto"/>
          <w:sz w:val="24"/>
        </w:rPr>
        <w:t>（1）本工程实行全过程限额设计和施工；严格控制每阶段投资目标，结算总金额控制在经发包人审批的预算金额内。工程预算由承包人自行编制，用于施工成本控制，送审预算金额应不高于投标工程费。</w:t>
      </w:r>
    </w:p>
    <w:p w14:paraId="3FBE8CC5">
      <w:pPr>
        <w:autoSpaceDE w:val="0"/>
        <w:autoSpaceDN w:val="0"/>
        <w:adjustRightInd w:val="0"/>
        <w:spacing w:line="360" w:lineRule="auto"/>
        <w:ind w:left="-1" w:firstLine="900" w:firstLineChars="375"/>
        <w:jc w:val="left"/>
        <w:rPr>
          <w:rFonts w:ascii="宋体" w:hAnsi="宋体"/>
          <w:color w:val="auto"/>
          <w:sz w:val="24"/>
        </w:rPr>
      </w:pPr>
      <w:r>
        <w:rPr>
          <w:rFonts w:hint="eastAsia" w:ascii="宋体" w:hAnsi="宋体"/>
          <w:color w:val="auto"/>
          <w:sz w:val="24"/>
        </w:rPr>
        <w:t>（2）承包人须保证在不降低用户需求书要求的情况下，确保满足发包人对工程投资控制的要求。</w:t>
      </w:r>
    </w:p>
    <w:p w14:paraId="73E650AD">
      <w:pPr>
        <w:autoSpaceDE w:val="0"/>
        <w:autoSpaceDN w:val="0"/>
        <w:adjustRightInd w:val="0"/>
        <w:spacing w:line="360" w:lineRule="auto"/>
        <w:ind w:left="-1" w:firstLine="900" w:firstLineChars="375"/>
        <w:jc w:val="left"/>
        <w:rPr>
          <w:rFonts w:ascii="宋体" w:hAnsi="宋体"/>
          <w:color w:val="auto"/>
          <w:sz w:val="24"/>
        </w:rPr>
      </w:pPr>
      <w:r>
        <w:rPr>
          <w:rFonts w:hint="eastAsia" w:ascii="宋体" w:hAnsi="宋体"/>
          <w:color w:val="auto"/>
          <w:sz w:val="24"/>
        </w:rPr>
        <w:t>（3）如果因承包人原因造成施工图预算超出投标工程费，承包人必须对施工图进行修改，并保证设计质量标准和施工进度。</w:t>
      </w:r>
    </w:p>
    <w:p w14:paraId="12C20A74">
      <w:pPr>
        <w:autoSpaceDE w:val="0"/>
        <w:autoSpaceDN w:val="0"/>
        <w:adjustRightInd w:val="0"/>
        <w:spacing w:line="360" w:lineRule="auto"/>
        <w:ind w:left="-1" w:firstLine="900" w:firstLineChars="375"/>
        <w:jc w:val="left"/>
        <w:rPr>
          <w:rFonts w:ascii="宋体" w:hAnsi="宋体"/>
          <w:color w:val="auto"/>
          <w:sz w:val="24"/>
        </w:rPr>
      </w:pPr>
      <w:r>
        <w:rPr>
          <w:rFonts w:hint="eastAsia" w:ascii="宋体" w:hAnsi="宋体"/>
          <w:color w:val="auto"/>
          <w:sz w:val="24"/>
        </w:rPr>
        <w:t>（4）在合同执行期内因施工条件、施工环境、气候等自然条件（不可抗力除外）、技术经济条件（如资源、劳力、交通条件等），承包人须在编制施工图预算时综合考虑，发包人不再另行支付；物价（人工、材料、机械等的市场价格）、政府部门颁发的各项调价文件、国家宏观经济调控政策、疫情及不可预见等因数导致调整发生的施工费用由承发包方协商后，再暂列金额中考虑。</w:t>
      </w:r>
    </w:p>
    <w:p w14:paraId="3CD254F1">
      <w:pPr>
        <w:autoSpaceDE w:val="0"/>
        <w:autoSpaceDN w:val="0"/>
        <w:adjustRightInd w:val="0"/>
        <w:spacing w:line="360" w:lineRule="auto"/>
        <w:ind w:left="-1" w:firstLine="900" w:firstLineChars="375"/>
        <w:jc w:val="left"/>
        <w:rPr>
          <w:rFonts w:ascii="宋体" w:hAnsi="宋体"/>
          <w:color w:val="auto"/>
          <w:sz w:val="24"/>
        </w:rPr>
      </w:pPr>
      <w:r>
        <w:rPr>
          <w:rFonts w:hint="eastAsia" w:ascii="宋体" w:hAnsi="宋体"/>
          <w:color w:val="auto"/>
          <w:sz w:val="24"/>
        </w:rPr>
        <w:t>（5）承包人在施工图设计完成后同步将施工图预算编制报送发包人，由发包人或发包人委托的第三方造价咨询单位先行审核，因承包人预算送审延迟、送审预算超投标工程费而需对施工图和预算进行修改或对数造成时间延误产生的后果由承包人承担。预算金额以经发包人审核经双方确认后的结果为准。</w:t>
      </w:r>
    </w:p>
    <w:p w14:paraId="04E0526F">
      <w:pPr>
        <w:autoSpaceDE w:val="0"/>
        <w:autoSpaceDN w:val="0"/>
        <w:adjustRightInd w:val="0"/>
        <w:spacing w:line="360" w:lineRule="auto"/>
        <w:ind w:left="-1" w:firstLine="900" w:firstLineChars="375"/>
        <w:jc w:val="left"/>
        <w:rPr>
          <w:rFonts w:ascii="宋体" w:hAnsi="宋体"/>
          <w:color w:val="auto"/>
          <w:sz w:val="24"/>
        </w:rPr>
      </w:pPr>
      <w:r>
        <w:rPr>
          <w:rFonts w:hint="eastAsia" w:ascii="宋体" w:hAnsi="宋体"/>
          <w:color w:val="auto"/>
          <w:sz w:val="24"/>
        </w:rPr>
        <w:t xml:space="preserve">（6）合同协议书的暂定合同价款（即承包人的投标中标价格）仅作为签约合同价。发包人审定本项目工程预算后，双方签订《施工图预算协议》，作为工程进度款拨付的依据。 </w:t>
      </w:r>
    </w:p>
    <w:p w14:paraId="0E86BF6B">
      <w:pPr>
        <w:autoSpaceDE w:val="0"/>
        <w:autoSpaceDN w:val="0"/>
        <w:adjustRightInd w:val="0"/>
        <w:spacing w:line="360" w:lineRule="auto"/>
        <w:ind w:left="-1" w:firstLine="900" w:firstLineChars="375"/>
        <w:jc w:val="left"/>
        <w:rPr>
          <w:rFonts w:ascii="宋体" w:hAnsi="Calibri" w:cs="宋体"/>
          <w:color w:val="auto"/>
          <w:kern w:val="0"/>
          <w:sz w:val="24"/>
        </w:rPr>
      </w:pPr>
      <w:r>
        <w:rPr>
          <w:rFonts w:hint="eastAsia" w:ascii="宋体" w:hAnsi="宋体"/>
          <w:color w:val="auto"/>
          <w:sz w:val="24"/>
        </w:rPr>
        <w:t>（7）承包人各阶段的造价文件编制需满足对应阶段造价审核深度要求。</w:t>
      </w:r>
    </w:p>
    <w:p w14:paraId="5C507505">
      <w:pPr>
        <w:autoSpaceDE w:val="0"/>
        <w:autoSpaceDN w:val="0"/>
        <w:adjustRightInd w:val="0"/>
        <w:spacing w:line="360" w:lineRule="auto"/>
        <w:ind w:firstLine="900" w:firstLineChars="375"/>
        <w:jc w:val="left"/>
        <w:rPr>
          <w:rFonts w:ascii="宋体" w:hAnsi="Calibri" w:cs="宋体"/>
          <w:color w:val="auto"/>
          <w:kern w:val="0"/>
          <w:sz w:val="24"/>
        </w:rPr>
      </w:pPr>
      <w:r>
        <w:rPr>
          <w:rFonts w:hint="eastAsia" w:ascii="Calibri" w:hAnsi="Calibri"/>
          <w:color w:val="auto"/>
          <w:sz w:val="24"/>
          <w:lang w:val="en-US" w:eastAsia="zh-CN"/>
        </w:rPr>
        <w:t>4、</w:t>
      </w:r>
      <w:r>
        <w:rPr>
          <w:rFonts w:hint="eastAsia" w:ascii="Calibri" w:hAnsi="Calibri"/>
          <w:color w:val="auto"/>
          <w:sz w:val="24"/>
        </w:rPr>
        <w:t>发包人根据工程实施情况，有权对本工程的实施范围和内容进行调整，承包人必须无条件服从。承包人未经发包人书面同意不得擅自变更工程实施范围和内容。</w:t>
      </w:r>
      <w:bookmarkEnd w:id="7"/>
      <w:bookmarkStart w:id="8" w:name="_Toc266892754"/>
    </w:p>
    <w:p w14:paraId="3C0995FA">
      <w:pPr>
        <w:spacing w:line="360" w:lineRule="auto"/>
        <w:outlineLvl w:val="1"/>
        <w:rPr>
          <w:rFonts w:ascii="宋体"/>
          <w:color w:val="auto"/>
          <w:sz w:val="24"/>
        </w:rPr>
      </w:pPr>
      <w:r>
        <w:rPr>
          <w:rFonts w:hint="eastAsia" w:ascii="宋体" w:hAnsi="宋体"/>
          <w:b/>
          <w:bCs/>
          <w:vanish/>
          <w:color w:val="auto"/>
          <w:sz w:val="24"/>
        </w:rPr>
        <w:t>工市园林建筑工程公司</w:t>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hint="eastAsia" w:ascii="宋体" w:hAnsi="宋体"/>
          <w:b/>
          <w:bCs/>
          <w:color w:val="auto"/>
          <w:sz w:val="24"/>
        </w:rPr>
        <w:t>三、项目工期</w:t>
      </w:r>
    </w:p>
    <w:p w14:paraId="0550FB02">
      <w:pPr>
        <w:spacing w:line="360" w:lineRule="auto"/>
        <w:ind w:left="2" w:leftChars="1" w:firstLine="480" w:firstLineChars="200"/>
        <w:rPr>
          <w:rFonts w:ascii="宋体" w:hAnsi="宋体"/>
          <w:color w:val="auto"/>
          <w:sz w:val="24"/>
        </w:rPr>
      </w:pPr>
      <w:r>
        <w:rPr>
          <w:rFonts w:hint="eastAsia" w:ascii="宋体" w:hAnsi="宋体"/>
          <w:color w:val="auto"/>
          <w:sz w:val="24"/>
        </w:rPr>
        <w:t>1、总工期：本工程总工期为</w:t>
      </w:r>
      <w:r>
        <w:rPr>
          <w:rFonts w:hint="eastAsia" w:ascii="宋体" w:hAnsi="宋体"/>
          <w:color w:val="auto"/>
          <w:sz w:val="24"/>
          <w:lang w:val="en-US" w:eastAsia="zh-CN"/>
        </w:rPr>
        <w:t xml:space="preserve">    </w:t>
      </w:r>
      <w:r>
        <w:rPr>
          <w:rFonts w:hint="eastAsia" w:ascii="宋体" w:hAnsi="宋体"/>
          <w:color w:val="auto"/>
          <w:sz w:val="24"/>
        </w:rPr>
        <w:t>个日历天（含勘察、设计、施工工期及办理工程所有手续时间），从合同签订之日起至竣工验收合格或移交使用止。</w:t>
      </w:r>
    </w:p>
    <w:p w14:paraId="166541EB">
      <w:pPr>
        <w:spacing w:line="360" w:lineRule="auto"/>
        <w:ind w:left="2" w:leftChars="1" w:firstLine="480" w:firstLineChars="200"/>
        <w:rPr>
          <w:rFonts w:ascii="宋体" w:hAnsi="宋体"/>
          <w:color w:val="auto"/>
          <w:sz w:val="24"/>
        </w:rPr>
      </w:pPr>
      <w:r>
        <w:rPr>
          <w:rFonts w:hint="eastAsia" w:ascii="宋体" w:hAnsi="宋体"/>
          <w:color w:val="auto"/>
          <w:sz w:val="24"/>
        </w:rPr>
        <w:t>2、计划开始工作日期：</w:t>
      </w:r>
      <w:r>
        <w:rPr>
          <w:rFonts w:hint="eastAsia" w:ascii="宋体" w:hAnsi="宋体"/>
          <w:color w:val="auto"/>
          <w:sz w:val="24"/>
          <w:lang w:eastAsia="zh-CN"/>
        </w:rPr>
        <w:t>2024年</w:t>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 xml:space="preserve">月  </w:t>
      </w:r>
      <w:r>
        <w:rPr>
          <w:rFonts w:ascii="宋体" w:hAnsi="宋体"/>
          <w:color w:val="auto"/>
          <w:sz w:val="24"/>
        </w:rPr>
        <w:t xml:space="preserve">  </w:t>
      </w:r>
      <w:r>
        <w:rPr>
          <w:rFonts w:hint="eastAsia" w:ascii="宋体" w:hAnsi="宋体"/>
          <w:color w:val="auto"/>
          <w:sz w:val="24"/>
        </w:rPr>
        <w:t>日。</w:t>
      </w:r>
    </w:p>
    <w:p w14:paraId="22AEF750">
      <w:pPr>
        <w:spacing w:line="360" w:lineRule="auto"/>
        <w:ind w:left="2" w:leftChars="1" w:firstLine="1200" w:firstLineChars="500"/>
        <w:rPr>
          <w:rFonts w:ascii="宋体" w:hAnsi="宋体"/>
          <w:color w:val="auto"/>
          <w:sz w:val="24"/>
        </w:rPr>
      </w:pPr>
      <w:r>
        <w:rPr>
          <w:rFonts w:hint="eastAsia" w:ascii="宋体" w:hAnsi="宋体"/>
          <w:color w:val="auto"/>
          <w:sz w:val="24"/>
        </w:rPr>
        <w:t>计划竣工日期：202</w:t>
      </w:r>
      <w:r>
        <w:rPr>
          <w:rFonts w:hint="eastAsia" w:ascii="宋体" w:hAnsi="宋体"/>
          <w:color w:val="auto"/>
          <w:sz w:val="24"/>
          <w:lang w:val="en-US" w:eastAsia="zh-CN"/>
        </w:rPr>
        <w:t>4</w:t>
      </w:r>
      <w:r>
        <w:rPr>
          <w:rFonts w:hint="eastAsia" w:ascii="宋体" w:hAnsi="宋体"/>
          <w:color w:val="auto"/>
          <w:sz w:val="24"/>
        </w:rPr>
        <w:t>年   月    日。</w:t>
      </w:r>
    </w:p>
    <w:p w14:paraId="50BE4EEA">
      <w:pPr>
        <w:spacing w:line="360" w:lineRule="auto"/>
        <w:ind w:left="2" w:leftChars="1" w:firstLine="480" w:firstLineChars="200"/>
        <w:rPr>
          <w:rFonts w:ascii="宋体" w:hAnsi="宋体"/>
          <w:color w:val="auto"/>
          <w:sz w:val="24"/>
        </w:rPr>
      </w:pPr>
      <w:r>
        <w:rPr>
          <w:rFonts w:hint="eastAsia" w:ascii="宋体" w:hAnsi="宋体"/>
          <w:color w:val="auto"/>
          <w:sz w:val="24"/>
        </w:rPr>
        <w:t>3、发包人根据工程实施情况，有权对本工程工期（包括关键节点工期和竣工日期）进行适当调整，承包人需服从发包人对本项目建设工期的要求。</w:t>
      </w:r>
      <w:bookmarkEnd w:id="8"/>
      <w:bookmarkStart w:id="9" w:name="_Toc266892755"/>
    </w:p>
    <w:p w14:paraId="5996459E">
      <w:pPr>
        <w:spacing w:line="360" w:lineRule="auto"/>
        <w:outlineLvl w:val="1"/>
        <w:rPr>
          <w:rFonts w:ascii="宋体"/>
          <w:color w:val="auto"/>
          <w:sz w:val="24"/>
        </w:rPr>
      </w:pPr>
      <w:r>
        <w:rPr>
          <w:rFonts w:hint="eastAsia" w:ascii="宋体" w:hAnsi="宋体"/>
          <w:b/>
          <w:bCs/>
          <w:vanish/>
          <w:color w:val="auto"/>
          <w:sz w:val="24"/>
        </w:rPr>
        <w:t>、合同主体</w:t>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ascii="宋体" w:hAnsi="宋体"/>
          <w:b/>
          <w:bCs/>
          <w:vanish/>
          <w:color w:val="auto"/>
          <w:sz w:val="24"/>
        </w:rPr>
        <w:pgNum/>
      </w:r>
      <w:r>
        <w:rPr>
          <w:rFonts w:hint="eastAsia" w:ascii="宋体" w:hAnsi="宋体"/>
          <w:b/>
          <w:bCs/>
          <w:color w:val="auto"/>
          <w:sz w:val="24"/>
        </w:rPr>
        <w:t>四、工程质量标准</w:t>
      </w:r>
      <w:bookmarkEnd w:id="9"/>
    </w:p>
    <w:p w14:paraId="437D73C2">
      <w:pPr>
        <w:autoSpaceDE w:val="0"/>
        <w:autoSpaceDN w:val="0"/>
        <w:adjustRightInd w:val="0"/>
        <w:spacing w:before="16" w:line="360" w:lineRule="auto"/>
        <w:ind w:firstLine="567"/>
        <w:jc w:val="left"/>
        <w:rPr>
          <w:rFonts w:ascii="宋体" w:hAnsi="宋体"/>
          <w:color w:val="auto"/>
          <w:sz w:val="24"/>
          <w:u w:val="single"/>
        </w:rPr>
      </w:pPr>
      <w:r>
        <w:rPr>
          <w:rFonts w:hint="eastAsia" w:ascii="宋体" w:hAnsi="宋体"/>
          <w:color w:val="auto"/>
          <w:sz w:val="24"/>
          <w:u w:val="single"/>
        </w:rPr>
        <w:t>设计部分的质量标准：</w:t>
      </w:r>
      <w:r>
        <w:rPr>
          <w:rFonts w:hint="eastAsia" w:ascii="宋体" w:hAnsi="Calibri" w:cs="宋体"/>
          <w:color w:val="auto"/>
          <w:kern w:val="0"/>
          <w:sz w:val="24"/>
          <w:u w:val="single"/>
        </w:rPr>
        <w:t>按第二篇和第三篇相关合同条款。</w:t>
      </w:r>
      <w:r>
        <w:rPr>
          <w:rFonts w:hint="eastAsia" w:ascii="宋体" w:hAnsi="宋体" w:cs="宋体"/>
          <w:color w:val="auto"/>
          <w:sz w:val="24"/>
          <w:u w:val="single"/>
        </w:rPr>
        <w:t>符合电力工程设计的技术规范及</w:t>
      </w:r>
      <w:bookmarkStart w:id="10" w:name="_Hlk107988720"/>
      <w:r>
        <w:rPr>
          <w:rFonts w:hint="eastAsia" w:ascii="宋体" w:hAnsi="宋体" w:cs="宋体"/>
          <w:color w:val="auto"/>
          <w:sz w:val="24"/>
          <w:u w:val="single"/>
        </w:rPr>
        <w:t>本项目设计、材料设备技术需求书的要求</w:t>
      </w:r>
      <w:bookmarkEnd w:id="10"/>
      <w:r>
        <w:rPr>
          <w:rFonts w:hint="eastAsia" w:ascii="宋体" w:hAnsi="宋体"/>
          <w:color w:val="auto"/>
          <w:sz w:val="24"/>
          <w:u w:val="single"/>
        </w:rPr>
        <w:t>；</w:t>
      </w:r>
      <w:r>
        <w:rPr>
          <w:rFonts w:ascii="宋体" w:hAnsi="宋体"/>
          <w:color w:val="auto"/>
          <w:sz w:val="24"/>
          <w:u w:val="single"/>
        </w:rPr>
        <w:t xml:space="preserve"> </w:t>
      </w:r>
    </w:p>
    <w:p w14:paraId="1201F546">
      <w:pPr>
        <w:spacing w:line="360" w:lineRule="auto"/>
        <w:ind w:left="2159" w:leftChars="228" w:hanging="1680" w:hangingChars="700"/>
        <w:rPr>
          <w:rFonts w:ascii="宋体"/>
          <w:color w:val="auto"/>
          <w:sz w:val="24"/>
        </w:rPr>
      </w:pPr>
      <w:r>
        <w:rPr>
          <w:rFonts w:hint="eastAsia" w:ascii="宋体" w:hAnsi="宋体" w:cs="宋体"/>
          <w:color w:val="auto"/>
          <w:sz w:val="24"/>
          <w:u w:val="single"/>
        </w:rPr>
        <w:t>施工要求的质量标准：本工程应符合国家施工验收规范及工程质量要求，达到合格标准。</w:t>
      </w:r>
    </w:p>
    <w:p w14:paraId="32A959C7">
      <w:pPr>
        <w:spacing w:line="360" w:lineRule="auto"/>
        <w:outlineLvl w:val="1"/>
        <w:rPr>
          <w:rFonts w:ascii="宋体"/>
          <w:color w:val="auto"/>
          <w:sz w:val="24"/>
        </w:rPr>
      </w:pPr>
      <w:bookmarkStart w:id="11" w:name="_Toc266892756"/>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hint="eastAsia" w:ascii="宋体" w:hAnsi="宋体"/>
          <w:b/>
          <w:bCs/>
          <w:color w:val="auto"/>
          <w:sz w:val="24"/>
        </w:rPr>
        <w:t>五、合同价款</w:t>
      </w:r>
      <w:bookmarkEnd w:id="11"/>
    </w:p>
    <w:p w14:paraId="117475A4">
      <w:pPr>
        <w:ind w:firstLine="560"/>
        <w:rPr>
          <w:rFonts w:cs="宋体"/>
          <w:color w:val="auto"/>
          <w:sz w:val="24"/>
        </w:rPr>
      </w:pPr>
      <w:r>
        <w:rPr>
          <w:rFonts w:hint="eastAsia"/>
          <w:color w:val="auto"/>
          <w:sz w:val="24"/>
        </w:rPr>
        <w:t>5.1</w:t>
      </w:r>
      <w:r>
        <w:rPr>
          <w:rFonts w:hint="eastAsia" w:cs="宋体"/>
          <w:color w:val="auto"/>
          <w:sz w:val="24"/>
        </w:rPr>
        <w:t>合同价暂定为人民币（大写）：</w:t>
      </w:r>
      <w:r>
        <w:rPr>
          <w:color w:val="auto"/>
          <w:sz w:val="24"/>
          <w:u w:val="single"/>
        </w:rPr>
        <w:t xml:space="preserve">     </w:t>
      </w:r>
      <w:r>
        <w:rPr>
          <w:rFonts w:hint="eastAsia" w:cs="宋体"/>
          <w:color w:val="auto"/>
          <w:sz w:val="24"/>
          <w:u w:val="single"/>
        </w:rPr>
        <w:t>。</w:t>
      </w:r>
      <w:r>
        <w:rPr>
          <w:rFonts w:hint="eastAsia" w:cs="宋体"/>
          <w:color w:val="auto"/>
          <w:sz w:val="24"/>
        </w:rPr>
        <w:t>（小写金额：</w:t>
      </w:r>
      <w:r>
        <w:rPr>
          <w:rFonts w:hint="eastAsia" w:cs="宋体"/>
          <w:color w:val="auto"/>
          <w:sz w:val="24"/>
          <w:u w:val="single"/>
        </w:rPr>
        <w:t>￥</w:t>
      </w:r>
      <w:r>
        <w:rPr>
          <w:color w:val="auto"/>
          <w:sz w:val="24"/>
          <w:u w:val="single"/>
        </w:rPr>
        <w:t xml:space="preserve">      </w:t>
      </w:r>
      <w:r>
        <w:rPr>
          <w:rFonts w:hint="eastAsia" w:cs="宋体"/>
          <w:color w:val="auto"/>
          <w:sz w:val="24"/>
        </w:rPr>
        <w:t>元）。</w:t>
      </w:r>
    </w:p>
    <w:p w14:paraId="5B209747">
      <w:pPr>
        <w:rPr>
          <w:rFonts w:cs="宋体"/>
          <w:color w:val="auto"/>
          <w:sz w:val="24"/>
        </w:rPr>
      </w:pPr>
      <w:r>
        <w:rPr>
          <w:rFonts w:hint="eastAsia" w:cs="宋体"/>
          <w:color w:val="auto"/>
          <w:sz w:val="24"/>
        </w:rPr>
        <w:t>其中：</w:t>
      </w:r>
    </w:p>
    <w:p w14:paraId="26004046">
      <w:pPr>
        <w:ind w:firstLine="480" w:firstLineChars="200"/>
        <w:rPr>
          <w:rFonts w:hint="eastAsia" w:eastAsia="宋体" w:cs="宋体"/>
          <w:color w:val="auto"/>
          <w:sz w:val="24"/>
          <w:lang w:eastAsia="zh-CN"/>
        </w:rPr>
      </w:pPr>
      <w:r>
        <w:rPr>
          <w:rFonts w:hint="eastAsia" w:cs="宋体"/>
          <w:color w:val="auto"/>
          <w:sz w:val="24"/>
        </w:rPr>
        <w:t>1</w:t>
      </w:r>
      <w:r>
        <w:rPr>
          <w:rFonts w:hint="eastAsia" w:ascii="宋体" w:hAnsi="宋体"/>
          <w:color w:val="auto"/>
          <w:sz w:val="24"/>
        </w:rPr>
        <w:t>、</w:t>
      </w:r>
      <w:r>
        <w:rPr>
          <w:rFonts w:hint="eastAsia" w:cs="宋体"/>
          <w:color w:val="auto"/>
          <w:sz w:val="24"/>
        </w:rPr>
        <w:t>设计费：￥</w:t>
      </w:r>
      <w:r>
        <w:rPr>
          <w:color w:val="auto"/>
          <w:sz w:val="24"/>
          <w:u w:val="single"/>
        </w:rPr>
        <w:t xml:space="preserve">   </w:t>
      </w:r>
      <w:r>
        <w:rPr>
          <w:rFonts w:hint="eastAsia"/>
          <w:color w:val="auto"/>
          <w:sz w:val="24"/>
          <w:u w:val="single"/>
        </w:rPr>
        <w:t xml:space="preserve"> </w:t>
      </w:r>
      <w:r>
        <w:rPr>
          <w:color w:val="auto"/>
          <w:sz w:val="24"/>
          <w:u w:val="single"/>
        </w:rPr>
        <w:t xml:space="preserve"> </w:t>
      </w:r>
      <w:r>
        <w:rPr>
          <w:rFonts w:hint="eastAsia" w:cs="宋体"/>
          <w:color w:val="auto"/>
          <w:sz w:val="24"/>
        </w:rPr>
        <w:t>元（大写：</w:t>
      </w:r>
      <w:r>
        <w:rPr>
          <w:rFonts w:hint="eastAsia" w:cs="宋体"/>
          <w:color w:val="auto"/>
          <w:sz w:val="24"/>
          <w:u w:val="single"/>
        </w:rPr>
        <w:t xml:space="preserve">       </w:t>
      </w:r>
      <w:r>
        <w:rPr>
          <w:rFonts w:hint="eastAsia" w:cs="宋体"/>
          <w:color w:val="auto"/>
          <w:sz w:val="24"/>
        </w:rPr>
        <w:t>）</w:t>
      </w:r>
      <w:r>
        <w:rPr>
          <w:rFonts w:hint="eastAsia" w:ascii="宋体" w:hAnsi="Calibri"/>
          <w:color w:val="auto"/>
          <w:kern w:val="0"/>
          <w:sz w:val="24"/>
        </w:rPr>
        <w:t>（含税价），不含税价¥</w:t>
      </w:r>
      <w:r>
        <w:rPr>
          <w:rFonts w:hint="eastAsia" w:ascii="宋体" w:hAnsi="宋体" w:cs="宋体"/>
          <w:color w:val="auto"/>
          <w:kern w:val="0"/>
          <w:sz w:val="24"/>
          <w:lang w:val="en-US" w:eastAsia="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single"/>
        </w:rPr>
        <w:t xml:space="preserve"> </w:t>
      </w:r>
      <w:r>
        <w:rPr>
          <w:rFonts w:hint="eastAsia" w:ascii="宋体" w:hAnsi="宋体" w:cs="宋体"/>
          <w:color w:val="auto"/>
          <w:kern w:val="0"/>
          <w:sz w:val="24"/>
        </w:rPr>
        <w:t>元，税额¥</w:t>
      </w:r>
      <w:r>
        <w:rPr>
          <w:rFonts w:hint="eastAsia" w:ascii="宋体" w:hAnsi="宋体" w:cs="宋体"/>
          <w:color w:val="auto"/>
          <w:kern w:val="0"/>
          <w:sz w:val="24"/>
          <w:lang w:val="en-US" w:eastAsia="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rPr>
        <w:t>元，税率6%</w:t>
      </w:r>
      <w:r>
        <w:rPr>
          <w:rFonts w:hint="eastAsia" w:cs="宋体"/>
          <w:color w:val="auto"/>
          <w:sz w:val="24"/>
        </w:rPr>
        <w:t>；（设计费结算时不做变更，设计费不可超出最高限价）</w:t>
      </w:r>
      <w:r>
        <w:rPr>
          <w:rFonts w:hint="eastAsia" w:cs="宋体"/>
          <w:color w:val="auto"/>
          <w:sz w:val="24"/>
          <w:lang w:eastAsia="zh-CN"/>
        </w:rPr>
        <w:t>。</w:t>
      </w:r>
    </w:p>
    <w:p w14:paraId="6E85AABD">
      <w:pPr>
        <w:spacing w:line="360" w:lineRule="auto"/>
        <w:ind w:firstLine="480" w:firstLineChars="200"/>
        <w:rPr>
          <w:rFonts w:cs="宋体"/>
          <w:color w:val="auto"/>
          <w:sz w:val="24"/>
        </w:rPr>
      </w:pPr>
      <w:r>
        <w:rPr>
          <w:rFonts w:hint="eastAsia" w:hAnsi="宋体" w:cs="宋体"/>
          <w:color w:val="auto"/>
          <w:sz w:val="24"/>
        </w:rPr>
        <w:t>2</w:t>
      </w:r>
      <w:r>
        <w:rPr>
          <w:rFonts w:hint="eastAsia" w:ascii="宋体" w:hAnsi="宋体"/>
          <w:color w:val="auto"/>
          <w:sz w:val="24"/>
        </w:rPr>
        <w:t>、</w:t>
      </w:r>
      <w:r>
        <w:rPr>
          <w:rFonts w:hint="eastAsia" w:hAnsi="宋体" w:cs="宋体"/>
          <w:color w:val="auto"/>
          <w:sz w:val="24"/>
        </w:rPr>
        <w:t>施工费：</w:t>
      </w:r>
      <w:r>
        <w:rPr>
          <w:rFonts w:hint="eastAsia" w:cs="宋体"/>
          <w:color w:val="auto"/>
          <w:sz w:val="24"/>
        </w:rPr>
        <w:t>暂定</w:t>
      </w:r>
      <w:r>
        <w:rPr>
          <w:rFonts w:hint="eastAsia" w:cs="宋体"/>
          <w:color w:val="auto"/>
          <w:sz w:val="24"/>
          <w:lang w:val="en-US" w:eastAsia="zh-CN"/>
        </w:rPr>
        <w:t>含税价</w:t>
      </w:r>
      <w:r>
        <w:rPr>
          <w:rFonts w:hint="eastAsia" w:cs="宋体"/>
          <w:color w:val="auto"/>
          <w:sz w:val="24"/>
        </w:rPr>
        <w:t>为￥</w:t>
      </w:r>
      <w:r>
        <w:rPr>
          <w:color w:val="auto"/>
          <w:sz w:val="24"/>
          <w:u w:val="single"/>
        </w:rPr>
        <w:t xml:space="preserve">   </w:t>
      </w:r>
      <w:r>
        <w:rPr>
          <w:rFonts w:hint="eastAsia"/>
          <w:color w:val="auto"/>
          <w:sz w:val="24"/>
          <w:u w:val="single"/>
        </w:rPr>
        <w:t xml:space="preserve"> </w:t>
      </w:r>
      <w:r>
        <w:rPr>
          <w:color w:val="auto"/>
          <w:sz w:val="24"/>
          <w:u w:val="single"/>
        </w:rPr>
        <w:t xml:space="preserve"> </w:t>
      </w:r>
      <w:r>
        <w:rPr>
          <w:rFonts w:hint="eastAsia" w:cs="宋体"/>
          <w:color w:val="auto"/>
          <w:sz w:val="24"/>
        </w:rPr>
        <w:t xml:space="preserve">元（大写：  </w:t>
      </w:r>
      <w:r>
        <w:rPr>
          <w:rFonts w:hint="eastAsia" w:cs="宋体"/>
          <w:color w:val="auto"/>
          <w:sz w:val="24"/>
          <w:u w:val="single"/>
        </w:rPr>
        <w:t xml:space="preserve">     </w:t>
      </w:r>
      <w:r>
        <w:rPr>
          <w:rFonts w:hint="eastAsia" w:cs="宋体"/>
          <w:color w:val="auto"/>
          <w:sz w:val="24"/>
        </w:rPr>
        <w:t>），投标报价下浮率：</w:t>
      </w:r>
      <w:r>
        <w:rPr>
          <w:color w:val="auto"/>
          <w:sz w:val="24"/>
          <w:u w:val="single"/>
        </w:rPr>
        <w:t xml:space="preserve">    </w:t>
      </w:r>
      <w:r>
        <w:rPr>
          <w:rFonts w:hint="eastAsia"/>
          <w:color w:val="auto"/>
          <w:sz w:val="24"/>
        </w:rPr>
        <w:t>%</w:t>
      </w:r>
      <w:r>
        <w:rPr>
          <w:rFonts w:hint="eastAsia" w:cs="宋体"/>
          <w:color w:val="auto"/>
          <w:sz w:val="24"/>
        </w:rPr>
        <w:t xml:space="preserve"> ，</w:t>
      </w:r>
      <w:r>
        <w:rPr>
          <w:rFonts w:hint="eastAsia" w:ascii="宋体" w:hAnsi="Calibri"/>
          <w:color w:val="auto"/>
          <w:kern w:val="0"/>
          <w:sz w:val="24"/>
        </w:rPr>
        <w:t>不含税价¥</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rPr>
        <w:t>元，税额¥</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rPr>
        <w:t>元</w:t>
      </w:r>
      <w:r>
        <w:rPr>
          <w:rFonts w:hint="eastAsia" w:cs="宋体"/>
          <w:color w:val="auto"/>
          <w:sz w:val="24"/>
          <w:lang w:eastAsia="zh-CN"/>
        </w:rPr>
        <w:t>，</w:t>
      </w:r>
      <w:r>
        <w:rPr>
          <w:rFonts w:hint="eastAsia" w:ascii="宋体" w:hAnsi="宋体" w:cs="宋体"/>
          <w:color w:val="auto"/>
          <w:kern w:val="0"/>
          <w:sz w:val="24"/>
        </w:rPr>
        <w:t>税率</w:t>
      </w:r>
      <w:r>
        <w:rPr>
          <w:rFonts w:hint="eastAsia" w:ascii="宋体" w:hAnsi="宋体" w:cs="宋体"/>
          <w:color w:val="auto"/>
          <w:kern w:val="0"/>
          <w:sz w:val="24"/>
          <w:lang w:val="en-US" w:eastAsia="zh-CN"/>
        </w:rPr>
        <w:t>9</w:t>
      </w:r>
      <w:r>
        <w:rPr>
          <w:rFonts w:hint="eastAsia" w:ascii="宋体" w:hAnsi="宋体" w:cs="宋体"/>
          <w:color w:val="auto"/>
          <w:kern w:val="0"/>
          <w:sz w:val="24"/>
        </w:rPr>
        <w:t>%</w:t>
      </w:r>
      <w:r>
        <w:rPr>
          <w:rFonts w:hint="eastAsia" w:cs="宋体"/>
          <w:color w:val="auto"/>
          <w:sz w:val="24"/>
        </w:rPr>
        <w:t>。</w:t>
      </w:r>
    </w:p>
    <w:p w14:paraId="446FE2AC">
      <w:pPr>
        <w:spacing w:line="360" w:lineRule="auto"/>
        <w:ind w:firstLine="480" w:firstLineChars="200"/>
        <w:rPr>
          <w:rFonts w:cs="宋体"/>
          <w:color w:val="auto"/>
          <w:sz w:val="24"/>
        </w:rPr>
      </w:pPr>
    </w:p>
    <w:p w14:paraId="50AE8D2C">
      <w:pPr>
        <w:autoSpaceDE w:val="0"/>
        <w:autoSpaceDN w:val="0"/>
        <w:adjustRightInd w:val="0"/>
        <w:spacing w:line="360" w:lineRule="auto"/>
        <w:ind w:right="240" w:firstLine="424" w:firstLineChars="177"/>
        <w:rPr>
          <w:rFonts w:cs="宋体"/>
          <w:color w:val="auto"/>
          <w:sz w:val="24"/>
        </w:rPr>
      </w:pPr>
      <w:r>
        <w:rPr>
          <w:rFonts w:hint="eastAsia" w:cs="宋体"/>
          <w:color w:val="auto"/>
          <w:sz w:val="24"/>
        </w:rPr>
        <w:t>施工图及预算经发包人审核双方确定后，承包人对图纸及预算质量及准确性负总责，因设计缺陷或不足产生的变更造成费用增加由承包人负责，费用减少则按实际发生结算。对不可抗力因素、强制性政策要求和发包人主动提出的变更按实结算。（增加部分）</w:t>
      </w:r>
    </w:p>
    <w:p w14:paraId="16B123AE">
      <w:pPr>
        <w:autoSpaceDE w:val="0"/>
        <w:autoSpaceDN w:val="0"/>
        <w:adjustRightInd w:val="0"/>
        <w:spacing w:line="360" w:lineRule="auto"/>
        <w:ind w:right="240" w:firstLine="424" w:firstLineChars="177"/>
        <w:rPr>
          <w:rFonts w:ascii="宋体" w:hAnsi="宋体"/>
          <w:color w:val="auto"/>
          <w:sz w:val="24"/>
        </w:rPr>
      </w:pPr>
      <w:bookmarkStart w:id="12" w:name="_Toc266892757"/>
      <w:r>
        <w:rPr>
          <w:rFonts w:hint="eastAsia" w:cs="宋体"/>
          <w:color w:val="auto"/>
          <w:sz w:val="24"/>
        </w:rPr>
        <w:t>本项目施工图审查通过后，根据最终确认的施工图纸，由中标人采用清单模式编制施工图预算</w:t>
      </w:r>
      <w:r>
        <w:rPr>
          <w:rFonts w:hint="eastAsia" w:ascii="宋体" w:hAnsi="宋体"/>
          <w:color w:val="auto"/>
          <w:sz w:val="24"/>
        </w:rPr>
        <w:t>，经第三方咨询机构审核并经发包人审核部门审批通过后，按投标下浮率、合同约定下浮率及合同约定的方法，得出施工图预算价，以此施工图预算价作为进度款支付和结算的依据。</w:t>
      </w:r>
    </w:p>
    <w:p w14:paraId="57F0E311">
      <w:pPr>
        <w:snapToGrid w:val="0"/>
        <w:spacing w:line="360" w:lineRule="auto"/>
        <w:ind w:firstLine="480" w:firstLineChars="200"/>
        <w:rPr>
          <w:rFonts w:ascii="宋体" w:hAnsi="宋体"/>
          <w:color w:val="auto"/>
          <w:sz w:val="24"/>
        </w:rPr>
      </w:pPr>
      <w:r>
        <w:rPr>
          <w:rFonts w:hint="eastAsia" w:ascii="宋体" w:hAnsi="宋体"/>
          <w:color w:val="auto"/>
          <w:sz w:val="24"/>
        </w:rPr>
        <w:t>施工图审查备案完成后，原则上不允许中标人提出设计变更，确需变更的按相关基本程序办理。</w:t>
      </w:r>
    </w:p>
    <w:p w14:paraId="632D96CE">
      <w:pPr>
        <w:spacing w:line="360" w:lineRule="auto"/>
        <w:ind w:firstLine="480"/>
        <w:rPr>
          <w:rFonts w:ascii="宋体" w:hAnsi="宋体"/>
          <w:color w:val="auto"/>
          <w:sz w:val="24"/>
        </w:rPr>
      </w:pPr>
      <w:r>
        <w:rPr>
          <w:rFonts w:hint="eastAsia"/>
          <w:color w:val="auto"/>
          <w:sz w:val="24"/>
        </w:rPr>
        <w:t>5.2</w:t>
      </w:r>
      <w:r>
        <w:rPr>
          <w:rFonts w:hint="eastAsia" w:ascii="宋体" w:hAnsi="宋体"/>
          <w:color w:val="auto"/>
          <w:sz w:val="24"/>
        </w:rPr>
        <w:t>根据经审查施工图为依据编制的预算经审定后，根据下述原则调整合同价，并依据调整后的合同价款签订施工图预算价协议，具体如下：</w:t>
      </w:r>
    </w:p>
    <w:p w14:paraId="377D51FE">
      <w:pPr>
        <w:spacing w:line="360" w:lineRule="auto"/>
        <w:ind w:firstLine="480"/>
        <w:rPr>
          <w:rFonts w:ascii="宋体" w:hAnsi="宋体"/>
          <w:color w:val="auto"/>
          <w:sz w:val="24"/>
        </w:rPr>
      </w:pPr>
      <w:r>
        <w:rPr>
          <w:rFonts w:hint="eastAsia" w:ascii="宋体" w:hAnsi="宋体"/>
          <w:color w:val="auto"/>
          <w:sz w:val="24"/>
        </w:rPr>
        <w:t>1、设计部分</w:t>
      </w:r>
    </w:p>
    <w:p w14:paraId="7CDF43A2">
      <w:pPr>
        <w:spacing w:line="360" w:lineRule="auto"/>
        <w:ind w:firstLine="480"/>
        <w:rPr>
          <w:rFonts w:cs="宋体"/>
          <w:color w:val="auto"/>
          <w:sz w:val="24"/>
        </w:rPr>
      </w:pPr>
      <w:r>
        <w:rPr>
          <w:rFonts w:hint="eastAsia" w:cs="宋体"/>
          <w:color w:val="auto"/>
          <w:sz w:val="24"/>
        </w:rPr>
        <w:t>按承包人报设计费，设计费结算时不做变更。</w:t>
      </w:r>
      <w:bookmarkStart w:id="13" w:name="_Hlk107989301"/>
      <w:r>
        <w:rPr>
          <w:rFonts w:hint="eastAsia" w:cs="宋体"/>
          <w:color w:val="auto"/>
          <w:sz w:val="24"/>
        </w:rPr>
        <w:t>设计费</w:t>
      </w:r>
      <w:bookmarkEnd w:id="13"/>
      <w:r>
        <w:rPr>
          <w:rFonts w:hint="eastAsia" w:cs="宋体"/>
          <w:color w:val="auto"/>
          <w:sz w:val="24"/>
        </w:rPr>
        <w:t>不可超出最高限价。</w:t>
      </w:r>
    </w:p>
    <w:p w14:paraId="49B59C63">
      <w:pPr>
        <w:spacing w:line="360" w:lineRule="auto"/>
        <w:ind w:firstLine="480"/>
        <w:rPr>
          <w:rFonts w:ascii="宋体" w:hAnsi="宋体"/>
          <w:color w:val="auto"/>
          <w:sz w:val="24"/>
        </w:rPr>
      </w:pPr>
      <w:r>
        <w:rPr>
          <w:rFonts w:hint="eastAsia" w:ascii="宋体" w:hAnsi="宋体"/>
          <w:color w:val="auto"/>
          <w:sz w:val="24"/>
        </w:rPr>
        <w:t>2、施工部分</w:t>
      </w:r>
    </w:p>
    <w:p w14:paraId="47286A27">
      <w:pPr>
        <w:spacing w:line="360" w:lineRule="auto"/>
        <w:ind w:firstLine="480"/>
        <w:rPr>
          <w:rFonts w:hint="eastAsia" w:ascii="宋体" w:hAnsi="宋体"/>
          <w:color w:val="auto"/>
          <w:sz w:val="24"/>
        </w:rPr>
      </w:pPr>
      <w:r>
        <w:rPr>
          <w:rFonts w:hint="eastAsia" w:ascii="宋体" w:hAnsi="宋体"/>
          <w:color w:val="auto"/>
          <w:sz w:val="24"/>
          <w:lang w:val="en-US" w:eastAsia="zh-CN"/>
        </w:rPr>
        <w:t>以</w:t>
      </w:r>
      <w:r>
        <w:rPr>
          <w:rFonts w:hint="eastAsia" w:ascii="宋体" w:hAnsi="宋体"/>
          <w:color w:val="auto"/>
          <w:sz w:val="24"/>
        </w:rPr>
        <w:t>施工图为依据编制的预算经审定后采用</w:t>
      </w:r>
      <w:r>
        <w:rPr>
          <w:rFonts w:hint="eastAsia" w:ascii="宋体" w:hAnsi="宋体"/>
          <w:color w:val="auto"/>
          <w:sz w:val="24"/>
          <w:lang w:val="en-US" w:eastAsia="zh-CN"/>
        </w:rPr>
        <w:t>总</w:t>
      </w:r>
      <w:r>
        <w:rPr>
          <w:rFonts w:hint="eastAsia" w:ascii="宋体" w:hAnsi="宋体"/>
          <w:color w:val="auto"/>
          <w:sz w:val="24"/>
        </w:rPr>
        <w:t>价包干，</w:t>
      </w:r>
      <w:r>
        <w:rPr>
          <w:rFonts w:hint="eastAsia" w:ascii="宋体" w:hAnsi="Calibri" w:cs="宋体"/>
          <w:color w:val="auto"/>
          <w:kern w:val="0"/>
          <w:sz w:val="24"/>
          <w:lang w:eastAsia="zh-CN"/>
        </w:rPr>
        <w:t>除根据实际需要由发包人提出的工程变更</w:t>
      </w:r>
      <w:r>
        <w:rPr>
          <w:rFonts w:hint="eastAsia" w:ascii="宋体" w:hAnsi="Calibri" w:cs="宋体"/>
          <w:color w:val="auto"/>
          <w:kern w:val="0"/>
          <w:sz w:val="24"/>
        </w:rPr>
        <w:t>外</w:t>
      </w:r>
      <w:r>
        <w:rPr>
          <w:rFonts w:hint="eastAsia" w:ascii="宋体" w:hAnsi="宋体"/>
          <w:color w:val="auto"/>
          <w:sz w:val="24"/>
          <w:lang w:eastAsia="zh-CN"/>
        </w:rPr>
        <w:t>，</w:t>
      </w:r>
      <w:r>
        <w:rPr>
          <w:rFonts w:hint="eastAsia" w:ascii="宋体" w:hAnsi="宋体"/>
          <w:color w:val="auto"/>
          <w:sz w:val="24"/>
          <w:lang w:val="en-US" w:eastAsia="zh-CN"/>
        </w:rPr>
        <w:t>不作调整。</w:t>
      </w:r>
    </w:p>
    <w:p w14:paraId="7D2FD836">
      <w:pPr>
        <w:spacing w:line="360" w:lineRule="auto"/>
        <w:ind w:firstLine="480" w:firstLineChars="200"/>
        <w:rPr>
          <w:rFonts w:hint="eastAsia" w:ascii="宋体" w:hAnsi="宋体" w:eastAsia="宋体"/>
          <w:color w:val="auto"/>
          <w:sz w:val="24"/>
          <w:lang w:val="en-US" w:eastAsia="zh-CN"/>
        </w:rPr>
      </w:pPr>
      <w:r>
        <w:rPr>
          <w:rFonts w:hint="eastAsia" w:ascii="宋体" w:hAnsi="宋体"/>
          <w:color w:val="auto"/>
          <w:sz w:val="24"/>
        </w:rPr>
        <w:t>5.</w:t>
      </w:r>
      <w:r>
        <w:rPr>
          <w:rFonts w:hint="eastAsia" w:ascii="宋体" w:hAnsi="宋体"/>
          <w:color w:val="auto"/>
          <w:sz w:val="24"/>
          <w:lang w:val="en-US" w:eastAsia="zh-CN"/>
        </w:rPr>
        <w:t>3</w:t>
      </w:r>
      <w:r>
        <w:rPr>
          <w:rFonts w:hint="eastAsia" w:cs="宋体"/>
          <w:color w:val="auto"/>
          <w:sz w:val="24"/>
        </w:rPr>
        <w:t>结算时</w:t>
      </w:r>
      <w:r>
        <w:rPr>
          <w:rFonts w:hint="eastAsia" w:cs="宋体"/>
          <w:color w:val="auto"/>
          <w:sz w:val="24"/>
          <w:lang w:eastAsia="zh-CN"/>
        </w:rPr>
        <w:t>，</w:t>
      </w:r>
      <w:r>
        <w:rPr>
          <w:rFonts w:hint="eastAsia" w:ascii="宋体" w:hAnsi="Calibri" w:cs="宋体"/>
          <w:color w:val="auto"/>
          <w:kern w:val="0"/>
          <w:sz w:val="24"/>
        </w:rPr>
        <w:t>设计费按照投标报价总价包干</w:t>
      </w:r>
      <w:r>
        <w:rPr>
          <w:rFonts w:hint="eastAsia" w:ascii="宋体" w:hAnsi="Calibri" w:cs="宋体"/>
          <w:color w:val="auto"/>
          <w:kern w:val="0"/>
          <w:sz w:val="24"/>
          <w:lang w:eastAsia="zh-CN"/>
        </w:rPr>
        <w:t>，</w:t>
      </w:r>
      <w:r>
        <w:rPr>
          <w:rFonts w:hint="eastAsia" w:ascii="宋体" w:hAnsi="Calibri" w:cs="宋体"/>
          <w:color w:val="auto"/>
          <w:kern w:val="0"/>
          <w:sz w:val="24"/>
          <w:lang w:val="en-US" w:eastAsia="zh-CN"/>
        </w:rPr>
        <w:t>施工费按照施工图预算审定总价采用固定总价</w:t>
      </w:r>
      <w:r>
        <w:rPr>
          <w:rFonts w:hint="eastAsia" w:ascii="宋体" w:hAnsi="宋体"/>
          <w:color w:val="auto"/>
          <w:sz w:val="24"/>
        </w:rPr>
        <w:t>包干，</w:t>
      </w:r>
      <w:r>
        <w:rPr>
          <w:rFonts w:hint="eastAsia" w:ascii="宋体" w:hAnsi="Calibri" w:cs="宋体"/>
          <w:color w:val="auto"/>
          <w:kern w:val="0"/>
          <w:sz w:val="24"/>
          <w:lang w:eastAsia="zh-CN"/>
        </w:rPr>
        <w:t>除根据实际需要由发包人提出的工程变更</w:t>
      </w:r>
      <w:r>
        <w:rPr>
          <w:rFonts w:hint="eastAsia" w:ascii="宋体" w:hAnsi="Calibri" w:cs="宋体"/>
          <w:color w:val="auto"/>
          <w:kern w:val="0"/>
          <w:sz w:val="24"/>
        </w:rPr>
        <w:t>外</w:t>
      </w:r>
      <w:r>
        <w:rPr>
          <w:rFonts w:hint="eastAsia" w:ascii="宋体" w:hAnsi="宋体"/>
          <w:color w:val="auto"/>
          <w:sz w:val="24"/>
          <w:lang w:eastAsia="zh-CN"/>
        </w:rPr>
        <w:t>，</w:t>
      </w:r>
      <w:r>
        <w:rPr>
          <w:rFonts w:hint="eastAsia" w:ascii="宋体" w:hAnsi="宋体"/>
          <w:color w:val="auto"/>
          <w:sz w:val="24"/>
          <w:lang w:val="en-US" w:eastAsia="zh-CN"/>
        </w:rPr>
        <w:t>不作调整</w:t>
      </w:r>
      <w:r>
        <w:rPr>
          <w:rFonts w:hint="eastAsia" w:ascii="宋体" w:hAnsi="宋体"/>
          <w:color w:val="auto"/>
          <w:sz w:val="24"/>
          <w:lang w:eastAsia="zh-CN"/>
        </w:rPr>
        <w:t>。</w:t>
      </w:r>
    </w:p>
    <w:p w14:paraId="1C9331DB">
      <w:pPr>
        <w:spacing w:line="360" w:lineRule="auto"/>
        <w:ind w:firstLine="480" w:firstLineChars="200"/>
        <w:rPr>
          <w:rFonts w:ascii="宋体" w:hAnsi="宋体"/>
          <w:color w:val="auto"/>
          <w:sz w:val="24"/>
        </w:rPr>
      </w:pPr>
      <w:r>
        <w:rPr>
          <w:rFonts w:hint="eastAsia" w:ascii="宋体" w:hAnsi="宋体"/>
          <w:color w:val="auto"/>
          <w:sz w:val="24"/>
          <w:lang w:val="en-US" w:eastAsia="zh-CN"/>
        </w:rPr>
        <w:t>5.4</w:t>
      </w:r>
      <w:r>
        <w:rPr>
          <w:rFonts w:hint="eastAsia" w:ascii="宋体" w:hAnsi="宋体"/>
          <w:color w:val="auto"/>
          <w:sz w:val="24"/>
        </w:rPr>
        <w:t>、本工程预算编制费、竣工图编制费由承包人在设计费及工程施工费投标报价中综合考虑，中标后发包人不再另行支付费用。</w:t>
      </w:r>
    </w:p>
    <w:p w14:paraId="2E742769">
      <w:pPr>
        <w:pStyle w:val="3"/>
        <w:rPr>
          <w:color w:val="auto"/>
        </w:rPr>
      </w:pPr>
    </w:p>
    <w:p w14:paraId="223E9D21">
      <w:pPr>
        <w:spacing w:line="360" w:lineRule="auto"/>
        <w:outlineLvl w:val="1"/>
        <w:rPr>
          <w:color w:val="auto"/>
        </w:rPr>
      </w:pP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hint="eastAsia" w:ascii="宋体" w:hAnsi="宋体"/>
          <w:b/>
          <w:bCs/>
          <w:color w:val="auto"/>
          <w:sz w:val="24"/>
        </w:rPr>
        <w:t>六、组成合同的文件</w:t>
      </w:r>
      <w:bookmarkEnd w:id="12"/>
    </w:p>
    <w:p w14:paraId="15AB4C60">
      <w:pPr>
        <w:tabs>
          <w:tab w:val="left" w:pos="2268"/>
        </w:tabs>
        <w:autoSpaceDE w:val="0"/>
        <w:autoSpaceDN w:val="0"/>
        <w:adjustRightInd w:val="0"/>
        <w:spacing w:line="360" w:lineRule="auto"/>
        <w:ind w:left="101" w:right="186" w:firstLine="480"/>
        <w:jc w:val="left"/>
        <w:rPr>
          <w:rFonts w:ascii="宋体" w:hAnsi="Calibri" w:cs="宋体"/>
          <w:color w:val="auto"/>
          <w:kern w:val="0"/>
          <w:sz w:val="24"/>
        </w:rPr>
      </w:pPr>
      <w:r>
        <w:rPr>
          <w:rFonts w:hint="eastAsia" w:ascii="宋体" w:hAnsi="Calibri" w:cs="宋体"/>
          <w:color w:val="auto"/>
          <w:kern w:val="0"/>
          <w:sz w:val="24"/>
        </w:rPr>
        <w:t>1、本协议书中所用术语的含义与下文提及的合同条款中相应术语的含义相同。</w:t>
      </w:r>
    </w:p>
    <w:p w14:paraId="4B99A3DC">
      <w:pPr>
        <w:autoSpaceDE w:val="0"/>
        <w:autoSpaceDN w:val="0"/>
        <w:adjustRightInd w:val="0"/>
        <w:spacing w:line="360" w:lineRule="auto"/>
        <w:ind w:left="101" w:right="186" w:firstLine="480"/>
        <w:jc w:val="left"/>
        <w:rPr>
          <w:rFonts w:ascii="宋体" w:hAnsi="Calibri" w:cs="宋体"/>
          <w:color w:val="auto"/>
          <w:kern w:val="0"/>
          <w:sz w:val="24"/>
        </w:rPr>
      </w:pPr>
      <w:r>
        <w:rPr>
          <w:rFonts w:hint="eastAsia" w:ascii="宋体" w:hAnsi="Calibri" w:cs="宋体"/>
          <w:color w:val="auto"/>
          <w:kern w:val="0"/>
          <w:sz w:val="24"/>
        </w:rPr>
        <w:t>2、下列文件应被认为是组成本协议书的一部分，并互为补充和解释,如上述各部分存在不一致之处,以先后排列次序为优先。</w:t>
      </w:r>
    </w:p>
    <w:p w14:paraId="73D14142">
      <w:pPr>
        <w:spacing w:line="360" w:lineRule="auto"/>
        <w:ind w:firstLine="480" w:firstLineChars="200"/>
        <w:rPr>
          <w:rFonts w:ascii="宋体" w:hAnsi="宋体"/>
          <w:color w:val="auto"/>
          <w:sz w:val="24"/>
        </w:rPr>
      </w:pPr>
      <w:r>
        <w:rPr>
          <w:rFonts w:hint="eastAsia" w:ascii="宋体" w:hAnsi="宋体"/>
          <w:color w:val="auto"/>
          <w:sz w:val="24"/>
        </w:rPr>
        <w:t>（1）本合同协议书及附件；</w:t>
      </w:r>
    </w:p>
    <w:p w14:paraId="3D4632A6">
      <w:pPr>
        <w:widowControl/>
        <w:spacing w:line="360" w:lineRule="auto"/>
        <w:ind w:firstLine="480" w:firstLineChars="200"/>
        <w:jc w:val="left"/>
        <w:rPr>
          <w:rFonts w:ascii="Calibri" w:hAnsi="Calibri"/>
          <w:color w:val="auto"/>
          <w:kern w:val="0"/>
          <w:sz w:val="24"/>
        </w:rPr>
      </w:pPr>
      <w:r>
        <w:rPr>
          <w:rFonts w:hint="eastAsia" w:ascii="宋体" w:hAnsi="Calibri"/>
          <w:color w:val="auto"/>
          <w:kern w:val="0"/>
          <w:sz w:val="24"/>
        </w:rPr>
        <w:t>（2）</w:t>
      </w:r>
      <w:r>
        <w:rPr>
          <w:rFonts w:hint="eastAsia" w:ascii="Calibri" w:hAnsi="Calibri"/>
          <w:color w:val="auto"/>
          <w:kern w:val="0"/>
          <w:sz w:val="24"/>
        </w:rPr>
        <w:t>履行本合同的相关补充协议（含工程洽商记录、会议纪要、工程变更、现场签证、索赔和合同价款调整报告等修正文件）；</w:t>
      </w:r>
    </w:p>
    <w:p w14:paraId="17B65B20">
      <w:pPr>
        <w:spacing w:line="360" w:lineRule="auto"/>
        <w:ind w:firstLine="480" w:firstLineChars="200"/>
        <w:rPr>
          <w:rFonts w:ascii="宋体" w:hAnsi="宋体"/>
          <w:color w:val="auto"/>
          <w:sz w:val="24"/>
        </w:rPr>
      </w:pPr>
      <w:r>
        <w:rPr>
          <w:rFonts w:hint="eastAsia" w:ascii="宋体" w:hAnsi="宋体"/>
          <w:color w:val="auto"/>
          <w:sz w:val="24"/>
        </w:rPr>
        <w:t>（3）中标通知书；</w:t>
      </w:r>
    </w:p>
    <w:p w14:paraId="747370F7">
      <w:pPr>
        <w:spacing w:line="360" w:lineRule="auto"/>
        <w:ind w:firstLine="480" w:firstLineChars="200"/>
        <w:rPr>
          <w:rFonts w:ascii="宋体" w:hAnsi="宋体"/>
          <w:color w:val="auto"/>
          <w:sz w:val="24"/>
        </w:rPr>
      </w:pPr>
      <w:r>
        <w:rPr>
          <w:rFonts w:hint="eastAsia" w:ascii="宋体" w:hAnsi="宋体"/>
          <w:color w:val="auto"/>
          <w:sz w:val="24"/>
        </w:rPr>
        <w:t>（4）招标文件及其附件、招标答疑会议纪要等补充文件；</w:t>
      </w:r>
    </w:p>
    <w:p w14:paraId="3A66B521">
      <w:pPr>
        <w:spacing w:line="360" w:lineRule="auto"/>
        <w:ind w:firstLine="480" w:firstLineChars="200"/>
        <w:rPr>
          <w:rFonts w:ascii="宋体" w:hAnsi="宋体"/>
          <w:color w:val="auto"/>
          <w:sz w:val="24"/>
        </w:rPr>
      </w:pPr>
      <w:r>
        <w:rPr>
          <w:rFonts w:hint="eastAsia" w:ascii="宋体" w:hAnsi="宋体"/>
          <w:color w:val="auto"/>
          <w:sz w:val="24"/>
        </w:rPr>
        <w:t>（5）本合同第二篇、第三篇第二章专用条款；</w:t>
      </w:r>
    </w:p>
    <w:p w14:paraId="5B87C8CD">
      <w:pPr>
        <w:spacing w:line="360" w:lineRule="auto"/>
        <w:ind w:firstLine="480" w:firstLineChars="200"/>
        <w:rPr>
          <w:rFonts w:ascii="宋体" w:hAnsi="宋体"/>
          <w:color w:val="auto"/>
          <w:sz w:val="24"/>
        </w:rPr>
      </w:pPr>
      <w:r>
        <w:rPr>
          <w:rFonts w:hint="eastAsia" w:ascii="宋体" w:hAnsi="宋体"/>
          <w:color w:val="auto"/>
          <w:sz w:val="24"/>
        </w:rPr>
        <w:t>（6）本合同第四篇第三章补充条款；</w:t>
      </w:r>
    </w:p>
    <w:p w14:paraId="4DEBBB52">
      <w:pPr>
        <w:spacing w:line="360" w:lineRule="auto"/>
        <w:ind w:firstLine="480" w:firstLineChars="200"/>
        <w:rPr>
          <w:rFonts w:ascii="宋体" w:hAnsi="宋体"/>
          <w:color w:val="auto"/>
          <w:sz w:val="24"/>
        </w:rPr>
      </w:pPr>
      <w:r>
        <w:rPr>
          <w:rFonts w:hint="eastAsia" w:ascii="宋体" w:hAnsi="宋体"/>
          <w:color w:val="auto"/>
          <w:sz w:val="24"/>
        </w:rPr>
        <w:t>（7）本合同第四篇第一章通用条款；</w:t>
      </w:r>
    </w:p>
    <w:p w14:paraId="055B744F">
      <w:pPr>
        <w:spacing w:line="360" w:lineRule="auto"/>
        <w:ind w:firstLine="480" w:firstLineChars="200"/>
        <w:rPr>
          <w:rFonts w:ascii="宋体" w:hAnsi="宋体"/>
          <w:color w:val="auto"/>
          <w:sz w:val="24"/>
        </w:rPr>
      </w:pPr>
      <w:r>
        <w:rPr>
          <w:rFonts w:hint="eastAsia" w:ascii="宋体" w:hAnsi="宋体"/>
          <w:color w:val="auto"/>
          <w:sz w:val="24"/>
        </w:rPr>
        <w:t>（8）标准、规范及有关技术文件；</w:t>
      </w:r>
    </w:p>
    <w:p w14:paraId="689F882D">
      <w:pPr>
        <w:spacing w:line="360" w:lineRule="auto"/>
        <w:ind w:firstLine="480" w:firstLineChars="200"/>
        <w:rPr>
          <w:rFonts w:ascii="宋体" w:hAnsi="宋体"/>
          <w:color w:val="auto"/>
          <w:sz w:val="24"/>
        </w:rPr>
      </w:pPr>
      <w:r>
        <w:rPr>
          <w:rFonts w:hint="eastAsia" w:ascii="宋体" w:hAnsi="宋体"/>
          <w:color w:val="auto"/>
          <w:sz w:val="24"/>
        </w:rPr>
        <w:t>（9）图纸；</w:t>
      </w:r>
    </w:p>
    <w:p w14:paraId="7F617955">
      <w:pPr>
        <w:spacing w:line="360" w:lineRule="auto"/>
        <w:ind w:firstLine="480" w:firstLineChars="200"/>
        <w:rPr>
          <w:rFonts w:ascii="宋体" w:hAnsi="宋体"/>
          <w:color w:val="auto"/>
          <w:sz w:val="24"/>
        </w:rPr>
      </w:pPr>
      <w:r>
        <w:rPr>
          <w:rFonts w:hint="eastAsia" w:ascii="宋体" w:hAnsi="宋体"/>
          <w:color w:val="auto"/>
          <w:sz w:val="24"/>
        </w:rPr>
        <w:t>（10）投标书及其附件；</w:t>
      </w:r>
    </w:p>
    <w:p w14:paraId="35B01B44">
      <w:pPr>
        <w:spacing w:line="360" w:lineRule="auto"/>
        <w:ind w:firstLine="480" w:firstLineChars="200"/>
        <w:rPr>
          <w:rFonts w:ascii="宋体" w:hAnsi="宋体"/>
          <w:color w:val="auto"/>
          <w:sz w:val="24"/>
        </w:rPr>
      </w:pPr>
      <w:r>
        <w:rPr>
          <w:rFonts w:hint="eastAsia" w:ascii="宋体" w:hAnsi="宋体"/>
          <w:color w:val="auto"/>
          <w:sz w:val="24"/>
        </w:rPr>
        <w:t>（11）工程量清单（若有）；</w:t>
      </w:r>
    </w:p>
    <w:p w14:paraId="382D0D8D">
      <w:pPr>
        <w:autoSpaceDE w:val="0"/>
        <w:autoSpaceDN w:val="0"/>
        <w:adjustRightInd w:val="0"/>
        <w:spacing w:line="360" w:lineRule="auto"/>
        <w:ind w:firstLine="480" w:firstLineChars="200"/>
        <w:jc w:val="left"/>
        <w:rPr>
          <w:rFonts w:ascii="宋体" w:hAnsi="Calibri" w:cs="宋体"/>
          <w:color w:val="auto"/>
          <w:kern w:val="0"/>
          <w:sz w:val="24"/>
        </w:rPr>
      </w:pPr>
      <w:r>
        <w:rPr>
          <w:rFonts w:hint="eastAsia" w:ascii="宋体" w:hAnsi="宋体"/>
          <w:color w:val="auto"/>
          <w:sz w:val="24"/>
        </w:rPr>
        <w:t>（12）工程报价单或预算书（若有）。</w:t>
      </w:r>
    </w:p>
    <w:p w14:paraId="23CBF87B">
      <w:pPr>
        <w:spacing w:line="360" w:lineRule="auto"/>
        <w:outlineLvl w:val="1"/>
        <w:rPr>
          <w:color w:val="auto"/>
        </w:rPr>
      </w:pPr>
      <w:r>
        <w:rPr>
          <w:rFonts w:hint="eastAsia" w:ascii="宋体" w:hAnsi="宋体"/>
          <w:b/>
          <w:bCs/>
          <w:color w:val="auto"/>
          <w:sz w:val="24"/>
        </w:rPr>
        <w:t>七、词语含义</w:t>
      </w:r>
    </w:p>
    <w:p w14:paraId="72057BC6">
      <w:pPr>
        <w:pStyle w:val="7"/>
        <w:spacing w:line="360" w:lineRule="auto"/>
        <w:ind w:firstLine="480" w:firstLineChars="200"/>
        <w:rPr>
          <w:rFonts w:hAnsi="宋体"/>
          <w:color w:val="auto"/>
          <w:sz w:val="24"/>
        </w:rPr>
      </w:pPr>
      <w:r>
        <w:rPr>
          <w:rFonts w:hint="eastAsia" w:hAnsi="宋体"/>
          <w:color w:val="auto"/>
          <w:sz w:val="24"/>
        </w:rPr>
        <w:t>本协议书中有关词语含义与本合同第二部分《通用条款》第</w:t>
      </w:r>
      <w:r>
        <w:rPr>
          <w:rFonts w:hAnsi="宋体"/>
          <w:color w:val="auto"/>
          <w:sz w:val="24"/>
        </w:rPr>
        <w:t>1</w:t>
      </w:r>
      <w:r>
        <w:rPr>
          <w:rFonts w:hint="eastAsia" w:hAnsi="宋体"/>
          <w:color w:val="auto"/>
          <w:sz w:val="24"/>
        </w:rPr>
        <w:t>条赋予它们的定义相同。</w:t>
      </w:r>
      <w:bookmarkStart w:id="14" w:name="_Toc266892759"/>
    </w:p>
    <w:p w14:paraId="1A4E6816">
      <w:pPr>
        <w:spacing w:line="360" w:lineRule="auto"/>
        <w:outlineLvl w:val="1"/>
        <w:rPr>
          <w:color w:val="auto"/>
        </w:rPr>
      </w:pP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ascii="宋体"/>
          <w:b/>
          <w:bCs/>
          <w:vanish/>
          <w:color w:val="auto"/>
          <w:sz w:val="24"/>
        </w:rPr>
        <w:pgNum/>
      </w:r>
      <w:r>
        <w:rPr>
          <w:rFonts w:hint="eastAsia" w:ascii="宋体" w:hAnsi="宋体"/>
          <w:b/>
          <w:bCs/>
          <w:color w:val="auto"/>
          <w:sz w:val="24"/>
        </w:rPr>
        <w:t>八、承包人承诺</w:t>
      </w:r>
      <w:bookmarkEnd w:id="14"/>
    </w:p>
    <w:p w14:paraId="284843B6">
      <w:pPr>
        <w:adjustRightInd w:val="0"/>
        <w:snapToGrid w:val="0"/>
        <w:spacing w:line="360" w:lineRule="auto"/>
        <w:ind w:right="11" w:firstLine="480" w:firstLineChars="200"/>
        <w:rPr>
          <w:rFonts w:ascii="宋体"/>
          <w:bCs/>
          <w:snapToGrid w:val="0"/>
          <w:color w:val="auto"/>
          <w:kern w:val="0"/>
          <w:sz w:val="24"/>
        </w:rPr>
      </w:pPr>
      <w:r>
        <w:rPr>
          <w:rFonts w:ascii="宋体" w:hAnsi="宋体"/>
          <w:color w:val="auto"/>
          <w:sz w:val="24"/>
        </w:rPr>
        <w:t>1</w:t>
      </w:r>
      <w:r>
        <w:rPr>
          <w:rFonts w:hint="eastAsia" w:ascii="宋体" w:hAnsi="宋体"/>
          <w:color w:val="auto"/>
          <w:sz w:val="24"/>
        </w:rPr>
        <w:t>、承包人向发包人承诺已阅读、理解并接受本合同所有条款，</w:t>
      </w:r>
      <w:r>
        <w:rPr>
          <w:rFonts w:hint="eastAsia" w:ascii="宋体" w:hAnsi="宋体"/>
          <w:bCs/>
          <w:snapToGrid w:val="0"/>
          <w:color w:val="auto"/>
          <w:kern w:val="0"/>
          <w:sz w:val="24"/>
        </w:rPr>
        <w:t>按照合同约定进行设计、采购、施工、竣工验收、移交、结算及配合服务，并在缺陷责任期及质量保修期内承担工程质量保修责任。</w:t>
      </w:r>
    </w:p>
    <w:p w14:paraId="6D3F7F65">
      <w:pPr>
        <w:adjustRightInd w:val="0"/>
        <w:snapToGrid w:val="0"/>
        <w:spacing w:line="360" w:lineRule="auto"/>
        <w:ind w:right="11" w:firstLine="480" w:firstLineChars="200"/>
        <w:rPr>
          <w:rFonts w:ascii="宋体"/>
          <w:color w:val="auto"/>
          <w:sz w:val="24"/>
        </w:rPr>
      </w:pPr>
      <w:r>
        <w:rPr>
          <w:rFonts w:ascii="宋体" w:hAnsi="宋体"/>
          <w:snapToGrid w:val="0"/>
          <w:color w:val="auto"/>
          <w:sz w:val="24"/>
        </w:rPr>
        <w:t>2</w:t>
      </w:r>
      <w:r>
        <w:rPr>
          <w:rFonts w:hint="eastAsia" w:ascii="宋体" w:hAnsi="宋体"/>
          <w:snapToGrid w:val="0"/>
          <w:color w:val="auto"/>
          <w:sz w:val="24"/>
        </w:rPr>
        <w:t>、承包人为联合体的，施工单位为联合体主办方，</w:t>
      </w:r>
      <w:r>
        <w:rPr>
          <w:rFonts w:hint="eastAsia" w:ascii="宋体" w:hAnsi="宋体" w:cs="宋体"/>
          <w:color w:val="auto"/>
          <w:sz w:val="24"/>
        </w:rPr>
        <w:t>作为本项目总负责单位，除承担本项目的施工外，还对本项目的进度、质量、安全、投资控制、管理、协调等负全责。同时，</w:t>
      </w:r>
      <w:r>
        <w:rPr>
          <w:rFonts w:hint="eastAsia" w:ascii="宋体" w:hAnsi="宋体"/>
          <w:snapToGrid w:val="0"/>
          <w:color w:val="auto"/>
          <w:sz w:val="24"/>
        </w:rPr>
        <w:t>联合体各成员应当共同与发包人签订合同，并就合同项下彼此的责任和义务，包括不限于：人力资源、材料、机械设备投入，材料设备采购及管理，工程投资控制，勘察、设计成果文件提交、修改完善及质量保证，工程工期，工程质量安全，工程进度，工程变更，工程竣工验收送电及结算，文明施工及环境保护，工程移交，缺陷责任及质量保修，工程转包、分包，工人工资支付，投资控制，报批报建等方面，按照招标文件及合同约定向发包人承担不可撤销的连带责任。</w:t>
      </w:r>
      <w:bookmarkStart w:id="15" w:name="_Toc266892760"/>
    </w:p>
    <w:p w14:paraId="6F34F169">
      <w:pPr>
        <w:spacing w:line="360" w:lineRule="auto"/>
        <w:outlineLvl w:val="1"/>
        <w:rPr>
          <w:rFonts w:ascii="宋体"/>
          <w:color w:val="auto"/>
          <w:sz w:val="24"/>
        </w:rPr>
      </w:pPr>
      <w:r>
        <w:rPr>
          <w:rFonts w:hint="eastAsia" w:ascii="宋体" w:hAnsi="宋体"/>
          <w:b/>
          <w:bCs/>
          <w:color w:val="auto"/>
          <w:sz w:val="24"/>
        </w:rPr>
        <w:t>九、发包人承诺</w:t>
      </w:r>
      <w:bookmarkEnd w:id="15"/>
    </w:p>
    <w:p w14:paraId="50856600">
      <w:pPr>
        <w:spacing w:line="360" w:lineRule="auto"/>
        <w:ind w:firstLine="480" w:firstLineChars="200"/>
        <w:rPr>
          <w:rFonts w:ascii="宋体" w:hAnsi="宋体"/>
          <w:color w:val="auto"/>
          <w:sz w:val="24"/>
        </w:rPr>
      </w:pPr>
      <w:r>
        <w:rPr>
          <w:rFonts w:hint="eastAsia" w:ascii="宋体" w:hAnsi="宋体"/>
          <w:color w:val="auto"/>
          <w:sz w:val="24"/>
        </w:rPr>
        <w:t>发包人向承包人承诺已阅读、理解并接受本合同所有条款，按照本合同约定的时限和方法支付工程款及其他应当支付的款项，履行本合同所约定的全部义务。</w:t>
      </w:r>
    </w:p>
    <w:p w14:paraId="5A7CEBDD">
      <w:pPr>
        <w:spacing w:line="360" w:lineRule="auto"/>
        <w:outlineLvl w:val="1"/>
        <w:rPr>
          <w:rFonts w:ascii="宋体" w:hAnsi="宋体"/>
          <w:b/>
          <w:bCs/>
          <w:color w:val="auto"/>
          <w:sz w:val="24"/>
        </w:rPr>
      </w:pPr>
      <w:r>
        <w:rPr>
          <w:rFonts w:hint="eastAsia" w:ascii="宋体" w:hAnsi="宋体"/>
          <w:b/>
          <w:bCs/>
          <w:color w:val="auto"/>
          <w:sz w:val="24"/>
        </w:rPr>
        <w:t>十、开户银行账号</w:t>
      </w:r>
    </w:p>
    <w:p w14:paraId="40BDB894">
      <w:pPr>
        <w:spacing w:line="360" w:lineRule="auto"/>
        <w:ind w:firstLine="491"/>
        <w:rPr>
          <w:rFonts w:ascii="宋体" w:hAnsi="宋体"/>
          <w:bCs/>
          <w:color w:val="auto"/>
          <w:sz w:val="24"/>
        </w:rPr>
      </w:pPr>
      <w:r>
        <w:rPr>
          <w:rFonts w:hint="eastAsia" w:ascii="宋体" w:hAnsi="宋体"/>
          <w:bCs/>
          <w:color w:val="auto"/>
          <w:sz w:val="24"/>
        </w:rPr>
        <w:t>1、承包人签订本合同时使用的“开户银行名称、账户名称（简称户名）及账号”必须是公司基本账户，合同签订后不得变更，否则发包人有权拒绝合同授予、有权停止工程款的拨付，所造成的一切后果由</w:t>
      </w:r>
      <w:r>
        <w:rPr>
          <w:rFonts w:hint="eastAsia" w:ascii="Calibri" w:hAnsi="Calibri"/>
          <w:color w:val="auto"/>
          <w:sz w:val="24"/>
        </w:rPr>
        <w:t>承包人</w:t>
      </w:r>
      <w:r>
        <w:rPr>
          <w:rFonts w:hint="eastAsia" w:ascii="宋体" w:hAnsi="宋体"/>
          <w:bCs/>
          <w:color w:val="auto"/>
          <w:sz w:val="24"/>
        </w:rPr>
        <w:t>承担。</w:t>
      </w:r>
    </w:p>
    <w:p w14:paraId="3347CD33">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2、</w:t>
      </w:r>
      <w:r>
        <w:rPr>
          <w:rFonts w:hint="eastAsia" w:ascii="Calibri" w:hAnsi="Calibri"/>
          <w:color w:val="auto"/>
          <w:sz w:val="24"/>
        </w:rPr>
        <w:t>承包人</w:t>
      </w:r>
      <w:r>
        <w:rPr>
          <w:rFonts w:hint="eastAsia" w:ascii="宋体" w:hAnsi="宋体"/>
          <w:color w:val="auto"/>
          <w:sz w:val="24"/>
        </w:rPr>
        <w:t>指定的有效银行账户如下：</w:t>
      </w:r>
    </w:p>
    <w:p w14:paraId="39BC6EC0">
      <w:pPr>
        <w:adjustRightInd w:val="0"/>
        <w:snapToGrid w:val="0"/>
        <w:spacing w:line="360" w:lineRule="auto"/>
        <w:ind w:firstLine="482" w:firstLineChars="200"/>
        <w:rPr>
          <w:rFonts w:ascii="宋体" w:hAnsi="宋体"/>
          <w:b/>
          <w:color w:val="auto"/>
          <w:sz w:val="24"/>
        </w:rPr>
      </w:pPr>
      <w:r>
        <w:rPr>
          <w:rFonts w:hint="eastAsia" w:ascii="宋体" w:hAnsi="宋体"/>
          <w:b/>
          <w:color w:val="auto"/>
          <w:sz w:val="24"/>
        </w:rPr>
        <w:t>账户全称：</w:t>
      </w:r>
    </w:p>
    <w:p w14:paraId="44676132">
      <w:pPr>
        <w:adjustRightInd w:val="0"/>
        <w:snapToGrid w:val="0"/>
        <w:spacing w:line="360" w:lineRule="auto"/>
        <w:ind w:firstLine="482" w:firstLineChars="200"/>
        <w:rPr>
          <w:rFonts w:ascii="宋体" w:hAnsi="宋体"/>
          <w:b/>
          <w:color w:val="auto"/>
          <w:sz w:val="24"/>
        </w:rPr>
      </w:pPr>
      <w:r>
        <w:rPr>
          <w:rFonts w:hint="eastAsia" w:ascii="宋体" w:hAnsi="宋体"/>
          <w:b/>
          <w:color w:val="auto"/>
          <w:sz w:val="24"/>
        </w:rPr>
        <w:t>账户账号：</w:t>
      </w:r>
    </w:p>
    <w:p w14:paraId="4308B9D6">
      <w:pPr>
        <w:adjustRightInd w:val="0"/>
        <w:snapToGrid w:val="0"/>
        <w:spacing w:line="360" w:lineRule="auto"/>
        <w:ind w:firstLine="482" w:firstLineChars="200"/>
        <w:rPr>
          <w:rFonts w:ascii="宋体" w:hAnsi="宋体"/>
          <w:b/>
          <w:color w:val="auto"/>
          <w:sz w:val="24"/>
        </w:rPr>
      </w:pPr>
      <w:r>
        <w:rPr>
          <w:rFonts w:hint="eastAsia" w:ascii="宋体" w:hAnsi="宋体"/>
          <w:b/>
          <w:color w:val="auto"/>
          <w:sz w:val="24"/>
        </w:rPr>
        <w:t>开户银行：</w:t>
      </w:r>
    </w:p>
    <w:p w14:paraId="59391485">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发包人向上述账号汇出款项即视为发包人已履行付款义务，在协议履行过程中，因</w:t>
      </w:r>
      <w:r>
        <w:rPr>
          <w:rFonts w:hint="eastAsia" w:ascii="Calibri" w:hAnsi="Calibri"/>
          <w:color w:val="auto"/>
          <w:sz w:val="24"/>
        </w:rPr>
        <w:t>承包人</w:t>
      </w:r>
      <w:r>
        <w:rPr>
          <w:rFonts w:hint="eastAsia" w:ascii="宋体" w:hAnsi="宋体"/>
          <w:color w:val="auto"/>
          <w:sz w:val="24"/>
        </w:rPr>
        <w:t>账户原因（包括但不限于账号被注销、被冻结等）导致</w:t>
      </w:r>
      <w:r>
        <w:rPr>
          <w:rFonts w:hint="eastAsia" w:ascii="Calibri" w:hAnsi="Calibri"/>
          <w:color w:val="auto"/>
          <w:sz w:val="24"/>
        </w:rPr>
        <w:t>承包人</w:t>
      </w:r>
      <w:r>
        <w:rPr>
          <w:rFonts w:hint="eastAsia" w:ascii="宋体" w:hAnsi="宋体"/>
          <w:color w:val="auto"/>
          <w:sz w:val="24"/>
        </w:rPr>
        <w:t>无法收取款项的，由</w:t>
      </w:r>
      <w:r>
        <w:rPr>
          <w:rFonts w:hint="eastAsia" w:ascii="Calibri" w:hAnsi="Calibri"/>
          <w:color w:val="auto"/>
          <w:sz w:val="24"/>
        </w:rPr>
        <w:t>承包人</w:t>
      </w:r>
      <w:r>
        <w:rPr>
          <w:rFonts w:hint="eastAsia" w:ascii="宋体" w:hAnsi="宋体"/>
          <w:color w:val="auto"/>
          <w:sz w:val="24"/>
        </w:rPr>
        <w:t>承担相应后果。</w:t>
      </w:r>
    </w:p>
    <w:p w14:paraId="1D53CB16">
      <w:pPr>
        <w:spacing w:line="360" w:lineRule="auto"/>
        <w:ind w:firstLine="490"/>
        <w:rPr>
          <w:rFonts w:ascii="宋体" w:hAnsi="宋体"/>
          <w:bCs/>
          <w:color w:val="auto"/>
          <w:sz w:val="24"/>
        </w:rPr>
      </w:pPr>
      <w:r>
        <w:rPr>
          <w:rFonts w:hint="eastAsia" w:ascii="宋体" w:hAnsi="宋体"/>
          <w:color w:val="auto"/>
          <w:sz w:val="24"/>
        </w:rPr>
        <w:t>发包人凭</w:t>
      </w:r>
      <w:r>
        <w:rPr>
          <w:rFonts w:hint="eastAsia" w:ascii="Calibri" w:hAnsi="Calibri"/>
          <w:color w:val="auto"/>
          <w:sz w:val="24"/>
        </w:rPr>
        <w:t>承包人</w:t>
      </w:r>
      <w:r>
        <w:rPr>
          <w:rFonts w:hint="eastAsia" w:ascii="宋体" w:hAnsi="宋体"/>
          <w:color w:val="auto"/>
          <w:sz w:val="24"/>
        </w:rPr>
        <w:t>开具的等额合法有效发票付款，否则，发包人有权拒付。</w:t>
      </w:r>
      <w:r>
        <w:rPr>
          <w:rFonts w:hint="eastAsia" w:ascii="Calibri" w:hAnsi="Calibri"/>
          <w:color w:val="auto"/>
          <w:sz w:val="24"/>
        </w:rPr>
        <w:t>承包人</w:t>
      </w:r>
      <w:r>
        <w:rPr>
          <w:rFonts w:hint="eastAsia" w:ascii="Calibri" w:hAnsi="宋体"/>
          <w:color w:val="auto"/>
          <w:sz w:val="24"/>
        </w:rPr>
        <w:t>不得因此延误设计工作和履行本合同约定的其他义务。</w:t>
      </w:r>
    </w:p>
    <w:p w14:paraId="573A80D2">
      <w:pPr>
        <w:spacing w:line="360" w:lineRule="auto"/>
        <w:outlineLvl w:val="1"/>
        <w:rPr>
          <w:rFonts w:ascii="宋体" w:hAnsi="宋体"/>
          <w:b/>
          <w:bCs/>
          <w:color w:val="auto"/>
          <w:sz w:val="24"/>
        </w:rPr>
      </w:pPr>
      <w:bookmarkStart w:id="16" w:name="_Toc63409372"/>
      <w:r>
        <w:rPr>
          <w:rFonts w:hint="eastAsia" w:ascii="宋体" w:hAnsi="宋体"/>
          <w:b/>
          <w:bCs/>
          <w:color w:val="auto"/>
          <w:sz w:val="24"/>
        </w:rPr>
        <w:t>十一、工程担保</w:t>
      </w:r>
      <w:bookmarkEnd w:id="16"/>
    </w:p>
    <w:p w14:paraId="4C1A7ABF">
      <w:pPr>
        <w:adjustRightInd w:val="0"/>
        <w:snapToGrid w:val="0"/>
        <w:spacing w:line="360" w:lineRule="auto"/>
        <w:ind w:right="0" w:firstLine="480" w:firstLineChars="200"/>
        <w:rPr>
          <w:rFonts w:hint="eastAsia" w:ascii="宋体" w:hAnsi="宋体"/>
          <w:color w:val="auto"/>
          <w:sz w:val="24"/>
        </w:rPr>
      </w:pPr>
      <w:r>
        <w:rPr>
          <w:rFonts w:hint="eastAsia" w:ascii="宋体" w:hAnsi="宋体"/>
          <w:color w:val="auto"/>
          <w:sz w:val="24"/>
        </w:rPr>
        <w:t>履约保函金额为【中标价款（人民币）】*10%。</w:t>
      </w:r>
    </w:p>
    <w:p w14:paraId="3A6F01E9">
      <w:pPr>
        <w:adjustRightInd w:val="0"/>
        <w:snapToGrid w:val="0"/>
        <w:spacing w:line="360" w:lineRule="auto"/>
        <w:ind w:firstLineChars="200"/>
        <w:rPr>
          <w:rFonts w:hint="eastAsia" w:ascii="宋体" w:hAnsi="宋体" w:eastAsia="宋体" w:cs="Times New Roman"/>
          <w:color w:val="auto"/>
          <w:sz w:val="24"/>
        </w:rPr>
      </w:pPr>
      <w:r>
        <w:rPr>
          <w:rFonts w:hint="eastAsia" w:ascii="宋体" w:hAnsi="宋体" w:eastAsia="宋体" w:cs="Times New Roman"/>
          <w:color w:val="auto"/>
          <w:sz w:val="24"/>
        </w:rPr>
        <w:t>履约保证金有效期：承包人应保证其履约担保在发包人颁发工程接收证书前一直有效。发包人应在工程接收证书颁发后7天内将履约担保退还给承包人。需进行竣工后试验的，承包人应保证其履约担保在竣工后试验通过前一直有效，发包人应在通过竣工验收后7天内将履约担保退还给承包人。（如工程延期，承包人有义务继续提供履约担保。由于发包人原因导致延期的，继续提供履约担保所需的费用由发包人承担；由于承包人原因导致延期的，继续提供履约担保所需费用由承包人承担）。</w:t>
      </w:r>
    </w:p>
    <w:p w14:paraId="550AF921">
      <w:pPr>
        <w:spacing w:line="360" w:lineRule="auto"/>
        <w:outlineLvl w:val="1"/>
        <w:rPr>
          <w:rFonts w:ascii="宋体" w:hAnsi="宋体"/>
          <w:b/>
          <w:bCs/>
          <w:color w:val="auto"/>
          <w:sz w:val="24"/>
        </w:rPr>
      </w:pPr>
      <w:bookmarkStart w:id="17" w:name="_Toc63409373"/>
      <w:r>
        <w:rPr>
          <w:rFonts w:hint="eastAsia" w:ascii="宋体" w:hAnsi="宋体"/>
          <w:b/>
          <w:bCs/>
          <w:color w:val="auto"/>
          <w:sz w:val="24"/>
        </w:rPr>
        <w:t>十二、仲裁、起诉</w:t>
      </w:r>
      <w:bookmarkEnd w:id="17"/>
    </w:p>
    <w:p w14:paraId="7A8FDA05">
      <w:pPr>
        <w:spacing w:line="360" w:lineRule="auto"/>
        <w:ind w:firstLine="600" w:firstLineChars="250"/>
        <w:rPr>
          <w:rFonts w:ascii="宋体" w:hAnsi="宋体"/>
          <w:color w:val="auto"/>
          <w:sz w:val="24"/>
        </w:rPr>
      </w:pPr>
      <w:r>
        <w:rPr>
          <w:rFonts w:hint="eastAsia" w:ascii="宋体" w:hAnsi="宋体"/>
          <w:color w:val="auto"/>
          <w:sz w:val="24"/>
        </w:rPr>
        <w:t>本合同在履行过程中发生的争议，双方当事人协商解决，协商不成的按下列第</w:t>
      </w:r>
      <w:r>
        <w:rPr>
          <w:rFonts w:hint="eastAsia" w:ascii="宋体" w:hAnsi="宋体"/>
          <w:color w:val="auto"/>
          <w:sz w:val="24"/>
          <w:u w:val="single"/>
        </w:rPr>
        <w:t>（二）</w:t>
      </w:r>
      <w:r>
        <w:rPr>
          <w:rFonts w:hint="eastAsia" w:ascii="宋体" w:hAnsi="宋体"/>
          <w:color w:val="auto"/>
          <w:sz w:val="24"/>
        </w:rPr>
        <w:t>种方式解决：</w:t>
      </w:r>
    </w:p>
    <w:p w14:paraId="486B5DB7">
      <w:pPr>
        <w:spacing w:line="360" w:lineRule="auto"/>
        <w:ind w:firstLine="480" w:firstLineChars="200"/>
        <w:rPr>
          <w:rFonts w:ascii="宋体" w:hAnsi="宋体"/>
          <w:color w:val="auto"/>
          <w:sz w:val="24"/>
        </w:rPr>
      </w:pPr>
      <w:r>
        <w:rPr>
          <w:rFonts w:hint="eastAsia" w:ascii="宋体" w:hAnsi="宋体"/>
          <w:color w:val="auto"/>
          <w:sz w:val="24"/>
        </w:rPr>
        <w:t xml:space="preserve">（一）提交广州市仲裁委员会仲裁； </w:t>
      </w:r>
    </w:p>
    <w:p w14:paraId="6766DFB7">
      <w:pPr>
        <w:spacing w:line="360" w:lineRule="auto"/>
        <w:ind w:firstLine="480" w:firstLineChars="200"/>
        <w:rPr>
          <w:rFonts w:ascii="宋体" w:hAnsi="宋体"/>
          <w:color w:val="auto"/>
          <w:sz w:val="24"/>
        </w:rPr>
      </w:pPr>
      <w:r>
        <w:rPr>
          <w:rFonts w:hint="eastAsia" w:ascii="宋体" w:hAnsi="宋体"/>
          <w:color w:val="auto"/>
          <w:sz w:val="24"/>
        </w:rPr>
        <w:t>（二）依法向工程所在地的人民法院起诉。</w:t>
      </w:r>
    </w:p>
    <w:p w14:paraId="4DC74F35">
      <w:pPr>
        <w:spacing w:line="360" w:lineRule="auto"/>
        <w:outlineLvl w:val="1"/>
        <w:rPr>
          <w:rFonts w:ascii="宋体" w:hAnsi="宋体"/>
          <w:b/>
          <w:bCs/>
          <w:color w:val="auto"/>
          <w:sz w:val="24"/>
        </w:rPr>
      </w:pPr>
      <w:bookmarkStart w:id="18" w:name="_Toc63409374"/>
      <w:r>
        <w:rPr>
          <w:rFonts w:hint="eastAsia" w:ascii="宋体" w:hAnsi="宋体"/>
          <w:b/>
          <w:bCs/>
          <w:color w:val="auto"/>
          <w:sz w:val="24"/>
        </w:rPr>
        <w:t>十三、合同正副本及效力</w:t>
      </w:r>
      <w:bookmarkEnd w:id="18"/>
    </w:p>
    <w:p w14:paraId="0E270C69">
      <w:pPr>
        <w:tabs>
          <w:tab w:val="left" w:pos="3640"/>
          <w:tab w:val="left" w:pos="6040"/>
          <w:tab w:val="left" w:pos="7960"/>
        </w:tabs>
        <w:autoSpaceDE w:val="0"/>
        <w:autoSpaceDN w:val="0"/>
        <w:adjustRightInd w:val="0"/>
        <w:spacing w:line="360" w:lineRule="auto"/>
        <w:ind w:left="581"/>
        <w:jc w:val="left"/>
        <w:rPr>
          <w:rFonts w:ascii="宋体" w:hAnsi="Calibri" w:cs="宋体"/>
          <w:b/>
          <w:color w:val="auto"/>
          <w:kern w:val="0"/>
          <w:sz w:val="24"/>
        </w:rPr>
      </w:pPr>
      <w:r>
        <w:rPr>
          <w:rFonts w:hint="eastAsia" w:ascii="宋体" w:hAnsi="Calibri" w:cs="宋体"/>
          <w:color w:val="auto"/>
          <w:kern w:val="0"/>
          <w:sz w:val="24"/>
        </w:rPr>
        <w:t>1、合同的份数：</w:t>
      </w:r>
      <w:r>
        <w:rPr>
          <w:rFonts w:hint="eastAsia" w:ascii="宋体" w:hAnsi="Calibri" w:cs="宋体"/>
          <w:b/>
          <w:color w:val="auto"/>
          <w:kern w:val="0"/>
          <w:sz w:val="24"/>
          <w:lang w:val="en-US" w:eastAsia="zh-CN"/>
        </w:rPr>
        <w:t>一式</w:t>
      </w:r>
      <w:r>
        <w:rPr>
          <w:rFonts w:hint="eastAsia" w:ascii="宋体" w:hAnsi="Calibri" w:cs="宋体"/>
          <w:b/>
          <w:color w:val="auto"/>
          <w:kern w:val="0"/>
          <w:sz w:val="24"/>
          <w:u w:val="single"/>
          <w:lang w:val="en-US" w:eastAsia="zh-CN"/>
        </w:rPr>
        <w:t xml:space="preserve"> 陆</w:t>
      </w:r>
      <w:r>
        <w:rPr>
          <w:rFonts w:ascii="宋体" w:hAnsi="Calibri" w:cs="宋体"/>
          <w:b/>
          <w:color w:val="auto"/>
          <w:kern w:val="0"/>
          <w:sz w:val="24"/>
          <w:u w:val="single"/>
        </w:rPr>
        <w:t xml:space="preserve"> </w:t>
      </w:r>
      <w:r>
        <w:rPr>
          <w:rFonts w:hint="eastAsia" w:ascii="宋体" w:hAnsi="Calibri" w:cs="宋体"/>
          <w:b/>
          <w:color w:val="auto"/>
          <w:kern w:val="0"/>
          <w:sz w:val="24"/>
        </w:rPr>
        <w:t>份</w:t>
      </w:r>
    </w:p>
    <w:p w14:paraId="7DB0C172">
      <w:pPr>
        <w:tabs>
          <w:tab w:val="left" w:pos="3640"/>
          <w:tab w:val="left" w:pos="6040"/>
          <w:tab w:val="left" w:pos="7960"/>
        </w:tabs>
        <w:autoSpaceDE w:val="0"/>
        <w:autoSpaceDN w:val="0"/>
        <w:adjustRightInd w:val="0"/>
        <w:spacing w:line="360" w:lineRule="auto"/>
        <w:ind w:left="581" w:firstLine="693" w:firstLineChars="289"/>
        <w:jc w:val="left"/>
        <w:rPr>
          <w:rFonts w:ascii="宋体" w:hAnsi="Calibri" w:cs="宋体"/>
          <w:color w:val="auto"/>
          <w:kern w:val="0"/>
          <w:sz w:val="24"/>
        </w:rPr>
      </w:pPr>
      <w:r>
        <w:rPr>
          <w:rFonts w:hint="eastAsia" w:ascii="宋体" w:hAnsi="Calibri" w:cs="宋体"/>
          <w:color w:val="auto"/>
          <w:kern w:val="0"/>
          <w:sz w:val="24"/>
        </w:rPr>
        <w:t>其中：发包人</w:t>
      </w:r>
      <w:r>
        <w:rPr>
          <w:rFonts w:hint="eastAsia" w:ascii="宋体" w:hAnsi="Calibri" w:cs="宋体"/>
          <w:color w:val="auto"/>
          <w:kern w:val="0"/>
          <w:sz w:val="24"/>
          <w:u w:val="single"/>
          <w:lang w:val="en-US" w:eastAsia="zh-CN"/>
        </w:rPr>
        <w:t xml:space="preserve"> 叁 </w:t>
      </w:r>
      <w:r>
        <w:rPr>
          <w:rFonts w:hint="eastAsia" w:ascii="宋体" w:hAnsi="Calibri" w:cs="宋体"/>
          <w:color w:val="auto"/>
          <w:kern w:val="0"/>
          <w:sz w:val="24"/>
        </w:rPr>
        <w:t>份</w:t>
      </w:r>
      <w:r>
        <w:rPr>
          <w:rFonts w:hint="eastAsia" w:ascii="宋体" w:hAnsi="Calibri" w:cs="宋体"/>
          <w:color w:val="auto"/>
          <w:kern w:val="0"/>
          <w:sz w:val="24"/>
          <w:lang w:eastAsia="zh-CN"/>
        </w:rPr>
        <w:t>，</w:t>
      </w:r>
      <w:r>
        <w:rPr>
          <w:rFonts w:hint="eastAsia" w:ascii="宋体" w:hAnsi="Calibri" w:cs="宋体"/>
          <w:color w:val="auto"/>
          <w:kern w:val="0"/>
          <w:sz w:val="24"/>
        </w:rPr>
        <w:t>承包人</w:t>
      </w:r>
      <w:r>
        <w:rPr>
          <w:rFonts w:hint="eastAsia" w:ascii="宋体" w:hAnsi="Calibri" w:cs="宋体"/>
          <w:color w:val="auto"/>
          <w:kern w:val="0"/>
          <w:sz w:val="24"/>
          <w:u w:val="single"/>
          <w:lang w:val="en-US" w:eastAsia="zh-CN"/>
        </w:rPr>
        <w:t xml:space="preserve"> 叁 </w:t>
      </w:r>
      <w:r>
        <w:rPr>
          <w:rFonts w:hint="eastAsia" w:ascii="宋体" w:hAnsi="Calibri" w:cs="宋体"/>
          <w:color w:val="auto"/>
          <w:kern w:val="0"/>
          <w:sz w:val="24"/>
        </w:rPr>
        <w:t>份。</w:t>
      </w:r>
    </w:p>
    <w:p w14:paraId="2F6BF155">
      <w:pPr>
        <w:tabs>
          <w:tab w:val="left" w:pos="3640"/>
          <w:tab w:val="left" w:pos="6040"/>
          <w:tab w:val="left" w:pos="7960"/>
        </w:tabs>
        <w:autoSpaceDE w:val="0"/>
        <w:autoSpaceDN w:val="0"/>
        <w:adjustRightInd w:val="0"/>
        <w:spacing w:line="360" w:lineRule="auto"/>
        <w:ind w:left="581"/>
        <w:jc w:val="left"/>
        <w:rPr>
          <w:rFonts w:ascii="宋体" w:hAnsi="Calibri" w:cs="宋体"/>
          <w:color w:val="auto"/>
          <w:kern w:val="0"/>
          <w:sz w:val="24"/>
        </w:rPr>
      </w:pPr>
      <w:r>
        <w:rPr>
          <w:rFonts w:hint="eastAsia" w:ascii="宋体" w:hAnsi="Calibri" w:cs="宋体"/>
          <w:color w:val="auto"/>
          <w:kern w:val="0"/>
          <w:sz w:val="24"/>
        </w:rPr>
        <w:t>2、本合同具同等法律效律。</w:t>
      </w:r>
    </w:p>
    <w:p w14:paraId="4CAB631A">
      <w:pPr>
        <w:spacing w:line="360" w:lineRule="auto"/>
        <w:outlineLvl w:val="1"/>
        <w:rPr>
          <w:rFonts w:ascii="宋体" w:hAnsi="宋体"/>
          <w:b/>
          <w:bCs/>
          <w:color w:val="auto"/>
          <w:sz w:val="24"/>
        </w:rPr>
      </w:pPr>
      <w:bookmarkStart w:id="19" w:name="_Toc63409375"/>
      <w:r>
        <w:rPr>
          <w:rFonts w:hint="eastAsia" w:ascii="宋体" w:hAnsi="宋体"/>
          <w:b/>
          <w:bCs/>
          <w:color w:val="auto"/>
          <w:sz w:val="24"/>
        </w:rPr>
        <w:t>十四、其他事项</w:t>
      </w:r>
      <w:bookmarkEnd w:id="19"/>
    </w:p>
    <w:p w14:paraId="14D86D91">
      <w:pPr>
        <w:tabs>
          <w:tab w:val="left" w:pos="3640"/>
          <w:tab w:val="left" w:pos="6040"/>
          <w:tab w:val="left" w:pos="7960"/>
        </w:tabs>
        <w:autoSpaceDE w:val="0"/>
        <w:autoSpaceDN w:val="0"/>
        <w:adjustRightInd w:val="0"/>
        <w:spacing w:line="360" w:lineRule="auto"/>
        <w:ind w:firstLine="566" w:firstLineChars="236"/>
        <w:jc w:val="left"/>
        <w:rPr>
          <w:rFonts w:ascii="宋体" w:hAnsi="Calibri" w:cs="宋体"/>
          <w:color w:val="auto"/>
          <w:kern w:val="0"/>
          <w:sz w:val="24"/>
        </w:rPr>
      </w:pPr>
      <w:r>
        <w:rPr>
          <w:rFonts w:hint="eastAsia" w:ascii="宋体" w:hAnsi="Calibri" w:cs="宋体"/>
          <w:color w:val="auto"/>
          <w:kern w:val="0"/>
          <w:sz w:val="24"/>
        </w:rPr>
        <w:t>1、</w:t>
      </w:r>
      <w:r>
        <w:rPr>
          <w:rFonts w:ascii="宋体" w:hAnsi="Calibri" w:cs="宋体"/>
          <w:color w:val="auto"/>
          <w:kern w:val="0"/>
          <w:sz w:val="24"/>
        </w:rPr>
        <w:t>本合同未尽事宜，经</w:t>
      </w:r>
      <w:r>
        <w:rPr>
          <w:rFonts w:hint="eastAsia" w:ascii="宋体" w:hAnsi="Calibri" w:cs="宋体"/>
          <w:color w:val="auto"/>
          <w:kern w:val="0"/>
          <w:sz w:val="24"/>
        </w:rPr>
        <w:t>双方</w:t>
      </w:r>
      <w:r>
        <w:rPr>
          <w:rFonts w:ascii="宋体" w:hAnsi="Calibri" w:cs="宋体"/>
          <w:color w:val="auto"/>
          <w:kern w:val="0"/>
          <w:sz w:val="24"/>
        </w:rPr>
        <w:t>协商一致，</w:t>
      </w:r>
      <w:r>
        <w:rPr>
          <w:rFonts w:hint="eastAsia" w:ascii="宋体" w:hAnsi="Calibri" w:cs="宋体"/>
          <w:color w:val="auto"/>
          <w:kern w:val="0"/>
          <w:sz w:val="24"/>
        </w:rPr>
        <w:t>可</w:t>
      </w:r>
      <w:r>
        <w:rPr>
          <w:rFonts w:ascii="宋体" w:hAnsi="Calibri" w:cs="宋体"/>
          <w:color w:val="auto"/>
          <w:kern w:val="0"/>
          <w:sz w:val="24"/>
        </w:rPr>
        <w:t>签订补充协议，</w:t>
      </w:r>
      <w:r>
        <w:rPr>
          <w:rFonts w:hint="eastAsia" w:ascii="宋体" w:hAnsi="Calibri" w:cs="宋体"/>
          <w:color w:val="auto"/>
          <w:kern w:val="0"/>
          <w:sz w:val="24"/>
        </w:rPr>
        <w:t>并</w:t>
      </w:r>
      <w:r>
        <w:rPr>
          <w:rFonts w:ascii="宋体" w:hAnsi="Calibri" w:cs="宋体"/>
          <w:color w:val="auto"/>
          <w:kern w:val="0"/>
          <w:sz w:val="24"/>
        </w:rPr>
        <w:t>与本合同具有同等效力。</w:t>
      </w:r>
    </w:p>
    <w:p w14:paraId="035C8FDF">
      <w:pPr>
        <w:tabs>
          <w:tab w:val="left" w:pos="3640"/>
          <w:tab w:val="left" w:pos="6040"/>
          <w:tab w:val="left" w:pos="7960"/>
        </w:tabs>
        <w:autoSpaceDE w:val="0"/>
        <w:autoSpaceDN w:val="0"/>
        <w:adjustRightInd w:val="0"/>
        <w:spacing w:line="360" w:lineRule="auto"/>
        <w:ind w:firstLine="566" w:firstLineChars="236"/>
        <w:jc w:val="left"/>
        <w:rPr>
          <w:rFonts w:ascii="宋体" w:hAnsi="Calibri" w:cs="宋体"/>
          <w:color w:val="auto"/>
          <w:kern w:val="0"/>
          <w:sz w:val="24"/>
        </w:rPr>
      </w:pPr>
      <w:r>
        <w:rPr>
          <w:rFonts w:hint="eastAsia" w:ascii="宋体" w:hAnsi="Calibri" w:cs="宋体"/>
          <w:color w:val="auto"/>
          <w:kern w:val="0"/>
          <w:sz w:val="24"/>
        </w:rPr>
        <w:t>2、双方在本合同履行过程中发出或者提供的所有通知、文件、文书、资料、诉讼资料等，均以本合同所列明的双方地址送达。一方如果迁址或者变更电话，应当书面通知对方，未履行书面通知义务的，另一方按原地址邮寄相关材料即视为已履行送达义务。当面交付上述材料的，在交付之时视为送达；以邮寄方式交付的，寄出或者投邮后即视为送达。</w:t>
      </w:r>
    </w:p>
    <w:p w14:paraId="4D9B07E1">
      <w:pPr>
        <w:pStyle w:val="3"/>
        <w:ind w:firstLine="0"/>
        <w:rPr>
          <w:color w:val="auto"/>
        </w:rPr>
      </w:pPr>
    </w:p>
    <w:bookmarkEnd w:id="0"/>
    <w:bookmarkEnd w:id="1"/>
    <w:bookmarkEnd w:id="2"/>
    <w:bookmarkEnd w:id="3"/>
    <w:p w14:paraId="60E732A6">
      <w:pPr>
        <w:keepNext/>
        <w:keepLines/>
        <w:tabs>
          <w:tab w:val="left" w:pos="284"/>
        </w:tabs>
        <w:autoSpaceDE w:val="0"/>
        <w:autoSpaceDN w:val="0"/>
        <w:adjustRightInd w:val="0"/>
        <w:spacing w:line="360" w:lineRule="auto"/>
        <w:jc w:val="left"/>
        <w:rPr>
          <w:rFonts w:ascii="Calibri" w:hAnsi="Calibri" w:eastAsia="黑体"/>
          <w:bCs/>
          <w:color w:val="auto"/>
          <w:kern w:val="0"/>
          <w:position w:val="-1"/>
          <w:sz w:val="24"/>
        </w:rPr>
      </w:pPr>
      <w:bookmarkStart w:id="20" w:name="_Toc287627923"/>
      <w:bookmarkStart w:id="21" w:name="_Toc63409376"/>
      <w:r>
        <w:rPr>
          <w:rFonts w:hint="eastAsia" w:ascii="Calibri" w:hAnsi="Calibri" w:eastAsia="黑体"/>
          <w:bCs/>
          <w:color w:val="auto"/>
          <w:kern w:val="0"/>
          <w:position w:val="-1"/>
          <w:sz w:val="24"/>
        </w:rPr>
        <w:t>十五、合同生效</w:t>
      </w:r>
      <w:bookmarkEnd w:id="20"/>
      <w:bookmarkEnd w:id="21"/>
    </w:p>
    <w:p w14:paraId="64B6A67A">
      <w:pPr>
        <w:tabs>
          <w:tab w:val="left" w:pos="3740"/>
          <w:tab w:val="left" w:pos="5300"/>
          <w:tab w:val="left" w:pos="6860"/>
        </w:tabs>
        <w:autoSpaceDE w:val="0"/>
        <w:autoSpaceDN w:val="0"/>
        <w:adjustRightInd w:val="0"/>
        <w:spacing w:line="360" w:lineRule="auto"/>
        <w:ind w:left="627"/>
        <w:jc w:val="left"/>
        <w:rPr>
          <w:rFonts w:ascii="宋体" w:hAnsi="Calibri" w:cs="宋体"/>
          <w:color w:val="auto"/>
          <w:kern w:val="0"/>
          <w:sz w:val="24"/>
        </w:rPr>
      </w:pPr>
      <w:r>
        <w:rPr>
          <w:rFonts w:hint="eastAsia" w:ascii="宋体" w:hAnsi="Calibri" w:cs="宋体"/>
          <w:color w:val="auto"/>
          <w:kern w:val="0"/>
          <w:sz w:val="24"/>
        </w:rPr>
        <w:t xml:space="preserve">订立合同时间： </w:t>
      </w:r>
      <w:r>
        <w:rPr>
          <w:rFonts w:ascii="宋体" w:hAnsi="Calibri" w:cs="宋体"/>
          <w:color w:val="auto"/>
          <w:kern w:val="0"/>
          <w:sz w:val="24"/>
        </w:rPr>
        <w:t xml:space="preserve"> </w:t>
      </w:r>
      <w:r>
        <w:rPr>
          <w:rFonts w:hint="eastAsia" w:ascii="宋体" w:hAnsi="Calibri" w:cs="宋体"/>
          <w:color w:val="auto"/>
          <w:kern w:val="0"/>
          <w:sz w:val="24"/>
        </w:rPr>
        <w:t xml:space="preserve">年 </w:t>
      </w:r>
      <w:r>
        <w:rPr>
          <w:rFonts w:ascii="宋体" w:hAnsi="Calibri" w:cs="宋体"/>
          <w:color w:val="auto"/>
          <w:kern w:val="0"/>
          <w:sz w:val="24"/>
        </w:rPr>
        <w:t xml:space="preserve"> </w:t>
      </w:r>
      <w:r>
        <w:rPr>
          <w:rFonts w:hint="eastAsia" w:ascii="宋体" w:hAnsi="Calibri" w:cs="宋体"/>
          <w:color w:val="auto"/>
          <w:kern w:val="0"/>
          <w:sz w:val="24"/>
        </w:rPr>
        <w:t xml:space="preserve">月 </w:t>
      </w:r>
      <w:r>
        <w:rPr>
          <w:rFonts w:ascii="宋体" w:hAnsi="Calibri" w:cs="宋体"/>
          <w:color w:val="auto"/>
          <w:kern w:val="0"/>
          <w:sz w:val="24"/>
        </w:rPr>
        <w:t xml:space="preserve"> </w:t>
      </w:r>
      <w:r>
        <w:rPr>
          <w:rFonts w:hint="eastAsia" w:ascii="宋体" w:hAnsi="Calibri" w:cs="宋体"/>
          <w:color w:val="auto"/>
          <w:kern w:val="0"/>
          <w:sz w:val="24"/>
        </w:rPr>
        <w:t>日</w:t>
      </w:r>
    </w:p>
    <w:p w14:paraId="4B2B647E">
      <w:pPr>
        <w:autoSpaceDE w:val="0"/>
        <w:autoSpaceDN w:val="0"/>
        <w:adjustRightInd w:val="0"/>
        <w:spacing w:line="360" w:lineRule="auto"/>
        <w:ind w:left="581" w:right="66" w:firstLine="46"/>
        <w:jc w:val="left"/>
        <w:rPr>
          <w:rFonts w:ascii="宋体" w:hAnsi="Calibri" w:cs="宋体"/>
          <w:color w:val="auto"/>
          <w:kern w:val="0"/>
          <w:sz w:val="24"/>
        </w:rPr>
      </w:pPr>
      <w:r>
        <w:rPr>
          <w:rFonts w:hint="eastAsia" w:ascii="宋体" w:hAnsi="Calibri" w:cs="宋体"/>
          <w:color w:val="auto"/>
          <w:kern w:val="0"/>
          <w:sz w:val="24"/>
        </w:rPr>
        <w:t>订立合同地点：</w:t>
      </w:r>
    </w:p>
    <w:p w14:paraId="4AD37599">
      <w:pPr>
        <w:tabs>
          <w:tab w:val="left" w:pos="8900"/>
          <w:tab w:val="left" w:pos="9960"/>
        </w:tabs>
        <w:autoSpaceDE w:val="0"/>
        <w:autoSpaceDN w:val="0"/>
        <w:adjustRightInd w:val="0"/>
        <w:spacing w:line="360" w:lineRule="auto"/>
        <w:ind w:left="581" w:right="66" w:firstLine="46"/>
        <w:jc w:val="left"/>
        <w:rPr>
          <w:rFonts w:ascii="宋体" w:hAnsi="Calibri" w:cs="宋体"/>
          <w:color w:val="auto"/>
          <w:kern w:val="0"/>
          <w:sz w:val="24"/>
        </w:rPr>
      </w:pPr>
      <w:r>
        <w:rPr>
          <w:rFonts w:hint="eastAsia" w:ascii="宋体" w:hAnsi="Calibri" w:cs="宋体"/>
          <w:color w:val="auto"/>
          <w:kern w:val="0"/>
          <w:sz w:val="24"/>
        </w:rPr>
        <w:t>合同双方当事人约定</w:t>
      </w:r>
      <w:r>
        <w:rPr>
          <w:rFonts w:hint="eastAsia" w:ascii="宋体" w:hAnsi="Calibri" w:cs="宋体"/>
          <w:color w:val="auto"/>
          <w:kern w:val="0"/>
          <w:sz w:val="24"/>
          <w:u w:val="single"/>
        </w:rPr>
        <w:t>本合同自双方签约代表签字并加盖公章后之日起</w:t>
      </w:r>
      <w:r>
        <w:rPr>
          <w:rFonts w:hint="eastAsia" w:ascii="宋体" w:hAnsi="Calibri" w:cs="宋体"/>
          <w:color w:val="auto"/>
          <w:kern w:val="0"/>
          <w:sz w:val="24"/>
        </w:rPr>
        <w:t>生效。</w:t>
      </w:r>
    </w:p>
    <w:p w14:paraId="2ADBE124">
      <w:pPr>
        <w:rPr>
          <w:rFonts w:ascii="宋体" w:hAnsi="Calibri" w:cs="宋体"/>
          <w:color w:val="auto"/>
          <w:kern w:val="0"/>
          <w:sz w:val="24"/>
        </w:rPr>
      </w:pPr>
      <w:r>
        <w:rPr>
          <w:rFonts w:hint="eastAsia" w:ascii="宋体" w:hAnsi="Calibri" w:cs="宋体"/>
          <w:color w:val="auto"/>
          <w:kern w:val="0"/>
          <w:sz w:val="24"/>
        </w:rPr>
        <w:t>----------------------------（以下为签署页，无正文）---------------------------</w:t>
      </w:r>
    </w:p>
    <w:p w14:paraId="5575EBEF">
      <w:pPr>
        <w:tabs>
          <w:tab w:val="left" w:pos="3740"/>
          <w:tab w:val="left" w:pos="5300"/>
          <w:tab w:val="left" w:pos="6860"/>
        </w:tabs>
        <w:autoSpaceDE w:val="0"/>
        <w:autoSpaceDN w:val="0"/>
        <w:adjustRightInd w:val="0"/>
        <w:spacing w:line="480" w:lineRule="auto"/>
        <w:ind w:left="629"/>
        <w:jc w:val="left"/>
        <w:rPr>
          <w:rFonts w:hint="eastAsia" w:ascii="宋体" w:hAnsi="Calibri" w:cs="宋体"/>
          <w:color w:val="auto"/>
          <w:kern w:val="0"/>
          <w:sz w:val="24"/>
        </w:rPr>
      </w:pPr>
    </w:p>
    <w:p w14:paraId="1853CEED">
      <w:pPr>
        <w:tabs>
          <w:tab w:val="left" w:pos="3740"/>
          <w:tab w:val="left" w:pos="5300"/>
          <w:tab w:val="left" w:pos="6860"/>
        </w:tabs>
        <w:autoSpaceDE w:val="0"/>
        <w:autoSpaceDN w:val="0"/>
        <w:adjustRightInd w:val="0"/>
        <w:spacing w:line="480" w:lineRule="auto"/>
        <w:ind w:left="629"/>
        <w:jc w:val="left"/>
        <w:rPr>
          <w:rFonts w:hint="eastAsia" w:ascii="宋体" w:hAnsi="Calibri" w:cs="宋体"/>
          <w:color w:val="auto"/>
          <w:kern w:val="0"/>
          <w:sz w:val="24"/>
        </w:rPr>
      </w:pPr>
    </w:p>
    <w:p w14:paraId="27ECD8B3">
      <w:pPr>
        <w:tabs>
          <w:tab w:val="left" w:pos="3740"/>
          <w:tab w:val="left" w:pos="5300"/>
          <w:tab w:val="left" w:pos="6860"/>
        </w:tabs>
        <w:autoSpaceDE w:val="0"/>
        <w:autoSpaceDN w:val="0"/>
        <w:adjustRightInd w:val="0"/>
        <w:spacing w:line="480" w:lineRule="auto"/>
        <w:ind w:left="629"/>
        <w:jc w:val="left"/>
        <w:rPr>
          <w:rFonts w:ascii="宋体" w:hAnsi="Calibri" w:cs="宋体"/>
          <w:color w:val="auto"/>
          <w:kern w:val="0"/>
          <w:sz w:val="24"/>
        </w:rPr>
      </w:pPr>
      <w:r>
        <w:rPr>
          <w:rFonts w:hint="eastAsia" w:ascii="宋体" w:hAnsi="Calibri" w:cs="宋体"/>
          <w:color w:val="auto"/>
          <w:kern w:val="0"/>
          <w:sz w:val="24"/>
        </w:rPr>
        <w:t>发包人：（盖章）</w:t>
      </w:r>
    </w:p>
    <w:p w14:paraId="07A9BC22">
      <w:pPr>
        <w:tabs>
          <w:tab w:val="left" w:pos="3740"/>
          <w:tab w:val="left" w:pos="5300"/>
          <w:tab w:val="left" w:pos="6860"/>
        </w:tabs>
        <w:autoSpaceDE w:val="0"/>
        <w:autoSpaceDN w:val="0"/>
        <w:adjustRightInd w:val="0"/>
        <w:spacing w:line="480" w:lineRule="auto"/>
        <w:ind w:left="629"/>
        <w:jc w:val="left"/>
        <w:rPr>
          <w:rFonts w:ascii="宋体" w:hAnsi="Calibri" w:cs="宋体"/>
          <w:color w:val="auto"/>
          <w:kern w:val="0"/>
          <w:sz w:val="24"/>
        </w:rPr>
      </w:pPr>
      <w:r>
        <w:rPr>
          <w:rFonts w:hint="eastAsia" w:ascii="宋体" w:hAnsi="Calibri" w:cs="宋体"/>
          <w:color w:val="auto"/>
          <w:kern w:val="0"/>
          <w:sz w:val="24"/>
        </w:rPr>
        <w:t>法定代表人：</w:t>
      </w:r>
    </w:p>
    <w:p w14:paraId="042D5833">
      <w:pPr>
        <w:tabs>
          <w:tab w:val="left" w:pos="3740"/>
          <w:tab w:val="left" w:pos="5300"/>
          <w:tab w:val="left" w:pos="6860"/>
        </w:tabs>
        <w:autoSpaceDE w:val="0"/>
        <w:autoSpaceDN w:val="0"/>
        <w:adjustRightInd w:val="0"/>
        <w:spacing w:line="480" w:lineRule="auto"/>
        <w:ind w:left="629"/>
        <w:jc w:val="left"/>
        <w:rPr>
          <w:rFonts w:ascii="宋体" w:hAnsi="Calibri" w:cs="宋体"/>
          <w:color w:val="auto"/>
          <w:kern w:val="0"/>
          <w:sz w:val="24"/>
        </w:rPr>
      </w:pPr>
      <w:r>
        <w:rPr>
          <w:rFonts w:hint="eastAsia" w:ascii="宋体" w:hAnsi="Calibri" w:cs="宋体"/>
          <w:color w:val="auto"/>
          <w:kern w:val="0"/>
          <w:sz w:val="24"/>
        </w:rPr>
        <w:t>签约代表：</w:t>
      </w:r>
    </w:p>
    <w:p w14:paraId="00A159F8">
      <w:pPr>
        <w:tabs>
          <w:tab w:val="left" w:pos="3740"/>
          <w:tab w:val="left" w:pos="5300"/>
          <w:tab w:val="left" w:pos="6860"/>
        </w:tabs>
        <w:autoSpaceDE w:val="0"/>
        <w:autoSpaceDN w:val="0"/>
        <w:adjustRightInd w:val="0"/>
        <w:spacing w:line="480" w:lineRule="auto"/>
        <w:ind w:left="629"/>
        <w:jc w:val="left"/>
        <w:rPr>
          <w:rFonts w:ascii="宋体" w:hAnsi="Calibri" w:cs="宋体"/>
          <w:color w:val="auto"/>
          <w:kern w:val="0"/>
          <w:sz w:val="24"/>
        </w:rPr>
      </w:pPr>
      <w:r>
        <w:rPr>
          <w:rFonts w:hint="eastAsia" w:ascii="宋体" w:hAnsi="Calibri" w:cs="宋体"/>
          <w:color w:val="auto"/>
          <w:kern w:val="0"/>
          <w:sz w:val="24"/>
        </w:rPr>
        <w:t>联系电话：</w:t>
      </w:r>
    </w:p>
    <w:p w14:paraId="33070AA1">
      <w:pPr>
        <w:tabs>
          <w:tab w:val="left" w:pos="3740"/>
          <w:tab w:val="left" w:pos="5300"/>
          <w:tab w:val="left" w:pos="6860"/>
        </w:tabs>
        <w:autoSpaceDE w:val="0"/>
        <w:autoSpaceDN w:val="0"/>
        <w:adjustRightInd w:val="0"/>
        <w:spacing w:line="480" w:lineRule="auto"/>
        <w:ind w:left="629"/>
        <w:jc w:val="left"/>
        <w:rPr>
          <w:rFonts w:ascii="宋体" w:hAnsi="Calibri" w:cs="宋体"/>
          <w:color w:val="auto"/>
          <w:kern w:val="0"/>
          <w:sz w:val="24"/>
        </w:rPr>
      </w:pPr>
      <w:r>
        <w:rPr>
          <w:rFonts w:hint="eastAsia" w:ascii="宋体" w:hAnsi="Calibri" w:cs="宋体"/>
          <w:color w:val="auto"/>
          <w:kern w:val="0"/>
          <w:sz w:val="24"/>
        </w:rPr>
        <w:t xml:space="preserve">通讯地址： </w:t>
      </w:r>
    </w:p>
    <w:p w14:paraId="2C57E4DA">
      <w:pPr>
        <w:tabs>
          <w:tab w:val="left" w:pos="3740"/>
          <w:tab w:val="left" w:pos="5300"/>
          <w:tab w:val="left" w:pos="6860"/>
        </w:tabs>
        <w:autoSpaceDE w:val="0"/>
        <w:autoSpaceDN w:val="0"/>
        <w:adjustRightInd w:val="0"/>
        <w:spacing w:line="480" w:lineRule="auto"/>
        <w:ind w:left="629"/>
        <w:jc w:val="left"/>
        <w:rPr>
          <w:rFonts w:ascii="宋体" w:hAnsi="Calibri" w:cs="宋体"/>
          <w:color w:val="auto"/>
          <w:kern w:val="0"/>
          <w:sz w:val="24"/>
        </w:rPr>
      </w:pPr>
    </w:p>
    <w:p w14:paraId="35092596">
      <w:pPr>
        <w:tabs>
          <w:tab w:val="left" w:pos="3740"/>
          <w:tab w:val="left" w:pos="5300"/>
          <w:tab w:val="left" w:pos="6860"/>
        </w:tabs>
        <w:autoSpaceDE w:val="0"/>
        <w:autoSpaceDN w:val="0"/>
        <w:adjustRightInd w:val="0"/>
        <w:spacing w:line="480" w:lineRule="auto"/>
        <w:ind w:left="629"/>
        <w:jc w:val="left"/>
        <w:rPr>
          <w:rFonts w:ascii="宋体" w:hAnsi="Calibri" w:cs="宋体"/>
          <w:color w:val="auto"/>
          <w:kern w:val="0"/>
          <w:sz w:val="24"/>
        </w:rPr>
      </w:pPr>
      <w:r>
        <w:rPr>
          <w:rFonts w:hint="eastAsia" w:ascii="宋体" w:hAnsi="Calibri" w:cs="宋体"/>
          <w:color w:val="auto"/>
          <w:kern w:val="0"/>
          <w:sz w:val="24"/>
        </w:rPr>
        <w:t>承包人：（盖章）</w:t>
      </w:r>
    </w:p>
    <w:p w14:paraId="674C1FD0">
      <w:pPr>
        <w:tabs>
          <w:tab w:val="left" w:pos="3740"/>
          <w:tab w:val="left" w:pos="5300"/>
          <w:tab w:val="left" w:pos="6860"/>
        </w:tabs>
        <w:autoSpaceDE w:val="0"/>
        <w:autoSpaceDN w:val="0"/>
        <w:adjustRightInd w:val="0"/>
        <w:spacing w:line="480" w:lineRule="auto"/>
        <w:ind w:left="629"/>
        <w:jc w:val="left"/>
        <w:rPr>
          <w:rFonts w:ascii="宋体" w:hAnsi="Calibri" w:cs="宋体"/>
          <w:color w:val="auto"/>
          <w:kern w:val="0"/>
          <w:sz w:val="24"/>
        </w:rPr>
      </w:pPr>
      <w:r>
        <w:rPr>
          <w:rFonts w:hint="eastAsia" w:ascii="宋体" w:hAnsi="Calibri" w:cs="宋体"/>
          <w:color w:val="auto"/>
          <w:kern w:val="0"/>
          <w:sz w:val="24"/>
        </w:rPr>
        <w:t>法定代表人：</w:t>
      </w:r>
    </w:p>
    <w:p w14:paraId="768FE956">
      <w:pPr>
        <w:tabs>
          <w:tab w:val="left" w:pos="3740"/>
          <w:tab w:val="left" w:pos="5300"/>
          <w:tab w:val="left" w:pos="6860"/>
        </w:tabs>
        <w:autoSpaceDE w:val="0"/>
        <w:autoSpaceDN w:val="0"/>
        <w:adjustRightInd w:val="0"/>
        <w:spacing w:line="480" w:lineRule="auto"/>
        <w:ind w:left="629"/>
        <w:jc w:val="left"/>
        <w:rPr>
          <w:rFonts w:ascii="宋体" w:hAnsi="Calibri" w:cs="宋体"/>
          <w:color w:val="auto"/>
          <w:kern w:val="0"/>
          <w:sz w:val="24"/>
        </w:rPr>
      </w:pPr>
      <w:r>
        <w:rPr>
          <w:rFonts w:hint="eastAsia" w:ascii="宋体" w:hAnsi="Calibri" w:cs="宋体"/>
          <w:color w:val="auto"/>
          <w:kern w:val="0"/>
          <w:sz w:val="24"/>
        </w:rPr>
        <w:t>签约代表：</w:t>
      </w:r>
    </w:p>
    <w:p w14:paraId="6D828D86">
      <w:pPr>
        <w:tabs>
          <w:tab w:val="left" w:pos="3740"/>
          <w:tab w:val="left" w:pos="5300"/>
          <w:tab w:val="left" w:pos="6860"/>
        </w:tabs>
        <w:autoSpaceDE w:val="0"/>
        <w:autoSpaceDN w:val="0"/>
        <w:adjustRightInd w:val="0"/>
        <w:spacing w:line="480" w:lineRule="auto"/>
        <w:ind w:left="629"/>
        <w:jc w:val="left"/>
        <w:rPr>
          <w:rFonts w:ascii="宋体" w:hAnsi="Calibri" w:cs="宋体"/>
          <w:color w:val="auto"/>
          <w:kern w:val="0"/>
          <w:sz w:val="24"/>
        </w:rPr>
      </w:pPr>
      <w:r>
        <w:rPr>
          <w:rFonts w:hint="eastAsia" w:ascii="宋体" w:hAnsi="Calibri" w:cs="宋体"/>
          <w:color w:val="auto"/>
          <w:kern w:val="0"/>
          <w:sz w:val="24"/>
        </w:rPr>
        <w:t>联系电话：</w:t>
      </w:r>
    </w:p>
    <w:p w14:paraId="3053D821">
      <w:pPr>
        <w:tabs>
          <w:tab w:val="left" w:pos="3740"/>
          <w:tab w:val="left" w:pos="5300"/>
          <w:tab w:val="left" w:pos="6860"/>
        </w:tabs>
        <w:autoSpaceDE w:val="0"/>
        <w:autoSpaceDN w:val="0"/>
        <w:adjustRightInd w:val="0"/>
        <w:spacing w:line="480" w:lineRule="auto"/>
        <w:ind w:left="629"/>
        <w:jc w:val="left"/>
        <w:rPr>
          <w:rFonts w:ascii="宋体" w:hAnsi="Calibri" w:cs="宋体"/>
          <w:color w:val="auto"/>
          <w:kern w:val="0"/>
          <w:sz w:val="24"/>
        </w:rPr>
      </w:pPr>
      <w:r>
        <w:rPr>
          <w:rFonts w:hint="eastAsia" w:ascii="宋体" w:hAnsi="Calibri" w:cs="宋体"/>
          <w:color w:val="auto"/>
          <w:kern w:val="0"/>
          <w:sz w:val="24"/>
        </w:rPr>
        <w:t>通讯地址：</w:t>
      </w:r>
      <w:r>
        <w:rPr>
          <w:color w:val="auto"/>
        </w:rPr>
        <w:fldChar w:fldCharType="begin"/>
      </w:r>
      <w:r>
        <w:rPr>
          <w:color w:val="auto"/>
        </w:rPr>
        <w:instrText xml:space="preserve"> HYPERLINK "mailto:" </w:instrText>
      </w:r>
      <w:r>
        <w:rPr>
          <w:color w:val="auto"/>
        </w:rPr>
        <w:fldChar w:fldCharType="separate"/>
      </w:r>
      <w:r>
        <w:rPr>
          <w:color w:val="auto"/>
        </w:rPr>
        <w:fldChar w:fldCharType="end"/>
      </w:r>
    </w:p>
    <w:p w14:paraId="3D9C8FD2">
      <w:pPr>
        <w:spacing w:line="360" w:lineRule="auto"/>
        <w:rPr>
          <w:color w:val="auto"/>
          <w:sz w:val="24"/>
          <w:u w:val="single"/>
        </w:rPr>
      </w:pPr>
    </w:p>
    <w:p w14:paraId="3D4AEF86">
      <w:pPr>
        <w:pStyle w:val="3"/>
        <w:rPr>
          <w:color w:val="auto"/>
          <w:sz w:val="24"/>
          <w:u w:val="single"/>
        </w:rPr>
      </w:pPr>
    </w:p>
    <w:p w14:paraId="6ADEDEED">
      <w:pPr>
        <w:rPr>
          <w:color w:val="auto"/>
          <w:sz w:val="24"/>
          <w:u w:val="single"/>
        </w:rPr>
      </w:pPr>
    </w:p>
    <w:p w14:paraId="0F14D6CA">
      <w:pPr>
        <w:pStyle w:val="3"/>
        <w:rPr>
          <w:color w:val="auto"/>
          <w:sz w:val="24"/>
          <w:u w:val="single"/>
        </w:rPr>
      </w:pPr>
    </w:p>
    <w:p w14:paraId="12D2CCEE">
      <w:pPr>
        <w:rPr>
          <w:color w:val="auto"/>
          <w:sz w:val="24"/>
          <w:u w:val="single"/>
        </w:rPr>
      </w:pPr>
    </w:p>
    <w:p w14:paraId="28E5864B">
      <w:pPr>
        <w:pStyle w:val="3"/>
        <w:rPr>
          <w:color w:val="auto"/>
          <w:sz w:val="24"/>
          <w:u w:val="single"/>
        </w:rPr>
      </w:pPr>
    </w:p>
    <w:p w14:paraId="4893F57A">
      <w:pPr>
        <w:rPr>
          <w:color w:val="auto"/>
          <w:sz w:val="24"/>
          <w:u w:val="single"/>
        </w:rPr>
      </w:pPr>
    </w:p>
    <w:p w14:paraId="571A2D3C">
      <w:pPr>
        <w:pStyle w:val="3"/>
        <w:rPr>
          <w:color w:val="auto"/>
          <w:sz w:val="24"/>
          <w:u w:val="single"/>
        </w:rPr>
      </w:pPr>
    </w:p>
    <w:p w14:paraId="5210E658">
      <w:pPr>
        <w:rPr>
          <w:color w:val="auto"/>
          <w:sz w:val="24"/>
          <w:u w:val="single"/>
        </w:rPr>
      </w:pPr>
    </w:p>
    <w:p w14:paraId="6FDB5451">
      <w:pPr>
        <w:pStyle w:val="3"/>
        <w:rPr>
          <w:color w:val="auto"/>
          <w:sz w:val="24"/>
          <w:u w:val="single"/>
        </w:rPr>
      </w:pPr>
    </w:p>
    <w:p w14:paraId="0BBCF7C3">
      <w:pPr>
        <w:rPr>
          <w:color w:val="auto"/>
          <w:sz w:val="24"/>
          <w:u w:val="single"/>
        </w:rPr>
      </w:pPr>
    </w:p>
    <w:p w14:paraId="400177D4">
      <w:pPr>
        <w:rPr>
          <w:color w:val="auto"/>
          <w:sz w:val="24"/>
          <w:u w:val="single"/>
        </w:rPr>
      </w:pPr>
    </w:p>
    <w:p w14:paraId="2B64F94E">
      <w:pPr>
        <w:pStyle w:val="3"/>
        <w:rPr>
          <w:color w:val="auto"/>
          <w:sz w:val="24"/>
          <w:u w:val="single"/>
        </w:rPr>
      </w:pPr>
    </w:p>
    <w:p w14:paraId="5BCFADB9">
      <w:pPr>
        <w:rPr>
          <w:color w:val="auto"/>
        </w:rPr>
      </w:pPr>
    </w:p>
    <w:p w14:paraId="47EE869B">
      <w:pPr>
        <w:rPr>
          <w:color w:val="auto"/>
          <w:sz w:val="24"/>
          <w:u w:val="single"/>
        </w:rPr>
      </w:pPr>
    </w:p>
    <w:p w14:paraId="2E3F561C">
      <w:pPr>
        <w:pStyle w:val="3"/>
        <w:rPr>
          <w:color w:val="auto"/>
          <w:sz w:val="24"/>
          <w:u w:val="single"/>
        </w:rPr>
      </w:pPr>
    </w:p>
    <w:p w14:paraId="10038FB2">
      <w:pPr>
        <w:rPr>
          <w:color w:val="auto"/>
          <w:sz w:val="24"/>
          <w:u w:val="single"/>
        </w:rPr>
      </w:pPr>
    </w:p>
    <w:p w14:paraId="6A62EF39">
      <w:pPr>
        <w:pStyle w:val="3"/>
        <w:rPr>
          <w:color w:val="auto"/>
        </w:rPr>
      </w:pPr>
    </w:p>
    <w:p w14:paraId="5236078E">
      <w:pPr>
        <w:pStyle w:val="2"/>
        <w:numPr>
          <w:ilvl w:val="0"/>
          <w:numId w:val="2"/>
        </w:numPr>
        <w:tabs>
          <w:tab w:val="left" w:pos="720"/>
          <w:tab w:val="left" w:pos="7560"/>
        </w:tabs>
        <w:adjustRightInd w:val="0"/>
        <w:snapToGrid w:val="0"/>
        <w:spacing w:line="360" w:lineRule="auto"/>
        <w:jc w:val="center"/>
        <w:outlineLvl w:val="0"/>
        <w:rPr>
          <w:rFonts w:hAnsi="宋体"/>
          <w:b/>
          <w:color w:val="auto"/>
          <w:sz w:val="36"/>
          <w:szCs w:val="32"/>
        </w:rPr>
      </w:pPr>
      <w:r>
        <w:rPr>
          <w:rFonts w:hint="eastAsia" w:hAnsi="宋体"/>
          <w:b/>
          <w:color w:val="auto"/>
          <w:sz w:val="36"/>
          <w:szCs w:val="32"/>
        </w:rPr>
        <w:t>通用条款</w:t>
      </w:r>
    </w:p>
    <w:p w14:paraId="49D55005">
      <w:pPr>
        <w:pStyle w:val="2"/>
        <w:tabs>
          <w:tab w:val="left" w:pos="720"/>
          <w:tab w:val="left" w:pos="7560"/>
        </w:tabs>
        <w:adjustRightInd w:val="0"/>
        <w:snapToGrid w:val="0"/>
        <w:spacing w:line="360" w:lineRule="auto"/>
        <w:outlineLvl w:val="0"/>
        <w:rPr>
          <w:rFonts w:hAnsi="宋体"/>
          <w:b/>
          <w:color w:val="auto"/>
          <w:sz w:val="36"/>
          <w:szCs w:val="32"/>
        </w:rPr>
      </w:pPr>
    </w:p>
    <w:p w14:paraId="47444E7F">
      <w:pPr>
        <w:pStyle w:val="2"/>
        <w:numPr>
          <w:ilvl w:val="0"/>
          <w:numId w:val="3"/>
        </w:numPr>
        <w:adjustRightInd w:val="0"/>
        <w:snapToGrid w:val="0"/>
        <w:spacing w:line="360" w:lineRule="auto"/>
        <w:jc w:val="center"/>
        <w:outlineLvl w:val="1"/>
        <w:rPr>
          <w:rFonts w:hAnsi="宋体"/>
          <w:b/>
          <w:color w:val="auto"/>
          <w:sz w:val="32"/>
        </w:rPr>
      </w:pPr>
      <w:r>
        <w:rPr>
          <w:rFonts w:hint="eastAsia" w:hAnsi="宋体"/>
          <w:b/>
          <w:color w:val="auto"/>
          <w:sz w:val="32"/>
          <w:szCs w:val="28"/>
        </w:rPr>
        <w:t>总则</w:t>
      </w:r>
    </w:p>
    <w:p w14:paraId="53D69ACC">
      <w:pPr>
        <w:pStyle w:val="2"/>
        <w:numPr>
          <w:ilvl w:val="0"/>
          <w:numId w:val="4"/>
        </w:numPr>
        <w:tabs>
          <w:tab w:val="left" w:pos="900"/>
          <w:tab w:val="left" w:pos="1080"/>
        </w:tabs>
        <w:spacing w:before="120" w:beforeLines="50" w:after="120" w:afterLines="50" w:line="360" w:lineRule="auto"/>
        <w:rPr>
          <w:rFonts w:hAnsi="宋体"/>
          <w:b/>
          <w:color w:val="auto"/>
          <w:sz w:val="30"/>
          <w:szCs w:val="30"/>
        </w:rPr>
      </w:pPr>
      <w:r>
        <w:rPr>
          <w:rFonts w:hint="eastAsia" w:hAnsi="宋体"/>
          <w:b/>
          <w:color w:val="auto"/>
          <w:sz w:val="30"/>
          <w:szCs w:val="30"/>
        </w:rPr>
        <w:t>定义</w:t>
      </w:r>
    </w:p>
    <w:p w14:paraId="22AD3753">
      <w:pPr>
        <w:pStyle w:val="2"/>
        <w:tabs>
          <w:tab w:val="left" w:pos="900"/>
          <w:tab w:val="left" w:pos="1080"/>
        </w:tabs>
        <w:spacing w:before="120" w:beforeLines="50" w:after="120" w:afterLines="50" w:line="360" w:lineRule="auto"/>
        <w:ind w:firstLine="470" w:firstLineChars="196"/>
        <w:rPr>
          <w:rFonts w:hAnsi="宋体"/>
          <w:color w:val="auto"/>
          <w:sz w:val="24"/>
          <w:szCs w:val="24"/>
        </w:rPr>
      </w:pPr>
      <w:r>
        <w:rPr>
          <w:rFonts w:hint="eastAsia" w:hAnsi="宋体"/>
          <w:color w:val="auto"/>
          <w:sz w:val="24"/>
          <w:szCs w:val="24"/>
        </w:rPr>
        <w:t>下列词语或措辞，除非特别说明，在本合同中均具有以下赋予的含义：</w:t>
      </w:r>
    </w:p>
    <w:p w14:paraId="1814505E">
      <w:pPr>
        <w:pStyle w:val="2"/>
        <w:tabs>
          <w:tab w:val="left" w:pos="1260"/>
          <w:tab w:val="left" w:pos="2160"/>
        </w:tabs>
        <w:adjustRightInd w:val="0"/>
        <w:spacing w:before="120" w:beforeLines="50" w:line="360" w:lineRule="auto"/>
        <w:ind w:firstLine="472" w:firstLineChars="196"/>
        <w:rPr>
          <w:rFonts w:hAnsi="宋体"/>
          <w:color w:val="auto"/>
          <w:sz w:val="24"/>
          <w:szCs w:val="24"/>
          <w:u w:val="dotted"/>
        </w:rPr>
      </w:pPr>
      <w:r>
        <w:rPr>
          <w:rFonts w:hAnsi="宋体"/>
          <w:b/>
          <w:color w:val="auto"/>
          <w:sz w:val="24"/>
          <w:szCs w:val="24"/>
        </w:rPr>
        <w:t xml:space="preserve">1.1  </w:t>
      </w:r>
      <w:r>
        <w:rPr>
          <w:rFonts w:hint="eastAsia" w:hAnsi="宋体"/>
          <w:b/>
          <w:color w:val="auto"/>
          <w:sz w:val="24"/>
          <w:szCs w:val="24"/>
        </w:rPr>
        <w:t>合同：</w:t>
      </w:r>
      <w:r>
        <w:rPr>
          <w:rFonts w:hint="eastAsia" w:hAnsi="宋体"/>
          <w:color w:val="auto"/>
          <w:sz w:val="24"/>
          <w:szCs w:val="24"/>
        </w:rPr>
        <w:t>指合同双方当事人为实施、完成并保修合同工程所订立的合同文件。合同文件由第</w:t>
      </w:r>
      <w:r>
        <w:rPr>
          <w:rFonts w:hAnsi="宋体"/>
          <w:color w:val="auto"/>
          <w:sz w:val="24"/>
          <w:szCs w:val="24"/>
        </w:rPr>
        <w:t>2.2</w:t>
      </w:r>
      <w:r>
        <w:rPr>
          <w:rFonts w:hint="eastAsia" w:hAnsi="宋体"/>
          <w:color w:val="auto"/>
          <w:sz w:val="24"/>
          <w:szCs w:val="24"/>
        </w:rPr>
        <w:t>款所列的文件组成。</w:t>
      </w:r>
    </w:p>
    <w:p w14:paraId="21B96863">
      <w:pPr>
        <w:pStyle w:val="2"/>
        <w:tabs>
          <w:tab w:val="left" w:pos="2160"/>
          <w:tab w:val="left" w:pos="2520"/>
        </w:tabs>
        <w:adjustRightInd w:val="0"/>
        <w:spacing w:before="192" w:beforeLines="80" w:line="360" w:lineRule="auto"/>
        <w:ind w:firstLine="472" w:firstLineChars="196"/>
        <w:rPr>
          <w:rFonts w:hAnsi="宋体"/>
          <w:color w:val="auto"/>
          <w:sz w:val="24"/>
          <w:szCs w:val="24"/>
          <w:u w:val="dotted"/>
        </w:rPr>
      </w:pPr>
      <w:r>
        <w:rPr>
          <w:rFonts w:hAnsi="宋体"/>
          <w:b/>
          <w:color w:val="auto"/>
          <w:sz w:val="24"/>
          <w:szCs w:val="24"/>
        </w:rPr>
        <w:t xml:space="preserve">1.2  </w:t>
      </w:r>
      <w:r>
        <w:rPr>
          <w:rFonts w:hint="eastAsia" w:hAnsi="宋体"/>
          <w:b/>
          <w:color w:val="auto"/>
          <w:sz w:val="24"/>
          <w:szCs w:val="24"/>
        </w:rPr>
        <w:t>协议书</w:t>
      </w:r>
      <w:r>
        <w:rPr>
          <w:rFonts w:hint="eastAsia" w:hAnsi="宋体"/>
          <w:b/>
          <w:bCs/>
          <w:color w:val="auto"/>
          <w:sz w:val="24"/>
          <w:szCs w:val="24"/>
        </w:rPr>
        <w:t>：</w:t>
      </w:r>
      <w:r>
        <w:rPr>
          <w:rFonts w:hint="eastAsia" w:hAnsi="宋体"/>
          <w:color w:val="auto"/>
          <w:sz w:val="24"/>
          <w:szCs w:val="24"/>
        </w:rPr>
        <w:t>指合同双方当事人为合同工程所签订的协议书。除法律另有规定或合同另有约定外，合同双方当事人的法定代表人或其委托代理人在协议书签字、盖单位公章后，合同即告生效。招标工程应当自中标通知书发出之日起</w:t>
      </w:r>
      <w:r>
        <w:rPr>
          <w:rFonts w:hAnsi="宋体"/>
          <w:color w:val="auto"/>
          <w:sz w:val="24"/>
          <w:szCs w:val="24"/>
        </w:rPr>
        <w:t>30</w:t>
      </w:r>
      <w:r>
        <w:rPr>
          <w:rFonts w:hint="eastAsia" w:hAnsi="宋体"/>
          <w:color w:val="auto"/>
          <w:sz w:val="24"/>
          <w:szCs w:val="24"/>
        </w:rPr>
        <w:t>天内签订。</w:t>
      </w:r>
    </w:p>
    <w:p w14:paraId="513D1956">
      <w:pPr>
        <w:pStyle w:val="2"/>
        <w:tabs>
          <w:tab w:val="left" w:pos="2160"/>
        </w:tabs>
        <w:adjustRightInd w:val="0"/>
        <w:spacing w:before="192" w:beforeLines="80" w:line="360" w:lineRule="auto"/>
        <w:ind w:firstLine="472" w:firstLineChars="196"/>
        <w:rPr>
          <w:rFonts w:hAnsi="宋体"/>
          <w:color w:val="auto"/>
          <w:sz w:val="24"/>
          <w:szCs w:val="24"/>
        </w:rPr>
      </w:pPr>
      <w:r>
        <w:rPr>
          <w:rFonts w:hAnsi="宋体"/>
          <w:b/>
          <w:bCs/>
          <w:color w:val="auto"/>
          <w:sz w:val="24"/>
          <w:szCs w:val="24"/>
        </w:rPr>
        <w:t xml:space="preserve">1.3  </w:t>
      </w:r>
      <w:r>
        <w:rPr>
          <w:rFonts w:hint="eastAsia" w:hAnsi="宋体"/>
          <w:b/>
          <w:bCs/>
          <w:color w:val="auto"/>
          <w:sz w:val="24"/>
          <w:szCs w:val="24"/>
        </w:rPr>
        <w:t>通用条款：</w:t>
      </w:r>
      <w:r>
        <w:rPr>
          <w:rFonts w:hint="eastAsia" w:hAnsi="宋体"/>
          <w:color w:val="auto"/>
          <w:sz w:val="24"/>
          <w:szCs w:val="24"/>
        </w:rPr>
        <w:t>指根据法律、法规和规章的规定以及建设工程施工的需要所订立的，通用于建设工程施工的条款。</w:t>
      </w:r>
    </w:p>
    <w:p w14:paraId="52105F57">
      <w:pPr>
        <w:pStyle w:val="2"/>
        <w:tabs>
          <w:tab w:val="left" w:pos="2160"/>
          <w:tab w:val="left" w:pos="2520"/>
        </w:tabs>
        <w:adjustRightInd w:val="0"/>
        <w:spacing w:before="192" w:beforeLines="80" w:line="360" w:lineRule="auto"/>
        <w:ind w:firstLine="472" w:firstLineChars="196"/>
        <w:jc w:val="left"/>
        <w:rPr>
          <w:rFonts w:hAnsi="宋体"/>
          <w:color w:val="auto"/>
          <w:sz w:val="24"/>
          <w:szCs w:val="24"/>
          <w:u w:val="dotted"/>
        </w:rPr>
      </w:pPr>
      <w:r>
        <w:rPr>
          <w:rFonts w:hAnsi="宋体"/>
          <w:b/>
          <w:bCs/>
          <w:color w:val="auto"/>
          <w:sz w:val="24"/>
          <w:szCs w:val="24"/>
        </w:rPr>
        <w:t xml:space="preserve">1.4  </w:t>
      </w:r>
      <w:r>
        <w:rPr>
          <w:rFonts w:hint="eastAsia" w:hAnsi="宋体"/>
          <w:b/>
          <w:bCs/>
          <w:color w:val="auto"/>
          <w:sz w:val="24"/>
          <w:szCs w:val="24"/>
        </w:rPr>
        <w:t>专用条款：</w:t>
      </w:r>
      <w:r>
        <w:rPr>
          <w:rFonts w:hint="eastAsia" w:hAnsi="宋体"/>
          <w:color w:val="auto"/>
          <w:sz w:val="24"/>
          <w:szCs w:val="24"/>
        </w:rPr>
        <w:t>指合同双方当事人根据法律、法规和规章的规定，结合本合同工程实际，经协商达成一致意见的，专用于本合同工程施工的条款。它是对通用条款的具体化，也是对通用条款的补充和完善。招标工程的专用条款，应当符合招标文件的实质性要求。</w:t>
      </w:r>
    </w:p>
    <w:p w14:paraId="492F3FFF">
      <w:pPr>
        <w:pStyle w:val="2"/>
        <w:tabs>
          <w:tab w:val="left" w:pos="2160"/>
        </w:tabs>
        <w:adjustRightInd w:val="0"/>
        <w:spacing w:before="192" w:beforeLines="80" w:line="360" w:lineRule="auto"/>
        <w:ind w:firstLine="472" w:firstLineChars="196"/>
        <w:rPr>
          <w:rFonts w:hAnsi="宋体"/>
          <w:color w:val="auto"/>
          <w:sz w:val="24"/>
          <w:szCs w:val="24"/>
          <w:u w:val="dotted"/>
        </w:rPr>
      </w:pPr>
      <w:r>
        <w:rPr>
          <w:rFonts w:hAnsi="宋体"/>
          <w:b/>
          <w:color w:val="auto"/>
          <w:sz w:val="24"/>
          <w:szCs w:val="24"/>
        </w:rPr>
        <w:t xml:space="preserve">1.5  </w:t>
      </w:r>
      <w:r>
        <w:rPr>
          <w:rFonts w:hint="eastAsia" w:hAnsi="宋体"/>
          <w:b/>
          <w:color w:val="auto"/>
          <w:sz w:val="24"/>
          <w:szCs w:val="24"/>
        </w:rPr>
        <w:t>中标通知书：</w:t>
      </w:r>
      <w:r>
        <w:rPr>
          <w:rFonts w:hint="eastAsia" w:hAnsi="宋体"/>
          <w:color w:val="auto"/>
          <w:sz w:val="24"/>
          <w:szCs w:val="24"/>
        </w:rPr>
        <w:t>指发包人正式接受中标人投标文件的函件。</w:t>
      </w:r>
    </w:p>
    <w:p w14:paraId="38792EF4">
      <w:pPr>
        <w:pStyle w:val="2"/>
        <w:tabs>
          <w:tab w:val="left" w:pos="2160"/>
        </w:tabs>
        <w:adjustRightInd w:val="0"/>
        <w:spacing w:before="192" w:beforeLines="80" w:line="360" w:lineRule="auto"/>
        <w:ind w:firstLine="472" w:firstLineChars="196"/>
        <w:jc w:val="left"/>
        <w:rPr>
          <w:rFonts w:hAnsi="宋体"/>
          <w:color w:val="auto"/>
          <w:sz w:val="24"/>
          <w:szCs w:val="24"/>
        </w:rPr>
      </w:pPr>
      <w:r>
        <w:rPr>
          <w:rFonts w:hAnsi="宋体"/>
          <w:b/>
          <w:color w:val="auto"/>
          <w:sz w:val="24"/>
          <w:szCs w:val="24"/>
        </w:rPr>
        <w:t xml:space="preserve">1.6  </w:t>
      </w:r>
      <w:r>
        <w:rPr>
          <w:rFonts w:hint="eastAsia" w:hAnsi="宋体"/>
          <w:b/>
          <w:color w:val="auto"/>
          <w:sz w:val="24"/>
          <w:szCs w:val="24"/>
        </w:rPr>
        <w:t>承包人投标文件：</w:t>
      </w:r>
      <w:r>
        <w:rPr>
          <w:rFonts w:hint="eastAsia" w:hAnsi="宋体"/>
          <w:color w:val="auto"/>
          <w:sz w:val="24"/>
          <w:szCs w:val="24"/>
        </w:rPr>
        <w:t>指构成合同文件组成部分的，由承包人根据招标文件编制完成、签字并被中标通知书所接受的，承包人为实施、完成并保修合同工程向发包人提交的技术、经济文件。</w:t>
      </w:r>
    </w:p>
    <w:p w14:paraId="06998485">
      <w:pPr>
        <w:pStyle w:val="2"/>
        <w:tabs>
          <w:tab w:val="left" w:pos="2160"/>
          <w:tab w:val="left" w:pos="2520"/>
        </w:tabs>
        <w:adjustRightInd w:val="0"/>
        <w:spacing w:before="192" w:beforeLines="80" w:line="360" w:lineRule="auto"/>
        <w:ind w:firstLine="472" w:firstLineChars="196"/>
        <w:jc w:val="left"/>
        <w:rPr>
          <w:rFonts w:hAnsi="宋体"/>
          <w:color w:val="auto"/>
          <w:sz w:val="24"/>
          <w:szCs w:val="24"/>
        </w:rPr>
      </w:pPr>
      <w:r>
        <w:rPr>
          <w:rFonts w:hAnsi="宋体"/>
          <w:b/>
          <w:color w:val="auto"/>
          <w:sz w:val="24"/>
          <w:szCs w:val="24"/>
        </w:rPr>
        <w:t xml:space="preserve">1.7  </w:t>
      </w:r>
      <w:r>
        <w:rPr>
          <w:rFonts w:hint="eastAsia" w:hAnsi="宋体"/>
          <w:b/>
          <w:color w:val="auto"/>
          <w:sz w:val="24"/>
          <w:szCs w:val="24"/>
        </w:rPr>
        <w:t>标准、规范及有关技术文件：</w:t>
      </w:r>
      <w:r>
        <w:rPr>
          <w:rFonts w:hint="eastAsia" w:hAnsi="宋体"/>
          <w:color w:val="auto"/>
          <w:sz w:val="24"/>
          <w:szCs w:val="24"/>
        </w:rPr>
        <w:t>指构成合同文件组成部分的，本合同所指明的和合同工程依法应适用的标准与规范，以及监理工程师、造价工程师对有关技术方面问题做出的补充、修改和批准文件。</w:t>
      </w:r>
    </w:p>
    <w:p w14:paraId="5A1B92E6">
      <w:pPr>
        <w:pStyle w:val="2"/>
        <w:tabs>
          <w:tab w:val="left" w:pos="2160"/>
          <w:tab w:val="left" w:pos="2520"/>
        </w:tabs>
        <w:adjustRightInd w:val="0"/>
        <w:spacing w:before="192" w:beforeLines="80" w:line="360" w:lineRule="auto"/>
        <w:ind w:firstLine="472" w:firstLineChars="196"/>
        <w:jc w:val="left"/>
        <w:rPr>
          <w:rFonts w:hAnsi="宋体"/>
          <w:color w:val="auto"/>
          <w:sz w:val="24"/>
          <w:szCs w:val="24"/>
        </w:rPr>
      </w:pPr>
      <w:r>
        <w:rPr>
          <w:rFonts w:hAnsi="宋体"/>
          <w:b/>
          <w:color w:val="auto"/>
          <w:sz w:val="24"/>
          <w:szCs w:val="24"/>
        </w:rPr>
        <w:t xml:space="preserve">1.8  </w:t>
      </w:r>
      <w:r>
        <w:rPr>
          <w:rFonts w:hint="eastAsia" w:hAnsi="宋体"/>
          <w:b/>
          <w:color w:val="auto"/>
          <w:sz w:val="24"/>
          <w:szCs w:val="24"/>
        </w:rPr>
        <w:t>施工设计图纸：</w:t>
      </w:r>
      <w:r>
        <w:rPr>
          <w:rFonts w:hint="eastAsia" w:hAnsi="宋体"/>
          <w:color w:val="auto"/>
          <w:sz w:val="24"/>
          <w:szCs w:val="24"/>
        </w:rPr>
        <w:t>指构成合同文件组成部分的，按规定审批的由发包人提供或经发包人批准由承包人提供，满足承包人施工需要的所有施工图纸（包括任何补充和修改的施工图纸、配套说明和有关资料）。</w:t>
      </w:r>
    </w:p>
    <w:p w14:paraId="052277C8">
      <w:pPr>
        <w:pStyle w:val="2"/>
        <w:tabs>
          <w:tab w:val="left" w:pos="2160"/>
        </w:tabs>
        <w:adjustRightInd w:val="0"/>
        <w:spacing w:before="192" w:beforeLines="80" w:line="360" w:lineRule="auto"/>
        <w:ind w:firstLine="472" w:firstLineChars="196"/>
        <w:jc w:val="left"/>
        <w:rPr>
          <w:rFonts w:hAnsi="宋体"/>
          <w:color w:val="auto"/>
          <w:sz w:val="24"/>
          <w:szCs w:val="24"/>
        </w:rPr>
      </w:pPr>
      <w:r>
        <w:rPr>
          <w:rFonts w:hAnsi="宋体"/>
          <w:b/>
          <w:color w:val="auto"/>
          <w:sz w:val="24"/>
          <w:szCs w:val="24"/>
        </w:rPr>
        <w:t xml:space="preserve">1.9  </w:t>
      </w:r>
      <w:r>
        <w:rPr>
          <w:rFonts w:hint="eastAsia" w:hAnsi="宋体"/>
          <w:b/>
          <w:color w:val="auto"/>
          <w:sz w:val="24"/>
          <w:szCs w:val="24"/>
        </w:rPr>
        <w:t>工程量清单：</w:t>
      </w:r>
      <w:r>
        <w:rPr>
          <w:rFonts w:hint="eastAsia" w:hAnsi="宋体"/>
          <w:color w:val="auto"/>
          <w:sz w:val="24"/>
          <w:szCs w:val="24"/>
        </w:rPr>
        <w:t>指构成合同文件组成部分的</w:t>
      </w:r>
      <w:r>
        <w:rPr>
          <w:rFonts w:hAnsi="宋体"/>
          <w:color w:val="auto"/>
          <w:sz w:val="24"/>
          <w:szCs w:val="24"/>
        </w:rPr>
        <w:t>,</w:t>
      </w:r>
      <w:r>
        <w:rPr>
          <w:rFonts w:hint="eastAsia" w:hAnsi="宋体"/>
          <w:color w:val="auto"/>
          <w:sz w:val="24"/>
          <w:szCs w:val="24"/>
        </w:rPr>
        <w:t>由发包人在招标文件中提供的</w:t>
      </w:r>
      <w:r>
        <w:rPr>
          <w:rFonts w:hAnsi="宋体"/>
          <w:color w:val="auto"/>
          <w:sz w:val="24"/>
          <w:szCs w:val="24"/>
        </w:rPr>
        <w:t>,</w:t>
      </w:r>
      <w:r>
        <w:rPr>
          <w:rFonts w:hint="eastAsia" w:hAnsi="宋体"/>
          <w:color w:val="auto"/>
          <w:sz w:val="24"/>
          <w:szCs w:val="24"/>
        </w:rPr>
        <w:t>合同工程分部分项工程项目、措施项目、其他项目、规费项目和税金项目的名称和相应数量等的明细清单。</w:t>
      </w:r>
    </w:p>
    <w:p w14:paraId="2C1B8EF9">
      <w:pPr>
        <w:pStyle w:val="2"/>
        <w:tabs>
          <w:tab w:val="left" w:pos="2160"/>
        </w:tabs>
        <w:adjustRightInd w:val="0"/>
        <w:spacing w:before="192" w:beforeLines="80" w:line="360" w:lineRule="auto"/>
        <w:ind w:firstLine="472" w:firstLineChars="196"/>
        <w:jc w:val="left"/>
        <w:rPr>
          <w:rFonts w:hAnsi="宋体"/>
          <w:color w:val="auto"/>
          <w:sz w:val="24"/>
          <w:szCs w:val="24"/>
        </w:rPr>
      </w:pPr>
      <w:r>
        <w:rPr>
          <w:rFonts w:hAnsi="宋体"/>
          <w:b/>
          <w:color w:val="auto"/>
          <w:sz w:val="24"/>
          <w:szCs w:val="24"/>
        </w:rPr>
        <w:t xml:space="preserve">1.10  </w:t>
      </w:r>
      <w:r>
        <w:rPr>
          <w:rFonts w:hint="eastAsia" w:hAnsi="宋体"/>
          <w:b/>
          <w:color w:val="auto"/>
          <w:sz w:val="24"/>
          <w:szCs w:val="24"/>
        </w:rPr>
        <w:t>发包人：</w:t>
      </w:r>
      <w:r>
        <w:rPr>
          <w:rFonts w:hint="eastAsia" w:hAnsi="宋体"/>
          <w:color w:val="auto"/>
          <w:sz w:val="24"/>
          <w:szCs w:val="24"/>
        </w:rPr>
        <w:t>指在协议书中约定，具有工程发包主体资格和支付工程款能力的当事人，以及取得该当事人资格的合法继承人。</w:t>
      </w:r>
    </w:p>
    <w:p w14:paraId="3DB3688D">
      <w:pPr>
        <w:pStyle w:val="2"/>
        <w:tabs>
          <w:tab w:val="left" w:pos="1980"/>
        </w:tabs>
        <w:adjustRightInd w:val="0"/>
        <w:spacing w:before="192" w:beforeLines="80" w:line="360" w:lineRule="auto"/>
        <w:ind w:firstLine="472" w:firstLineChars="196"/>
        <w:rPr>
          <w:rFonts w:hAnsi="宋体"/>
          <w:color w:val="auto"/>
          <w:sz w:val="24"/>
          <w:szCs w:val="24"/>
        </w:rPr>
      </w:pPr>
      <w:r>
        <w:rPr>
          <w:rFonts w:hAnsi="宋体"/>
          <w:b/>
          <w:color w:val="auto"/>
          <w:sz w:val="24"/>
          <w:szCs w:val="24"/>
        </w:rPr>
        <w:t xml:space="preserve">1.11  </w:t>
      </w:r>
      <w:r>
        <w:rPr>
          <w:rFonts w:hint="eastAsia" w:hAnsi="宋体"/>
          <w:b/>
          <w:color w:val="auto"/>
          <w:sz w:val="24"/>
          <w:szCs w:val="24"/>
        </w:rPr>
        <w:t>承包人：</w:t>
      </w:r>
      <w:r>
        <w:rPr>
          <w:rFonts w:hint="eastAsia" w:hAnsi="宋体"/>
          <w:color w:val="auto"/>
          <w:sz w:val="24"/>
          <w:szCs w:val="24"/>
        </w:rPr>
        <w:t>指在协议书中约定，被发包人接受且具有工程施工承包主体资格的当事人，以及取得该当事人资格的合法继承人。</w:t>
      </w:r>
    </w:p>
    <w:p w14:paraId="6B7E25D6">
      <w:pPr>
        <w:pStyle w:val="2"/>
        <w:tabs>
          <w:tab w:val="left" w:pos="1980"/>
        </w:tabs>
        <w:spacing w:before="192" w:beforeLines="80" w:line="360" w:lineRule="auto"/>
        <w:ind w:firstLine="472" w:firstLineChars="196"/>
        <w:rPr>
          <w:rFonts w:hAnsi="宋体"/>
          <w:color w:val="auto"/>
          <w:sz w:val="24"/>
          <w:szCs w:val="24"/>
        </w:rPr>
      </w:pPr>
      <w:r>
        <w:rPr>
          <w:rFonts w:hAnsi="宋体"/>
          <w:b/>
          <w:color w:val="auto"/>
          <w:sz w:val="24"/>
          <w:szCs w:val="24"/>
        </w:rPr>
        <w:t xml:space="preserve">1.12  </w:t>
      </w:r>
      <w:r>
        <w:rPr>
          <w:rFonts w:hint="eastAsia" w:hAnsi="宋体"/>
          <w:b/>
          <w:color w:val="auto"/>
          <w:sz w:val="24"/>
          <w:szCs w:val="24"/>
        </w:rPr>
        <w:t>分包人：</w:t>
      </w:r>
      <w:r>
        <w:rPr>
          <w:rFonts w:hint="eastAsia" w:hAnsi="宋体"/>
          <w:color w:val="auto"/>
          <w:sz w:val="24"/>
          <w:szCs w:val="24"/>
        </w:rPr>
        <w:t>指被发包人接受且具有相应资格，并与承包人签订了分包合同，分包合同工程某一部分的当事人，以及取得该当事人资格的合法继承人。</w:t>
      </w:r>
    </w:p>
    <w:p w14:paraId="1D93FE74">
      <w:pPr>
        <w:pStyle w:val="2"/>
        <w:tabs>
          <w:tab w:val="left" w:pos="1980"/>
          <w:tab w:val="left" w:pos="2160"/>
        </w:tabs>
        <w:spacing w:before="192" w:beforeLines="80" w:line="360" w:lineRule="auto"/>
        <w:ind w:firstLine="472" w:firstLineChars="196"/>
        <w:rPr>
          <w:rFonts w:hAnsi="宋体"/>
          <w:color w:val="auto"/>
          <w:sz w:val="24"/>
          <w:szCs w:val="24"/>
        </w:rPr>
      </w:pPr>
      <w:r>
        <w:rPr>
          <w:rFonts w:hAnsi="宋体"/>
          <w:b/>
          <w:color w:val="auto"/>
          <w:sz w:val="24"/>
          <w:szCs w:val="24"/>
        </w:rPr>
        <w:t xml:space="preserve">1.13  </w:t>
      </w:r>
      <w:r>
        <w:rPr>
          <w:rFonts w:hint="eastAsia" w:hAnsi="宋体"/>
          <w:b/>
          <w:color w:val="auto"/>
          <w:sz w:val="24"/>
          <w:szCs w:val="24"/>
        </w:rPr>
        <w:t>第三方：</w:t>
      </w:r>
      <w:r>
        <w:rPr>
          <w:rFonts w:hint="eastAsia" w:hAnsi="宋体"/>
          <w:color w:val="auto"/>
          <w:sz w:val="24"/>
          <w:szCs w:val="24"/>
        </w:rPr>
        <w:t>除合同双方当事人</w:t>
      </w:r>
      <w:r>
        <w:rPr>
          <w:rFonts w:hAnsi="宋体"/>
          <w:color w:val="auto"/>
          <w:sz w:val="24"/>
          <w:szCs w:val="24"/>
        </w:rPr>
        <w:t>(</w:t>
      </w:r>
      <w:r>
        <w:rPr>
          <w:rFonts w:hint="eastAsia" w:hAnsi="宋体"/>
          <w:color w:val="auto"/>
          <w:sz w:val="24"/>
          <w:szCs w:val="24"/>
        </w:rPr>
        <w:t>含双方雇员及代表其工作的人员</w:t>
      </w:r>
      <w:r>
        <w:rPr>
          <w:rFonts w:hAnsi="宋体"/>
          <w:color w:val="auto"/>
          <w:sz w:val="24"/>
          <w:szCs w:val="24"/>
        </w:rPr>
        <w:t>)</w:t>
      </w:r>
      <w:r>
        <w:rPr>
          <w:rFonts w:hint="eastAsia" w:hAnsi="宋体"/>
          <w:color w:val="auto"/>
          <w:sz w:val="24"/>
          <w:szCs w:val="24"/>
        </w:rPr>
        <w:t>以外的任何他人或组织。</w:t>
      </w:r>
    </w:p>
    <w:p w14:paraId="31524D11">
      <w:pPr>
        <w:pStyle w:val="2"/>
        <w:tabs>
          <w:tab w:val="left" w:pos="1980"/>
          <w:tab w:val="left" w:pos="2160"/>
        </w:tabs>
        <w:spacing w:before="192" w:beforeLines="80" w:line="360" w:lineRule="auto"/>
        <w:ind w:firstLine="472" w:firstLineChars="196"/>
        <w:rPr>
          <w:rFonts w:hAnsi="宋体"/>
          <w:color w:val="auto"/>
          <w:sz w:val="24"/>
          <w:szCs w:val="24"/>
        </w:rPr>
      </w:pPr>
      <w:r>
        <w:rPr>
          <w:rFonts w:hAnsi="宋体"/>
          <w:b/>
          <w:color w:val="auto"/>
          <w:sz w:val="24"/>
          <w:szCs w:val="24"/>
        </w:rPr>
        <w:t xml:space="preserve">1.14  </w:t>
      </w:r>
      <w:r>
        <w:rPr>
          <w:rFonts w:hint="eastAsia" w:hAnsi="宋体"/>
          <w:b/>
          <w:color w:val="auto"/>
          <w:sz w:val="24"/>
          <w:szCs w:val="24"/>
        </w:rPr>
        <w:t>设计人：</w:t>
      </w:r>
      <w:r>
        <w:rPr>
          <w:rFonts w:hint="eastAsia" w:hAnsi="宋体"/>
          <w:color w:val="auto"/>
          <w:sz w:val="24"/>
          <w:szCs w:val="24"/>
        </w:rPr>
        <w:t>指受发包人委托的，负责合同工程的工程设计专业技术且具有相应工程设计资质的当事人，以及取得该当事人资格的合法继承人。</w:t>
      </w:r>
    </w:p>
    <w:p w14:paraId="47F9F42E">
      <w:pPr>
        <w:pStyle w:val="2"/>
        <w:tabs>
          <w:tab w:val="left" w:pos="1980"/>
          <w:tab w:val="left" w:pos="2160"/>
        </w:tabs>
        <w:spacing w:before="192" w:beforeLines="80" w:line="360" w:lineRule="auto"/>
        <w:ind w:firstLine="472" w:firstLineChars="196"/>
        <w:rPr>
          <w:rFonts w:hAnsi="宋体"/>
          <w:color w:val="auto"/>
          <w:sz w:val="24"/>
          <w:szCs w:val="24"/>
        </w:rPr>
      </w:pPr>
      <w:r>
        <w:rPr>
          <w:rFonts w:hAnsi="宋体"/>
          <w:b/>
          <w:color w:val="auto"/>
          <w:sz w:val="24"/>
          <w:szCs w:val="24"/>
        </w:rPr>
        <w:t xml:space="preserve">1.15  </w:t>
      </w:r>
      <w:r>
        <w:rPr>
          <w:rFonts w:hint="eastAsia" w:hAnsi="宋体"/>
          <w:b/>
          <w:color w:val="auto"/>
          <w:sz w:val="24"/>
          <w:szCs w:val="24"/>
        </w:rPr>
        <w:t>监理人：</w:t>
      </w:r>
      <w:r>
        <w:rPr>
          <w:rFonts w:hint="eastAsia" w:hAnsi="宋体"/>
          <w:color w:val="auto"/>
          <w:sz w:val="24"/>
          <w:szCs w:val="24"/>
        </w:rPr>
        <w:t>指受发包人委托的，负责合同工程的工程监理专业技术且具有相应工程监理资质的当事人，以及取得该当事人资格的合法继承人。</w:t>
      </w:r>
    </w:p>
    <w:p w14:paraId="7CF49DE4">
      <w:pPr>
        <w:pStyle w:val="2"/>
        <w:tabs>
          <w:tab w:val="left" w:pos="1980"/>
          <w:tab w:val="left" w:pos="2160"/>
        </w:tabs>
        <w:spacing w:before="192" w:beforeLines="80" w:line="360" w:lineRule="auto"/>
        <w:ind w:firstLine="472" w:firstLineChars="196"/>
        <w:rPr>
          <w:rFonts w:hAnsi="宋体"/>
          <w:color w:val="auto"/>
          <w:sz w:val="24"/>
          <w:szCs w:val="24"/>
        </w:rPr>
      </w:pPr>
      <w:r>
        <w:rPr>
          <w:rFonts w:hAnsi="宋体"/>
          <w:b/>
          <w:color w:val="auto"/>
          <w:sz w:val="24"/>
          <w:szCs w:val="24"/>
        </w:rPr>
        <w:t xml:space="preserve">1.16  </w:t>
      </w:r>
      <w:r>
        <w:rPr>
          <w:rFonts w:hint="eastAsia" w:hAnsi="宋体"/>
          <w:b/>
          <w:color w:val="auto"/>
          <w:sz w:val="24"/>
          <w:szCs w:val="24"/>
        </w:rPr>
        <w:t>工程造价咨询人：</w:t>
      </w:r>
      <w:r>
        <w:rPr>
          <w:rFonts w:hint="eastAsia" w:hAnsi="宋体"/>
          <w:color w:val="auto"/>
          <w:sz w:val="24"/>
          <w:szCs w:val="24"/>
        </w:rPr>
        <w:t>指受发包人委托的，负责合同工程的工程造价专业技术且具有相应工程造价咨询资质的当事人，以及取得该当事人资格的合法继承人。</w:t>
      </w:r>
    </w:p>
    <w:p w14:paraId="017C85FB">
      <w:pPr>
        <w:pStyle w:val="2"/>
        <w:tabs>
          <w:tab w:val="left" w:pos="1980"/>
          <w:tab w:val="left" w:pos="2160"/>
          <w:tab w:val="left" w:pos="2520"/>
        </w:tabs>
        <w:spacing w:before="192" w:beforeLines="80" w:line="360" w:lineRule="auto"/>
        <w:ind w:firstLine="472" w:firstLineChars="196"/>
        <w:rPr>
          <w:rFonts w:hAnsi="宋体"/>
          <w:color w:val="auto"/>
          <w:sz w:val="24"/>
          <w:szCs w:val="24"/>
        </w:rPr>
      </w:pPr>
      <w:r>
        <w:rPr>
          <w:rFonts w:hAnsi="宋体"/>
          <w:b/>
          <w:color w:val="auto"/>
          <w:sz w:val="24"/>
          <w:szCs w:val="24"/>
        </w:rPr>
        <w:t xml:space="preserve">1.17  </w:t>
      </w:r>
      <w:r>
        <w:rPr>
          <w:rFonts w:hint="eastAsia" w:hAnsi="宋体"/>
          <w:b/>
          <w:color w:val="auto"/>
          <w:sz w:val="24"/>
          <w:szCs w:val="24"/>
        </w:rPr>
        <w:t>工程造价管理机构：</w:t>
      </w:r>
      <w:r>
        <w:rPr>
          <w:rFonts w:hint="eastAsia" w:hAnsi="宋体"/>
          <w:color w:val="auto"/>
          <w:sz w:val="24"/>
          <w:szCs w:val="24"/>
        </w:rPr>
        <w:t>指国务院有关部门、县级以上人民政府建设行政主管部门或受其委托的工程造价管理机构。</w:t>
      </w:r>
    </w:p>
    <w:p w14:paraId="376B90EE">
      <w:pPr>
        <w:pStyle w:val="2"/>
        <w:tabs>
          <w:tab w:val="left" w:pos="1980"/>
          <w:tab w:val="left" w:pos="2160"/>
          <w:tab w:val="left" w:pos="2520"/>
        </w:tabs>
        <w:spacing w:before="192" w:beforeLines="80" w:line="360" w:lineRule="auto"/>
        <w:ind w:firstLine="472" w:firstLineChars="196"/>
        <w:rPr>
          <w:rFonts w:hAnsi="宋体"/>
          <w:color w:val="auto"/>
          <w:sz w:val="24"/>
          <w:szCs w:val="24"/>
        </w:rPr>
      </w:pPr>
      <w:r>
        <w:rPr>
          <w:rFonts w:hAnsi="宋体"/>
          <w:b/>
          <w:color w:val="auto"/>
          <w:sz w:val="24"/>
          <w:szCs w:val="24"/>
        </w:rPr>
        <w:t xml:space="preserve">1.18  </w:t>
      </w:r>
      <w:r>
        <w:rPr>
          <w:rFonts w:hint="eastAsia" w:hAnsi="宋体"/>
          <w:b/>
          <w:color w:val="auto"/>
          <w:sz w:val="24"/>
          <w:szCs w:val="24"/>
        </w:rPr>
        <w:t>发包人代表：</w:t>
      </w:r>
      <w:r>
        <w:rPr>
          <w:rFonts w:hint="eastAsia" w:hAnsi="宋体"/>
          <w:color w:val="auto"/>
          <w:sz w:val="24"/>
          <w:szCs w:val="24"/>
        </w:rPr>
        <w:t>指发包人指定的，履行本合同的全权代表。发包人代表由发包人依据第</w:t>
      </w:r>
      <w:r>
        <w:rPr>
          <w:rFonts w:hAnsi="宋体"/>
          <w:color w:val="auto"/>
          <w:sz w:val="24"/>
          <w:szCs w:val="24"/>
        </w:rPr>
        <w:t>22.1</w:t>
      </w:r>
      <w:r>
        <w:rPr>
          <w:rFonts w:hint="eastAsia" w:hAnsi="宋体"/>
          <w:color w:val="auto"/>
          <w:sz w:val="24"/>
          <w:szCs w:val="24"/>
        </w:rPr>
        <w:t>款规定任命并书面通知承包人。</w:t>
      </w:r>
    </w:p>
    <w:p w14:paraId="2035B9DE">
      <w:pPr>
        <w:pStyle w:val="2"/>
        <w:tabs>
          <w:tab w:val="left" w:pos="1260"/>
          <w:tab w:val="left" w:pos="1980"/>
          <w:tab w:val="left" w:pos="2160"/>
        </w:tabs>
        <w:spacing w:before="192" w:beforeLines="80" w:line="360" w:lineRule="auto"/>
        <w:ind w:firstLine="472" w:firstLineChars="196"/>
        <w:rPr>
          <w:rFonts w:hAnsi="宋体"/>
          <w:color w:val="auto"/>
          <w:sz w:val="24"/>
          <w:szCs w:val="24"/>
        </w:rPr>
      </w:pPr>
      <w:r>
        <w:rPr>
          <w:rFonts w:hAnsi="宋体"/>
          <w:b/>
          <w:color w:val="auto"/>
          <w:sz w:val="24"/>
          <w:szCs w:val="24"/>
        </w:rPr>
        <w:t xml:space="preserve">1.19  </w:t>
      </w:r>
      <w:r>
        <w:rPr>
          <w:rFonts w:hint="eastAsia" w:hAnsi="宋体"/>
          <w:b/>
          <w:color w:val="auto"/>
          <w:sz w:val="24"/>
          <w:szCs w:val="24"/>
        </w:rPr>
        <w:t>监理工程师：</w:t>
      </w:r>
      <w:r>
        <w:rPr>
          <w:rFonts w:hint="eastAsia" w:hAnsi="宋体"/>
          <w:color w:val="auto"/>
          <w:sz w:val="24"/>
          <w:szCs w:val="24"/>
        </w:rPr>
        <w:t>指监理人委派常驻施工现场负责合同工程的工程监理专业技术的专业人员。监理工程师由监理人提名，经发包人依据第</w:t>
      </w:r>
      <w:r>
        <w:rPr>
          <w:rFonts w:hAnsi="宋体"/>
          <w:color w:val="auto"/>
          <w:sz w:val="24"/>
          <w:szCs w:val="24"/>
        </w:rPr>
        <w:t>23.1</w:t>
      </w:r>
      <w:r>
        <w:rPr>
          <w:rFonts w:hint="eastAsia" w:hAnsi="宋体"/>
          <w:color w:val="auto"/>
          <w:sz w:val="24"/>
          <w:szCs w:val="24"/>
        </w:rPr>
        <w:t>款规定任命并书面通知承包人。</w:t>
      </w:r>
    </w:p>
    <w:p w14:paraId="5F408EB3">
      <w:pPr>
        <w:pStyle w:val="2"/>
        <w:tabs>
          <w:tab w:val="left" w:pos="1980"/>
          <w:tab w:val="left" w:pos="2160"/>
        </w:tabs>
        <w:spacing w:before="192" w:beforeLines="80" w:line="360" w:lineRule="auto"/>
        <w:ind w:firstLine="472" w:firstLineChars="196"/>
        <w:rPr>
          <w:rFonts w:hAnsi="宋体"/>
          <w:color w:val="auto"/>
          <w:sz w:val="24"/>
          <w:szCs w:val="24"/>
        </w:rPr>
      </w:pPr>
      <w:r>
        <w:rPr>
          <w:rFonts w:hAnsi="宋体"/>
          <w:b/>
          <w:color w:val="auto"/>
          <w:sz w:val="24"/>
          <w:szCs w:val="24"/>
        </w:rPr>
        <w:t xml:space="preserve">1.20  </w:t>
      </w:r>
      <w:r>
        <w:rPr>
          <w:rFonts w:hint="eastAsia" w:hAnsi="宋体"/>
          <w:b/>
          <w:color w:val="auto"/>
          <w:sz w:val="24"/>
          <w:szCs w:val="24"/>
        </w:rPr>
        <w:t>造价工程师：</w:t>
      </w:r>
      <w:r>
        <w:rPr>
          <w:rFonts w:hint="eastAsia" w:hAnsi="宋体"/>
          <w:color w:val="auto"/>
          <w:sz w:val="24"/>
          <w:szCs w:val="24"/>
        </w:rPr>
        <w:t>指工程造价咨询人委派常驻施工现场负责合同工程的工程造价专业技术的专业人员。造价工程师由工程造价咨询人提名，经发包人依据第</w:t>
      </w:r>
      <w:r>
        <w:rPr>
          <w:rFonts w:hAnsi="宋体"/>
          <w:color w:val="auto"/>
          <w:sz w:val="24"/>
          <w:szCs w:val="24"/>
        </w:rPr>
        <w:t>24.1</w:t>
      </w:r>
      <w:r>
        <w:rPr>
          <w:rFonts w:hint="eastAsia" w:hAnsi="宋体"/>
          <w:color w:val="auto"/>
          <w:sz w:val="24"/>
          <w:szCs w:val="24"/>
        </w:rPr>
        <w:t>款规定任命并书面通知承包人。</w:t>
      </w:r>
    </w:p>
    <w:p w14:paraId="493AC5DB">
      <w:pPr>
        <w:pStyle w:val="2"/>
        <w:tabs>
          <w:tab w:val="left" w:pos="1620"/>
          <w:tab w:val="left" w:pos="1980"/>
        </w:tabs>
        <w:spacing w:before="192" w:beforeLines="80" w:line="360" w:lineRule="auto"/>
        <w:ind w:firstLine="472" w:firstLineChars="196"/>
        <w:jc w:val="left"/>
        <w:rPr>
          <w:rFonts w:hAnsi="宋体"/>
          <w:color w:val="auto"/>
          <w:sz w:val="24"/>
          <w:szCs w:val="24"/>
        </w:rPr>
      </w:pPr>
      <w:r>
        <w:rPr>
          <w:rFonts w:hAnsi="宋体"/>
          <w:b/>
          <w:color w:val="auto"/>
          <w:sz w:val="24"/>
          <w:szCs w:val="24"/>
        </w:rPr>
        <w:t xml:space="preserve">1.21  </w:t>
      </w:r>
      <w:r>
        <w:rPr>
          <w:rFonts w:hint="eastAsia" w:hAnsi="宋体"/>
          <w:b/>
          <w:color w:val="auto"/>
          <w:sz w:val="24"/>
          <w:szCs w:val="24"/>
        </w:rPr>
        <w:t>承包人代表：</w:t>
      </w:r>
      <w:r>
        <w:rPr>
          <w:rFonts w:hint="eastAsia" w:hAnsi="宋体"/>
          <w:color w:val="auto"/>
          <w:sz w:val="24"/>
          <w:szCs w:val="24"/>
        </w:rPr>
        <w:t>指承包人指定的，履行本合同和负责合同工程施工现场管理的全权代表。承包人代表由承包人依据第</w:t>
      </w:r>
      <w:r>
        <w:rPr>
          <w:rFonts w:hAnsi="宋体"/>
          <w:color w:val="auto"/>
          <w:sz w:val="24"/>
          <w:szCs w:val="24"/>
        </w:rPr>
        <w:t>25.1</w:t>
      </w:r>
      <w:r>
        <w:rPr>
          <w:rFonts w:hint="eastAsia" w:hAnsi="宋体"/>
          <w:color w:val="auto"/>
          <w:sz w:val="24"/>
          <w:szCs w:val="24"/>
        </w:rPr>
        <w:t>款规定任命并书面通知发包人。</w:t>
      </w:r>
    </w:p>
    <w:p w14:paraId="78B8E511">
      <w:pPr>
        <w:pStyle w:val="2"/>
        <w:tabs>
          <w:tab w:val="left" w:pos="2160"/>
        </w:tabs>
        <w:spacing w:before="192" w:beforeLines="80" w:line="360" w:lineRule="auto"/>
        <w:ind w:firstLine="472" w:firstLineChars="196"/>
        <w:rPr>
          <w:rFonts w:hAnsi="宋体"/>
          <w:color w:val="auto"/>
          <w:sz w:val="24"/>
          <w:szCs w:val="24"/>
        </w:rPr>
      </w:pPr>
      <w:r>
        <w:rPr>
          <w:rFonts w:hAnsi="宋体"/>
          <w:b/>
          <w:color w:val="auto"/>
          <w:sz w:val="24"/>
          <w:szCs w:val="24"/>
        </w:rPr>
        <w:t xml:space="preserve">1.22  </w:t>
      </w:r>
      <w:r>
        <w:rPr>
          <w:rFonts w:hint="eastAsia" w:hAnsi="宋体"/>
          <w:b/>
          <w:color w:val="auto"/>
          <w:sz w:val="24"/>
          <w:szCs w:val="24"/>
        </w:rPr>
        <w:t>合同工期：</w:t>
      </w:r>
      <w:r>
        <w:rPr>
          <w:rFonts w:hint="eastAsia" w:hAnsi="宋体"/>
          <w:color w:val="auto"/>
          <w:sz w:val="24"/>
          <w:szCs w:val="24"/>
        </w:rPr>
        <w:t>指合同双方当事人在协议书中约定，按照总日历天数（包括法定节假日）计算的从开始实施到完成合同工程的天数。</w:t>
      </w:r>
    </w:p>
    <w:p w14:paraId="68A17182">
      <w:pPr>
        <w:pStyle w:val="2"/>
        <w:tabs>
          <w:tab w:val="left" w:pos="2160"/>
        </w:tabs>
        <w:spacing w:before="192" w:beforeLines="80" w:line="360" w:lineRule="auto"/>
        <w:ind w:firstLine="472" w:firstLineChars="196"/>
        <w:jc w:val="left"/>
        <w:rPr>
          <w:rFonts w:hAnsi="宋体"/>
          <w:color w:val="auto"/>
          <w:sz w:val="24"/>
          <w:szCs w:val="24"/>
        </w:rPr>
      </w:pPr>
      <w:r>
        <w:rPr>
          <w:rFonts w:hAnsi="宋体"/>
          <w:b/>
          <w:color w:val="auto"/>
          <w:sz w:val="24"/>
          <w:szCs w:val="24"/>
        </w:rPr>
        <w:t xml:space="preserve">1.23  </w:t>
      </w:r>
      <w:r>
        <w:rPr>
          <w:rFonts w:hint="eastAsia" w:hAnsi="宋体"/>
          <w:b/>
          <w:color w:val="auto"/>
          <w:sz w:val="24"/>
          <w:szCs w:val="24"/>
        </w:rPr>
        <w:t>开工日期：</w:t>
      </w:r>
      <w:r>
        <w:rPr>
          <w:rFonts w:hint="eastAsia" w:hAnsi="宋体"/>
          <w:color w:val="auto"/>
          <w:sz w:val="24"/>
          <w:szCs w:val="24"/>
        </w:rPr>
        <w:t>指根据第</w:t>
      </w:r>
      <w:r>
        <w:rPr>
          <w:rFonts w:hAnsi="宋体"/>
          <w:color w:val="auto"/>
          <w:sz w:val="24"/>
          <w:szCs w:val="24"/>
        </w:rPr>
        <w:t>34</w:t>
      </w:r>
      <w:r>
        <w:rPr>
          <w:rFonts w:hint="eastAsia" w:hAnsi="宋体"/>
          <w:color w:val="auto"/>
          <w:sz w:val="24"/>
          <w:szCs w:val="24"/>
        </w:rPr>
        <w:t>条规定，监理工程师在开工令中写明的、承包人按照合同约定最迟在该日期开工的日期。</w:t>
      </w:r>
    </w:p>
    <w:p w14:paraId="472AF7C8">
      <w:pPr>
        <w:pStyle w:val="2"/>
        <w:tabs>
          <w:tab w:val="left" w:pos="1980"/>
        </w:tabs>
        <w:spacing w:before="192" w:beforeLines="80" w:line="360" w:lineRule="auto"/>
        <w:ind w:firstLine="472" w:firstLineChars="196"/>
        <w:rPr>
          <w:rFonts w:hAnsi="宋体"/>
          <w:color w:val="auto"/>
          <w:sz w:val="24"/>
          <w:szCs w:val="24"/>
        </w:rPr>
      </w:pPr>
      <w:r>
        <w:rPr>
          <w:rFonts w:hAnsi="宋体"/>
          <w:b/>
          <w:color w:val="auto"/>
          <w:sz w:val="24"/>
          <w:szCs w:val="24"/>
        </w:rPr>
        <w:t xml:space="preserve">1.24  </w:t>
      </w:r>
      <w:r>
        <w:rPr>
          <w:rFonts w:hint="eastAsia" w:hAnsi="宋体"/>
          <w:b/>
          <w:color w:val="auto"/>
          <w:sz w:val="24"/>
          <w:szCs w:val="24"/>
        </w:rPr>
        <w:t>计划竣工日期：</w:t>
      </w:r>
      <w:r>
        <w:rPr>
          <w:rFonts w:hint="eastAsia" w:hAnsi="宋体"/>
          <w:color w:val="auto"/>
          <w:sz w:val="24"/>
          <w:szCs w:val="24"/>
        </w:rPr>
        <w:t>指自开工日期起根据合同约定要求承包人完成合同工程并竣工的全部时间（包括根据第</w:t>
      </w:r>
      <w:r>
        <w:rPr>
          <w:rFonts w:hAnsi="宋体"/>
          <w:color w:val="auto"/>
          <w:sz w:val="24"/>
          <w:szCs w:val="24"/>
        </w:rPr>
        <w:t>36</w:t>
      </w:r>
      <w:r>
        <w:rPr>
          <w:rFonts w:hint="eastAsia" w:hAnsi="宋体"/>
          <w:color w:val="auto"/>
          <w:sz w:val="24"/>
          <w:szCs w:val="24"/>
        </w:rPr>
        <w:t>条和第</w:t>
      </w:r>
      <w:r>
        <w:rPr>
          <w:rFonts w:hAnsi="宋体"/>
          <w:color w:val="auto"/>
          <w:sz w:val="24"/>
          <w:szCs w:val="24"/>
        </w:rPr>
        <w:t>37.2</w:t>
      </w:r>
      <w:r>
        <w:rPr>
          <w:rFonts w:hint="eastAsia" w:hAnsi="宋体"/>
          <w:color w:val="auto"/>
          <w:sz w:val="24"/>
          <w:szCs w:val="24"/>
        </w:rPr>
        <w:t>款规定所做的调整）。</w:t>
      </w:r>
    </w:p>
    <w:p w14:paraId="64552E33">
      <w:pPr>
        <w:pStyle w:val="2"/>
        <w:tabs>
          <w:tab w:val="left" w:pos="1980"/>
        </w:tabs>
        <w:spacing w:before="192" w:beforeLines="80" w:line="360" w:lineRule="auto"/>
        <w:ind w:firstLine="472" w:firstLineChars="196"/>
        <w:rPr>
          <w:rFonts w:hAnsi="宋体"/>
          <w:color w:val="auto"/>
          <w:sz w:val="24"/>
          <w:szCs w:val="24"/>
        </w:rPr>
      </w:pPr>
      <w:r>
        <w:rPr>
          <w:rFonts w:hAnsi="宋体"/>
          <w:b/>
          <w:color w:val="auto"/>
          <w:sz w:val="24"/>
          <w:szCs w:val="24"/>
        </w:rPr>
        <w:t xml:space="preserve">1.25  </w:t>
      </w:r>
      <w:r>
        <w:rPr>
          <w:rFonts w:hint="eastAsia" w:hAnsi="宋体"/>
          <w:b/>
          <w:color w:val="auto"/>
          <w:sz w:val="24"/>
          <w:szCs w:val="24"/>
        </w:rPr>
        <w:t>实际竣工日期：</w:t>
      </w:r>
      <w:r>
        <w:rPr>
          <w:rFonts w:hint="eastAsia" w:hAnsi="宋体"/>
          <w:color w:val="auto"/>
          <w:sz w:val="24"/>
          <w:szCs w:val="24"/>
        </w:rPr>
        <w:t>指承包人实际完成合同工程或某单位工程后，由发包人按照第</w:t>
      </w:r>
      <w:r>
        <w:rPr>
          <w:rFonts w:hAnsi="宋体"/>
          <w:color w:val="auto"/>
          <w:sz w:val="24"/>
          <w:szCs w:val="24"/>
        </w:rPr>
        <w:t>58</w:t>
      </w:r>
      <w:r>
        <w:rPr>
          <w:rFonts w:hint="eastAsia" w:hAnsi="宋体"/>
          <w:color w:val="auto"/>
          <w:sz w:val="24"/>
          <w:szCs w:val="24"/>
        </w:rPr>
        <w:t>条规定组织竣工验收、接收工程并颁发工程接收证书的日期。实际竣工日期，按照第</w:t>
      </w:r>
      <w:r>
        <w:rPr>
          <w:rFonts w:hAnsi="宋体"/>
          <w:color w:val="auto"/>
          <w:sz w:val="24"/>
          <w:szCs w:val="24"/>
        </w:rPr>
        <w:t>38.2</w:t>
      </w:r>
      <w:r>
        <w:rPr>
          <w:rFonts w:hint="eastAsia" w:hAnsi="宋体"/>
          <w:color w:val="auto"/>
          <w:sz w:val="24"/>
          <w:szCs w:val="24"/>
        </w:rPr>
        <w:t>款规定确定。</w:t>
      </w:r>
    </w:p>
    <w:p w14:paraId="36CC29EF">
      <w:pPr>
        <w:pStyle w:val="2"/>
        <w:tabs>
          <w:tab w:val="left" w:pos="1980"/>
        </w:tabs>
        <w:spacing w:before="192" w:beforeLines="80" w:line="360" w:lineRule="auto"/>
        <w:ind w:firstLine="472" w:firstLineChars="196"/>
        <w:rPr>
          <w:rFonts w:hAnsi="宋体"/>
          <w:color w:val="auto"/>
          <w:sz w:val="24"/>
          <w:szCs w:val="24"/>
        </w:rPr>
      </w:pPr>
      <w:r>
        <w:rPr>
          <w:rFonts w:hAnsi="宋体"/>
          <w:b/>
          <w:color w:val="auto"/>
          <w:sz w:val="24"/>
          <w:szCs w:val="24"/>
        </w:rPr>
        <w:t xml:space="preserve">1.26  </w:t>
      </w:r>
      <w:r>
        <w:rPr>
          <w:rFonts w:hint="eastAsia" w:hAnsi="宋体"/>
          <w:b/>
          <w:color w:val="auto"/>
          <w:sz w:val="24"/>
          <w:szCs w:val="24"/>
        </w:rPr>
        <w:t>缺陷责任期：</w:t>
      </w:r>
      <w:r>
        <w:rPr>
          <w:rFonts w:hint="eastAsia" w:hAnsi="宋体"/>
          <w:color w:val="auto"/>
          <w:sz w:val="24"/>
          <w:szCs w:val="24"/>
        </w:rPr>
        <w:t>指履行第</w:t>
      </w:r>
      <w:r>
        <w:rPr>
          <w:rFonts w:hAnsi="宋体"/>
          <w:color w:val="auto"/>
          <w:sz w:val="24"/>
          <w:szCs w:val="24"/>
        </w:rPr>
        <w:t>59.3</w:t>
      </w:r>
      <w:r>
        <w:rPr>
          <w:rFonts w:hint="eastAsia" w:hAnsi="宋体"/>
          <w:color w:val="auto"/>
          <w:sz w:val="24"/>
          <w:szCs w:val="24"/>
        </w:rPr>
        <w:t>款规定的缺陷责任的期限。具体期限在专用条款中约定，包括第</w:t>
      </w:r>
      <w:r>
        <w:rPr>
          <w:rFonts w:hAnsi="宋体"/>
          <w:color w:val="auto"/>
          <w:sz w:val="24"/>
          <w:szCs w:val="24"/>
        </w:rPr>
        <w:t>59.2</w:t>
      </w:r>
      <w:r>
        <w:rPr>
          <w:rFonts w:hint="eastAsia" w:hAnsi="宋体"/>
          <w:color w:val="auto"/>
          <w:sz w:val="24"/>
          <w:szCs w:val="24"/>
        </w:rPr>
        <w:t>款规定的延长期限。</w:t>
      </w:r>
    </w:p>
    <w:p w14:paraId="37B0C3F9">
      <w:pPr>
        <w:pStyle w:val="2"/>
        <w:tabs>
          <w:tab w:val="left" w:pos="1980"/>
        </w:tabs>
        <w:spacing w:before="192" w:beforeLines="80" w:line="360" w:lineRule="auto"/>
        <w:ind w:firstLine="472" w:firstLineChars="196"/>
        <w:rPr>
          <w:rFonts w:hAnsi="宋体"/>
          <w:color w:val="auto"/>
          <w:sz w:val="24"/>
          <w:szCs w:val="24"/>
        </w:rPr>
      </w:pPr>
      <w:r>
        <w:rPr>
          <w:rFonts w:hAnsi="宋体"/>
          <w:b/>
          <w:color w:val="auto"/>
          <w:sz w:val="24"/>
          <w:szCs w:val="24"/>
        </w:rPr>
        <w:t xml:space="preserve">1.27  </w:t>
      </w:r>
      <w:r>
        <w:rPr>
          <w:rFonts w:hint="eastAsia" w:hAnsi="宋体"/>
          <w:b/>
          <w:color w:val="auto"/>
          <w:sz w:val="24"/>
          <w:szCs w:val="24"/>
        </w:rPr>
        <w:t>基准日期：</w:t>
      </w:r>
      <w:r>
        <w:rPr>
          <w:rFonts w:hint="eastAsia" w:hAnsi="宋体"/>
          <w:color w:val="auto"/>
          <w:sz w:val="24"/>
          <w:szCs w:val="24"/>
        </w:rPr>
        <w:t>指招标工程递交投标文件截止日期前</w:t>
      </w:r>
      <w:r>
        <w:rPr>
          <w:rFonts w:hAnsi="宋体"/>
          <w:color w:val="auto"/>
          <w:sz w:val="24"/>
          <w:szCs w:val="24"/>
        </w:rPr>
        <w:t>28</w:t>
      </w:r>
      <w:r>
        <w:rPr>
          <w:rFonts w:hint="eastAsia" w:hAnsi="宋体"/>
          <w:color w:val="auto"/>
          <w:sz w:val="24"/>
          <w:szCs w:val="24"/>
        </w:rPr>
        <w:t>天的日期；非招标工程订立合同前</w:t>
      </w:r>
      <w:r>
        <w:rPr>
          <w:rFonts w:hAnsi="宋体"/>
          <w:color w:val="auto"/>
          <w:sz w:val="24"/>
          <w:szCs w:val="24"/>
        </w:rPr>
        <w:t>28</w:t>
      </w:r>
      <w:r>
        <w:rPr>
          <w:rFonts w:hint="eastAsia" w:hAnsi="宋体"/>
          <w:color w:val="auto"/>
          <w:sz w:val="24"/>
          <w:szCs w:val="24"/>
        </w:rPr>
        <w:t>天的日期。</w:t>
      </w:r>
    </w:p>
    <w:p w14:paraId="70259832">
      <w:pPr>
        <w:pStyle w:val="2"/>
        <w:tabs>
          <w:tab w:val="left" w:pos="1980"/>
        </w:tabs>
        <w:spacing w:before="192" w:beforeLines="80" w:line="360" w:lineRule="auto"/>
        <w:ind w:firstLine="472" w:firstLineChars="196"/>
        <w:rPr>
          <w:rFonts w:hAnsi="宋体"/>
          <w:color w:val="auto"/>
          <w:sz w:val="24"/>
          <w:szCs w:val="24"/>
        </w:rPr>
      </w:pPr>
      <w:r>
        <w:rPr>
          <w:rFonts w:hAnsi="宋体"/>
          <w:b/>
          <w:color w:val="auto"/>
          <w:sz w:val="24"/>
          <w:szCs w:val="24"/>
        </w:rPr>
        <w:t xml:space="preserve">1.28  </w:t>
      </w:r>
      <w:r>
        <w:rPr>
          <w:rFonts w:hint="eastAsia" w:hAnsi="宋体"/>
          <w:b/>
          <w:color w:val="auto"/>
          <w:sz w:val="24"/>
          <w:szCs w:val="24"/>
        </w:rPr>
        <w:t>小时或天：</w:t>
      </w:r>
      <w:r>
        <w:rPr>
          <w:rFonts w:hint="eastAsia" w:hAnsi="宋体"/>
          <w:color w:val="auto"/>
          <w:sz w:val="24"/>
          <w:szCs w:val="24"/>
        </w:rPr>
        <w:t>除特别指明外，指时钟小时或日历天。合同中约定按照小时计算时间的，从发生事件有效时开始计算，不扣除休息时间；约定按照天计算时间的，开始当天不计入，从次日开始计算。时限的最后一天是休息日或其他法定节假日的，以节假日次日为时限，但竣工日期除外。时限最后一天的截止时间为当天</w:t>
      </w:r>
      <w:r>
        <w:rPr>
          <w:rFonts w:hAnsi="宋体"/>
          <w:color w:val="auto"/>
          <w:sz w:val="24"/>
          <w:szCs w:val="24"/>
        </w:rPr>
        <w:t>24:00</w:t>
      </w:r>
      <w:r>
        <w:rPr>
          <w:rFonts w:hint="eastAsia" w:hAnsi="宋体"/>
          <w:color w:val="auto"/>
          <w:sz w:val="24"/>
          <w:szCs w:val="24"/>
        </w:rPr>
        <w:t>（即次日零点）。</w:t>
      </w:r>
    </w:p>
    <w:p w14:paraId="730E2399">
      <w:pPr>
        <w:pStyle w:val="2"/>
        <w:tabs>
          <w:tab w:val="left" w:pos="1980"/>
        </w:tabs>
        <w:spacing w:before="192" w:beforeLines="80" w:line="360" w:lineRule="auto"/>
        <w:ind w:firstLine="472" w:firstLineChars="196"/>
        <w:rPr>
          <w:rFonts w:hAnsi="宋体"/>
          <w:color w:val="auto"/>
          <w:sz w:val="24"/>
          <w:szCs w:val="24"/>
        </w:rPr>
      </w:pPr>
      <w:r>
        <w:rPr>
          <w:rFonts w:hAnsi="宋体"/>
          <w:b/>
          <w:color w:val="auto"/>
          <w:sz w:val="24"/>
          <w:szCs w:val="24"/>
        </w:rPr>
        <w:t xml:space="preserve">1.29  </w:t>
      </w:r>
      <w:r>
        <w:rPr>
          <w:rFonts w:hint="eastAsia" w:hAnsi="宋体"/>
          <w:b/>
          <w:color w:val="auto"/>
          <w:sz w:val="24"/>
          <w:szCs w:val="24"/>
        </w:rPr>
        <w:t>中标价格：</w:t>
      </w:r>
      <w:r>
        <w:rPr>
          <w:rFonts w:hint="eastAsia" w:hAnsi="宋体"/>
          <w:color w:val="auto"/>
          <w:sz w:val="24"/>
          <w:szCs w:val="24"/>
        </w:rPr>
        <w:t>指中标通知书中列明的，发包人接受中标人（承包人）实施、完成并保修合同工程的价格。</w:t>
      </w:r>
    </w:p>
    <w:p w14:paraId="3BBC49C7">
      <w:pPr>
        <w:pStyle w:val="2"/>
        <w:tabs>
          <w:tab w:val="left" w:pos="1980"/>
        </w:tabs>
        <w:spacing w:before="192" w:beforeLines="80" w:line="360" w:lineRule="auto"/>
        <w:ind w:firstLine="472" w:firstLineChars="196"/>
        <w:rPr>
          <w:rFonts w:hAnsi="宋体"/>
          <w:color w:val="auto"/>
          <w:sz w:val="24"/>
          <w:szCs w:val="24"/>
        </w:rPr>
      </w:pPr>
      <w:r>
        <w:rPr>
          <w:rFonts w:hAnsi="宋体"/>
          <w:b/>
          <w:color w:val="auto"/>
          <w:sz w:val="24"/>
          <w:szCs w:val="24"/>
        </w:rPr>
        <w:t xml:space="preserve">1.30  </w:t>
      </w:r>
      <w:r>
        <w:rPr>
          <w:rFonts w:hint="eastAsia" w:hAnsi="宋体"/>
          <w:b/>
          <w:color w:val="auto"/>
          <w:sz w:val="24"/>
          <w:szCs w:val="24"/>
        </w:rPr>
        <w:t>合同价款：</w:t>
      </w:r>
      <w:r>
        <w:rPr>
          <w:rFonts w:hint="eastAsia" w:hAnsi="宋体"/>
          <w:color w:val="auto"/>
          <w:sz w:val="24"/>
          <w:szCs w:val="24"/>
        </w:rPr>
        <w:t>指承包人按照合同约定完成了包括缺陷责任期内的全部承包工作后，发包人按照合同约定及时足额（包括调整的合同价款）支付给承包人的全部金额。其具体款项依据协议书中标明的包括暂列金额、暂估价在内的金额和第</w:t>
      </w:r>
      <w:r>
        <w:rPr>
          <w:rFonts w:hAnsi="宋体"/>
          <w:color w:val="auto"/>
          <w:sz w:val="24"/>
          <w:szCs w:val="24"/>
        </w:rPr>
        <w:t>68.2</w:t>
      </w:r>
      <w:r>
        <w:rPr>
          <w:rFonts w:hint="eastAsia" w:hAnsi="宋体"/>
          <w:color w:val="auto"/>
          <w:sz w:val="24"/>
          <w:szCs w:val="24"/>
        </w:rPr>
        <w:t>款规定合同价款调整事件确定。</w:t>
      </w:r>
    </w:p>
    <w:p w14:paraId="73BDABAF">
      <w:pPr>
        <w:pStyle w:val="2"/>
        <w:tabs>
          <w:tab w:val="left" w:pos="1980"/>
        </w:tabs>
        <w:spacing w:before="192" w:beforeLines="80" w:line="360" w:lineRule="auto"/>
        <w:ind w:firstLine="472" w:firstLineChars="196"/>
        <w:rPr>
          <w:rFonts w:hAnsi="宋体"/>
          <w:color w:val="auto"/>
          <w:sz w:val="24"/>
          <w:szCs w:val="24"/>
        </w:rPr>
      </w:pPr>
      <w:r>
        <w:rPr>
          <w:rFonts w:hAnsi="宋体"/>
          <w:b/>
          <w:color w:val="auto"/>
          <w:sz w:val="24"/>
          <w:szCs w:val="24"/>
        </w:rPr>
        <w:t xml:space="preserve">1.31  </w:t>
      </w:r>
      <w:r>
        <w:rPr>
          <w:rFonts w:hint="eastAsia" w:hAnsi="宋体"/>
          <w:b/>
          <w:color w:val="auto"/>
          <w:sz w:val="24"/>
          <w:szCs w:val="24"/>
        </w:rPr>
        <w:t>费用：</w:t>
      </w:r>
      <w:r>
        <w:rPr>
          <w:rFonts w:hint="eastAsia" w:hAnsi="宋体"/>
          <w:color w:val="auto"/>
          <w:sz w:val="24"/>
          <w:szCs w:val="24"/>
        </w:rPr>
        <w:t>指为履行合同所发生或将发生的所有合理开支，包括管理费和其他合理分摊的开支，但不包括利润。</w:t>
      </w:r>
    </w:p>
    <w:p w14:paraId="5B7DD3DE">
      <w:pPr>
        <w:pStyle w:val="2"/>
        <w:tabs>
          <w:tab w:val="left" w:pos="1980"/>
          <w:tab w:val="left" w:pos="2160"/>
        </w:tabs>
        <w:spacing w:before="240" w:beforeLines="100" w:line="360" w:lineRule="auto"/>
        <w:ind w:firstLine="472" w:firstLineChars="196"/>
        <w:jc w:val="left"/>
        <w:rPr>
          <w:rFonts w:hAnsi="宋体"/>
          <w:bCs/>
          <w:color w:val="auto"/>
          <w:sz w:val="24"/>
          <w:szCs w:val="24"/>
        </w:rPr>
      </w:pPr>
      <w:r>
        <w:rPr>
          <w:rFonts w:hAnsi="宋体"/>
          <w:b/>
          <w:bCs/>
          <w:color w:val="auto"/>
          <w:sz w:val="24"/>
          <w:szCs w:val="24"/>
        </w:rPr>
        <w:t xml:space="preserve">1.32  </w:t>
      </w:r>
      <w:r>
        <w:rPr>
          <w:rFonts w:hint="eastAsia" w:hAnsi="宋体"/>
          <w:b/>
          <w:bCs/>
          <w:color w:val="auto"/>
          <w:sz w:val="24"/>
          <w:szCs w:val="24"/>
        </w:rPr>
        <w:t>分部分项工程费：</w:t>
      </w:r>
      <w:r>
        <w:rPr>
          <w:rFonts w:hint="eastAsia" w:hAnsi="宋体"/>
          <w:color w:val="auto"/>
          <w:sz w:val="24"/>
          <w:szCs w:val="24"/>
        </w:rPr>
        <w:t>指为实施、完成并保修永久工程，发生于工程实体项目所需的人工费、材料费、机械使用费、管理费、利润和风险费用。</w:t>
      </w:r>
    </w:p>
    <w:p w14:paraId="73D3A4E0">
      <w:pPr>
        <w:pStyle w:val="2"/>
        <w:tabs>
          <w:tab w:val="left" w:pos="2160"/>
        </w:tabs>
        <w:spacing w:before="240" w:beforeLines="100" w:line="360" w:lineRule="auto"/>
        <w:ind w:firstLine="472" w:firstLineChars="196"/>
        <w:jc w:val="left"/>
        <w:rPr>
          <w:rFonts w:hAnsi="宋体"/>
          <w:bCs/>
          <w:color w:val="auto"/>
          <w:sz w:val="24"/>
          <w:szCs w:val="24"/>
        </w:rPr>
      </w:pPr>
      <w:r>
        <w:rPr>
          <w:rFonts w:hAnsi="宋体"/>
          <w:b/>
          <w:bCs/>
          <w:color w:val="auto"/>
          <w:sz w:val="24"/>
          <w:szCs w:val="24"/>
        </w:rPr>
        <w:t xml:space="preserve">1.33  </w:t>
      </w:r>
      <w:r>
        <w:rPr>
          <w:rFonts w:hint="eastAsia" w:hAnsi="宋体"/>
          <w:b/>
          <w:bCs/>
          <w:color w:val="auto"/>
          <w:sz w:val="24"/>
          <w:szCs w:val="24"/>
        </w:rPr>
        <w:t>措施项目费：</w:t>
      </w:r>
      <w:r>
        <w:rPr>
          <w:rFonts w:hint="eastAsia" w:hAnsi="宋体"/>
          <w:color w:val="auto"/>
          <w:sz w:val="24"/>
          <w:szCs w:val="24"/>
        </w:rPr>
        <w:t>指为实施、完成并保修合同工程，发生于合同工程施工准备和施工过程中的技术、生活、安全、环境保护等方面的非工程实体项目费用。</w:t>
      </w:r>
    </w:p>
    <w:p w14:paraId="4E9B2AF9">
      <w:pPr>
        <w:pStyle w:val="2"/>
        <w:tabs>
          <w:tab w:val="left" w:pos="2160"/>
        </w:tabs>
        <w:spacing w:before="240" w:beforeLines="100" w:line="360" w:lineRule="auto"/>
        <w:ind w:firstLine="472" w:firstLineChars="196"/>
        <w:jc w:val="left"/>
        <w:rPr>
          <w:rFonts w:hAnsi="宋体"/>
          <w:color w:val="auto"/>
          <w:sz w:val="24"/>
          <w:szCs w:val="24"/>
        </w:rPr>
      </w:pPr>
      <w:r>
        <w:rPr>
          <w:rFonts w:hAnsi="宋体"/>
          <w:b/>
          <w:bCs/>
          <w:color w:val="auto"/>
          <w:sz w:val="24"/>
          <w:szCs w:val="24"/>
        </w:rPr>
        <w:t xml:space="preserve">1.34  </w:t>
      </w:r>
      <w:r>
        <w:rPr>
          <w:rFonts w:hint="eastAsia" w:hAnsi="宋体"/>
          <w:b/>
          <w:bCs/>
          <w:color w:val="auto"/>
          <w:sz w:val="24"/>
          <w:szCs w:val="24"/>
        </w:rPr>
        <w:t>工程款：</w:t>
      </w:r>
      <w:r>
        <w:rPr>
          <w:rFonts w:hint="eastAsia" w:hAnsi="宋体"/>
          <w:color w:val="auto"/>
          <w:sz w:val="24"/>
          <w:szCs w:val="24"/>
        </w:rPr>
        <w:t>指为实施、完成并保修合同工程，发包人支付或应当支付给承包人的各种价款，包括进度款、结算款等。</w:t>
      </w:r>
    </w:p>
    <w:p w14:paraId="739505B7">
      <w:pPr>
        <w:pStyle w:val="2"/>
        <w:tabs>
          <w:tab w:val="left" w:pos="2160"/>
        </w:tabs>
        <w:spacing w:before="240" w:beforeLines="100" w:line="360" w:lineRule="auto"/>
        <w:ind w:firstLine="472" w:firstLineChars="196"/>
        <w:jc w:val="left"/>
        <w:rPr>
          <w:rFonts w:hAnsi="宋体"/>
          <w:color w:val="auto"/>
          <w:sz w:val="24"/>
          <w:szCs w:val="24"/>
        </w:rPr>
      </w:pPr>
      <w:r>
        <w:rPr>
          <w:rFonts w:hAnsi="宋体"/>
          <w:b/>
          <w:bCs/>
          <w:color w:val="auto"/>
          <w:sz w:val="24"/>
          <w:szCs w:val="24"/>
        </w:rPr>
        <w:t xml:space="preserve">1.35  </w:t>
      </w:r>
      <w:r>
        <w:rPr>
          <w:rFonts w:hint="eastAsia" w:hAnsi="宋体"/>
          <w:b/>
          <w:bCs/>
          <w:color w:val="auto"/>
          <w:sz w:val="24"/>
          <w:szCs w:val="24"/>
        </w:rPr>
        <w:t>暂列金额：</w:t>
      </w:r>
      <w:r>
        <w:rPr>
          <w:rFonts w:hint="eastAsia" w:hAnsi="宋体"/>
          <w:color w:val="auto"/>
          <w:sz w:val="24"/>
          <w:szCs w:val="24"/>
        </w:rPr>
        <w:t>指发包人在工程量清单中暂定并包括在合同价款中的一笔款项。用于在签订协议书时尚未确定或者不可预见的所需材料、设备、服务等的采购，施工过程中可能发生的工程变更、合同约定的工程款调整以及经确认的索赔、现场签证等的金额（包括以计日工方式支付的金额）。</w:t>
      </w:r>
    </w:p>
    <w:p w14:paraId="2E389A96">
      <w:pPr>
        <w:pStyle w:val="2"/>
        <w:tabs>
          <w:tab w:val="left" w:pos="2160"/>
        </w:tabs>
        <w:spacing w:before="240" w:beforeLines="100" w:line="360" w:lineRule="auto"/>
        <w:ind w:firstLine="472" w:firstLineChars="196"/>
        <w:jc w:val="left"/>
        <w:rPr>
          <w:rFonts w:hAnsi="宋体"/>
          <w:color w:val="auto"/>
          <w:sz w:val="24"/>
          <w:szCs w:val="24"/>
        </w:rPr>
      </w:pPr>
      <w:r>
        <w:rPr>
          <w:rFonts w:hAnsi="宋体"/>
          <w:b/>
          <w:bCs/>
          <w:color w:val="auto"/>
          <w:sz w:val="24"/>
          <w:szCs w:val="24"/>
        </w:rPr>
        <w:t xml:space="preserve">1.36  </w:t>
      </w:r>
      <w:r>
        <w:rPr>
          <w:rFonts w:hint="eastAsia" w:hAnsi="宋体"/>
          <w:b/>
          <w:bCs/>
          <w:color w:val="auto"/>
          <w:sz w:val="24"/>
          <w:szCs w:val="24"/>
        </w:rPr>
        <w:t>暂估价：</w:t>
      </w:r>
      <w:r>
        <w:rPr>
          <w:rFonts w:hint="eastAsia" w:hAnsi="宋体"/>
          <w:color w:val="auto"/>
          <w:sz w:val="24"/>
          <w:szCs w:val="24"/>
        </w:rPr>
        <w:t>指发包人在工程量清单中提供的用于支付必然发生但暂时不能确定价格的材料、工程设备以及专业工程的金额。</w:t>
      </w:r>
    </w:p>
    <w:p w14:paraId="2E98D322">
      <w:pPr>
        <w:pStyle w:val="2"/>
        <w:tabs>
          <w:tab w:val="left" w:pos="2160"/>
        </w:tabs>
        <w:spacing w:before="240" w:beforeLines="100" w:line="360" w:lineRule="auto"/>
        <w:ind w:firstLine="472" w:firstLineChars="196"/>
        <w:jc w:val="left"/>
        <w:rPr>
          <w:rFonts w:hAnsi="宋体"/>
          <w:color w:val="auto"/>
          <w:sz w:val="24"/>
          <w:szCs w:val="24"/>
        </w:rPr>
      </w:pPr>
      <w:r>
        <w:rPr>
          <w:rFonts w:hAnsi="宋体"/>
          <w:b/>
          <w:bCs/>
          <w:color w:val="auto"/>
          <w:sz w:val="24"/>
          <w:szCs w:val="24"/>
        </w:rPr>
        <w:t xml:space="preserve">1.37  </w:t>
      </w:r>
      <w:r>
        <w:rPr>
          <w:rFonts w:hint="eastAsia" w:hAnsi="宋体"/>
          <w:b/>
          <w:bCs/>
          <w:color w:val="auto"/>
          <w:sz w:val="24"/>
          <w:szCs w:val="24"/>
        </w:rPr>
        <w:t>计日工：</w:t>
      </w:r>
      <w:r>
        <w:rPr>
          <w:rFonts w:hint="eastAsia" w:hAnsi="宋体"/>
          <w:color w:val="auto"/>
          <w:sz w:val="24"/>
          <w:szCs w:val="24"/>
        </w:rPr>
        <w:t>指在施工过程中，承包人完成发包人提出的施工设计图纸以外的零星项目或工作，按照合同中约定计价付款的一种计价方式。</w:t>
      </w:r>
    </w:p>
    <w:p w14:paraId="7264E37F">
      <w:pPr>
        <w:pStyle w:val="2"/>
        <w:tabs>
          <w:tab w:val="left" w:pos="2160"/>
        </w:tabs>
        <w:spacing w:before="240" w:beforeLines="100" w:line="360" w:lineRule="auto"/>
        <w:ind w:firstLine="472" w:firstLineChars="196"/>
        <w:jc w:val="left"/>
        <w:rPr>
          <w:rFonts w:hAnsi="宋体"/>
          <w:color w:val="auto"/>
          <w:sz w:val="24"/>
          <w:szCs w:val="24"/>
        </w:rPr>
      </w:pPr>
      <w:r>
        <w:rPr>
          <w:rFonts w:hAnsi="宋体"/>
          <w:b/>
          <w:bCs/>
          <w:color w:val="auto"/>
          <w:sz w:val="24"/>
          <w:szCs w:val="24"/>
        </w:rPr>
        <w:t xml:space="preserve">1.38  </w:t>
      </w:r>
      <w:r>
        <w:rPr>
          <w:rFonts w:hint="eastAsia" w:hAnsi="宋体"/>
          <w:b/>
          <w:bCs/>
          <w:color w:val="auto"/>
          <w:sz w:val="24"/>
          <w:szCs w:val="24"/>
        </w:rPr>
        <w:t>质量保证金：</w:t>
      </w:r>
      <w:r>
        <w:rPr>
          <w:rFonts w:hint="eastAsia" w:hAnsi="宋体"/>
          <w:color w:val="auto"/>
          <w:sz w:val="24"/>
          <w:szCs w:val="24"/>
        </w:rPr>
        <w:t>指按照第</w:t>
      </w:r>
      <w:r>
        <w:rPr>
          <w:rFonts w:hAnsi="宋体"/>
          <w:color w:val="auto"/>
          <w:sz w:val="24"/>
          <w:szCs w:val="24"/>
        </w:rPr>
        <w:t>84</w:t>
      </w:r>
      <w:r>
        <w:rPr>
          <w:rFonts w:hint="eastAsia" w:hAnsi="宋体"/>
          <w:color w:val="auto"/>
          <w:sz w:val="24"/>
          <w:szCs w:val="24"/>
        </w:rPr>
        <w:t>条约定用于保证在缺陷责任期内履行缺陷修复义务的金额。</w:t>
      </w:r>
    </w:p>
    <w:p w14:paraId="720CD7EF">
      <w:pPr>
        <w:pStyle w:val="2"/>
        <w:tabs>
          <w:tab w:val="left" w:pos="2160"/>
        </w:tabs>
        <w:spacing w:before="240" w:beforeLines="100" w:line="360" w:lineRule="auto"/>
        <w:ind w:firstLine="472" w:firstLineChars="196"/>
        <w:rPr>
          <w:rFonts w:hAnsi="宋体"/>
          <w:color w:val="auto"/>
          <w:sz w:val="24"/>
          <w:szCs w:val="24"/>
        </w:rPr>
      </w:pPr>
      <w:r>
        <w:rPr>
          <w:rFonts w:hAnsi="宋体"/>
          <w:b/>
          <w:color w:val="auto"/>
          <w:sz w:val="24"/>
          <w:szCs w:val="24"/>
        </w:rPr>
        <w:t xml:space="preserve">1.39  </w:t>
      </w:r>
      <w:r>
        <w:rPr>
          <w:rFonts w:hint="eastAsia" w:hAnsi="宋体"/>
          <w:b/>
          <w:color w:val="auto"/>
          <w:sz w:val="24"/>
          <w:szCs w:val="24"/>
        </w:rPr>
        <w:t>合同工程：</w:t>
      </w:r>
      <w:r>
        <w:rPr>
          <w:rFonts w:hint="eastAsia" w:hAnsi="宋体"/>
          <w:color w:val="auto"/>
          <w:sz w:val="24"/>
          <w:szCs w:val="24"/>
        </w:rPr>
        <w:t>指合同双方当事人在协议书中约定的承包范围内的工程，包括永久工程和（或）临时工程。</w:t>
      </w:r>
    </w:p>
    <w:p w14:paraId="42F4BDA1">
      <w:pPr>
        <w:pStyle w:val="2"/>
        <w:tabs>
          <w:tab w:val="left" w:pos="2160"/>
        </w:tabs>
        <w:spacing w:before="192" w:beforeLines="80" w:line="360" w:lineRule="auto"/>
        <w:ind w:firstLine="472" w:firstLineChars="196"/>
        <w:rPr>
          <w:rFonts w:hAnsi="宋体"/>
          <w:color w:val="auto"/>
          <w:sz w:val="24"/>
          <w:szCs w:val="24"/>
        </w:rPr>
      </w:pPr>
      <w:r>
        <w:rPr>
          <w:rFonts w:hAnsi="宋体"/>
          <w:b/>
          <w:color w:val="auto"/>
          <w:sz w:val="24"/>
          <w:szCs w:val="24"/>
        </w:rPr>
        <w:t xml:space="preserve">1.40  </w:t>
      </w:r>
      <w:r>
        <w:rPr>
          <w:rFonts w:hint="eastAsia" w:hAnsi="宋体"/>
          <w:b/>
          <w:color w:val="auto"/>
          <w:sz w:val="24"/>
          <w:szCs w:val="24"/>
        </w:rPr>
        <w:t>永久工程：</w:t>
      </w:r>
      <w:r>
        <w:rPr>
          <w:rFonts w:hint="eastAsia" w:hAnsi="宋体"/>
          <w:color w:val="auto"/>
          <w:sz w:val="24"/>
          <w:szCs w:val="24"/>
        </w:rPr>
        <w:t>指按照合同约定承包人应当实施、完成并移交给发包人的永久性工程，包括工程设备。</w:t>
      </w:r>
    </w:p>
    <w:p w14:paraId="2649C35C">
      <w:pPr>
        <w:pStyle w:val="2"/>
        <w:tabs>
          <w:tab w:val="left" w:pos="2160"/>
        </w:tabs>
        <w:spacing w:before="192" w:beforeLines="80" w:line="360" w:lineRule="auto"/>
        <w:ind w:firstLine="472" w:firstLineChars="196"/>
        <w:rPr>
          <w:rFonts w:hAnsi="宋体"/>
          <w:color w:val="auto"/>
          <w:sz w:val="24"/>
          <w:szCs w:val="24"/>
        </w:rPr>
      </w:pPr>
      <w:r>
        <w:rPr>
          <w:rFonts w:hAnsi="宋体"/>
          <w:b/>
          <w:color w:val="auto"/>
          <w:sz w:val="24"/>
          <w:szCs w:val="24"/>
        </w:rPr>
        <w:t xml:space="preserve">1.41  </w:t>
      </w:r>
      <w:r>
        <w:rPr>
          <w:rFonts w:hint="eastAsia" w:hAnsi="宋体"/>
          <w:b/>
          <w:color w:val="auto"/>
          <w:sz w:val="24"/>
          <w:szCs w:val="24"/>
        </w:rPr>
        <w:t>临时工程：</w:t>
      </w:r>
      <w:r>
        <w:rPr>
          <w:rFonts w:hint="eastAsia" w:hAnsi="宋体"/>
          <w:color w:val="auto"/>
          <w:sz w:val="24"/>
          <w:szCs w:val="24"/>
        </w:rPr>
        <w:t>指实施、完成并保修永久工程过程中所需要的各类临时性工程，不包括施工设备。</w:t>
      </w:r>
    </w:p>
    <w:p w14:paraId="1F27BCD3">
      <w:pPr>
        <w:pStyle w:val="2"/>
        <w:tabs>
          <w:tab w:val="left" w:pos="2160"/>
        </w:tabs>
        <w:spacing w:before="192" w:beforeLines="80" w:line="360" w:lineRule="auto"/>
        <w:ind w:firstLine="472" w:firstLineChars="196"/>
        <w:rPr>
          <w:rFonts w:hAnsi="宋体"/>
          <w:color w:val="auto"/>
          <w:sz w:val="24"/>
          <w:szCs w:val="24"/>
        </w:rPr>
      </w:pPr>
      <w:r>
        <w:rPr>
          <w:rFonts w:hAnsi="宋体"/>
          <w:b/>
          <w:color w:val="auto"/>
          <w:sz w:val="24"/>
          <w:szCs w:val="24"/>
        </w:rPr>
        <w:t xml:space="preserve">1.42  </w:t>
      </w:r>
      <w:r>
        <w:rPr>
          <w:rFonts w:hint="eastAsia" w:hAnsi="宋体"/>
          <w:b/>
          <w:color w:val="auto"/>
          <w:sz w:val="24"/>
          <w:szCs w:val="24"/>
        </w:rPr>
        <w:t>分包工程：</w:t>
      </w:r>
      <w:r>
        <w:rPr>
          <w:rFonts w:hint="eastAsia" w:hAnsi="宋体"/>
          <w:color w:val="auto"/>
          <w:sz w:val="24"/>
          <w:szCs w:val="24"/>
        </w:rPr>
        <w:t>指合同工程中，由具有相应分包资质的分包人实施、完成的非主体结构（除钢结构外）的专业性工程。</w:t>
      </w:r>
    </w:p>
    <w:p w14:paraId="1ADFDE6F">
      <w:pPr>
        <w:pStyle w:val="2"/>
        <w:tabs>
          <w:tab w:val="left" w:pos="2160"/>
        </w:tabs>
        <w:spacing w:before="192" w:beforeLines="80" w:line="360" w:lineRule="auto"/>
        <w:ind w:firstLine="472" w:firstLineChars="196"/>
        <w:rPr>
          <w:rFonts w:hAnsi="宋体"/>
          <w:color w:val="auto"/>
          <w:sz w:val="24"/>
          <w:szCs w:val="24"/>
        </w:rPr>
      </w:pPr>
      <w:r>
        <w:rPr>
          <w:rFonts w:hAnsi="宋体"/>
          <w:b/>
          <w:color w:val="auto"/>
          <w:sz w:val="24"/>
          <w:szCs w:val="24"/>
        </w:rPr>
        <w:t xml:space="preserve">1.43  </w:t>
      </w:r>
      <w:r>
        <w:rPr>
          <w:rFonts w:hint="eastAsia" w:hAnsi="宋体"/>
          <w:b/>
          <w:color w:val="auto"/>
          <w:sz w:val="24"/>
          <w:szCs w:val="24"/>
        </w:rPr>
        <w:t>单位工程：</w:t>
      </w:r>
      <w:r>
        <w:rPr>
          <w:rFonts w:hint="eastAsia" w:hAnsi="宋体"/>
          <w:color w:val="auto"/>
          <w:sz w:val="24"/>
          <w:szCs w:val="24"/>
        </w:rPr>
        <w:t>指具有独立的设计文件，竣工后可以独立发挥生产能力和效益的永久工程。组成合同工程的单位工程名称、内容和范围等应在专用条款中明确。</w:t>
      </w:r>
    </w:p>
    <w:p w14:paraId="76BEFE75">
      <w:pPr>
        <w:pStyle w:val="2"/>
        <w:tabs>
          <w:tab w:val="left" w:pos="2160"/>
        </w:tabs>
        <w:spacing w:before="192" w:beforeLines="80" w:line="360" w:lineRule="auto"/>
        <w:ind w:firstLine="472" w:firstLineChars="196"/>
        <w:rPr>
          <w:rFonts w:hAnsi="宋体"/>
          <w:color w:val="auto"/>
          <w:sz w:val="24"/>
          <w:szCs w:val="24"/>
        </w:rPr>
      </w:pPr>
      <w:r>
        <w:rPr>
          <w:rFonts w:hAnsi="宋体"/>
          <w:b/>
          <w:color w:val="auto"/>
          <w:sz w:val="24"/>
          <w:szCs w:val="24"/>
        </w:rPr>
        <w:t xml:space="preserve">1.44  </w:t>
      </w:r>
      <w:r>
        <w:rPr>
          <w:rFonts w:hint="eastAsia" w:hAnsi="宋体"/>
          <w:b/>
          <w:color w:val="auto"/>
          <w:sz w:val="24"/>
          <w:szCs w:val="24"/>
        </w:rPr>
        <w:t>施工场地（或工地、现场）：</w:t>
      </w:r>
      <w:r>
        <w:rPr>
          <w:rFonts w:hint="eastAsia" w:hAnsi="宋体"/>
          <w:color w:val="auto"/>
          <w:sz w:val="24"/>
          <w:szCs w:val="24"/>
        </w:rPr>
        <w:t>指由发包人提供的用于合同工程施工的场所，以及发包人在合同中具体指定的供施工使用的其他任何场所。</w:t>
      </w:r>
    </w:p>
    <w:p w14:paraId="704C961D">
      <w:pPr>
        <w:pStyle w:val="2"/>
        <w:tabs>
          <w:tab w:val="left" w:pos="2160"/>
        </w:tabs>
        <w:spacing w:before="192" w:beforeLines="80" w:line="360" w:lineRule="auto"/>
        <w:ind w:firstLine="472" w:firstLineChars="196"/>
        <w:rPr>
          <w:rFonts w:hAnsi="宋体"/>
          <w:color w:val="auto"/>
          <w:sz w:val="24"/>
          <w:szCs w:val="24"/>
        </w:rPr>
      </w:pPr>
      <w:r>
        <w:rPr>
          <w:rFonts w:hAnsi="宋体"/>
          <w:b/>
          <w:color w:val="auto"/>
          <w:sz w:val="24"/>
          <w:szCs w:val="24"/>
        </w:rPr>
        <w:t xml:space="preserve">1.45  </w:t>
      </w:r>
      <w:r>
        <w:rPr>
          <w:rFonts w:hint="eastAsia" w:hAnsi="宋体"/>
          <w:b/>
          <w:color w:val="auto"/>
          <w:sz w:val="24"/>
          <w:szCs w:val="24"/>
        </w:rPr>
        <w:t>工程设备：</w:t>
      </w:r>
      <w:r>
        <w:rPr>
          <w:rFonts w:hint="eastAsia" w:hAnsi="宋体"/>
          <w:color w:val="auto"/>
          <w:sz w:val="24"/>
          <w:szCs w:val="24"/>
        </w:rPr>
        <w:t>指构成或计划构成永久工程一部分的机电设备、金属结构设备、仪器装置及其他类似的设备和装置。</w:t>
      </w:r>
    </w:p>
    <w:p w14:paraId="22911156">
      <w:pPr>
        <w:pStyle w:val="2"/>
        <w:tabs>
          <w:tab w:val="left" w:pos="2160"/>
        </w:tabs>
        <w:spacing w:before="192" w:beforeLines="80" w:line="360" w:lineRule="auto"/>
        <w:ind w:firstLine="472" w:firstLineChars="196"/>
        <w:rPr>
          <w:rFonts w:hAnsi="宋体"/>
          <w:color w:val="auto"/>
          <w:sz w:val="24"/>
          <w:szCs w:val="24"/>
        </w:rPr>
      </w:pPr>
      <w:r>
        <w:rPr>
          <w:rFonts w:hAnsi="宋体"/>
          <w:b/>
          <w:color w:val="auto"/>
          <w:sz w:val="24"/>
          <w:szCs w:val="24"/>
        </w:rPr>
        <w:t xml:space="preserve">1.46  </w:t>
      </w:r>
      <w:r>
        <w:rPr>
          <w:rFonts w:hint="eastAsia" w:hAnsi="宋体"/>
          <w:b/>
          <w:color w:val="auto"/>
          <w:sz w:val="24"/>
          <w:szCs w:val="24"/>
        </w:rPr>
        <w:t>施工设备：</w:t>
      </w:r>
      <w:r>
        <w:rPr>
          <w:rFonts w:hint="eastAsia" w:hAnsi="宋体"/>
          <w:color w:val="auto"/>
          <w:sz w:val="24"/>
          <w:szCs w:val="24"/>
        </w:rPr>
        <w:t>指承包人临时带入现场用于合同工程施工的仪器、机械、运输工具或其他物品，但不包括用于或安装在合同工程中的工程设备。</w:t>
      </w:r>
    </w:p>
    <w:p w14:paraId="035259AD">
      <w:pPr>
        <w:pStyle w:val="2"/>
        <w:tabs>
          <w:tab w:val="left" w:pos="2160"/>
        </w:tabs>
        <w:spacing w:before="192" w:beforeLines="80" w:line="360" w:lineRule="auto"/>
        <w:ind w:firstLine="472" w:firstLineChars="196"/>
        <w:jc w:val="left"/>
        <w:rPr>
          <w:rFonts w:hAnsi="宋体"/>
          <w:color w:val="auto"/>
          <w:sz w:val="24"/>
          <w:szCs w:val="24"/>
        </w:rPr>
      </w:pPr>
      <w:r>
        <w:rPr>
          <w:rFonts w:hAnsi="宋体"/>
          <w:b/>
          <w:color w:val="auto"/>
          <w:sz w:val="24"/>
          <w:szCs w:val="24"/>
        </w:rPr>
        <w:t xml:space="preserve">1.47  </w:t>
      </w:r>
      <w:r>
        <w:rPr>
          <w:rFonts w:hint="eastAsia" w:hAnsi="宋体"/>
          <w:b/>
          <w:color w:val="auto"/>
          <w:sz w:val="24"/>
          <w:szCs w:val="24"/>
        </w:rPr>
        <w:t>工程变更：</w:t>
      </w:r>
      <w:r>
        <w:rPr>
          <w:rFonts w:hint="eastAsia" w:hAnsi="宋体"/>
          <w:color w:val="auto"/>
          <w:sz w:val="24"/>
          <w:szCs w:val="24"/>
        </w:rPr>
        <w:t>指经发包人批准的，由监理工程师根据第</w:t>
      </w:r>
      <w:r>
        <w:rPr>
          <w:rFonts w:hAnsi="宋体"/>
          <w:color w:val="auto"/>
          <w:sz w:val="24"/>
          <w:szCs w:val="24"/>
        </w:rPr>
        <w:t>56</w:t>
      </w:r>
      <w:r>
        <w:rPr>
          <w:rFonts w:hint="eastAsia" w:hAnsi="宋体"/>
          <w:color w:val="auto"/>
          <w:sz w:val="24"/>
          <w:szCs w:val="24"/>
        </w:rPr>
        <w:t>条规定发出指令的工程任何变更。</w:t>
      </w:r>
    </w:p>
    <w:p w14:paraId="44835DD0">
      <w:pPr>
        <w:pStyle w:val="2"/>
        <w:tabs>
          <w:tab w:val="left" w:pos="2160"/>
        </w:tabs>
        <w:spacing w:before="192" w:beforeLines="80" w:line="360" w:lineRule="auto"/>
        <w:ind w:firstLine="472" w:firstLineChars="196"/>
        <w:rPr>
          <w:rFonts w:hAnsi="宋体"/>
          <w:color w:val="auto"/>
          <w:sz w:val="24"/>
          <w:szCs w:val="24"/>
        </w:rPr>
      </w:pPr>
      <w:r>
        <w:rPr>
          <w:rFonts w:hAnsi="宋体"/>
          <w:b/>
          <w:color w:val="auto"/>
          <w:sz w:val="24"/>
          <w:szCs w:val="24"/>
        </w:rPr>
        <w:t xml:space="preserve">1.48  </w:t>
      </w:r>
      <w:r>
        <w:rPr>
          <w:rFonts w:hint="eastAsia" w:hAnsi="宋体"/>
          <w:b/>
          <w:color w:val="auto"/>
          <w:sz w:val="24"/>
          <w:szCs w:val="24"/>
        </w:rPr>
        <w:t>索赔：</w:t>
      </w:r>
      <w:r>
        <w:rPr>
          <w:rFonts w:hint="eastAsia" w:hAnsi="宋体"/>
          <w:color w:val="auto"/>
          <w:sz w:val="24"/>
          <w:szCs w:val="24"/>
        </w:rPr>
        <w:t>指合同履行期间，对于非自己的过错而应由对方当事人承担责任的情况所造成的损失，并根据第</w:t>
      </w:r>
      <w:r>
        <w:rPr>
          <w:rFonts w:hAnsi="宋体"/>
          <w:color w:val="auto"/>
          <w:sz w:val="24"/>
          <w:szCs w:val="24"/>
        </w:rPr>
        <w:t>36</w:t>
      </w:r>
      <w:r>
        <w:rPr>
          <w:rFonts w:hint="eastAsia" w:hAnsi="宋体"/>
          <w:color w:val="auto"/>
          <w:sz w:val="24"/>
          <w:szCs w:val="24"/>
        </w:rPr>
        <w:t>条和第</w:t>
      </w:r>
      <w:r>
        <w:rPr>
          <w:rFonts w:hAnsi="宋体"/>
          <w:color w:val="auto"/>
          <w:sz w:val="24"/>
          <w:szCs w:val="24"/>
        </w:rPr>
        <w:t>74</w:t>
      </w:r>
      <w:r>
        <w:rPr>
          <w:rFonts w:hint="eastAsia" w:hAnsi="宋体"/>
          <w:color w:val="auto"/>
          <w:sz w:val="24"/>
          <w:szCs w:val="24"/>
        </w:rPr>
        <w:t>条规定向对方当事人提出费用补偿和（或）工期顺延的要求。</w:t>
      </w:r>
    </w:p>
    <w:p w14:paraId="304210DB">
      <w:pPr>
        <w:pStyle w:val="2"/>
        <w:tabs>
          <w:tab w:val="left" w:pos="2160"/>
        </w:tabs>
        <w:spacing w:before="192" w:beforeLines="80" w:line="360" w:lineRule="auto"/>
        <w:ind w:firstLine="472" w:firstLineChars="196"/>
        <w:rPr>
          <w:rFonts w:hAnsi="宋体"/>
          <w:color w:val="auto"/>
          <w:sz w:val="24"/>
          <w:szCs w:val="24"/>
        </w:rPr>
      </w:pPr>
      <w:r>
        <w:rPr>
          <w:rFonts w:hAnsi="宋体"/>
          <w:b/>
          <w:color w:val="auto"/>
          <w:sz w:val="24"/>
          <w:szCs w:val="24"/>
        </w:rPr>
        <w:t xml:space="preserve">1.49  </w:t>
      </w:r>
      <w:r>
        <w:rPr>
          <w:rFonts w:hint="eastAsia" w:hAnsi="宋体"/>
          <w:b/>
          <w:color w:val="auto"/>
          <w:sz w:val="24"/>
          <w:szCs w:val="24"/>
        </w:rPr>
        <w:t>现场签证：</w:t>
      </w:r>
      <w:r>
        <w:rPr>
          <w:rFonts w:hint="eastAsia" w:hAnsi="宋体"/>
          <w:color w:val="auto"/>
          <w:sz w:val="24"/>
          <w:szCs w:val="24"/>
        </w:rPr>
        <w:t>指合同双方当事人按照第</w:t>
      </w:r>
      <w:r>
        <w:rPr>
          <w:rFonts w:hAnsi="宋体"/>
          <w:color w:val="auto"/>
          <w:sz w:val="24"/>
          <w:szCs w:val="24"/>
        </w:rPr>
        <w:t>14.2</w:t>
      </w:r>
      <w:r>
        <w:rPr>
          <w:rFonts w:hint="eastAsia" w:hAnsi="宋体"/>
          <w:color w:val="auto"/>
          <w:sz w:val="24"/>
          <w:szCs w:val="24"/>
        </w:rPr>
        <w:t>款约定的指定人选根据第</w:t>
      </w:r>
      <w:r>
        <w:rPr>
          <w:rFonts w:hAnsi="宋体"/>
          <w:color w:val="auto"/>
          <w:sz w:val="24"/>
          <w:szCs w:val="24"/>
        </w:rPr>
        <w:t>75</w:t>
      </w:r>
      <w:r>
        <w:rPr>
          <w:rFonts w:hint="eastAsia" w:hAnsi="宋体"/>
          <w:color w:val="auto"/>
          <w:sz w:val="24"/>
          <w:szCs w:val="24"/>
        </w:rPr>
        <w:t>条规定就施工过程中涉及的责任事件所作的签认证明。</w:t>
      </w:r>
    </w:p>
    <w:p w14:paraId="496B7181">
      <w:pPr>
        <w:pStyle w:val="2"/>
        <w:tabs>
          <w:tab w:val="left" w:pos="2160"/>
        </w:tabs>
        <w:spacing w:before="192" w:beforeLines="80" w:line="360" w:lineRule="auto"/>
        <w:ind w:firstLine="472" w:firstLineChars="196"/>
        <w:rPr>
          <w:rFonts w:hAnsi="宋体"/>
          <w:color w:val="auto"/>
          <w:sz w:val="24"/>
          <w:szCs w:val="24"/>
        </w:rPr>
      </w:pPr>
      <w:r>
        <w:rPr>
          <w:rFonts w:hAnsi="宋体"/>
          <w:b/>
          <w:color w:val="auto"/>
          <w:sz w:val="24"/>
          <w:szCs w:val="24"/>
        </w:rPr>
        <w:t xml:space="preserve">1.50  </w:t>
      </w:r>
      <w:r>
        <w:rPr>
          <w:rFonts w:hint="eastAsia" w:hAnsi="宋体"/>
          <w:b/>
          <w:color w:val="auto"/>
          <w:sz w:val="24"/>
          <w:szCs w:val="24"/>
        </w:rPr>
        <w:t>不可抗力：</w:t>
      </w:r>
      <w:r>
        <w:rPr>
          <w:rFonts w:hint="eastAsia" w:hAnsi="宋体"/>
          <w:color w:val="auto"/>
          <w:sz w:val="24"/>
          <w:szCs w:val="24"/>
        </w:rPr>
        <w:t>指不能预见、不能避免并不能克服的客观情况。</w:t>
      </w:r>
    </w:p>
    <w:p w14:paraId="44B8051D">
      <w:pPr>
        <w:pStyle w:val="2"/>
        <w:tabs>
          <w:tab w:val="left" w:pos="2160"/>
        </w:tabs>
        <w:spacing w:before="192" w:beforeLines="80" w:line="360" w:lineRule="auto"/>
        <w:ind w:firstLine="472" w:firstLineChars="196"/>
        <w:rPr>
          <w:rFonts w:hAnsi="宋体"/>
          <w:color w:val="auto"/>
          <w:sz w:val="24"/>
          <w:szCs w:val="24"/>
        </w:rPr>
      </w:pPr>
      <w:r>
        <w:rPr>
          <w:rFonts w:hAnsi="宋体"/>
          <w:b/>
          <w:color w:val="auto"/>
          <w:sz w:val="24"/>
          <w:szCs w:val="24"/>
        </w:rPr>
        <w:t xml:space="preserve">1.51  </w:t>
      </w:r>
      <w:r>
        <w:rPr>
          <w:rFonts w:hint="eastAsia" w:hAnsi="宋体"/>
          <w:b/>
          <w:color w:val="auto"/>
          <w:sz w:val="24"/>
          <w:szCs w:val="24"/>
        </w:rPr>
        <w:t>竣工验收：</w:t>
      </w:r>
      <w:r>
        <w:rPr>
          <w:rFonts w:hint="eastAsia" w:hAnsi="宋体"/>
          <w:color w:val="auto"/>
          <w:sz w:val="24"/>
          <w:szCs w:val="24"/>
        </w:rPr>
        <w:t>指承包人完成了全部合同工作后，发包人按照合同要求进行的验收。</w:t>
      </w:r>
    </w:p>
    <w:p w14:paraId="06DCE927">
      <w:pPr>
        <w:pStyle w:val="2"/>
        <w:tabs>
          <w:tab w:val="left" w:pos="2160"/>
        </w:tabs>
        <w:spacing w:before="192" w:beforeLines="80" w:line="360" w:lineRule="auto"/>
        <w:ind w:firstLine="472" w:firstLineChars="196"/>
        <w:rPr>
          <w:rFonts w:hAnsi="宋体"/>
          <w:color w:val="auto"/>
          <w:sz w:val="24"/>
          <w:szCs w:val="24"/>
        </w:rPr>
      </w:pPr>
      <w:r>
        <w:rPr>
          <w:rFonts w:hAnsi="宋体"/>
          <w:b/>
          <w:color w:val="auto"/>
          <w:sz w:val="24"/>
          <w:szCs w:val="24"/>
        </w:rPr>
        <w:t xml:space="preserve">1.52  </w:t>
      </w:r>
      <w:r>
        <w:rPr>
          <w:rFonts w:hint="eastAsia" w:hAnsi="宋体"/>
          <w:b/>
          <w:color w:val="auto"/>
          <w:sz w:val="24"/>
          <w:szCs w:val="24"/>
        </w:rPr>
        <w:t>国家验收：</w:t>
      </w:r>
      <w:r>
        <w:rPr>
          <w:rFonts w:hint="eastAsia" w:hAnsi="宋体"/>
          <w:color w:val="auto"/>
          <w:sz w:val="24"/>
          <w:szCs w:val="24"/>
        </w:rPr>
        <w:t>指政府部门根据法律和政策等有关规定，针对发包人全面组织实施的整个工程正式交付投运前的验收。</w:t>
      </w:r>
    </w:p>
    <w:p w14:paraId="65A8D7CB">
      <w:pPr>
        <w:pStyle w:val="2"/>
        <w:tabs>
          <w:tab w:val="left" w:pos="2160"/>
        </w:tabs>
        <w:spacing w:before="192" w:beforeLines="80" w:line="360" w:lineRule="auto"/>
        <w:ind w:firstLine="472" w:firstLineChars="196"/>
        <w:rPr>
          <w:rFonts w:hAnsi="宋体"/>
          <w:color w:val="auto"/>
          <w:sz w:val="24"/>
          <w:szCs w:val="24"/>
        </w:rPr>
      </w:pPr>
      <w:r>
        <w:rPr>
          <w:rFonts w:hAnsi="宋体"/>
          <w:b/>
          <w:color w:val="auto"/>
          <w:sz w:val="24"/>
          <w:szCs w:val="24"/>
        </w:rPr>
        <w:t xml:space="preserve">1.53  </w:t>
      </w:r>
      <w:r>
        <w:rPr>
          <w:rFonts w:hint="eastAsia" w:hAnsi="宋体"/>
          <w:b/>
          <w:color w:val="auto"/>
          <w:sz w:val="24"/>
          <w:szCs w:val="24"/>
        </w:rPr>
        <w:t>书面形式：</w:t>
      </w:r>
      <w:r>
        <w:rPr>
          <w:rFonts w:hint="eastAsia" w:hAnsi="宋体"/>
          <w:color w:val="auto"/>
          <w:sz w:val="24"/>
          <w:szCs w:val="24"/>
        </w:rPr>
        <w:t>指合同文件、信函、电报、电传、传真、电子数据交换文件、电子邮件等可以有形地表现所载内容的形式。合同双方当事人可在专用条款中注明所采用的书面形式。</w:t>
      </w:r>
    </w:p>
    <w:p w14:paraId="3F24BDD7">
      <w:pPr>
        <w:pStyle w:val="2"/>
        <w:tabs>
          <w:tab w:val="left" w:pos="2160"/>
        </w:tabs>
        <w:spacing w:before="192" w:beforeLines="80" w:line="360" w:lineRule="auto"/>
        <w:ind w:firstLine="472" w:firstLineChars="196"/>
        <w:rPr>
          <w:rFonts w:hAnsi="宋体"/>
          <w:color w:val="auto"/>
          <w:sz w:val="24"/>
          <w:szCs w:val="24"/>
        </w:rPr>
      </w:pPr>
      <w:r>
        <w:rPr>
          <w:rFonts w:hAnsi="宋体"/>
          <w:b/>
          <w:color w:val="auto"/>
          <w:sz w:val="24"/>
          <w:szCs w:val="24"/>
        </w:rPr>
        <w:t xml:space="preserve">1.54  </w:t>
      </w:r>
      <w:r>
        <w:rPr>
          <w:rFonts w:hint="eastAsia" w:hAnsi="宋体"/>
          <w:b/>
          <w:color w:val="auto"/>
          <w:sz w:val="24"/>
          <w:szCs w:val="24"/>
        </w:rPr>
        <w:t>国家：</w:t>
      </w:r>
      <w:r>
        <w:rPr>
          <w:rFonts w:hint="eastAsia" w:hAnsi="宋体"/>
          <w:color w:val="auto"/>
          <w:sz w:val="24"/>
          <w:szCs w:val="24"/>
        </w:rPr>
        <w:t>指中华人民共和国。</w:t>
      </w:r>
    </w:p>
    <w:p w14:paraId="17789383">
      <w:pPr>
        <w:pStyle w:val="2"/>
        <w:tabs>
          <w:tab w:val="left" w:pos="2160"/>
        </w:tabs>
        <w:spacing w:before="192" w:beforeLines="80" w:line="360" w:lineRule="auto"/>
        <w:ind w:firstLine="470" w:firstLineChars="196"/>
        <w:rPr>
          <w:rFonts w:hAnsi="宋体"/>
          <w:color w:val="auto"/>
          <w:sz w:val="24"/>
          <w:szCs w:val="24"/>
        </w:rPr>
      </w:pPr>
    </w:p>
    <w:p w14:paraId="45B978F1">
      <w:pPr>
        <w:tabs>
          <w:tab w:val="left" w:pos="1620"/>
        </w:tabs>
        <w:spacing w:line="360" w:lineRule="auto"/>
        <w:rPr>
          <w:rFonts w:ascii="宋体"/>
          <w:b/>
          <w:color w:val="auto"/>
          <w:sz w:val="30"/>
        </w:rPr>
      </w:pPr>
      <w:r>
        <w:rPr>
          <w:rFonts w:ascii="宋体" w:hAnsi="宋体"/>
          <w:b/>
          <w:color w:val="auto"/>
          <w:sz w:val="30"/>
        </w:rPr>
        <w:t xml:space="preserve">2  </w:t>
      </w:r>
      <w:r>
        <w:rPr>
          <w:rFonts w:hint="eastAsia" w:ascii="宋体" w:hAnsi="宋体"/>
          <w:b/>
          <w:color w:val="auto"/>
          <w:sz w:val="30"/>
        </w:rPr>
        <w:t>合同文件及解释</w:t>
      </w:r>
    </w:p>
    <w:p w14:paraId="0FE052C0">
      <w:pPr>
        <w:pStyle w:val="2"/>
        <w:tabs>
          <w:tab w:val="left" w:pos="1202"/>
        </w:tabs>
        <w:spacing w:line="360" w:lineRule="auto"/>
        <w:rPr>
          <w:rFonts w:hAnsi="宋体"/>
          <w:b/>
          <w:color w:val="auto"/>
          <w:sz w:val="18"/>
          <w:szCs w:val="18"/>
        </w:rPr>
      </w:pPr>
      <w:r>
        <w:rPr>
          <w:rFonts w:hAnsi="宋体"/>
          <w:b/>
          <w:color w:val="auto"/>
          <w:sz w:val="24"/>
          <w:szCs w:val="18"/>
        </w:rPr>
        <w:t xml:space="preserve">2.1                                                    </w:t>
      </w:r>
    </w:p>
    <w:p w14:paraId="5DF5A4E3">
      <w:pPr>
        <w:pStyle w:val="2"/>
        <w:tabs>
          <w:tab w:val="left" w:pos="1202"/>
          <w:tab w:val="left" w:pos="1620"/>
          <w:tab w:val="left" w:pos="1800"/>
          <w:tab w:val="left" w:pos="2160"/>
        </w:tabs>
        <w:spacing w:line="360" w:lineRule="auto"/>
        <w:ind w:firstLine="1390" w:firstLineChars="695"/>
        <w:rPr>
          <w:rFonts w:hAnsi="宋体"/>
          <w:color w:val="auto"/>
          <w:sz w:val="18"/>
          <w:szCs w:val="18"/>
        </w:rPr>
      </w:pPr>
      <w:r>
        <w:rPr>
          <w:color w:val="auto"/>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20955</wp:posOffset>
                </wp:positionV>
                <wp:extent cx="800100" cy="297180"/>
                <wp:effectExtent l="0" t="0" r="7620" b="7620"/>
                <wp:wrapNone/>
                <wp:docPr id="404" name="文本框 10"/>
                <wp:cNvGraphicFramePr/>
                <a:graphic xmlns:a="http://schemas.openxmlformats.org/drawingml/2006/main">
                  <a:graphicData uri="http://schemas.microsoft.com/office/word/2010/wordprocessingShape">
                    <wps:wsp>
                      <wps:cNvSpPr txBox="1"/>
                      <wps:spPr>
                        <a:xfrm>
                          <a:off x="0" y="0"/>
                          <a:ext cx="800100" cy="297180"/>
                        </a:xfrm>
                        <a:prstGeom prst="rect">
                          <a:avLst/>
                        </a:prstGeom>
                        <a:solidFill>
                          <a:srgbClr val="FFFFFF"/>
                        </a:solidFill>
                        <a:ln>
                          <a:noFill/>
                        </a:ln>
                        <a:effectLst/>
                      </wps:spPr>
                      <wps:txbx>
                        <w:txbxContent>
                          <w:p w14:paraId="1775FC7A">
                            <w:pPr>
                              <w:rPr>
                                <w:rFonts w:ascii="楷体_GB2312" w:hAnsi="宋体" w:eastAsia="楷体_GB2312"/>
                              </w:rPr>
                            </w:pPr>
                            <w:r>
                              <w:rPr>
                                <w:rFonts w:hint="eastAsia" w:ascii="楷体_GB2312" w:hAnsi="宋体" w:eastAsia="楷体_GB2312"/>
                                <w:b/>
                                <w:color w:val="000000"/>
                                <w:sz w:val="18"/>
                                <w:szCs w:val="18"/>
                              </w:rPr>
                              <w:t>标题和旁注</w:t>
                            </w:r>
                          </w:p>
                        </w:txbxContent>
                      </wps:txbx>
                      <wps:bodyPr upright="1"/>
                    </wps:wsp>
                  </a:graphicData>
                </a:graphic>
              </wp:anchor>
            </w:drawing>
          </mc:Choice>
          <mc:Fallback>
            <w:pict>
              <v:shape id="文本框 10" o:spid="_x0000_s1026" o:spt="202" type="#_x0000_t202" style="position:absolute;left:0pt;margin-left:-9pt;margin-top:1.65pt;height:23.4pt;width:63pt;z-index:251659264;mso-width-relative:page;mso-height-relative:page;" fillcolor="#FFFFFF" filled="t" stroked="f" coordsize="21600,21600" o:gfxdata="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OZYi2vVAAAACAEAAA8AAAAAAAAAAQAgAAAAIgAAAGRycy9kb3ducmV2&#10;LnhtbFBLAQIUABQAAAAIAIdO4kAUS0nbxgEAAIcDAAAOAAAAAAAAAAEAIAAAACQBAABkcnMvZTJv&#10;RG9jLnhtbFBLBQYAAAAABgAGAFkBAABcBQAAAAA=&#10;">
                <v:fill on="t" focussize="0,0"/>
                <v:stroke on="f"/>
                <v:imagedata o:title=""/>
                <o:lock v:ext="edit" aspectratio="f"/>
                <v:textbox>
                  <w:txbxContent>
                    <w:p w14:paraId="1775FC7A">
                      <w:pPr>
                        <w:rPr>
                          <w:rFonts w:ascii="楷体_GB2312" w:hAnsi="宋体" w:eastAsia="楷体_GB2312"/>
                        </w:rPr>
                      </w:pPr>
                      <w:r>
                        <w:rPr>
                          <w:rFonts w:hint="eastAsia" w:ascii="楷体_GB2312" w:hAnsi="宋体" w:eastAsia="楷体_GB2312"/>
                          <w:b/>
                          <w:color w:val="000000"/>
                          <w:sz w:val="18"/>
                          <w:szCs w:val="18"/>
                        </w:rPr>
                        <w:t>标题和旁注</w:t>
                      </w:r>
                    </w:p>
                  </w:txbxContent>
                </v:textbox>
              </v:shape>
            </w:pict>
          </mc:Fallback>
        </mc:AlternateContent>
      </w:r>
      <w:r>
        <w:rPr>
          <w:rFonts w:hint="eastAsia" w:hAnsi="宋体"/>
          <w:color w:val="auto"/>
          <w:sz w:val="24"/>
          <w:szCs w:val="18"/>
        </w:rPr>
        <w:t>本合同条款的标题和旁注不构成合同的组成部分。</w:t>
      </w:r>
    </w:p>
    <w:p w14:paraId="588A4471">
      <w:pPr>
        <w:pStyle w:val="2"/>
        <w:tabs>
          <w:tab w:val="left" w:pos="1202"/>
        </w:tabs>
        <w:spacing w:line="360" w:lineRule="auto"/>
        <w:rPr>
          <w:rFonts w:hAnsi="宋体"/>
          <w:b/>
          <w:color w:val="auto"/>
          <w:sz w:val="24"/>
          <w:szCs w:val="18"/>
        </w:rPr>
      </w:pPr>
    </w:p>
    <w:p w14:paraId="583779DF">
      <w:pPr>
        <w:pStyle w:val="2"/>
        <w:tabs>
          <w:tab w:val="left" w:pos="1202"/>
        </w:tabs>
        <w:spacing w:line="360" w:lineRule="auto"/>
        <w:rPr>
          <w:rFonts w:hAnsi="宋体"/>
          <w:b/>
          <w:color w:val="auto"/>
          <w:sz w:val="24"/>
          <w:szCs w:val="18"/>
        </w:rPr>
      </w:pPr>
      <w:r>
        <w:rPr>
          <w:rFonts w:hAnsi="宋体"/>
          <w:b/>
          <w:color w:val="auto"/>
          <w:sz w:val="24"/>
          <w:szCs w:val="18"/>
        </w:rPr>
        <w:t xml:space="preserve">2.2  </w:t>
      </w:r>
    </w:p>
    <w:p w14:paraId="1D1C09BA">
      <w:pPr>
        <w:pStyle w:val="2"/>
        <w:tabs>
          <w:tab w:val="left" w:pos="1320"/>
        </w:tabs>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67310</wp:posOffset>
                </wp:positionV>
                <wp:extent cx="914400" cy="527050"/>
                <wp:effectExtent l="0" t="0" r="0" b="0"/>
                <wp:wrapNone/>
                <wp:docPr id="10" name="文本框 9"/>
                <wp:cNvGraphicFramePr/>
                <a:graphic xmlns:a="http://schemas.openxmlformats.org/drawingml/2006/main">
                  <a:graphicData uri="http://schemas.microsoft.com/office/word/2010/wordprocessingShape">
                    <wps:wsp>
                      <wps:cNvSpPr txBox="1"/>
                      <wps:spPr>
                        <a:xfrm>
                          <a:off x="0" y="0"/>
                          <a:ext cx="914400" cy="527050"/>
                        </a:xfrm>
                        <a:prstGeom prst="rect">
                          <a:avLst/>
                        </a:prstGeom>
                        <a:noFill/>
                        <a:ln>
                          <a:noFill/>
                        </a:ln>
                        <a:effectLst/>
                      </wps:spPr>
                      <wps:txbx>
                        <w:txbxContent>
                          <w:p w14:paraId="202CE0FD">
                            <w:pPr>
                              <w:rPr>
                                <w:rFonts w:ascii="楷体_GB2312" w:hAnsi="宋体" w:eastAsia="楷体_GB2312"/>
                                <w:b/>
                                <w:color w:val="000000"/>
                                <w:sz w:val="18"/>
                                <w:szCs w:val="18"/>
                              </w:rPr>
                            </w:pPr>
                            <w:r>
                              <w:rPr>
                                <w:rFonts w:hint="eastAsia" w:ascii="楷体_GB2312" w:hAnsi="宋体" w:eastAsia="楷体_GB2312"/>
                                <w:b/>
                                <w:color w:val="000000"/>
                                <w:sz w:val="18"/>
                                <w:szCs w:val="18"/>
                              </w:rPr>
                              <w:t>合同文件组成及优先顺序</w:t>
                            </w:r>
                          </w:p>
                        </w:txbxContent>
                      </wps:txbx>
                      <wps:bodyPr upright="1"/>
                    </wps:wsp>
                  </a:graphicData>
                </a:graphic>
              </wp:anchor>
            </w:drawing>
          </mc:Choice>
          <mc:Fallback>
            <w:pict>
              <v:shape id="文本框 9" o:spid="_x0000_s1026" o:spt="202" type="#_x0000_t202" style="position:absolute;left:0pt;margin-left:-9pt;margin-top:5.3pt;height:41.5pt;width:72pt;z-index:251660288;mso-width-relative:page;mso-height-relative:page;" filled="f" stroked="f" coordsize="21600,21600" o:gfxdata="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iEBU7&#10;1gAAAAkBAAAPAAAAAAAAAAEAIAAAACIAAABkcnMvZG93bnJldi54bWxQSwECFAAUAAAACACHTuJA&#10;SpEQD7EBAABcAwAADgAAAAAAAAABACAAAAAlAQAAZHJzL2Uyb0RvYy54bWxQSwUGAAAAAAYABgBZ&#10;AQAASAUAAAAA&#10;">
                <v:fill on="f" focussize="0,0"/>
                <v:stroke on="f"/>
                <v:imagedata o:title=""/>
                <o:lock v:ext="edit" aspectratio="f"/>
                <v:textbox>
                  <w:txbxContent>
                    <w:p w14:paraId="202CE0FD">
                      <w:pPr>
                        <w:rPr>
                          <w:rFonts w:ascii="楷体_GB2312" w:hAnsi="宋体" w:eastAsia="楷体_GB2312"/>
                          <w:b/>
                          <w:color w:val="000000"/>
                          <w:sz w:val="18"/>
                          <w:szCs w:val="18"/>
                        </w:rPr>
                      </w:pPr>
                      <w:r>
                        <w:rPr>
                          <w:rFonts w:hint="eastAsia" w:ascii="楷体_GB2312" w:hAnsi="宋体" w:eastAsia="楷体_GB2312"/>
                          <w:b/>
                          <w:color w:val="000000"/>
                          <w:sz w:val="18"/>
                          <w:szCs w:val="18"/>
                        </w:rPr>
                        <w:t>合同文件组成及优先顺序</w:t>
                      </w:r>
                    </w:p>
                  </w:txbxContent>
                </v:textbox>
              </v:shape>
            </w:pict>
          </mc:Fallback>
        </mc:AlternateContent>
      </w:r>
      <w:r>
        <w:rPr>
          <w:rFonts w:hint="eastAsia" w:hAnsi="宋体"/>
          <w:color w:val="auto"/>
          <w:sz w:val="24"/>
          <w:szCs w:val="18"/>
        </w:rPr>
        <w:t>下列组成本合同的文件是一个合同整体，彼此应当能相互解释，互为说明。当出现相互矛盾时，组成本合同文件的优先解释顺序如下：</w:t>
      </w:r>
    </w:p>
    <w:p w14:paraId="7C9BCA90">
      <w:pPr>
        <w:pStyle w:val="2"/>
        <w:numPr>
          <w:ilvl w:val="0"/>
          <w:numId w:val="5"/>
        </w:numPr>
        <w:spacing w:line="360" w:lineRule="auto"/>
        <w:ind w:firstLine="540"/>
        <w:rPr>
          <w:rFonts w:hAnsi="宋体"/>
          <w:color w:val="auto"/>
          <w:sz w:val="24"/>
          <w:szCs w:val="18"/>
        </w:rPr>
      </w:pPr>
      <w:r>
        <w:rPr>
          <w:rFonts w:hint="eastAsia" w:hAnsi="宋体"/>
          <w:color w:val="auto"/>
          <w:sz w:val="24"/>
          <w:szCs w:val="18"/>
        </w:rPr>
        <w:t>协议书；</w:t>
      </w:r>
    </w:p>
    <w:p w14:paraId="49BFD653">
      <w:pPr>
        <w:pStyle w:val="2"/>
        <w:numPr>
          <w:ilvl w:val="0"/>
          <w:numId w:val="5"/>
        </w:numPr>
        <w:tabs>
          <w:tab w:val="left" w:pos="1620"/>
        </w:tabs>
        <w:spacing w:line="360" w:lineRule="auto"/>
        <w:ind w:left="1620" w:firstLine="0"/>
        <w:rPr>
          <w:rFonts w:hAnsi="宋体"/>
          <w:color w:val="auto"/>
          <w:sz w:val="24"/>
          <w:szCs w:val="18"/>
        </w:rPr>
      </w:pPr>
      <w:r>
        <w:rPr>
          <w:rFonts w:hint="eastAsia" w:hAnsi="宋体"/>
          <w:color w:val="auto"/>
          <w:sz w:val="24"/>
          <w:szCs w:val="18"/>
        </w:rPr>
        <w:t>履行本合同的相关补充协议（含工程洽商记录、会议纪要、工程变更、现场签证、索赔和合同价款调整报告等修正文件）；</w:t>
      </w:r>
    </w:p>
    <w:p w14:paraId="58658E85">
      <w:pPr>
        <w:pStyle w:val="2"/>
        <w:numPr>
          <w:ilvl w:val="0"/>
          <w:numId w:val="5"/>
        </w:numPr>
        <w:spacing w:line="360" w:lineRule="auto"/>
        <w:ind w:firstLine="540"/>
        <w:rPr>
          <w:rFonts w:hAnsi="宋体"/>
          <w:color w:val="auto"/>
          <w:sz w:val="24"/>
          <w:szCs w:val="18"/>
        </w:rPr>
      </w:pPr>
      <w:r>
        <w:rPr>
          <w:rFonts w:hint="eastAsia" w:hAnsi="宋体"/>
          <w:color w:val="auto"/>
          <w:sz w:val="24"/>
          <w:szCs w:val="18"/>
        </w:rPr>
        <w:t>中标通知书（适用于招标工程）；</w:t>
      </w:r>
    </w:p>
    <w:p w14:paraId="2CE41495">
      <w:pPr>
        <w:pStyle w:val="2"/>
        <w:numPr>
          <w:ilvl w:val="0"/>
          <w:numId w:val="5"/>
        </w:numPr>
        <w:tabs>
          <w:tab w:val="left" w:pos="1620"/>
        </w:tabs>
        <w:spacing w:line="360" w:lineRule="auto"/>
        <w:ind w:left="1620" w:leftChars="771" w:hanging="1"/>
        <w:rPr>
          <w:rFonts w:hAnsi="宋体"/>
          <w:color w:val="auto"/>
          <w:sz w:val="24"/>
          <w:szCs w:val="18"/>
        </w:rPr>
      </w:pPr>
      <w:r>
        <w:rPr>
          <w:rFonts w:hint="eastAsia" w:hAnsi="宋体"/>
          <w:color w:val="auto"/>
          <w:sz w:val="24"/>
          <w:szCs w:val="18"/>
        </w:rPr>
        <w:t>承包人投标文件及其附件（含评标期间的澄清文件和补充资料）（适用于招标工程）；</w:t>
      </w:r>
    </w:p>
    <w:p w14:paraId="276EE9E7">
      <w:pPr>
        <w:pStyle w:val="2"/>
        <w:tabs>
          <w:tab w:val="left" w:pos="1620"/>
        </w:tabs>
        <w:spacing w:line="360" w:lineRule="auto"/>
        <w:ind w:left="1619"/>
        <w:rPr>
          <w:rFonts w:hAnsi="宋体"/>
          <w:color w:val="auto"/>
          <w:sz w:val="24"/>
          <w:szCs w:val="18"/>
        </w:rPr>
      </w:pPr>
      <w:r>
        <w:rPr>
          <w:rFonts w:hint="eastAsia" w:hAnsi="宋体"/>
          <w:color w:val="auto"/>
          <w:sz w:val="24"/>
          <w:szCs w:val="18"/>
        </w:rPr>
        <w:t>确认的工程量清单报价单或施工图预算书（适用于非招标工程）；</w:t>
      </w:r>
    </w:p>
    <w:p w14:paraId="77D3FB50">
      <w:pPr>
        <w:pStyle w:val="2"/>
        <w:numPr>
          <w:ilvl w:val="0"/>
          <w:numId w:val="5"/>
        </w:numPr>
        <w:spacing w:line="360" w:lineRule="auto"/>
        <w:ind w:firstLine="540"/>
        <w:rPr>
          <w:rFonts w:hAnsi="宋体"/>
          <w:color w:val="auto"/>
          <w:sz w:val="24"/>
          <w:szCs w:val="18"/>
        </w:rPr>
      </w:pPr>
      <w:r>
        <w:rPr>
          <w:rFonts w:hint="eastAsia" w:hAnsi="宋体"/>
          <w:color w:val="auto"/>
          <w:sz w:val="24"/>
          <w:szCs w:val="18"/>
        </w:rPr>
        <w:t>专用条款；</w:t>
      </w:r>
    </w:p>
    <w:p w14:paraId="7DE3C296">
      <w:pPr>
        <w:pStyle w:val="2"/>
        <w:numPr>
          <w:ilvl w:val="0"/>
          <w:numId w:val="5"/>
        </w:numPr>
        <w:spacing w:line="360" w:lineRule="auto"/>
        <w:ind w:firstLine="540"/>
        <w:rPr>
          <w:rFonts w:hAnsi="宋体"/>
          <w:color w:val="auto"/>
          <w:sz w:val="24"/>
          <w:szCs w:val="18"/>
        </w:rPr>
      </w:pPr>
      <w:r>
        <w:rPr>
          <w:rFonts w:hint="eastAsia" w:hAnsi="宋体"/>
          <w:color w:val="auto"/>
          <w:sz w:val="24"/>
          <w:szCs w:val="18"/>
        </w:rPr>
        <w:t>通用条款；</w:t>
      </w:r>
    </w:p>
    <w:p w14:paraId="26E65593">
      <w:pPr>
        <w:pStyle w:val="2"/>
        <w:numPr>
          <w:ilvl w:val="0"/>
          <w:numId w:val="5"/>
        </w:numPr>
        <w:spacing w:line="360" w:lineRule="auto"/>
        <w:ind w:firstLine="540"/>
        <w:rPr>
          <w:rFonts w:hAnsi="宋体"/>
          <w:color w:val="auto"/>
          <w:sz w:val="24"/>
          <w:szCs w:val="18"/>
        </w:rPr>
      </w:pPr>
      <w:r>
        <w:rPr>
          <w:rFonts w:hint="eastAsia" w:hAnsi="宋体"/>
          <w:color w:val="auto"/>
          <w:sz w:val="24"/>
          <w:szCs w:val="18"/>
        </w:rPr>
        <w:t>标准、规范及有关技术文件；</w:t>
      </w:r>
    </w:p>
    <w:p w14:paraId="7550772E">
      <w:pPr>
        <w:pStyle w:val="2"/>
        <w:numPr>
          <w:ilvl w:val="0"/>
          <w:numId w:val="5"/>
        </w:numPr>
        <w:spacing w:line="360" w:lineRule="auto"/>
        <w:ind w:left="1077" w:firstLine="540"/>
        <w:rPr>
          <w:rFonts w:hAnsi="宋体"/>
          <w:color w:val="auto"/>
          <w:sz w:val="24"/>
          <w:szCs w:val="18"/>
        </w:rPr>
      </w:pPr>
      <w:r>
        <w:rPr>
          <w:rFonts w:hint="eastAsia" w:hAnsi="宋体"/>
          <w:color w:val="auto"/>
          <w:sz w:val="24"/>
          <w:szCs w:val="18"/>
        </w:rPr>
        <w:t>施工设计图纸；</w:t>
      </w:r>
    </w:p>
    <w:p w14:paraId="4E8DC2C8">
      <w:pPr>
        <w:pStyle w:val="2"/>
        <w:numPr>
          <w:ilvl w:val="0"/>
          <w:numId w:val="5"/>
        </w:numPr>
        <w:spacing w:line="360" w:lineRule="auto"/>
        <w:ind w:left="1077" w:firstLine="540"/>
        <w:rPr>
          <w:rFonts w:hAnsi="宋体"/>
          <w:color w:val="auto"/>
          <w:sz w:val="24"/>
          <w:szCs w:val="18"/>
        </w:rPr>
      </w:pPr>
      <w:r>
        <w:rPr>
          <w:rFonts w:hint="eastAsia" w:hAnsi="宋体"/>
          <w:color w:val="auto"/>
          <w:sz w:val="24"/>
          <w:szCs w:val="18"/>
        </w:rPr>
        <w:t>工程量清单；</w:t>
      </w:r>
    </w:p>
    <w:p w14:paraId="280424DF">
      <w:pPr>
        <w:pStyle w:val="2"/>
        <w:numPr>
          <w:ilvl w:val="0"/>
          <w:numId w:val="5"/>
        </w:numPr>
        <w:spacing w:line="360" w:lineRule="auto"/>
        <w:ind w:left="1077" w:firstLine="540"/>
        <w:rPr>
          <w:rFonts w:hAnsi="宋体"/>
          <w:color w:val="auto"/>
          <w:sz w:val="24"/>
          <w:szCs w:val="18"/>
        </w:rPr>
      </w:pPr>
      <w:r>
        <w:rPr>
          <w:rFonts w:hint="eastAsia" w:hAnsi="宋体"/>
          <w:color w:val="auto"/>
          <w:sz w:val="24"/>
          <w:szCs w:val="18"/>
        </w:rPr>
        <w:t>专用条款约定的其他文件。</w:t>
      </w:r>
    </w:p>
    <w:p w14:paraId="1FDE22E0">
      <w:pPr>
        <w:pStyle w:val="2"/>
        <w:tabs>
          <w:tab w:val="left" w:pos="540"/>
          <w:tab w:val="left" w:pos="1202"/>
        </w:tabs>
        <w:spacing w:line="360" w:lineRule="auto"/>
        <w:rPr>
          <w:rFonts w:hAnsi="宋体"/>
          <w:b/>
          <w:color w:val="auto"/>
          <w:sz w:val="24"/>
          <w:szCs w:val="18"/>
        </w:rPr>
      </w:pPr>
      <w:r>
        <w:rPr>
          <w:rFonts w:hAnsi="宋体"/>
          <w:b/>
          <w:color w:val="auto"/>
          <w:sz w:val="24"/>
          <w:szCs w:val="18"/>
        </w:rPr>
        <w:t xml:space="preserve">2.3  </w:t>
      </w:r>
    </w:p>
    <w:p w14:paraId="74586255">
      <w:pPr>
        <w:pStyle w:val="2"/>
        <w:spacing w:line="360" w:lineRule="auto"/>
        <w:ind w:left="1619" w:leftChars="771"/>
        <w:rPr>
          <w:rFonts w:hAnsi="宋体"/>
          <w:color w:val="auto"/>
          <w:sz w:val="24"/>
          <w:szCs w:val="24"/>
        </w:rPr>
      </w:pPr>
      <w:r>
        <w:rPr>
          <w:color w:val="auto"/>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a:effectLst/>
                      </wps:spPr>
                      <wps:txbx>
                        <w:txbxContent>
                          <w:p w14:paraId="49DE4CBF">
                            <w:pPr>
                              <w:rPr>
                                <w:rFonts w:ascii="楷体_GB2312" w:hAnsi="宋体" w:eastAsia="楷体_GB2312"/>
                                <w:b/>
                                <w:color w:val="000000"/>
                                <w:sz w:val="18"/>
                                <w:szCs w:val="18"/>
                              </w:rPr>
                            </w:pPr>
                            <w:r>
                              <w:rPr>
                                <w:rFonts w:hint="eastAsia" w:ascii="楷体_GB2312" w:hAnsi="宋体" w:eastAsia="楷体_GB2312"/>
                                <w:b/>
                                <w:color w:val="000000"/>
                                <w:sz w:val="18"/>
                                <w:szCs w:val="18"/>
                              </w:rPr>
                              <w:t>监理或造价工程师作出解释</w:t>
                            </w:r>
                          </w:p>
                        </w:txbxContent>
                      </wps:txbx>
                      <wps:bodyPr upright="1"/>
                    </wps:wsp>
                  </a:graphicData>
                </a:graphic>
              </wp:anchor>
            </w:drawing>
          </mc:Choice>
          <mc:Fallback>
            <w:pict>
              <v:shape id="_x0000_s1026" o:spid="_x0000_s1026" o:spt="202" type="#_x0000_t202" style="position:absolute;left:0pt;margin-left:-9pt;margin-top:0pt;height:62.4pt;width:72pt;z-index:251661312;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qTZUc&#10;1QAAAAgBAAAPAAAAAAAAAAEAIAAAACIAAABkcnMvZG93bnJldi54bWxQSwECFAAUAAAACACHTuJA&#10;x3L65bIBAABdAwAADgAAAAAAAAABACAAAAAkAQAAZHJzL2Uyb0RvYy54bWxQSwUGAAAAAAYABgBZ&#10;AQAASAUAAAAA&#10;">
                <v:fill on="f" focussize="0,0"/>
                <v:stroke on="f"/>
                <v:imagedata o:title=""/>
                <o:lock v:ext="edit" aspectratio="f"/>
                <v:textbox>
                  <w:txbxContent>
                    <w:p w14:paraId="49DE4CBF">
                      <w:pPr>
                        <w:rPr>
                          <w:rFonts w:ascii="楷体_GB2312" w:hAnsi="宋体" w:eastAsia="楷体_GB2312"/>
                          <w:b/>
                          <w:color w:val="000000"/>
                          <w:sz w:val="18"/>
                          <w:szCs w:val="18"/>
                        </w:rPr>
                      </w:pPr>
                      <w:r>
                        <w:rPr>
                          <w:rFonts w:hint="eastAsia" w:ascii="楷体_GB2312" w:hAnsi="宋体" w:eastAsia="楷体_GB2312"/>
                          <w:b/>
                          <w:color w:val="000000"/>
                          <w:sz w:val="18"/>
                          <w:szCs w:val="18"/>
                        </w:rPr>
                        <w:t>监理或造价工程师作出解释</w:t>
                      </w:r>
                    </w:p>
                  </w:txbxContent>
                </v:textbox>
              </v:shape>
            </w:pict>
          </mc:Fallback>
        </mc:AlternateContent>
      </w:r>
      <w:r>
        <w:rPr>
          <w:rFonts w:hint="eastAsia" w:hAnsi="宋体"/>
          <w:color w:val="auto"/>
          <w:sz w:val="24"/>
          <w:szCs w:val="18"/>
        </w:rPr>
        <w:t>当合同文件内容出现含糊不清或不一致时，由合同双方当事人在不影响合同工程正常实施的情况下协商解决。协商不成的，由监理工程师、造价工程师分别按照第</w:t>
      </w:r>
      <w:r>
        <w:rPr>
          <w:rFonts w:hAnsi="宋体"/>
          <w:color w:val="auto"/>
          <w:sz w:val="24"/>
          <w:szCs w:val="18"/>
        </w:rPr>
        <w:t>23.2</w:t>
      </w:r>
      <w:r>
        <w:rPr>
          <w:rFonts w:hint="eastAsia" w:hAnsi="宋体"/>
          <w:color w:val="auto"/>
          <w:sz w:val="24"/>
          <w:szCs w:val="18"/>
        </w:rPr>
        <w:t>款、第</w:t>
      </w:r>
      <w:r>
        <w:rPr>
          <w:rFonts w:hAnsi="宋体"/>
          <w:color w:val="auto"/>
          <w:sz w:val="24"/>
          <w:szCs w:val="18"/>
        </w:rPr>
        <w:t>24.2</w:t>
      </w:r>
      <w:r>
        <w:rPr>
          <w:rFonts w:hint="eastAsia" w:hAnsi="宋体"/>
          <w:color w:val="auto"/>
          <w:sz w:val="24"/>
          <w:szCs w:val="18"/>
        </w:rPr>
        <w:t>款规定职权作出解释。如合同任何一方</w:t>
      </w:r>
      <w:r>
        <w:rPr>
          <w:rFonts w:hint="eastAsia" w:hAnsi="宋体"/>
          <w:color w:val="auto"/>
          <w:sz w:val="24"/>
          <w:szCs w:val="24"/>
        </w:rPr>
        <w:t>当事人不同意监理工程师或造价工程师作出的解释，按照第</w:t>
      </w:r>
      <w:r>
        <w:rPr>
          <w:rFonts w:hAnsi="宋体"/>
          <w:color w:val="auto"/>
          <w:sz w:val="24"/>
          <w:szCs w:val="24"/>
        </w:rPr>
        <w:t>86</w:t>
      </w:r>
      <w:r>
        <w:rPr>
          <w:rFonts w:hint="eastAsia" w:hAnsi="宋体"/>
          <w:color w:val="auto"/>
          <w:sz w:val="24"/>
          <w:szCs w:val="24"/>
        </w:rPr>
        <w:t>条规定处理。</w:t>
      </w:r>
    </w:p>
    <w:p w14:paraId="3E50F9E8">
      <w:pPr>
        <w:spacing w:line="360" w:lineRule="auto"/>
        <w:jc w:val="left"/>
        <w:rPr>
          <w:rFonts w:ascii="宋体"/>
          <w:b/>
          <w:color w:val="auto"/>
          <w:sz w:val="30"/>
        </w:rPr>
      </w:pPr>
    </w:p>
    <w:p w14:paraId="71F3469F">
      <w:pPr>
        <w:spacing w:line="360" w:lineRule="auto"/>
        <w:jc w:val="left"/>
        <w:rPr>
          <w:rFonts w:ascii="宋体"/>
          <w:b/>
          <w:color w:val="auto"/>
          <w:sz w:val="30"/>
        </w:rPr>
      </w:pPr>
      <w:r>
        <w:rPr>
          <w:rFonts w:ascii="宋体" w:hAnsi="宋体"/>
          <w:b/>
          <w:color w:val="auto"/>
          <w:sz w:val="30"/>
        </w:rPr>
        <w:t xml:space="preserve">3  </w:t>
      </w:r>
      <w:r>
        <w:rPr>
          <w:rFonts w:hint="eastAsia" w:ascii="宋体" w:hAnsi="宋体"/>
          <w:b/>
          <w:color w:val="auto"/>
          <w:sz w:val="30"/>
        </w:rPr>
        <w:t>阅读、理解与接受</w:t>
      </w:r>
    </w:p>
    <w:p w14:paraId="1558019F">
      <w:pPr>
        <w:tabs>
          <w:tab w:val="left" w:pos="1260"/>
        </w:tabs>
        <w:spacing w:before="240" w:beforeLines="100" w:line="360" w:lineRule="auto"/>
        <w:rPr>
          <w:rFonts w:ascii="宋体"/>
          <w:b/>
          <w:color w:val="auto"/>
          <w:sz w:val="24"/>
        </w:rPr>
      </w:pPr>
      <w:r>
        <w:rPr>
          <w:rFonts w:ascii="宋体" w:hAnsi="宋体"/>
          <w:b/>
          <w:color w:val="auto"/>
          <w:sz w:val="24"/>
          <w:szCs w:val="18"/>
        </w:rPr>
        <w:t xml:space="preserve">3.1 </w:t>
      </w:r>
    </w:p>
    <w:p w14:paraId="78C32B2C">
      <w:pPr>
        <w:pStyle w:val="2"/>
        <w:tabs>
          <w:tab w:val="left" w:pos="540"/>
          <w:tab w:val="left" w:pos="1202"/>
        </w:tabs>
        <w:spacing w:line="360" w:lineRule="auto"/>
        <w:ind w:left="1440" w:leftChars="685" w:hanging="2"/>
        <w:rPr>
          <w:rFonts w:hAnsi="宋体"/>
          <w:color w:val="auto"/>
          <w:sz w:val="24"/>
          <w:szCs w:val="18"/>
        </w:rPr>
      </w:pPr>
      <w:r>
        <w:rPr>
          <w:color w:val="auto"/>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a:effectLst/>
                      </wps:spPr>
                      <wps:txbx>
                        <w:txbxContent>
                          <w:p w14:paraId="154CD6E1">
                            <w:pPr>
                              <w:rPr>
                                <w:rFonts w:ascii="楷体_GB2312" w:hAnsi="宋体" w:eastAsia="楷体_GB2312"/>
                                <w:b/>
                                <w:color w:val="000000"/>
                                <w:sz w:val="18"/>
                                <w:szCs w:val="18"/>
                              </w:rPr>
                            </w:pPr>
                            <w:r>
                              <w:rPr>
                                <w:rFonts w:hint="eastAsia" w:ascii="楷体_GB2312" w:hAnsi="宋体" w:eastAsia="楷体_GB2312"/>
                                <w:b/>
                                <w:color w:val="000000"/>
                                <w:sz w:val="18"/>
                                <w:szCs w:val="18"/>
                              </w:rPr>
                              <w:t>阅读、理解与接受</w:t>
                            </w:r>
                          </w:p>
                        </w:txbxContent>
                      </wps:txbx>
                      <wps:bodyPr upright="1"/>
                    </wps:wsp>
                  </a:graphicData>
                </a:graphic>
              </wp:anchor>
            </w:drawing>
          </mc:Choice>
          <mc:Fallback>
            <w:pict>
              <v:shape id="_x0000_s1026" o:spid="_x0000_s1026" o:spt="202" type="#_x0000_t202" style="position:absolute;left:0pt;margin-left:-9pt;margin-top:0pt;height:62.4pt;width:72pt;z-index:251662336;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qTZUc&#10;1QAAAAgBAAAPAAAAAAAAAAEAIAAAACIAAABkcnMvZG93bnJldi54bWxQSwECFAAUAAAACACHTuJA&#10;dy6zWLIBAABdAwAADgAAAAAAAAABACAAAAAkAQAAZHJzL2Uyb0RvYy54bWxQSwUGAAAAAAYABgBZ&#10;AQAASAUAAAAA&#10;">
                <v:fill on="f" focussize="0,0"/>
                <v:stroke on="f"/>
                <v:imagedata o:title=""/>
                <o:lock v:ext="edit" aspectratio="f"/>
                <v:textbox>
                  <w:txbxContent>
                    <w:p w14:paraId="154CD6E1">
                      <w:pPr>
                        <w:rPr>
                          <w:rFonts w:ascii="楷体_GB2312" w:hAnsi="宋体" w:eastAsia="楷体_GB2312"/>
                          <w:b/>
                          <w:color w:val="000000"/>
                          <w:sz w:val="18"/>
                          <w:szCs w:val="18"/>
                        </w:rPr>
                      </w:pPr>
                      <w:r>
                        <w:rPr>
                          <w:rFonts w:hint="eastAsia" w:ascii="楷体_GB2312" w:hAnsi="宋体" w:eastAsia="楷体_GB2312"/>
                          <w:b/>
                          <w:color w:val="000000"/>
                          <w:sz w:val="18"/>
                          <w:szCs w:val="18"/>
                        </w:rPr>
                        <w:t>阅读、理解与接受</w:t>
                      </w:r>
                    </w:p>
                  </w:txbxContent>
                </v:textbox>
              </v:shape>
            </w:pict>
          </mc:Fallback>
        </mc:AlternateContent>
      </w:r>
      <w:r>
        <w:rPr>
          <w:rFonts w:hint="eastAsia" w:hAnsi="宋体"/>
          <w:color w:val="auto"/>
          <w:sz w:val="24"/>
          <w:szCs w:val="18"/>
        </w:rPr>
        <w:t>合同双方当事人应认真阅读和理解本合同的全部内容。除合同双方当事人同意修改外，本合同一旦订立，视为合同双方当事人已全面接受本合同的所有条款。</w:t>
      </w:r>
    </w:p>
    <w:p w14:paraId="7A066EF0">
      <w:pPr>
        <w:pStyle w:val="2"/>
        <w:tabs>
          <w:tab w:val="left" w:pos="2160"/>
        </w:tabs>
        <w:spacing w:before="192" w:beforeLines="80" w:line="360" w:lineRule="auto"/>
        <w:ind w:left="1350" w:hanging="1350" w:hangingChars="675"/>
        <w:rPr>
          <w:rFonts w:hAnsi="宋体"/>
          <w:b/>
          <w:color w:val="auto"/>
          <w:sz w:val="24"/>
          <w:szCs w:val="18"/>
          <w:u w:val="dotted"/>
        </w:rPr>
      </w:pPr>
      <w:r>
        <w:rPr>
          <w:color w:val="auto"/>
        </w:rP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396240</wp:posOffset>
                </wp:positionV>
                <wp:extent cx="952500" cy="79248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952500" cy="792480"/>
                        </a:xfrm>
                        <a:prstGeom prst="rect">
                          <a:avLst/>
                        </a:prstGeom>
                        <a:noFill/>
                        <a:ln>
                          <a:noFill/>
                        </a:ln>
                        <a:effectLst/>
                      </wps:spPr>
                      <wps:txbx>
                        <w:txbxContent>
                          <w:p w14:paraId="75F0D660">
                            <w:pPr>
                              <w:rPr>
                                <w:rFonts w:ascii="楷体_GB2312" w:hAnsi="宋体" w:eastAsia="楷体_GB2312"/>
                                <w:b/>
                                <w:color w:val="000000"/>
                                <w:sz w:val="18"/>
                                <w:szCs w:val="18"/>
                              </w:rPr>
                            </w:pPr>
                            <w:r>
                              <w:rPr>
                                <w:rFonts w:hint="eastAsia" w:ascii="楷体_GB2312" w:hAnsi="宋体" w:eastAsia="楷体_GB2312"/>
                                <w:b/>
                                <w:color w:val="000000"/>
                                <w:sz w:val="18"/>
                                <w:szCs w:val="18"/>
                              </w:rPr>
                              <w:t>修改合同条款的限制</w:t>
                            </w:r>
                          </w:p>
                        </w:txbxContent>
                      </wps:txbx>
                      <wps:bodyPr upright="1"/>
                    </wps:wsp>
                  </a:graphicData>
                </a:graphic>
              </wp:anchor>
            </w:drawing>
          </mc:Choice>
          <mc:Fallback>
            <w:pict>
              <v:shape id="_x0000_s1026" o:spid="_x0000_s1026" o:spt="202" type="#_x0000_t202" style="position:absolute;left:0pt;margin-left:-9pt;margin-top:31.2pt;height:62.4pt;width:75pt;z-index:251663360;mso-width-relative:page;mso-height-relative:page;" filled="f" stroked="f" coordsize="21600,21600" o:gfxdata="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5&#10;F5UO2AAAAAoBAAAPAAAAAAAAAAEAIAAAACIAAABkcnMvZG93bnJldi54bWxQSwECFAAUAAAACACH&#10;TuJAloCPq7IBAABdAwAADgAAAAAAAAABACAAAAAnAQAAZHJzL2Uyb0RvYy54bWxQSwUGAAAAAAYA&#10;BgBZAQAASwUAAAAA&#10;">
                <v:fill on="f" focussize="0,0"/>
                <v:stroke on="f"/>
                <v:imagedata o:title=""/>
                <o:lock v:ext="edit" aspectratio="f"/>
                <v:textbox>
                  <w:txbxContent>
                    <w:p w14:paraId="75F0D660">
                      <w:pPr>
                        <w:rPr>
                          <w:rFonts w:ascii="楷体_GB2312" w:hAnsi="宋体" w:eastAsia="楷体_GB2312"/>
                          <w:b/>
                          <w:color w:val="000000"/>
                          <w:sz w:val="18"/>
                          <w:szCs w:val="18"/>
                        </w:rPr>
                      </w:pPr>
                      <w:r>
                        <w:rPr>
                          <w:rFonts w:hint="eastAsia" w:ascii="楷体_GB2312" w:hAnsi="宋体" w:eastAsia="楷体_GB2312"/>
                          <w:b/>
                          <w:color w:val="000000"/>
                          <w:sz w:val="18"/>
                          <w:szCs w:val="18"/>
                        </w:rPr>
                        <w:t>修改合同条款的限制</w:t>
                      </w:r>
                    </w:p>
                  </w:txbxContent>
                </v:textbox>
              </v:shape>
            </w:pict>
          </mc:Fallback>
        </mc:AlternateContent>
      </w:r>
      <w:r>
        <w:rPr>
          <w:rFonts w:hAnsi="宋体"/>
          <w:b/>
          <w:color w:val="auto"/>
          <w:sz w:val="24"/>
          <w:szCs w:val="18"/>
        </w:rPr>
        <w:t xml:space="preserve">3.2  </w:t>
      </w:r>
    </w:p>
    <w:p w14:paraId="1815D6BD">
      <w:pPr>
        <w:pStyle w:val="2"/>
        <w:tabs>
          <w:tab w:val="left" w:pos="2160"/>
        </w:tabs>
        <w:spacing w:before="192" w:beforeLines="80" w:line="360" w:lineRule="auto"/>
        <w:ind w:left="1618" w:leftChars="741" w:hanging="62" w:hangingChars="26"/>
        <w:rPr>
          <w:rFonts w:hAnsi="宋体"/>
          <w:color w:val="auto"/>
          <w:sz w:val="24"/>
          <w:szCs w:val="18"/>
        </w:rPr>
      </w:pPr>
      <w:r>
        <w:rPr>
          <w:rFonts w:hint="eastAsia" w:hAnsi="宋体"/>
          <w:color w:val="auto"/>
          <w:sz w:val="24"/>
          <w:szCs w:val="18"/>
        </w:rPr>
        <w:t>合同一方当事人违背本合同的承诺，要求另一方当事人接受其对拟订立或正在履行的本合同条款修改后存在不公平的条款，另一方当事人不接受的，应及时提出修正意见。经再次催告修正无效的情况下，不利一方当事人有权拒绝订立或单方解除本合同；给对方当事人造成损失的，责任方应予赔偿。</w:t>
      </w:r>
    </w:p>
    <w:p w14:paraId="06907ADE">
      <w:pPr>
        <w:pStyle w:val="2"/>
        <w:adjustRightInd w:val="0"/>
        <w:snapToGrid w:val="0"/>
        <w:spacing w:line="360" w:lineRule="auto"/>
        <w:ind w:right="-238"/>
        <w:rPr>
          <w:color w:val="auto"/>
        </w:rPr>
      </w:pPr>
    </w:p>
    <w:p w14:paraId="596DAD53">
      <w:pPr>
        <w:tabs>
          <w:tab w:val="left" w:pos="1260"/>
        </w:tabs>
        <w:spacing w:before="240" w:beforeLines="100" w:line="360" w:lineRule="auto"/>
        <w:rPr>
          <w:rFonts w:ascii="宋体"/>
          <w:b/>
          <w:color w:val="auto"/>
          <w:sz w:val="30"/>
        </w:rPr>
      </w:pPr>
      <w:r>
        <w:rPr>
          <w:rFonts w:ascii="宋体" w:hAnsi="宋体"/>
          <w:b/>
          <w:color w:val="auto"/>
          <w:sz w:val="30"/>
        </w:rPr>
        <w:t xml:space="preserve">4  </w:t>
      </w:r>
      <w:r>
        <w:rPr>
          <w:rFonts w:hint="eastAsia" w:ascii="宋体" w:hAnsi="宋体"/>
          <w:b/>
          <w:color w:val="auto"/>
          <w:sz w:val="30"/>
        </w:rPr>
        <w:t>语言及适用的法律、标准与规范</w:t>
      </w:r>
    </w:p>
    <w:p w14:paraId="0882170D">
      <w:pPr>
        <w:tabs>
          <w:tab w:val="left" w:pos="1320"/>
        </w:tabs>
        <w:spacing w:line="360" w:lineRule="auto"/>
        <w:ind w:right="-15" w:rightChars="-7"/>
        <w:rPr>
          <w:rFonts w:ascii="宋体"/>
          <w:b/>
          <w:color w:val="auto"/>
          <w:sz w:val="24"/>
          <w:szCs w:val="18"/>
        </w:rPr>
      </w:pPr>
      <w:r>
        <w:rPr>
          <w:rFonts w:ascii="宋体" w:hAnsi="宋体"/>
          <w:b/>
          <w:color w:val="auto"/>
          <w:sz w:val="24"/>
          <w:szCs w:val="18"/>
        </w:rPr>
        <w:t xml:space="preserve">4.1                         </w:t>
      </w:r>
    </w:p>
    <w:p w14:paraId="6B76196F">
      <w:pPr>
        <w:tabs>
          <w:tab w:val="left" w:pos="1620"/>
        </w:tabs>
        <w:spacing w:line="360" w:lineRule="auto"/>
        <w:ind w:left="1617" w:right="-7" w:hanging="1617" w:hangingChars="895"/>
        <w:rPr>
          <w:rFonts w:ascii="宋体"/>
          <w:color w:val="auto"/>
          <w:sz w:val="24"/>
          <w:szCs w:val="18"/>
        </w:rPr>
      </w:pPr>
      <w:r>
        <w:rPr>
          <w:rFonts w:hint="eastAsia" w:ascii="宋体" w:hAnsi="宋体"/>
          <w:b/>
          <w:color w:val="auto"/>
          <w:sz w:val="18"/>
          <w:szCs w:val="18"/>
        </w:rPr>
        <w:t>语言文字</w:t>
      </w:r>
      <w:r>
        <w:rPr>
          <w:rFonts w:hint="eastAsia" w:ascii="宋体" w:hAnsi="宋体"/>
          <w:color w:val="auto"/>
          <w:sz w:val="24"/>
          <w:szCs w:val="18"/>
        </w:rPr>
        <w:t>本合同所使用的语言文字为中文（汉语）。</w:t>
      </w:r>
    </w:p>
    <w:p w14:paraId="04B22F7F">
      <w:pPr>
        <w:tabs>
          <w:tab w:val="left" w:pos="1620"/>
        </w:tabs>
        <w:spacing w:line="360" w:lineRule="auto"/>
        <w:ind w:left="1579" w:leftChars="752" w:right="-7" w:firstLine="117" w:firstLineChars="49"/>
        <w:rPr>
          <w:rFonts w:ascii="宋体"/>
          <w:color w:val="auto"/>
          <w:sz w:val="24"/>
          <w:szCs w:val="18"/>
        </w:rPr>
      </w:pPr>
      <w:r>
        <w:rPr>
          <w:rFonts w:hint="eastAsia" w:ascii="宋体" w:hAnsi="宋体"/>
          <w:color w:val="auto"/>
          <w:sz w:val="24"/>
          <w:szCs w:val="18"/>
        </w:rPr>
        <w:t>对于必须使用外文表达的专用术语等，应附有中文注释。</w:t>
      </w:r>
    </w:p>
    <w:p w14:paraId="41F51DAB">
      <w:pPr>
        <w:tabs>
          <w:tab w:val="left" w:pos="1320"/>
        </w:tabs>
        <w:spacing w:line="360" w:lineRule="auto"/>
        <w:ind w:right="-7"/>
        <w:rPr>
          <w:rFonts w:ascii="宋体"/>
          <w:b/>
          <w:color w:val="auto"/>
          <w:sz w:val="24"/>
          <w:szCs w:val="18"/>
        </w:rPr>
      </w:pPr>
      <w:r>
        <w:rPr>
          <w:rFonts w:ascii="宋体" w:hAnsi="宋体"/>
          <w:b/>
          <w:color w:val="auto"/>
          <w:sz w:val="24"/>
          <w:szCs w:val="18"/>
        </w:rPr>
        <w:t xml:space="preserve">4.2  </w:t>
      </w:r>
    </w:p>
    <w:p w14:paraId="49AF9448">
      <w:pPr>
        <w:pStyle w:val="12"/>
        <w:ind w:left="1617" w:leftChars="770" w:right="-7" w:firstLine="1"/>
        <w:rPr>
          <w:rFonts w:ascii="宋体"/>
          <w:color w:val="auto"/>
          <w:szCs w:val="18"/>
        </w:rPr>
      </w:pPr>
      <w:r>
        <w:rPr>
          <w:color w:val="auto"/>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38100</wp:posOffset>
                </wp:positionV>
                <wp:extent cx="1028700" cy="4572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028700" cy="457200"/>
                        </a:xfrm>
                        <a:prstGeom prst="rect">
                          <a:avLst/>
                        </a:prstGeom>
                        <a:noFill/>
                        <a:ln>
                          <a:noFill/>
                        </a:ln>
                        <a:effectLst/>
                      </wps:spPr>
                      <wps:txbx>
                        <w:txbxContent>
                          <w:p w14:paraId="3A6546B8">
                            <w:pPr>
                              <w:rPr>
                                <w:rFonts w:ascii="楷体_GB2312" w:eastAsia="楷体_GB2312"/>
                                <w:sz w:val="18"/>
                                <w:szCs w:val="18"/>
                              </w:rPr>
                            </w:pPr>
                            <w:r>
                              <w:rPr>
                                <w:rFonts w:hint="eastAsia" w:ascii="楷体_GB2312" w:eastAsia="楷体_GB2312"/>
                                <w:b/>
                                <w:color w:val="000000"/>
                                <w:sz w:val="18"/>
                                <w:szCs w:val="18"/>
                              </w:rPr>
                              <w:t>适用法律</w:t>
                            </w:r>
                          </w:p>
                        </w:txbxContent>
                      </wps:txbx>
                      <wps:bodyPr upright="1"/>
                    </wps:wsp>
                  </a:graphicData>
                </a:graphic>
              </wp:anchor>
            </w:drawing>
          </mc:Choice>
          <mc:Fallback>
            <w:pict>
              <v:shape id="_x0000_s1026" o:spid="_x0000_s1026" o:spt="202" type="#_x0000_t202" style="position:absolute;left:0pt;margin-left:-9pt;margin-top:3pt;height:36pt;width:81pt;z-index:251664384;mso-width-relative:page;mso-height-relative:page;" filled="f" stroked="f" coordsize="21600,21600" o:gfxdata="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uRwms9QA&#10;AAAIAQAADwAAAAAAAAABACAAAAAiAAAAZHJzL2Rvd25yZXYueG1sUEsBAhQAFAAAAAgAh07iQOUp&#10;h6GxAQAAXgMAAA4AAAAAAAAAAQAgAAAAIwEAAGRycy9lMm9Eb2MueG1sUEsFBgAAAAAGAAYAWQEA&#10;AEYFAAAAAA==&#10;">
                <v:fill on="f" focussize="0,0"/>
                <v:stroke on="f"/>
                <v:imagedata o:title=""/>
                <o:lock v:ext="edit" aspectratio="f"/>
                <v:textbox>
                  <w:txbxContent>
                    <w:p w14:paraId="3A6546B8">
                      <w:pPr>
                        <w:rPr>
                          <w:rFonts w:ascii="楷体_GB2312" w:eastAsia="楷体_GB2312"/>
                          <w:sz w:val="18"/>
                          <w:szCs w:val="18"/>
                        </w:rPr>
                      </w:pPr>
                      <w:r>
                        <w:rPr>
                          <w:rFonts w:hint="eastAsia" w:ascii="楷体_GB2312" w:eastAsia="楷体_GB2312"/>
                          <w:b/>
                          <w:color w:val="000000"/>
                          <w:sz w:val="18"/>
                          <w:szCs w:val="18"/>
                        </w:rPr>
                        <w:t>适用法律</w:t>
                      </w:r>
                    </w:p>
                  </w:txbxContent>
                </v:textbox>
              </v:shape>
            </w:pict>
          </mc:Fallback>
        </mc:AlternateContent>
      </w:r>
      <w:r>
        <w:rPr>
          <w:rFonts w:hint="eastAsia" w:ascii="宋体"/>
          <w:color w:val="auto"/>
          <w:szCs w:val="18"/>
        </w:rPr>
        <w:t>本合同适用的法律为中华人民共和国的现行法律、行政法规、部门规章和合同工程所在地的地方性法规、地方政府规章。</w:t>
      </w:r>
    </w:p>
    <w:p w14:paraId="626525C6">
      <w:pPr>
        <w:tabs>
          <w:tab w:val="left" w:pos="1320"/>
        </w:tabs>
        <w:spacing w:line="360" w:lineRule="auto"/>
        <w:ind w:right="-7"/>
        <w:rPr>
          <w:rFonts w:ascii="宋体"/>
          <w:b/>
          <w:color w:val="auto"/>
          <w:sz w:val="24"/>
          <w:szCs w:val="18"/>
        </w:rPr>
      </w:pPr>
      <w:r>
        <w:rPr>
          <w:rFonts w:ascii="宋体" w:hAnsi="宋体"/>
          <w:b/>
          <w:color w:val="auto"/>
          <w:sz w:val="24"/>
          <w:szCs w:val="18"/>
        </w:rPr>
        <w:t xml:space="preserve">4.3  </w:t>
      </w:r>
    </w:p>
    <w:p w14:paraId="2213068C">
      <w:pPr>
        <w:spacing w:line="360" w:lineRule="auto"/>
        <w:ind w:left="1619" w:leftChars="771" w:right="-7"/>
        <w:rPr>
          <w:rFonts w:ascii="宋体"/>
          <w:color w:val="auto"/>
          <w:sz w:val="24"/>
          <w:szCs w:val="18"/>
        </w:rPr>
      </w:pPr>
      <w:r>
        <w:rPr>
          <w:color w:val="auto"/>
        </w:rP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0</wp:posOffset>
                </wp:positionV>
                <wp:extent cx="1028700" cy="44196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028700" cy="441960"/>
                        </a:xfrm>
                        <a:prstGeom prst="rect">
                          <a:avLst/>
                        </a:prstGeom>
                        <a:noFill/>
                        <a:ln>
                          <a:noFill/>
                        </a:ln>
                        <a:effectLst/>
                      </wps:spPr>
                      <wps:txbx>
                        <w:txbxContent>
                          <w:p w14:paraId="4E89334A">
                            <w:pPr>
                              <w:rPr>
                                <w:rFonts w:ascii="楷体_GB2312" w:hAnsi="宋体" w:eastAsia="楷体_GB2312"/>
                                <w:b/>
                                <w:color w:val="000000"/>
                                <w:sz w:val="18"/>
                                <w:szCs w:val="18"/>
                              </w:rPr>
                            </w:pPr>
                            <w:r>
                              <w:rPr>
                                <w:rFonts w:hint="eastAsia" w:ascii="楷体_GB2312" w:hAnsi="宋体" w:eastAsia="楷体_GB2312"/>
                                <w:b/>
                                <w:color w:val="000000"/>
                                <w:sz w:val="18"/>
                                <w:szCs w:val="18"/>
                              </w:rPr>
                              <w:t>适用标准与规</w:t>
                            </w:r>
                          </w:p>
                          <w:p w14:paraId="38CB74F4">
                            <w:pPr>
                              <w:rPr>
                                <w:rFonts w:ascii="楷体_GB2312" w:hAnsi="宋体" w:eastAsia="楷体_GB2312"/>
                                <w:b/>
                                <w:color w:val="000000"/>
                                <w:sz w:val="18"/>
                                <w:szCs w:val="18"/>
                              </w:rPr>
                            </w:pPr>
                            <w:r>
                              <w:rPr>
                                <w:rFonts w:hint="eastAsia" w:ascii="楷体_GB2312" w:hAnsi="宋体" w:eastAsia="楷体_GB2312"/>
                                <w:b/>
                                <w:color w:val="000000"/>
                                <w:sz w:val="18"/>
                                <w:szCs w:val="18"/>
                              </w:rPr>
                              <w:t>范</w:t>
                            </w:r>
                          </w:p>
                        </w:txbxContent>
                      </wps:txbx>
                      <wps:bodyPr upright="1"/>
                    </wps:wsp>
                  </a:graphicData>
                </a:graphic>
              </wp:anchor>
            </w:drawing>
          </mc:Choice>
          <mc:Fallback>
            <w:pict>
              <v:shape id="_x0000_s1026" o:spid="_x0000_s1026" o:spt="202" type="#_x0000_t202" style="position:absolute;left:0pt;margin-left:-9pt;margin-top:0pt;height:34.8pt;width:81pt;z-index:251665408;mso-width-relative:page;mso-height-relative:page;" filled="f" stroked="f" coordsize="21600,21600" o:gfxdata="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4IuO7&#10;1QAAAAcBAAAPAAAAAAAAAAEAIAAAACIAAABkcnMvZG93bnJldi54bWxQSwECFAAUAAAACACHTuJA&#10;Jc28LbIBAABeAwAADgAAAAAAAAABACAAAAAkAQAAZHJzL2Uyb0RvYy54bWxQSwUGAAAAAAYABgBZ&#10;AQAASAUAAAAA&#10;">
                <v:fill on="f" focussize="0,0"/>
                <v:stroke on="f"/>
                <v:imagedata o:title=""/>
                <o:lock v:ext="edit" aspectratio="f"/>
                <v:textbox>
                  <w:txbxContent>
                    <w:p w14:paraId="4E89334A">
                      <w:pPr>
                        <w:rPr>
                          <w:rFonts w:ascii="楷体_GB2312" w:hAnsi="宋体" w:eastAsia="楷体_GB2312"/>
                          <w:b/>
                          <w:color w:val="000000"/>
                          <w:sz w:val="18"/>
                          <w:szCs w:val="18"/>
                        </w:rPr>
                      </w:pPr>
                      <w:r>
                        <w:rPr>
                          <w:rFonts w:hint="eastAsia" w:ascii="楷体_GB2312" w:hAnsi="宋体" w:eastAsia="楷体_GB2312"/>
                          <w:b/>
                          <w:color w:val="000000"/>
                          <w:sz w:val="18"/>
                          <w:szCs w:val="18"/>
                        </w:rPr>
                        <w:t>适用标准与规</w:t>
                      </w:r>
                    </w:p>
                    <w:p w14:paraId="38CB74F4">
                      <w:pPr>
                        <w:rPr>
                          <w:rFonts w:ascii="楷体_GB2312" w:hAnsi="宋体" w:eastAsia="楷体_GB2312"/>
                          <w:b/>
                          <w:color w:val="000000"/>
                          <w:sz w:val="18"/>
                          <w:szCs w:val="18"/>
                        </w:rPr>
                      </w:pPr>
                      <w:r>
                        <w:rPr>
                          <w:rFonts w:hint="eastAsia" w:ascii="楷体_GB2312" w:hAnsi="宋体" w:eastAsia="楷体_GB2312"/>
                          <w:b/>
                          <w:color w:val="000000"/>
                          <w:sz w:val="18"/>
                          <w:szCs w:val="18"/>
                        </w:rPr>
                        <w:t>范</w:t>
                      </w:r>
                    </w:p>
                  </w:txbxContent>
                </v:textbox>
              </v:shape>
            </w:pict>
          </mc:Fallback>
        </mc:AlternateContent>
      </w:r>
      <w:r>
        <w:rPr>
          <w:rFonts w:hint="eastAsia" w:ascii="宋体" w:hAnsi="宋体"/>
          <w:color w:val="auto"/>
          <w:sz w:val="24"/>
          <w:szCs w:val="18"/>
        </w:rPr>
        <w:t>本合同适用的标准与规范为国家、行业和广东省的标准与规范或规程，以及发包人在合同中要求使用的标准与规范。</w:t>
      </w:r>
    </w:p>
    <w:p w14:paraId="516401AF">
      <w:pPr>
        <w:spacing w:line="360" w:lineRule="auto"/>
        <w:ind w:left="1619" w:leftChars="771" w:right="-7"/>
        <w:rPr>
          <w:rFonts w:ascii="宋体"/>
          <w:color w:val="auto"/>
          <w:sz w:val="24"/>
          <w:szCs w:val="18"/>
        </w:rPr>
      </w:pPr>
      <w:r>
        <w:rPr>
          <w:rFonts w:hint="eastAsia" w:ascii="宋体" w:hAnsi="宋体"/>
          <w:color w:val="auto"/>
          <w:sz w:val="24"/>
          <w:szCs w:val="18"/>
        </w:rPr>
        <w:t>合同双方当事人在专用条款中约定适用的国家标准、规范名称；国家没有但行业有的，约定适用的行业标准、规范名称；国家和行业没有但广东省有的，约定适用的广东省地方标准、规范名称。</w:t>
      </w:r>
    </w:p>
    <w:p w14:paraId="6BC85B5E">
      <w:pPr>
        <w:spacing w:line="360" w:lineRule="auto"/>
        <w:ind w:left="1619" w:leftChars="771" w:right="-7" w:firstLine="1"/>
        <w:rPr>
          <w:rFonts w:ascii="宋体"/>
          <w:color w:val="auto"/>
          <w:sz w:val="24"/>
          <w:szCs w:val="18"/>
        </w:rPr>
      </w:pPr>
      <w:r>
        <w:rPr>
          <w:rFonts w:hint="eastAsia" w:ascii="宋体" w:hAnsi="宋体"/>
          <w:color w:val="auto"/>
          <w:sz w:val="24"/>
          <w:szCs w:val="18"/>
        </w:rPr>
        <w:t>国内没有适用的标准、规范的，由发包人在招标文件中或在承包人投标报价前提出施工技术要求，承包人在自主报价时按照要求提出施工工艺，经发包人确认后执行。发包人要求使用国外标准、规范的，应负责提供中文译本；有异议时，以中文译本为准。</w:t>
      </w:r>
    </w:p>
    <w:p w14:paraId="235482D5">
      <w:pPr>
        <w:spacing w:line="360" w:lineRule="auto"/>
        <w:ind w:firstLine="482"/>
        <w:rPr>
          <w:rFonts w:ascii="宋体"/>
          <w:color w:val="auto"/>
          <w:sz w:val="24"/>
          <w:szCs w:val="18"/>
          <w:u w:val="single"/>
        </w:rPr>
      </w:pPr>
    </w:p>
    <w:p w14:paraId="7AAF5DB4">
      <w:pPr>
        <w:tabs>
          <w:tab w:val="left" w:pos="1620"/>
        </w:tabs>
        <w:spacing w:line="360" w:lineRule="auto"/>
        <w:rPr>
          <w:rFonts w:ascii="宋体"/>
          <w:b/>
          <w:color w:val="auto"/>
          <w:sz w:val="30"/>
        </w:rPr>
      </w:pPr>
      <w:r>
        <w:rPr>
          <w:rFonts w:ascii="宋体" w:hAnsi="宋体"/>
          <w:b/>
          <w:color w:val="auto"/>
          <w:sz w:val="30"/>
        </w:rPr>
        <w:t xml:space="preserve">5  </w:t>
      </w:r>
      <w:r>
        <w:rPr>
          <w:rFonts w:hint="eastAsia" w:ascii="宋体" w:hAnsi="宋体"/>
          <w:b/>
          <w:color w:val="auto"/>
          <w:sz w:val="30"/>
        </w:rPr>
        <w:t>施工设计图纸</w:t>
      </w:r>
    </w:p>
    <w:p w14:paraId="2CC9916E">
      <w:pPr>
        <w:pStyle w:val="2"/>
        <w:spacing w:line="360" w:lineRule="auto"/>
        <w:ind w:right="-238"/>
        <w:rPr>
          <w:rFonts w:hAnsi="宋体"/>
          <w:b/>
          <w:color w:val="auto"/>
          <w:sz w:val="24"/>
          <w:szCs w:val="18"/>
        </w:rPr>
      </w:pPr>
      <w:r>
        <w:rPr>
          <w:rFonts w:hAnsi="宋体"/>
          <w:b/>
          <w:color w:val="auto"/>
          <w:sz w:val="24"/>
          <w:szCs w:val="18"/>
        </w:rPr>
        <w:t>5.1</w:t>
      </w:r>
    </w:p>
    <w:p w14:paraId="2FD211FD">
      <w:pPr>
        <w:spacing w:line="360" w:lineRule="auto"/>
        <w:ind w:left="1619" w:leftChars="771"/>
        <w:rPr>
          <w:rFonts w:ascii="宋体"/>
          <w:color w:val="auto"/>
          <w:sz w:val="18"/>
          <w:szCs w:val="18"/>
        </w:rPr>
      </w:pPr>
      <w:r>
        <w:rPr>
          <w:color w:val="auto"/>
        </w:rP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20320</wp:posOffset>
                </wp:positionV>
                <wp:extent cx="800100" cy="91186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800100" cy="911860"/>
                        </a:xfrm>
                        <a:prstGeom prst="rect">
                          <a:avLst/>
                        </a:prstGeom>
                        <a:noFill/>
                        <a:ln>
                          <a:noFill/>
                        </a:ln>
                        <a:effectLst/>
                      </wps:spPr>
                      <wps:txbx>
                        <w:txbxContent>
                          <w:p w14:paraId="04FE53A6">
                            <w:pPr>
                              <w:rPr>
                                <w:rFonts w:ascii="楷体_GB2312" w:hAnsi="宋体" w:eastAsia="楷体_GB2312"/>
                                <w:b/>
                                <w:color w:val="000000"/>
                                <w:sz w:val="18"/>
                                <w:szCs w:val="18"/>
                              </w:rPr>
                            </w:pPr>
                            <w:r>
                              <w:rPr>
                                <w:rFonts w:hint="eastAsia" w:ascii="楷体_GB2312" w:hAnsi="宋体" w:eastAsia="楷体_GB2312"/>
                                <w:b/>
                                <w:color w:val="000000"/>
                                <w:sz w:val="18"/>
                                <w:szCs w:val="18"/>
                              </w:rPr>
                              <w:t>图纸的提供</w:t>
                            </w:r>
                          </w:p>
                        </w:txbxContent>
                      </wps:txbx>
                      <wps:bodyPr upright="1"/>
                    </wps:wsp>
                  </a:graphicData>
                </a:graphic>
              </wp:anchor>
            </w:drawing>
          </mc:Choice>
          <mc:Fallback>
            <w:pict>
              <v:shape id="_x0000_s1026" o:spid="_x0000_s1026" o:spt="202" type="#_x0000_t202" style="position:absolute;left:0pt;margin-left:-9pt;margin-top:1.6pt;height:71.8pt;width:63pt;z-index:251666432;mso-width-relative:page;mso-height-relative:page;" filled="f" stroked="f" coordsize="21600,21600" o:gfxdata="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LguxZtYA&#10;AAAJAQAADwAAAAAAAAABACAAAAAiAAAAZHJzL2Rvd25yZXYueG1sUEsBAhQAFAAAAAgAh07iQBn0&#10;II2vAQAAXQMAAA4AAAAAAAAAAQAgAAAAJQEAAGRycy9lMm9Eb2MueG1sUEsFBgAAAAAGAAYAWQEA&#10;AEYFAAAAAA==&#10;">
                <v:fill on="f" focussize="0,0"/>
                <v:stroke on="f"/>
                <v:imagedata o:title=""/>
                <o:lock v:ext="edit" aspectratio="f"/>
                <v:textbox>
                  <w:txbxContent>
                    <w:p w14:paraId="04FE53A6">
                      <w:pPr>
                        <w:rPr>
                          <w:rFonts w:ascii="楷体_GB2312" w:hAnsi="宋体" w:eastAsia="楷体_GB2312"/>
                          <w:b/>
                          <w:color w:val="000000"/>
                          <w:sz w:val="18"/>
                          <w:szCs w:val="18"/>
                        </w:rPr>
                      </w:pPr>
                      <w:r>
                        <w:rPr>
                          <w:rFonts w:hint="eastAsia" w:ascii="楷体_GB2312" w:hAnsi="宋体" w:eastAsia="楷体_GB2312"/>
                          <w:b/>
                          <w:color w:val="000000"/>
                          <w:sz w:val="18"/>
                          <w:szCs w:val="18"/>
                        </w:rPr>
                        <w:t>图纸的提供</w:t>
                      </w:r>
                    </w:p>
                  </w:txbxContent>
                </v:textbox>
              </v:shape>
            </w:pict>
          </mc:Fallback>
        </mc:AlternateContent>
      </w:r>
      <w:r>
        <w:rPr>
          <w:rFonts w:hint="eastAsia" w:ascii="宋体" w:hAnsi="宋体"/>
          <w:color w:val="auto"/>
          <w:sz w:val="24"/>
          <w:szCs w:val="18"/>
        </w:rPr>
        <w:t>发包人应按照专用条款约定的时间和数量，向承包人提供经已审批的施工设计图纸及其技术资料。如承包人需要增加数量的，发包人可代为办理，发生的费用由承包人承担。如发包人未能按时提供施工设计图纸造成工期延误的，按第</w:t>
      </w:r>
      <w:r>
        <w:rPr>
          <w:rFonts w:ascii="宋体" w:hAnsi="宋体"/>
          <w:color w:val="auto"/>
          <w:sz w:val="24"/>
          <w:szCs w:val="18"/>
        </w:rPr>
        <w:t>36.3</w:t>
      </w:r>
      <w:r>
        <w:rPr>
          <w:rFonts w:hint="eastAsia" w:ascii="宋体" w:hAnsi="宋体"/>
          <w:color w:val="auto"/>
          <w:sz w:val="24"/>
          <w:szCs w:val="18"/>
        </w:rPr>
        <w:t>款规定处理。</w:t>
      </w:r>
    </w:p>
    <w:p w14:paraId="22C83712">
      <w:pPr>
        <w:pStyle w:val="2"/>
        <w:spacing w:line="360" w:lineRule="auto"/>
        <w:ind w:right="-238"/>
        <w:rPr>
          <w:rFonts w:hAnsi="宋体"/>
          <w:b/>
          <w:color w:val="auto"/>
          <w:sz w:val="24"/>
          <w:szCs w:val="18"/>
        </w:rPr>
      </w:pPr>
      <w:r>
        <w:rPr>
          <w:rFonts w:hAnsi="宋体"/>
          <w:b/>
          <w:color w:val="auto"/>
          <w:sz w:val="24"/>
          <w:szCs w:val="18"/>
        </w:rPr>
        <w:t xml:space="preserve">5.2  </w:t>
      </w:r>
    </w:p>
    <w:p w14:paraId="15560F5A">
      <w:pPr>
        <w:pStyle w:val="12"/>
        <w:tabs>
          <w:tab w:val="left" w:pos="4970"/>
        </w:tabs>
        <w:ind w:left="1619" w:leftChars="771"/>
        <w:rPr>
          <w:color w:val="auto"/>
        </w:rPr>
      </w:pPr>
      <w:r>
        <w:rPr>
          <w:color w:val="auto"/>
        </w:rPr>
        <mc:AlternateContent>
          <mc:Choice Requires="wps">
            <w:drawing>
              <wp:anchor distT="0" distB="0" distL="114300" distR="114300" simplePos="0" relativeHeight="251667456" behindDoc="0" locked="0" layoutInCell="1" allowOverlap="1">
                <wp:simplePos x="0" y="0"/>
                <wp:positionH relativeFrom="column">
                  <wp:posOffset>-114300</wp:posOffset>
                </wp:positionH>
                <wp:positionV relativeFrom="paragraph">
                  <wp:posOffset>0</wp:posOffset>
                </wp:positionV>
                <wp:extent cx="800100" cy="91186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800100" cy="911860"/>
                        </a:xfrm>
                        <a:prstGeom prst="rect">
                          <a:avLst/>
                        </a:prstGeom>
                        <a:noFill/>
                        <a:ln>
                          <a:noFill/>
                        </a:ln>
                        <a:effectLst/>
                      </wps:spPr>
                      <wps:txbx>
                        <w:txbxContent>
                          <w:p w14:paraId="021408B3">
                            <w:pPr>
                              <w:rPr>
                                <w:rFonts w:ascii="楷体_GB2312" w:hAnsi="宋体" w:eastAsia="楷体_GB2312"/>
                                <w:b/>
                                <w:color w:val="000000"/>
                                <w:sz w:val="18"/>
                                <w:szCs w:val="18"/>
                              </w:rPr>
                            </w:pPr>
                            <w:r>
                              <w:rPr>
                                <w:rFonts w:hint="eastAsia" w:ascii="楷体_GB2312" w:eastAsia="楷体_GB2312"/>
                                <w:b/>
                                <w:color w:val="000000"/>
                                <w:sz w:val="18"/>
                                <w:szCs w:val="18"/>
                              </w:rPr>
                              <w:t>承包人提供配合施工的图纸</w:t>
                            </w:r>
                          </w:p>
                        </w:txbxContent>
                      </wps:txbx>
                      <wps:bodyPr upright="1"/>
                    </wps:wsp>
                  </a:graphicData>
                </a:graphic>
              </wp:anchor>
            </w:drawing>
          </mc:Choice>
          <mc:Fallback>
            <w:pict>
              <v:shape id="_x0000_s1026" o:spid="_x0000_s1026" o:spt="202" type="#_x0000_t202" style="position:absolute;left:0pt;margin-left:-9pt;margin-top:0pt;height:71.8pt;width:63pt;z-index:251667456;mso-width-relative:page;mso-height-relative:page;" filled="f" stroked="f" coordsize="21600,21600" o:gfxdata="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CK+3Y1AAA&#10;AAgBAAAPAAAAAAAAAAEAIAAAACIAAABkcnMvZG93bnJldi54bWxQSwECFAAUAAAACACHTuJAiT8Y&#10;5rABAABdAwAADgAAAAAAAAABACAAAAAjAQAAZHJzL2Uyb0RvYy54bWxQSwUGAAAAAAYABgBZAQAA&#10;RQUAAAAA&#10;">
                <v:fill on="f" focussize="0,0"/>
                <v:stroke on="f"/>
                <v:imagedata o:title=""/>
                <o:lock v:ext="edit" aspectratio="f"/>
                <v:textbox>
                  <w:txbxContent>
                    <w:p w14:paraId="021408B3">
                      <w:pPr>
                        <w:rPr>
                          <w:rFonts w:ascii="楷体_GB2312" w:hAnsi="宋体" w:eastAsia="楷体_GB2312"/>
                          <w:b/>
                          <w:color w:val="000000"/>
                          <w:sz w:val="18"/>
                          <w:szCs w:val="18"/>
                        </w:rPr>
                      </w:pPr>
                      <w:r>
                        <w:rPr>
                          <w:rFonts w:hint="eastAsia" w:ascii="楷体_GB2312" w:eastAsia="楷体_GB2312"/>
                          <w:b/>
                          <w:color w:val="000000"/>
                          <w:sz w:val="18"/>
                          <w:szCs w:val="18"/>
                        </w:rPr>
                        <w:t>承包人提供配合施工的图纸</w:t>
                      </w:r>
                    </w:p>
                  </w:txbxContent>
                </v:textbox>
              </v:shape>
            </w:pict>
          </mc:Fallback>
        </mc:AlternateContent>
      </w:r>
      <w:r>
        <w:rPr>
          <w:rFonts w:hint="eastAsia" w:ascii="宋体"/>
          <w:color w:val="auto"/>
          <w:szCs w:val="18"/>
        </w:rPr>
        <w:t>如果合同约定由承包人负责提供大样图、加工图等配合施工设计图纸的，承包人应在其设计资质等级许可的范围内，按照监理工程师的工作指令完成有关施工设计图纸。承包人应按照专用条款约定的时间和数量向监理工程师提交此类施工设计图纸，监理工程师应在专用条款约定的时间内报发包人批准后予以答复。即使经监理工程师同意，承包人仍应对其施工设计图纸负责。</w:t>
      </w:r>
    </w:p>
    <w:p w14:paraId="030CABF2">
      <w:pPr>
        <w:tabs>
          <w:tab w:val="left" w:pos="4970"/>
        </w:tabs>
        <w:spacing w:line="360" w:lineRule="auto"/>
        <w:rPr>
          <w:rFonts w:ascii="宋体"/>
          <w:b/>
          <w:color w:val="auto"/>
          <w:sz w:val="24"/>
          <w:szCs w:val="18"/>
        </w:rPr>
      </w:pPr>
      <w:r>
        <w:rPr>
          <w:rFonts w:ascii="宋体" w:hAnsi="宋体"/>
          <w:b/>
          <w:color w:val="auto"/>
          <w:sz w:val="24"/>
          <w:szCs w:val="18"/>
        </w:rPr>
        <w:t xml:space="preserve">5.3  </w:t>
      </w:r>
    </w:p>
    <w:p w14:paraId="21488A93">
      <w:pPr>
        <w:tabs>
          <w:tab w:val="left" w:pos="4970"/>
        </w:tabs>
        <w:spacing w:line="360" w:lineRule="auto"/>
        <w:ind w:left="1619" w:leftChars="771"/>
        <w:rPr>
          <w:rFonts w:ascii="宋体"/>
          <w:color w:val="auto"/>
          <w:sz w:val="24"/>
          <w:szCs w:val="18"/>
        </w:rPr>
      </w:pPr>
      <w:r>
        <w:rPr>
          <w:color w:val="auto"/>
        </w:rPr>
        <mc:AlternateContent>
          <mc:Choice Requires="wps">
            <w:drawing>
              <wp:anchor distT="0" distB="0" distL="114300" distR="114300" simplePos="0" relativeHeight="251668480"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914400" cy="648970"/>
                        </a:xfrm>
                        <a:prstGeom prst="rect">
                          <a:avLst/>
                        </a:prstGeom>
                        <a:noFill/>
                        <a:ln>
                          <a:noFill/>
                        </a:ln>
                        <a:effectLst/>
                      </wps:spPr>
                      <wps:txbx>
                        <w:txbxContent>
                          <w:p w14:paraId="48CB882C">
                            <w:pPr>
                              <w:rPr>
                                <w:rFonts w:ascii="宋体"/>
                                <w:sz w:val="18"/>
                                <w:szCs w:val="18"/>
                              </w:rPr>
                            </w:pPr>
                            <w:r>
                              <w:rPr>
                                <w:rFonts w:hint="eastAsia" w:ascii="楷体_GB2312" w:hAnsi="宋体" w:eastAsia="楷体_GB2312"/>
                                <w:b/>
                                <w:color w:val="000000"/>
                                <w:sz w:val="18"/>
                                <w:szCs w:val="18"/>
                              </w:rPr>
                              <w:t>图纸的修改</w:t>
                            </w:r>
                          </w:p>
                        </w:txbxContent>
                      </wps:txbx>
                      <wps:bodyPr upright="1"/>
                    </wps:wsp>
                  </a:graphicData>
                </a:graphic>
              </wp:anchor>
            </w:drawing>
          </mc:Choice>
          <mc:Fallback>
            <w:pict>
              <v:shape id="_x0000_s1026" o:spid="_x0000_s1026" o:spt="202" type="#_x0000_t202" style="position:absolute;left:0pt;margin-left:-9pt;margin-top:0pt;height:51.1pt;width:72pt;z-index:251668480;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2ymcB&#10;1QAAAAgBAAAPAAAAAAAAAAEAIAAAACIAAABkcnMvZG93bnJldi54bWxQSwECFAAUAAAACACHTuJA&#10;2YXKw7IBAABdAwAADgAAAAAAAAABACAAAAAkAQAAZHJzL2Uyb0RvYy54bWxQSwUGAAAAAAYABgBZ&#10;AQAASAUAAAAA&#10;">
                <v:fill on="f" focussize="0,0"/>
                <v:stroke on="f"/>
                <v:imagedata o:title=""/>
                <o:lock v:ext="edit" aspectratio="f"/>
                <v:textbox>
                  <w:txbxContent>
                    <w:p w14:paraId="48CB882C">
                      <w:pPr>
                        <w:rPr>
                          <w:rFonts w:ascii="宋体"/>
                          <w:sz w:val="18"/>
                          <w:szCs w:val="18"/>
                        </w:rPr>
                      </w:pPr>
                      <w:r>
                        <w:rPr>
                          <w:rFonts w:hint="eastAsia" w:ascii="楷体_GB2312" w:hAnsi="宋体" w:eastAsia="楷体_GB2312"/>
                          <w:b/>
                          <w:color w:val="000000"/>
                          <w:sz w:val="18"/>
                          <w:szCs w:val="18"/>
                        </w:rPr>
                        <w:t>图纸的修改</w:t>
                      </w:r>
                    </w:p>
                  </w:txbxContent>
                </v:textbox>
              </v:shape>
            </w:pict>
          </mc:Fallback>
        </mc:AlternateContent>
      </w:r>
      <w:r>
        <w:rPr>
          <w:rFonts w:hint="eastAsia" w:ascii="宋体" w:hAnsi="宋体"/>
          <w:color w:val="auto"/>
          <w:sz w:val="24"/>
          <w:szCs w:val="18"/>
        </w:rPr>
        <w:t>施工设计图纸需要修改和补充的，监理工程师应及时书面报告发包人。发包人收到书面报告后应及时通知设计人予以修改，并在合同工程或其相应部位施工前按照专用条款约定的时间和数量提供给承包人。承包人应按照发包人新提供的经设计人修改后的施工设计图纸施工。</w:t>
      </w:r>
    </w:p>
    <w:p w14:paraId="0939CBA1">
      <w:pPr>
        <w:tabs>
          <w:tab w:val="left" w:pos="4970"/>
        </w:tabs>
        <w:spacing w:line="360" w:lineRule="auto"/>
        <w:rPr>
          <w:rFonts w:ascii="宋体"/>
          <w:b/>
          <w:color w:val="auto"/>
          <w:sz w:val="24"/>
          <w:szCs w:val="18"/>
        </w:rPr>
      </w:pPr>
      <w:r>
        <w:rPr>
          <w:rFonts w:ascii="宋体" w:hAnsi="宋体"/>
          <w:b/>
          <w:color w:val="auto"/>
          <w:sz w:val="24"/>
          <w:szCs w:val="18"/>
        </w:rPr>
        <w:t xml:space="preserve">5.4  </w:t>
      </w:r>
    </w:p>
    <w:p w14:paraId="7686B4E6">
      <w:pPr>
        <w:tabs>
          <w:tab w:val="left" w:pos="4970"/>
        </w:tabs>
        <w:spacing w:line="360" w:lineRule="auto"/>
        <w:ind w:left="1619" w:leftChars="771"/>
        <w:rPr>
          <w:rFonts w:ascii="宋体"/>
          <w:color w:val="auto"/>
          <w:sz w:val="24"/>
          <w:szCs w:val="18"/>
        </w:rPr>
      </w:pPr>
      <w:r>
        <w:rPr>
          <w:color w:val="auto"/>
        </w:rPr>
        <mc:AlternateContent>
          <mc:Choice Requires="wps">
            <w:drawing>
              <wp:anchor distT="0" distB="0" distL="114300" distR="114300" simplePos="0" relativeHeight="251669504"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914400" cy="648970"/>
                        </a:xfrm>
                        <a:prstGeom prst="rect">
                          <a:avLst/>
                        </a:prstGeom>
                        <a:noFill/>
                        <a:ln>
                          <a:noFill/>
                        </a:ln>
                        <a:effectLst/>
                      </wps:spPr>
                      <wps:txbx>
                        <w:txbxContent>
                          <w:p w14:paraId="3BB9CEA3">
                            <w:pPr>
                              <w:rPr>
                                <w:rFonts w:ascii="楷体_GB2312" w:hAnsi="宋体" w:eastAsia="楷体_GB2312"/>
                                <w:b/>
                                <w:color w:val="000000"/>
                                <w:sz w:val="18"/>
                                <w:szCs w:val="18"/>
                              </w:rPr>
                            </w:pPr>
                            <w:r>
                              <w:rPr>
                                <w:rFonts w:hint="eastAsia" w:ascii="楷体_GB2312" w:hAnsi="宋体" w:eastAsia="楷体_GB2312"/>
                                <w:b/>
                                <w:color w:val="000000"/>
                                <w:sz w:val="18"/>
                                <w:szCs w:val="18"/>
                              </w:rPr>
                              <w:t>图纸错漏的改正</w:t>
                            </w:r>
                          </w:p>
                        </w:txbxContent>
                      </wps:txbx>
                      <wps:bodyPr upright="1"/>
                    </wps:wsp>
                  </a:graphicData>
                </a:graphic>
              </wp:anchor>
            </w:drawing>
          </mc:Choice>
          <mc:Fallback>
            <w:pict>
              <v:shape id="_x0000_s1026" o:spid="_x0000_s1026" o:spt="202" type="#_x0000_t202" style="position:absolute;left:0pt;margin-left:-9pt;margin-top:0pt;height:51.1pt;width:72pt;z-index:251669504;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2ymcB&#10;1QAAAAgBAAAPAAAAAAAAAAEAIAAAACIAAABkcnMvZG93bnJldi54bWxQSwECFAAUAAAACACHTuJA&#10;SU7yqLIBAABdAwAADgAAAAAAAAABACAAAAAkAQAAZHJzL2Uyb0RvYy54bWxQSwUGAAAAAAYABgBZ&#10;AQAASAUAAAAA&#10;">
                <v:fill on="f" focussize="0,0"/>
                <v:stroke on="f"/>
                <v:imagedata o:title=""/>
                <o:lock v:ext="edit" aspectratio="f"/>
                <v:textbox>
                  <w:txbxContent>
                    <w:p w14:paraId="3BB9CEA3">
                      <w:pPr>
                        <w:rPr>
                          <w:rFonts w:ascii="楷体_GB2312" w:hAnsi="宋体" w:eastAsia="楷体_GB2312"/>
                          <w:b/>
                          <w:color w:val="000000"/>
                          <w:sz w:val="18"/>
                          <w:szCs w:val="18"/>
                        </w:rPr>
                      </w:pPr>
                      <w:r>
                        <w:rPr>
                          <w:rFonts w:hint="eastAsia" w:ascii="楷体_GB2312" w:hAnsi="宋体" w:eastAsia="楷体_GB2312"/>
                          <w:b/>
                          <w:color w:val="000000"/>
                          <w:sz w:val="18"/>
                          <w:szCs w:val="18"/>
                        </w:rPr>
                        <w:t>图纸错漏的改正</w:t>
                      </w:r>
                    </w:p>
                  </w:txbxContent>
                </v:textbox>
              </v:shape>
            </w:pict>
          </mc:Fallback>
        </mc:AlternateContent>
      </w:r>
      <w:r>
        <w:rPr>
          <w:rFonts w:hint="eastAsia" w:ascii="宋体" w:hAnsi="宋体"/>
          <w:color w:val="auto"/>
          <w:sz w:val="24"/>
          <w:szCs w:val="18"/>
        </w:rPr>
        <w:t>承包人发现发包人提供的施工设计图纸存在明显错漏或疏忽，应及时书面通知发包人和监理工程师。发包人收到书面通知后应及时予以答复，并通知设计人予以改正。因发包人未及时答复等原因造成承包人损失的，发包人应予赔偿。</w:t>
      </w:r>
    </w:p>
    <w:p w14:paraId="7A7403F3">
      <w:pPr>
        <w:adjustRightInd w:val="0"/>
        <w:snapToGrid w:val="0"/>
        <w:spacing w:line="360" w:lineRule="auto"/>
        <w:rPr>
          <w:rFonts w:ascii="宋体"/>
          <w:b/>
          <w:color w:val="auto"/>
          <w:sz w:val="24"/>
          <w:szCs w:val="18"/>
        </w:rPr>
      </w:pPr>
      <w:r>
        <w:rPr>
          <w:rFonts w:ascii="宋体" w:hAnsi="宋体"/>
          <w:b/>
          <w:color w:val="auto"/>
          <w:sz w:val="24"/>
          <w:szCs w:val="18"/>
        </w:rPr>
        <w:t xml:space="preserve">5.5  </w:t>
      </w:r>
    </w:p>
    <w:p w14:paraId="3C70321C">
      <w:pPr>
        <w:tabs>
          <w:tab w:val="left" w:pos="4970"/>
        </w:tabs>
        <w:spacing w:line="360" w:lineRule="auto"/>
        <w:ind w:left="1619" w:leftChars="771"/>
        <w:rPr>
          <w:rFonts w:ascii="宋体"/>
          <w:color w:val="auto"/>
          <w:sz w:val="24"/>
          <w:szCs w:val="18"/>
        </w:rPr>
      </w:pPr>
      <w:r>
        <w:rPr>
          <w:color w:val="auto"/>
        </w:rPr>
        <mc:AlternateContent>
          <mc:Choice Requires="wps">
            <w:drawing>
              <wp:anchor distT="0" distB="0" distL="114300" distR="114300" simplePos="0" relativeHeight="251670528"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914400" cy="648970"/>
                        </a:xfrm>
                        <a:prstGeom prst="rect">
                          <a:avLst/>
                        </a:prstGeom>
                        <a:noFill/>
                        <a:ln>
                          <a:noFill/>
                        </a:ln>
                        <a:effectLst/>
                      </wps:spPr>
                      <wps:txbx>
                        <w:txbxContent>
                          <w:p w14:paraId="1FD4529B">
                            <w:pPr>
                              <w:rPr>
                                <w:rFonts w:ascii="楷体_GB2312" w:hAnsi="宋体" w:eastAsia="楷体_GB2312"/>
                                <w:b/>
                                <w:color w:val="000000"/>
                                <w:sz w:val="18"/>
                                <w:szCs w:val="18"/>
                              </w:rPr>
                            </w:pPr>
                            <w:r>
                              <w:rPr>
                                <w:rFonts w:hint="eastAsia" w:ascii="楷体_GB2312" w:hAnsi="宋体" w:eastAsia="楷体_GB2312"/>
                                <w:b/>
                                <w:color w:val="000000"/>
                                <w:sz w:val="18"/>
                                <w:szCs w:val="18"/>
                              </w:rPr>
                              <w:t>图纸的使用与退还</w:t>
                            </w:r>
                          </w:p>
                        </w:txbxContent>
                      </wps:txbx>
                      <wps:bodyPr upright="1"/>
                    </wps:wsp>
                  </a:graphicData>
                </a:graphic>
              </wp:anchor>
            </w:drawing>
          </mc:Choice>
          <mc:Fallback>
            <w:pict>
              <v:shape id="_x0000_s1026" o:spid="_x0000_s1026" o:spt="202" type="#_x0000_t202" style="position:absolute;left:0pt;margin-left:-9pt;margin-top:0pt;height:51.1pt;width:72pt;z-index:251670528;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bKZwHV&#10;AAAACAEAAA8AAAAAAAAAAQAgAAAAIgAAAGRycy9kb3ducmV2LnhtbFBLAQIUABQAAAAIAIdO4kAL&#10;LzLnsQEAAF0DAAAOAAAAAAAAAAEAIAAAACQBAABkcnMvZTJvRG9jLnhtbFBLBQYAAAAABgAGAFkB&#10;AABHBQAAAAA=&#10;">
                <v:fill on="f" focussize="0,0"/>
                <v:stroke on="f"/>
                <v:imagedata o:title=""/>
                <o:lock v:ext="edit" aspectratio="f"/>
                <v:textbox>
                  <w:txbxContent>
                    <w:p w14:paraId="1FD4529B">
                      <w:pPr>
                        <w:rPr>
                          <w:rFonts w:ascii="楷体_GB2312" w:hAnsi="宋体" w:eastAsia="楷体_GB2312"/>
                          <w:b/>
                          <w:color w:val="000000"/>
                          <w:sz w:val="18"/>
                          <w:szCs w:val="18"/>
                        </w:rPr>
                      </w:pPr>
                      <w:r>
                        <w:rPr>
                          <w:rFonts w:hint="eastAsia" w:ascii="楷体_GB2312" w:hAnsi="宋体" w:eastAsia="楷体_GB2312"/>
                          <w:b/>
                          <w:color w:val="000000"/>
                          <w:sz w:val="18"/>
                          <w:szCs w:val="18"/>
                        </w:rPr>
                        <w:t>图纸的使用与退还</w:t>
                      </w:r>
                    </w:p>
                  </w:txbxContent>
                </v:textbox>
              </v:shape>
            </w:pict>
          </mc:Fallback>
        </mc:AlternateContent>
      </w:r>
      <w:r>
        <w:rPr>
          <w:rFonts w:hint="eastAsia" w:ascii="宋体" w:hAnsi="宋体"/>
          <w:color w:val="auto"/>
          <w:sz w:val="24"/>
          <w:szCs w:val="18"/>
        </w:rPr>
        <w:t>施工期间，承包人和监理工程师均应在施工现场保留一套完整的包括第</w:t>
      </w:r>
      <w:r>
        <w:rPr>
          <w:rFonts w:ascii="宋体" w:hAnsi="宋体"/>
          <w:color w:val="auto"/>
          <w:sz w:val="24"/>
          <w:szCs w:val="18"/>
        </w:rPr>
        <w:t>5.1</w:t>
      </w:r>
      <w:r>
        <w:rPr>
          <w:rFonts w:hint="eastAsia" w:ascii="宋体" w:hAnsi="宋体"/>
          <w:color w:val="auto"/>
          <w:sz w:val="24"/>
          <w:szCs w:val="18"/>
        </w:rPr>
        <w:t>款、第</w:t>
      </w:r>
      <w:r>
        <w:rPr>
          <w:rFonts w:ascii="宋体" w:hAnsi="宋体"/>
          <w:color w:val="auto"/>
          <w:sz w:val="24"/>
          <w:szCs w:val="18"/>
        </w:rPr>
        <w:t>5.2</w:t>
      </w:r>
      <w:r>
        <w:rPr>
          <w:rFonts w:hint="eastAsia" w:ascii="宋体" w:hAnsi="宋体"/>
          <w:color w:val="auto"/>
          <w:sz w:val="24"/>
          <w:szCs w:val="18"/>
        </w:rPr>
        <w:t>款、第</w:t>
      </w:r>
      <w:r>
        <w:rPr>
          <w:rFonts w:ascii="宋体" w:hAnsi="宋体"/>
          <w:color w:val="auto"/>
          <w:sz w:val="24"/>
          <w:szCs w:val="18"/>
        </w:rPr>
        <w:t>5.3</w:t>
      </w:r>
      <w:r>
        <w:rPr>
          <w:rFonts w:hint="eastAsia" w:ascii="宋体" w:hAnsi="宋体"/>
          <w:color w:val="auto"/>
          <w:sz w:val="24"/>
          <w:szCs w:val="18"/>
        </w:rPr>
        <w:t>款规定内容的施工设计图纸供实施合同工程过程需要时使用。本合同终止后，除承包人存档需要的施工设计图纸外，承包人应将全部施工设计图纸退还给发包人。</w:t>
      </w:r>
    </w:p>
    <w:p w14:paraId="5BD0B9D6">
      <w:pPr>
        <w:tabs>
          <w:tab w:val="left" w:pos="1620"/>
        </w:tabs>
        <w:spacing w:line="360" w:lineRule="auto"/>
        <w:rPr>
          <w:rFonts w:ascii="宋体"/>
          <w:b/>
          <w:color w:val="auto"/>
          <w:sz w:val="30"/>
        </w:rPr>
      </w:pPr>
    </w:p>
    <w:p w14:paraId="35FF4926">
      <w:pPr>
        <w:tabs>
          <w:tab w:val="left" w:pos="1620"/>
        </w:tabs>
        <w:spacing w:line="360" w:lineRule="auto"/>
        <w:rPr>
          <w:rFonts w:ascii="宋体"/>
          <w:b/>
          <w:color w:val="auto"/>
          <w:sz w:val="30"/>
        </w:rPr>
      </w:pPr>
      <w:r>
        <w:rPr>
          <w:rFonts w:ascii="宋体" w:hAnsi="宋体"/>
          <w:b/>
          <w:color w:val="auto"/>
          <w:sz w:val="30"/>
        </w:rPr>
        <w:t xml:space="preserve">6  </w:t>
      </w:r>
      <w:r>
        <w:rPr>
          <w:rFonts w:hint="eastAsia" w:ascii="宋体" w:hAnsi="宋体"/>
          <w:b/>
          <w:color w:val="auto"/>
          <w:sz w:val="30"/>
        </w:rPr>
        <w:t>通讯联络</w:t>
      </w:r>
    </w:p>
    <w:p w14:paraId="7CEE794E">
      <w:pPr>
        <w:pStyle w:val="2"/>
        <w:spacing w:line="360" w:lineRule="auto"/>
        <w:ind w:right="-238"/>
        <w:rPr>
          <w:rFonts w:hAnsi="宋体"/>
          <w:b/>
          <w:color w:val="auto"/>
          <w:sz w:val="24"/>
          <w:szCs w:val="18"/>
        </w:rPr>
      </w:pPr>
      <w:r>
        <w:rPr>
          <w:rFonts w:hAnsi="宋体"/>
          <w:b/>
          <w:color w:val="auto"/>
          <w:sz w:val="24"/>
          <w:szCs w:val="18"/>
        </w:rPr>
        <w:t xml:space="preserve">6.1  </w:t>
      </w:r>
    </w:p>
    <w:p w14:paraId="5E3FEC23">
      <w:pPr>
        <w:tabs>
          <w:tab w:val="left" w:pos="1620"/>
        </w:tabs>
        <w:spacing w:line="360" w:lineRule="auto"/>
        <w:ind w:left="1617" w:hanging="1617" w:hangingChars="895"/>
        <w:rPr>
          <w:rFonts w:ascii="宋体"/>
          <w:color w:val="auto"/>
          <w:sz w:val="18"/>
          <w:szCs w:val="18"/>
        </w:rPr>
      </w:pPr>
      <w:r>
        <w:rPr>
          <w:rFonts w:hint="eastAsia" w:ascii="宋体" w:hAnsi="宋体"/>
          <w:b/>
          <w:color w:val="auto"/>
          <w:sz w:val="18"/>
          <w:szCs w:val="18"/>
        </w:rPr>
        <w:t>通讯形式</w:t>
      </w:r>
      <w:r>
        <w:rPr>
          <w:rFonts w:hint="eastAsia" w:ascii="宋体" w:hAnsi="宋体"/>
          <w:color w:val="auto"/>
          <w:sz w:val="24"/>
          <w:szCs w:val="18"/>
        </w:rPr>
        <w:t>本合同中无论何处涉及到各方之间的申请、批准、确认、同意、决定、核实、通知、任命、指令、要求、意见、证明、证件或表示同意、否定等的通讯（含派人面交、邮寄、电子传输等），均应采用书面形式，且只有在对方当事人收到后方能生效。</w:t>
      </w:r>
    </w:p>
    <w:p w14:paraId="4C72598F">
      <w:pPr>
        <w:pStyle w:val="2"/>
        <w:spacing w:line="360" w:lineRule="auto"/>
        <w:ind w:right="-238"/>
        <w:rPr>
          <w:rFonts w:hAnsi="宋体"/>
          <w:b/>
          <w:color w:val="auto"/>
          <w:sz w:val="24"/>
          <w:szCs w:val="18"/>
        </w:rPr>
      </w:pPr>
      <w:r>
        <w:rPr>
          <w:rFonts w:hAnsi="宋体"/>
          <w:b/>
          <w:color w:val="auto"/>
          <w:sz w:val="24"/>
          <w:szCs w:val="18"/>
        </w:rPr>
        <w:t xml:space="preserve">6.2  </w:t>
      </w:r>
    </w:p>
    <w:p w14:paraId="7B428284">
      <w:pPr>
        <w:pStyle w:val="2"/>
        <w:spacing w:line="360" w:lineRule="auto"/>
        <w:ind w:left="1619" w:leftChars="771" w:right="-238"/>
        <w:rPr>
          <w:rFonts w:hAnsi="宋体"/>
          <w:color w:val="auto"/>
          <w:sz w:val="24"/>
          <w:szCs w:val="18"/>
        </w:rPr>
      </w:pPr>
      <w:r>
        <w:rPr>
          <w:color w:val="auto"/>
        </w:rPr>
        <mc:AlternateContent>
          <mc:Choice Requires="wps">
            <w:drawing>
              <wp:anchor distT="0" distB="0" distL="114300" distR="114300" simplePos="0" relativeHeight="251671552" behindDoc="0" locked="0" layoutInCell="1" allowOverlap="1">
                <wp:simplePos x="0" y="0"/>
                <wp:positionH relativeFrom="column">
                  <wp:posOffset>-114300</wp:posOffset>
                </wp:positionH>
                <wp:positionV relativeFrom="paragraph">
                  <wp:posOffset>0</wp:posOffset>
                </wp:positionV>
                <wp:extent cx="800100" cy="29718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a:effectLst/>
                      </wps:spPr>
                      <wps:txbx>
                        <w:txbxContent>
                          <w:p w14:paraId="375F20E3">
                            <w:pPr>
                              <w:rPr>
                                <w:rFonts w:ascii="楷体_GB2312" w:hAnsi="宋体" w:eastAsia="楷体_GB2312"/>
                                <w:b/>
                                <w:color w:val="000000"/>
                                <w:sz w:val="18"/>
                                <w:szCs w:val="18"/>
                              </w:rPr>
                            </w:pPr>
                            <w:r>
                              <w:rPr>
                                <w:rFonts w:hint="eastAsia" w:ascii="楷体_GB2312" w:hAnsi="宋体" w:eastAsia="楷体_GB2312"/>
                                <w:b/>
                                <w:color w:val="000000"/>
                                <w:sz w:val="18"/>
                                <w:szCs w:val="18"/>
                              </w:rPr>
                              <w:t>发送通讯</w:t>
                            </w:r>
                          </w:p>
                        </w:txbxContent>
                      </wps:txbx>
                      <wps:bodyPr upright="1"/>
                    </wps:wsp>
                  </a:graphicData>
                </a:graphic>
              </wp:anchor>
            </w:drawing>
          </mc:Choice>
          <mc:Fallback>
            <w:pict>
              <v:shape id="_x0000_s1026" o:spid="_x0000_s1026" o:spt="202" type="#_x0000_t202" style="position:absolute;left:0pt;margin-left:-9pt;margin-top:0pt;height:23.4pt;width:63pt;z-index:251671552;mso-width-relative:page;mso-height-relative:page;" filled="f" stroked="f" coordsize="21600,21600" o:gfxdata="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O9Pr1AAA&#10;AAcBAAAPAAAAAAAAAAEAIAAAACIAAABkcnMvZG93bnJldi54bWxQSwECFAAUAAAACACHTuJA9hME&#10;VrABAABdAwAADgAAAAAAAAABACAAAAAjAQAAZHJzL2Uyb0RvYy54bWxQSwUGAAAAAAYABgBZAQAA&#10;RQUAAAAA&#10;">
                <v:fill on="f" focussize="0,0"/>
                <v:stroke on="f"/>
                <v:imagedata o:title=""/>
                <o:lock v:ext="edit" aspectratio="f"/>
                <v:textbox>
                  <w:txbxContent>
                    <w:p w14:paraId="375F20E3">
                      <w:pPr>
                        <w:rPr>
                          <w:rFonts w:ascii="楷体_GB2312" w:hAnsi="宋体" w:eastAsia="楷体_GB2312"/>
                          <w:b/>
                          <w:color w:val="000000"/>
                          <w:sz w:val="18"/>
                          <w:szCs w:val="18"/>
                        </w:rPr>
                      </w:pPr>
                      <w:r>
                        <w:rPr>
                          <w:rFonts w:hint="eastAsia" w:ascii="楷体_GB2312" w:hAnsi="宋体" w:eastAsia="楷体_GB2312"/>
                          <w:b/>
                          <w:color w:val="000000"/>
                          <w:sz w:val="18"/>
                          <w:szCs w:val="18"/>
                        </w:rPr>
                        <w:t>发送通讯</w:t>
                      </w:r>
                    </w:p>
                  </w:txbxContent>
                </v:textbox>
              </v:shape>
            </w:pict>
          </mc:Fallback>
        </mc:AlternateContent>
      </w:r>
      <w:r>
        <w:rPr>
          <w:rFonts w:hint="eastAsia" w:hAnsi="宋体"/>
          <w:color w:val="auto"/>
          <w:sz w:val="24"/>
          <w:szCs w:val="18"/>
        </w:rPr>
        <w:t>合同中无论何处涉及到各方之间的通讯都不应无理扣压或拖延。合同双方当事人</w:t>
      </w:r>
    </w:p>
    <w:p w14:paraId="72551D60">
      <w:pPr>
        <w:pStyle w:val="2"/>
        <w:spacing w:line="360" w:lineRule="auto"/>
        <w:ind w:left="1619" w:leftChars="771" w:right="-238"/>
        <w:rPr>
          <w:rFonts w:hAnsi="宋体"/>
          <w:color w:val="auto"/>
          <w:sz w:val="24"/>
          <w:szCs w:val="18"/>
        </w:rPr>
      </w:pPr>
      <w:r>
        <w:rPr>
          <w:rFonts w:hint="eastAsia" w:hAnsi="宋体"/>
          <w:color w:val="auto"/>
          <w:sz w:val="24"/>
          <w:szCs w:val="18"/>
        </w:rPr>
        <w:t>应在专用条款中约定各方通讯地址和收件人，并按照约定期限内送达指定地点和接收人。</w:t>
      </w:r>
    </w:p>
    <w:p w14:paraId="63ACCFA7">
      <w:pPr>
        <w:pStyle w:val="2"/>
        <w:spacing w:line="360" w:lineRule="auto"/>
        <w:ind w:left="1619" w:leftChars="771" w:right="-240"/>
        <w:rPr>
          <w:rFonts w:hAnsi="宋体"/>
          <w:color w:val="auto"/>
          <w:sz w:val="24"/>
          <w:szCs w:val="18"/>
        </w:rPr>
      </w:pPr>
      <w:r>
        <w:rPr>
          <w:rFonts w:hint="eastAsia" w:hAnsi="宋体"/>
          <w:color w:val="auto"/>
          <w:sz w:val="24"/>
          <w:szCs w:val="18"/>
        </w:rPr>
        <w:t>收件人应在通讯回执上签署姓名和时间。一方当事人拒绝签收另一方当事人通讯，另一方当事人以特快专递、挂号信等专用条款约定的方式将通讯送至通讯地址的，视为送达。</w:t>
      </w:r>
    </w:p>
    <w:p w14:paraId="20923724">
      <w:pPr>
        <w:adjustRightInd w:val="0"/>
        <w:snapToGrid w:val="0"/>
        <w:spacing w:line="360" w:lineRule="auto"/>
        <w:rPr>
          <w:rFonts w:ascii="宋体"/>
          <w:color w:val="auto"/>
          <w:sz w:val="24"/>
          <w:szCs w:val="18"/>
        </w:rPr>
      </w:pPr>
    </w:p>
    <w:p w14:paraId="716FA929">
      <w:pPr>
        <w:tabs>
          <w:tab w:val="left" w:pos="1260"/>
        </w:tabs>
        <w:adjustRightInd w:val="0"/>
        <w:snapToGrid w:val="0"/>
        <w:spacing w:before="216" w:beforeLines="90" w:line="360" w:lineRule="auto"/>
        <w:rPr>
          <w:rFonts w:ascii="宋体"/>
          <w:b/>
          <w:color w:val="auto"/>
          <w:sz w:val="30"/>
        </w:rPr>
      </w:pPr>
      <w:r>
        <w:rPr>
          <w:rFonts w:ascii="宋体" w:hAnsi="宋体"/>
          <w:b/>
          <w:bCs/>
          <w:color w:val="auto"/>
          <w:sz w:val="30"/>
        </w:rPr>
        <w:t xml:space="preserve">7  </w:t>
      </w:r>
      <w:r>
        <w:rPr>
          <w:rFonts w:hint="eastAsia" w:ascii="宋体" w:hAnsi="宋体"/>
          <w:b/>
          <w:bCs/>
          <w:color w:val="auto"/>
          <w:sz w:val="30"/>
        </w:rPr>
        <w:t>工程</w:t>
      </w:r>
      <w:r>
        <w:rPr>
          <w:rFonts w:hint="eastAsia" w:ascii="宋体" w:hAnsi="宋体"/>
          <w:b/>
          <w:color w:val="auto"/>
          <w:sz w:val="30"/>
        </w:rPr>
        <w:t>分包</w:t>
      </w:r>
    </w:p>
    <w:p w14:paraId="4595F137">
      <w:pPr>
        <w:pStyle w:val="2"/>
        <w:adjustRightInd w:val="0"/>
        <w:snapToGrid w:val="0"/>
        <w:spacing w:line="360" w:lineRule="auto"/>
        <w:rPr>
          <w:rFonts w:hAnsi="宋体"/>
          <w:b/>
          <w:color w:val="auto"/>
          <w:sz w:val="24"/>
          <w:szCs w:val="18"/>
        </w:rPr>
      </w:pPr>
      <w:r>
        <w:rPr>
          <w:color w:val="auto"/>
        </w:rPr>
        <mc:AlternateContent>
          <mc:Choice Requires="wps">
            <w:drawing>
              <wp:anchor distT="0" distB="0" distL="114300" distR="114300" simplePos="0" relativeHeight="251672576" behindDoc="0" locked="0" layoutInCell="1" allowOverlap="1">
                <wp:simplePos x="0" y="0"/>
                <wp:positionH relativeFrom="column">
                  <wp:posOffset>-114300</wp:posOffset>
                </wp:positionH>
                <wp:positionV relativeFrom="paragraph">
                  <wp:posOffset>212090</wp:posOffset>
                </wp:positionV>
                <wp:extent cx="1028700" cy="450215"/>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028700" cy="450215"/>
                        </a:xfrm>
                        <a:prstGeom prst="rect">
                          <a:avLst/>
                        </a:prstGeom>
                        <a:noFill/>
                        <a:ln>
                          <a:noFill/>
                        </a:ln>
                        <a:effectLst/>
                      </wps:spPr>
                      <wps:txbx>
                        <w:txbxContent>
                          <w:p w14:paraId="3C8BAFDA">
                            <w:pPr>
                              <w:rPr>
                                <w:rFonts w:ascii="楷体_GB2312" w:hAnsi="宋体" w:eastAsia="楷体_GB2312"/>
                                <w:b/>
                                <w:color w:val="000000"/>
                                <w:sz w:val="18"/>
                                <w:szCs w:val="18"/>
                              </w:rPr>
                            </w:pPr>
                            <w:r>
                              <w:rPr>
                                <w:rFonts w:hint="eastAsia" w:ascii="楷体_GB2312" w:hAnsi="宋体" w:eastAsia="楷体_GB2312"/>
                                <w:b/>
                                <w:color w:val="000000"/>
                                <w:sz w:val="18"/>
                                <w:szCs w:val="18"/>
                              </w:rPr>
                              <w:t>分包工程的要</w:t>
                            </w:r>
                          </w:p>
                          <w:p w14:paraId="39BF842D">
                            <w:pPr>
                              <w:rPr>
                                <w:rFonts w:ascii="楷体_GB2312" w:hAnsi="宋体" w:eastAsia="楷体_GB2312"/>
                                <w:b/>
                                <w:color w:val="000000"/>
                                <w:sz w:val="18"/>
                                <w:szCs w:val="18"/>
                              </w:rPr>
                            </w:pPr>
                            <w:r>
                              <w:rPr>
                                <w:rFonts w:hint="eastAsia" w:ascii="楷体_GB2312" w:hAnsi="宋体" w:eastAsia="楷体_GB2312"/>
                                <w:b/>
                                <w:color w:val="000000"/>
                                <w:sz w:val="18"/>
                                <w:szCs w:val="18"/>
                              </w:rPr>
                              <w:t>求</w:t>
                            </w:r>
                          </w:p>
                        </w:txbxContent>
                      </wps:txbx>
                      <wps:bodyPr upright="1"/>
                    </wps:wsp>
                  </a:graphicData>
                </a:graphic>
              </wp:anchor>
            </w:drawing>
          </mc:Choice>
          <mc:Fallback>
            <w:pict>
              <v:shape id="_x0000_s1026" o:spid="_x0000_s1026" o:spt="202" type="#_x0000_t202" style="position:absolute;left:0pt;margin-left:-9pt;margin-top:16.7pt;height:35.45pt;width:81pt;z-index:251672576;mso-width-relative:page;mso-height-relative:page;" filled="f" stroked="f" coordsize="21600,21600" o:gfxdata="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SdDtV&#10;1wAAAAoBAAAPAAAAAAAAAAEAIAAAACIAAABkcnMvZG93bnJldi54bWxQSwECFAAUAAAACACHTuJA&#10;/AXerrABAABeAwAADgAAAAAAAAABACAAAAAmAQAAZHJzL2Uyb0RvYy54bWxQSwUGAAAAAAYABgBZ&#10;AQAASAUAAAAA&#10;">
                <v:fill on="f" focussize="0,0"/>
                <v:stroke on="f"/>
                <v:imagedata o:title=""/>
                <o:lock v:ext="edit" aspectratio="f"/>
                <v:textbox>
                  <w:txbxContent>
                    <w:p w14:paraId="3C8BAFDA">
                      <w:pPr>
                        <w:rPr>
                          <w:rFonts w:ascii="楷体_GB2312" w:hAnsi="宋体" w:eastAsia="楷体_GB2312"/>
                          <w:b/>
                          <w:color w:val="000000"/>
                          <w:sz w:val="18"/>
                          <w:szCs w:val="18"/>
                        </w:rPr>
                      </w:pPr>
                      <w:r>
                        <w:rPr>
                          <w:rFonts w:hint="eastAsia" w:ascii="楷体_GB2312" w:hAnsi="宋体" w:eastAsia="楷体_GB2312"/>
                          <w:b/>
                          <w:color w:val="000000"/>
                          <w:sz w:val="18"/>
                          <w:szCs w:val="18"/>
                        </w:rPr>
                        <w:t>分包工程的要</w:t>
                      </w:r>
                    </w:p>
                    <w:p w14:paraId="39BF842D">
                      <w:pPr>
                        <w:rPr>
                          <w:rFonts w:ascii="楷体_GB2312" w:hAnsi="宋体" w:eastAsia="楷体_GB2312"/>
                          <w:b/>
                          <w:color w:val="000000"/>
                          <w:sz w:val="18"/>
                          <w:szCs w:val="18"/>
                        </w:rPr>
                      </w:pPr>
                      <w:r>
                        <w:rPr>
                          <w:rFonts w:hint="eastAsia" w:ascii="楷体_GB2312" w:hAnsi="宋体" w:eastAsia="楷体_GB2312"/>
                          <w:b/>
                          <w:color w:val="000000"/>
                          <w:sz w:val="18"/>
                          <w:szCs w:val="18"/>
                        </w:rPr>
                        <w:t>求</w:t>
                      </w:r>
                    </w:p>
                  </w:txbxContent>
                </v:textbox>
              </v:shape>
            </w:pict>
          </mc:Fallback>
        </mc:AlternateContent>
      </w:r>
      <w:r>
        <w:rPr>
          <w:rFonts w:hAnsi="宋体"/>
          <w:b/>
          <w:color w:val="auto"/>
          <w:sz w:val="24"/>
          <w:szCs w:val="18"/>
        </w:rPr>
        <w:t xml:space="preserve">7.1   </w:t>
      </w:r>
    </w:p>
    <w:p w14:paraId="6BD9AB24">
      <w:pPr>
        <w:pStyle w:val="2"/>
        <w:adjustRightInd w:val="0"/>
        <w:snapToGrid w:val="0"/>
        <w:spacing w:line="360" w:lineRule="auto"/>
        <w:ind w:left="1619" w:leftChars="771"/>
        <w:rPr>
          <w:rFonts w:hAnsi="宋体"/>
          <w:color w:val="auto"/>
          <w:sz w:val="24"/>
          <w:szCs w:val="18"/>
        </w:rPr>
      </w:pPr>
      <w:r>
        <w:rPr>
          <w:rFonts w:hint="eastAsia" w:hAnsi="宋体"/>
          <w:color w:val="auto"/>
          <w:sz w:val="24"/>
          <w:szCs w:val="18"/>
        </w:rPr>
        <w:t>承包人应自己实施、完成合同工程的主体结构。承包人不得将其承包的全部工程或将其肢解后以分包的名义转包给第三方，也不得将合同工程主体结构、关键性工作分包给第三方。</w:t>
      </w:r>
    </w:p>
    <w:p w14:paraId="2D2D2E65">
      <w:pPr>
        <w:pStyle w:val="2"/>
        <w:adjustRightInd w:val="0"/>
        <w:snapToGrid w:val="0"/>
        <w:spacing w:line="360" w:lineRule="auto"/>
        <w:rPr>
          <w:rFonts w:hAnsi="宋体"/>
          <w:b/>
          <w:color w:val="auto"/>
          <w:sz w:val="24"/>
          <w:szCs w:val="18"/>
        </w:rPr>
      </w:pPr>
      <w:r>
        <w:rPr>
          <w:color w:val="auto"/>
        </w:rPr>
        <mc:AlternateContent>
          <mc:Choice Requires="wps">
            <w:drawing>
              <wp:anchor distT="0" distB="0" distL="114300" distR="114300" simplePos="0" relativeHeight="251673600" behindDoc="0" locked="0" layoutInCell="1" allowOverlap="1">
                <wp:simplePos x="0" y="0"/>
                <wp:positionH relativeFrom="column">
                  <wp:posOffset>-114300</wp:posOffset>
                </wp:positionH>
                <wp:positionV relativeFrom="paragraph">
                  <wp:posOffset>121920</wp:posOffset>
                </wp:positionV>
                <wp:extent cx="1028700" cy="7874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028700" cy="787400"/>
                        </a:xfrm>
                        <a:prstGeom prst="rect">
                          <a:avLst/>
                        </a:prstGeom>
                        <a:noFill/>
                        <a:ln>
                          <a:noFill/>
                        </a:ln>
                        <a:effectLst/>
                      </wps:spPr>
                      <wps:txbx>
                        <w:txbxContent>
                          <w:p w14:paraId="3E53D0FD">
                            <w:pPr>
                              <w:spacing w:line="240" w:lineRule="exact"/>
                              <w:rPr>
                                <w:rFonts w:ascii="楷体_GB2312" w:hAnsi="宋体" w:eastAsia="楷体_GB2312"/>
                                <w:b/>
                                <w:color w:val="000000"/>
                                <w:sz w:val="18"/>
                                <w:szCs w:val="18"/>
                              </w:rPr>
                            </w:pPr>
                          </w:p>
                          <w:p w14:paraId="17367C1C">
                            <w:pPr>
                              <w:rPr>
                                <w:rFonts w:ascii="楷体_GB2312" w:hAnsi="宋体" w:eastAsia="楷体_GB2312"/>
                                <w:b/>
                                <w:color w:val="000000"/>
                                <w:sz w:val="18"/>
                                <w:szCs w:val="18"/>
                              </w:rPr>
                            </w:pPr>
                            <w:r>
                              <w:rPr>
                                <w:rFonts w:hint="eastAsia" w:ascii="楷体_GB2312" w:hAnsi="宋体" w:eastAsia="楷体_GB2312"/>
                                <w:b/>
                                <w:color w:val="000000"/>
                                <w:sz w:val="18"/>
                                <w:szCs w:val="18"/>
                              </w:rPr>
                              <w:t>分包工程的批</w:t>
                            </w:r>
                          </w:p>
                          <w:p w14:paraId="320A063F">
                            <w:pPr>
                              <w:rPr>
                                <w:rFonts w:ascii="楷体_GB2312" w:hAnsi="宋体" w:eastAsia="楷体_GB2312"/>
                                <w:b/>
                                <w:color w:val="000000"/>
                                <w:sz w:val="18"/>
                                <w:szCs w:val="18"/>
                              </w:rPr>
                            </w:pPr>
                            <w:r>
                              <w:rPr>
                                <w:rFonts w:hint="eastAsia" w:ascii="楷体_GB2312" w:hAnsi="宋体" w:eastAsia="楷体_GB2312"/>
                                <w:b/>
                                <w:color w:val="000000"/>
                                <w:sz w:val="18"/>
                                <w:szCs w:val="18"/>
                              </w:rPr>
                              <w:t>准</w:t>
                            </w:r>
                          </w:p>
                        </w:txbxContent>
                      </wps:txbx>
                      <wps:bodyPr upright="1"/>
                    </wps:wsp>
                  </a:graphicData>
                </a:graphic>
              </wp:anchor>
            </w:drawing>
          </mc:Choice>
          <mc:Fallback>
            <w:pict>
              <v:shape id="_x0000_s1026" o:spid="_x0000_s1026" o:spt="202" type="#_x0000_t202" style="position:absolute;left:0pt;margin-left:-9pt;margin-top:9.6pt;height:62pt;width:81pt;z-index:251673600;mso-width-relative:page;mso-height-relative:page;" filled="f" stroked="f" coordsize="21600,21600" o:gfxdata="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jOLUv&#10;1wAAAAoBAAAPAAAAAAAAAAEAIAAAACIAAABkcnMvZG93bnJldi54bWxQSwECFAAUAAAACACHTuJA&#10;QMGDZLABAABeAwAADgAAAAAAAAABACAAAAAmAQAAZHJzL2Uyb0RvYy54bWxQSwUGAAAAAAYABgBZ&#10;AQAASAUAAAAA&#10;">
                <v:fill on="f" focussize="0,0"/>
                <v:stroke on="f"/>
                <v:imagedata o:title=""/>
                <o:lock v:ext="edit" aspectratio="f"/>
                <v:textbox>
                  <w:txbxContent>
                    <w:p w14:paraId="3E53D0FD">
                      <w:pPr>
                        <w:spacing w:line="240" w:lineRule="exact"/>
                        <w:rPr>
                          <w:rFonts w:ascii="楷体_GB2312" w:hAnsi="宋体" w:eastAsia="楷体_GB2312"/>
                          <w:b/>
                          <w:color w:val="000000"/>
                          <w:sz w:val="18"/>
                          <w:szCs w:val="18"/>
                        </w:rPr>
                      </w:pPr>
                    </w:p>
                    <w:p w14:paraId="17367C1C">
                      <w:pPr>
                        <w:rPr>
                          <w:rFonts w:ascii="楷体_GB2312" w:hAnsi="宋体" w:eastAsia="楷体_GB2312"/>
                          <w:b/>
                          <w:color w:val="000000"/>
                          <w:sz w:val="18"/>
                          <w:szCs w:val="18"/>
                        </w:rPr>
                      </w:pPr>
                      <w:r>
                        <w:rPr>
                          <w:rFonts w:hint="eastAsia" w:ascii="楷体_GB2312" w:hAnsi="宋体" w:eastAsia="楷体_GB2312"/>
                          <w:b/>
                          <w:color w:val="000000"/>
                          <w:sz w:val="18"/>
                          <w:szCs w:val="18"/>
                        </w:rPr>
                        <w:t>分包工程的批</w:t>
                      </w:r>
                    </w:p>
                    <w:p w14:paraId="320A063F">
                      <w:pPr>
                        <w:rPr>
                          <w:rFonts w:ascii="楷体_GB2312" w:hAnsi="宋体" w:eastAsia="楷体_GB2312"/>
                          <w:b/>
                          <w:color w:val="000000"/>
                          <w:sz w:val="18"/>
                          <w:szCs w:val="18"/>
                        </w:rPr>
                      </w:pPr>
                      <w:r>
                        <w:rPr>
                          <w:rFonts w:hint="eastAsia" w:ascii="楷体_GB2312" w:hAnsi="宋体" w:eastAsia="楷体_GB2312"/>
                          <w:b/>
                          <w:color w:val="000000"/>
                          <w:sz w:val="18"/>
                          <w:szCs w:val="18"/>
                        </w:rPr>
                        <w:t>准</w:t>
                      </w:r>
                    </w:p>
                  </w:txbxContent>
                </v:textbox>
              </v:shape>
            </w:pict>
          </mc:Fallback>
        </mc:AlternateContent>
      </w:r>
      <w:r>
        <w:rPr>
          <w:rFonts w:hAnsi="宋体"/>
          <w:b/>
          <w:color w:val="auto"/>
          <w:sz w:val="24"/>
          <w:szCs w:val="18"/>
        </w:rPr>
        <w:t xml:space="preserve">7.2  </w:t>
      </w:r>
    </w:p>
    <w:p w14:paraId="43748799">
      <w:pPr>
        <w:pStyle w:val="2"/>
        <w:adjustRightInd w:val="0"/>
        <w:snapToGrid w:val="0"/>
        <w:spacing w:line="360" w:lineRule="auto"/>
        <w:ind w:left="1619" w:leftChars="771"/>
        <w:rPr>
          <w:rFonts w:hAnsi="宋体"/>
          <w:color w:val="auto"/>
          <w:sz w:val="24"/>
          <w:szCs w:val="18"/>
        </w:rPr>
      </w:pPr>
      <w:r>
        <w:rPr>
          <w:rFonts w:hint="eastAsia" w:hAnsi="宋体"/>
          <w:color w:val="auto"/>
          <w:sz w:val="24"/>
          <w:szCs w:val="18"/>
        </w:rPr>
        <w:t>承包人可依法将部分工程分包给具有相应分包资质的分包人，但未经发包人同意，承包人不得将工程的任何部分或任何工作分包给第三方。下列情况则属例外：</w:t>
      </w:r>
    </w:p>
    <w:p w14:paraId="47394791">
      <w:pPr>
        <w:pStyle w:val="2"/>
        <w:numPr>
          <w:ilvl w:val="0"/>
          <w:numId w:val="6"/>
        </w:numPr>
        <w:adjustRightInd w:val="0"/>
        <w:snapToGrid w:val="0"/>
        <w:spacing w:line="360" w:lineRule="auto"/>
        <w:ind w:firstLine="540"/>
        <w:rPr>
          <w:rFonts w:hAnsi="宋体"/>
          <w:color w:val="auto"/>
          <w:sz w:val="24"/>
          <w:szCs w:val="18"/>
        </w:rPr>
      </w:pPr>
      <w:r>
        <w:rPr>
          <w:rFonts w:hint="eastAsia" w:hAnsi="宋体"/>
          <w:color w:val="auto"/>
          <w:sz w:val="24"/>
          <w:szCs w:val="18"/>
        </w:rPr>
        <w:t>施工劳务作业分包；</w:t>
      </w:r>
    </w:p>
    <w:p w14:paraId="050DE3DC">
      <w:pPr>
        <w:pStyle w:val="2"/>
        <w:numPr>
          <w:ilvl w:val="0"/>
          <w:numId w:val="6"/>
        </w:numPr>
        <w:adjustRightInd w:val="0"/>
        <w:snapToGrid w:val="0"/>
        <w:spacing w:line="360" w:lineRule="auto"/>
        <w:ind w:firstLine="540"/>
        <w:rPr>
          <w:rFonts w:hAnsi="宋体"/>
          <w:color w:val="auto"/>
          <w:sz w:val="24"/>
          <w:szCs w:val="18"/>
        </w:rPr>
      </w:pPr>
      <w:r>
        <w:rPr>
          <w:rFonts w:hint="eastAsia" w:hAnsi="宋体"/>
          <w:color w:val="auto"/>
          <w:sz w:val="24"/>
          <w:szCs w:val="18"/>
        </w:rPr>
        <w:t>按照合同约定的标准购买材料和工程设备；</w:t>
      </w:r>
    </w:p>
    <w:p w14:paraId="509F81CA">
      <w:pPr>
        <w:pStyle w:val="2"/>
        <w:numPr>
          <w:ilvl w:val="0"/>
          <w:numId w:val="6"/>
        </w:numPr>
        <w:adjustRightInd w:val="0"/>
        <w:snapToGrid w:val="0"/>
        <w:spacing w:line="360" w:lineRule="auto"/>
        <w:ind w:left="1077" w:firstLine="539"/>
        <w:rPr>
          <w:rFonts w:hAnsi="宋体"/>
          <w:color w:val="auto"/>
          <w:sz w:val="24"/>
          <w:szCs w:val="18"/>
        </w:rPr>
      </w:pPr>
      <w:r>
        <w:rPr>
          <w:rFonts w:hint="eastAsia" w:hAnsi="宋体"/>
          <w:color w:val="auto"/>
          <w:sz w:val="24"/>
          <w:szCs w:val="18"/>
        </w:rPr>
        <w:t>合同中已指定的分包工程。</w:t>
      </w:r>
    </w:p>
    <w:p w14:paraId="7957D04B">
      <w:pPr>
        <w:pStyle w:val="2"/>
        <w:adjustRightInd w:val="0"/>
        <w:snapToGrid w:val="0"/>
        <w:spacing w:line="360" w:lineRule="auto"/>
        <w:rPr>
          <w:rFonts w:hAnsi="宋体"/>
          <w:b/>
          <w:color w:val="auto"/>
          <w:sz w:val="24"/>
          <w:szCs w:val="18"/>
        </w:rPr>
      </w:pPr>
      <w:r>
        <w:rPr>
          <w:rFonts w:hAnsi="宋体"/>
          <w:b/>
          <w:color w:val="auto"/>
          <w:sz w:val="24"/>
          <w:szCs w:val="18"/>
        </w:rPr>
        <w:t xml:space="preserve">7.3  </w:t>
      </w:r>
    </w:p>
    <w:p w14:paraId="2651D6CF">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1674624" behindDoc="0" locked="0" layoutInCell="1" allowOverlap="1">
                <wp:simplePos x="0" y="0"/>
                <wp:positionH relativeFrom="column">
                  <wp:posOffset>-114300</wp:posOffset>
                </wp:positionH>
                <wp:positionV relativeFrom="paragraph">
                  <wp:posOffset>0</wp:posOffset>
                </wp:positionV>
                <wp:extent cx="1028700" cy="305435"/>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028700" cy="305435"/>
                        </a:xfrm>
                        <a:prstGeom prst="rect">
                          <a:avLst/>
                        </a:prstGeom>
                        <a:noFill/>
                        <a:ln>
                          <a:noFill/>
                        </a:ln>
                        <a:effectLst/>
                      </wps:spPr>
                      <wps:txbx>
                        <w:txbxContent>
                          <w:p w14:paraId="7D4A6B30">
                            <w:pPr>
                              <w:rPr>
                                <w:rFonts w:ascii="楷体_GB2312" w:hAnsi="宋体" w:eastAsia="楷体_GB2312"/>
                                <w:b/>
                                <w:color w:val="000000"/>
                                <w:sz w:val="18"/>
                                <w:szCs w:val="18"/>
                              </w:rPr>
                            </w:pPr>
                            <w:r>
                              <w:rPr>
                                <w:rFonts w:hint="eastAsia" w:ascii="楷体_GB2312" w:hAnsi="宋体" w:eastAsia="楷体_GB2312"/>
                                <w:b/>
                                <w:color w:val="000000"/>
                                <w:sz w:val="18"/>
                                <w:szCs w:val="18"/>
                              </w:rPr>
                              <w:t>签订分包合同</w:t>
                            </w:r>
                          </w:p>
                        </w:txbxContent>
                      </wps:txbx>
                      <wps:bodyPr upright="1"/>
                    </wps:wsp>
                  </a:graphicData>
                </a:graphic>
              </wp:anchor>
            </w:drawing>
          </mc:Choice>
          <mc:Fallback>
            <w:pict>
              <v:shape id="_x0000_s1026" o:spid="_x0000_s1026" o:spt="202" type="#_x0000_t202" style="position:absolute;left:0pt;margin-left:-9pt;margin-top:0pt;height:24.05pt;width:81pt;z-index:251674624;mso-width-relative:page;mso-height-relative:page;" filled="f" stroked="f" coordsize="21600,21600" o:gfxdata="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iTfnDU&#10;AAAABwEAAA8AAAAAAAAAAQAgAAAAIgAAAGRycy9kb3ducmV2LnhtbFBLAQIUABQAAAAIAIdO4kDC&#10;mqlMsgEAAF4DAAAOAAAAAAAAAAEAIAAAACMBAABkcnMvZTJvRG9jLnhtbFBLBQYAAAAABgAGAFkB&#10;AABHBQAAAAA=&#10;">
                <v:fill on="f" focussize="0,0"/>
                <v:stroke on="f"/>
                <v:imagedata o:title=""/>
                <o:lock v:ext="edit" aspectratio="f"/>
                <v:textbox>
                  <w:txbxContent>
                    <w:p w14:paraId="7D4A6B30">
                      <w:pPr>
                        <w:rPr>
                          <w:rFonts w:ascii="楷体_GB2312" w:hAnsi="宋体" w:eastAsia="楷体_GB2312"/>
                          <w:b/>
                          <w:color w:val="000000"/>
                          <w:sz w:val="18"/>
                          <w:szCs w:val="18"/>
                        </w:rPr>
                      </w:pPr>
                      <w:r>
                        <w:rPr>
                          <w:rFonts w:hint="eastAsia" w:ascii="楷体_GB2312" w:hAnsi="宋体" w:eastAsia="楷体_GB2312"/>
                          <w:b/>
                          <w:color w:val="000000"/>
                          <w:sz w:val="18"/>
                          <w:szCs w:val="18"/>
                        </w:rPr>
                        <w:t>签订分包合同</w:t>
                      </w:r>
                    </w:p>
                  </w:txbxContent>
                </v:textbox>
              </v:shape>
            </w:pict>
          </mc:Fallback>
        </mc:AlternateContent>
      </w:r>
      <w:r>
        <w:rPr>
          <w:rFonts w:hint="eastAsia" w:hAnsi="宋体"/>
          <w:color w:val="auto"/>
          <w:sz w:val="24"/>
          <w:szCs w:val="18"/>
        </w:rPr>
        <w:t>承包人分包工程的，应与分包人签订分包合同，并在分包合同签订后的</w:t>
      </w:r>
      <w:r>
        <w:rPr>
          <w:rFonts w:hAnsi="宋体"/>
          <w:color w:val="auto"/>
          <w:sz w:val="24"/>
          <w:szCs w:val="18"/>
        </w:rPr>
        <w:t>7</w:t>
      </w:r>
      <w:r>
        <w:rPr>
          <w:rFonts w:hint="eastAsia" w:hAnsi="宋体"/>
          <w:color w:val="auto"/>
          <w:sz w:val="24"/>
          <w:szCs w:val="18"/>
        </w:rPr>
        <w:t>天内向发包人和监理工程师、造价工程师各提交一份分包合同。承包人有义务禁止分包人将分包工程再次分包。</w:t>
      </w:r>
    </w:p>
    <w:p w14:paraId="16350FFB">
      <w:pPr>
        <w:pStyle w:val="2"/>
        <w:adjustRightInd w:val="0"/>
        <w:snapToGrid w:val="0"/>
        <w:spacing w:line="360" w:lineRule="auto"/>
        <w:rPr>
          <w:rFonts w:hAnsi="宋体"/>
          <w:b/>
          <w:color w:val="auto"/>
          <w:sz w:val="24"/>
          <w:szCs w:val="18"/>
        </w:rPr>
      </w:pPr>
      <w:r>
        <w:rPr>
          <w:color w:val="auto"/>
        </w:rPr>
        <mc:AlternateContent>
          <mc:Choice Requires="wps">
            <w:drawing>
              <wp:anchor distT="0" distB="0" distL="114300" distR="114300" simplePos="0" relativeHeight="251675648" behindDoc="0" locked="0" layoutInCell="1" allowOverlap="1">
                <wp:simplePos x="0" y="0"/>
                <wp:positionH relativeFrom="column">
                  <wp:posOffset>-114300</wp:posOffset>
                </wp:positionH>
                <wp:positionV relativeFrom="paragraph">
                  <wp:posOffset>202565</wp:posOffset>
                </wp:positionV>
                <wp:extent cx="914400" cy="4953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a:effectLst/>
                      </wps:spPr>
                      <wps:txbx>
                        <w:txbxContent>
                          <w:p w14:paraId="0F033391">
                            <w:pPr>
                              <w:rPr>
                                <w:rFonts w:ascii="楷体_GB2312" w:hAnsi="宋体" w:eastAsia="楷体_GB2312"/>
                                <w:b/>
                                <w:color w:val="000000"/>
                                <w:sz w:val="18"/>
                                <w:szCs w:val="18"/>
                              </w:rPr>
                            </w:pPr>
                            <w:r>
                              <w:rPr>
                                <w:rFonts w:hint="eastAsia" w:ascii="楷体_GB2312" w:hAnsi="宋体" w:eastAsia="楷体_GB2312"/>
                                <w:b/>
                                <w:color w:val="000000"/>
                                <w:sz w:val="18"/>
                                <w:szCs w:val="18"/>
                              </w:rPr>
                              <w:t>分包工程款结算与支付</w:t>
                            </w:r>
                          </w:p>
                        </w:txbxContent>
                      </wps:txbx>
                      <wps:bodyPr upright="1"/>
                    </wps:wsp>
                  </a:graphicData>
                </a:graphic>
              </wp:anchor>
            </w:drawing>
          </mc:Choice>
          <mc:Fallback>
            <w:pict>
              <v:shape id="_x0000_s1026" o:spid="_x0000_s1026" o:spt="202" type="#_x0000_t202" style="position:absolute;left:0pt;margin-left:-9pt;margin-top:15.95pt;height:39pt;width:72pt;z-index:251675648;mso-width-relative:page;mso-height-relative:page;" filled="f" stroked="f" coordsize="21600,21600" o:gfxdata="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6IBX&#10;I9cAAAAKAQAADwAAAAAAAAABACAAAAAiAAAAZHJzL2Rvd25yZXYueG1sUEsBAhQAFAAAAAgAh07i&#10;QK2cgKKxAQAAXQMAAA4AAAAAAAAAAQAgAAAAJgEAAGRycy9lMm9Eb2MueG1sUEsFBgAAAAAGAAYA&#10;WQEAAEkFAAAAAA==&#10;">
                <v:fill on="f" focussize="0,0"/>
                <v:stroke on="f"/>
                <v:imagedata o:title=""/>
                <o:lock v:ext="edit" aspectratio="f"/>
                <v:textbox>
                  <w:txbxContent>
                    <w:p w14:paraId="0F033391">
                      <w:pPr>
                        <w:rPr>
                          <w:rFonts w:ascii="楷体_GB2312" w:hAnsi="宋体" w:eastAsia="楷体_GB2312"/>
                          <w:b/>
                          <w:color w:val="000000"/>
                          <w:sz w:val="18"/>
                          <w:szCs w:val="18"/>
                        </w:rPr>
                      </w:pPr>
                      <w:r>
                        <w:rPr>
                          <w:rFonts w:hint="eastAsia" w:ascii="楷体_GB2312" w:hAnsi="宋体" w:eastAsia="楷体_GB2312"/>
                          <w:b/>
                          <w:color w:val="000000"/>
                          <w:sz w:val="18"/>
                          <w:szCs w:val="18"/>
                        </w:rPr>
                        <w:t>分包工程款结算与支付</w:t>
                      </w:r>
                    </w:p>
                  </w:txbxContent>
                </v:textbox>
              </v:shape>
            </w:pict>
          </mc:Fallback>
        </mc:AlternateContent>
      </w:r>
      <w:r>
        <w:rPr>
          <w:rFonts w:hAnsi="宋体"/>
          <w:b/>
          <w:color w:val="auto"/>
          <w:sz w:val="24"/>
          <w:szCs w:val="18"/>
        </w:rPr>
        <w:t xml:space="preserve">7.4  </w:t>
      </w:r>
    </w:p>
    <w:p w14:paraId="118F921C">
      <w:pPr>
        <w:pStyle w:val="2"/>
        <w:adjustRightInd w:val="0"/>
        <w:snapToGrid w:val="0"/>
        <w:spacing w:line="360" w:lineRule="auto"/>
        <w:ind w:left="1619" w:leftChars="771"/>
        <w:rPr>
          <w:rFonts w:hAnsi="宋体"/>
          <w:color w:val="auto"/>
          <w:sz w:val="24"/>
          <w:szCs w:val="18"/>
        </w:rPr>
      </w:pPr>
      <w:r>
        <w:rPr>
          <w:rFonts w:hint="eastAsia" w:hAnsi="宋体"/>
          <w:color w:val="auto"/>
          <w:sz w:val="24"/>
          <w:szCs w:val="18"/>
        </w:rPr>
        <w:t>分包工程款由承包人与分包人结算。除合同另有约定或取得承包人的同意外，发包人应将分包工程款按专用条款约定的支付方式全部支付给承包人，禁止发包人直接向分包人支付任何工程款。</w:t>
      </w:r>
    </w:p>
    <w:p w14:paraId="3F3D5219">
      <w:pPr>
        <w:pStyle w:val="2"/>
        <w:adjustRightInd w:val="0"/>
        <w:snapToGrid w:val="0"/>
        <w:spacing w:line="360" w:lineRule="auto"/>
        <w:ind w:left="1619" w:leftChars="771"/>
        <w:rPr>
          <w:rFonts w:hAnsi="宋体"/>
          <w:color w:val="auto"/>
          <w:sz w:val="24"/>
          <w:szCs w:val="18"/>
        </w:rPr>
      </w:pPr>
      <w:r>
        <w:rPr>
          <w:rFonts w:hint="eastAsia" w:hAnsi="宋体"/>
          <w:color w:val="auto"/>
          <w:sz w:val="24"/>
          <w:szCs w:val="18"/>
        </w:rPr>
        <w:t>如发包人有要求时，承包人应提供能证明自己已向分包人支付其分包工程款等证明资料。否则，发包人有权直接向分包人支付承包人应支付而未支付的分包工程款，并在承包人得到的工程款中扣除。</w:t>
      </w:r>
    </w:p>
    <w:p w14:paraId="0743761D">
      <w:pPr>
        <w:pStyle w:val="2"/>
        <w:adjustRightInd w:val="0"/>
        <w:snapToGrid w:val="0"/>
        <w:spacing w:line="360" w:lineRule="auto"/>
        <w:rPr>
          <w:rFonts w:hAnsi="宋体"/>
          <w:b/>
          <w:color w:val="auto"/>
          <w:sz w:val="24"/>
          <w:szCs w:val="18"/>
        </w:rPr>
      </w:pPr>
      <w:r>
        <w:rPr>
          <w:color w:val="auto"/>
        </w:rPr>
        <mc:AlternateContent>
          <mc:Choice Requires="wps">
            <w:drawing>
              <wp:anchor distT="0" distB="0" distL="114300" distR="114300" simplePos="0" relativeHeight="251676672" behindDoc="0" locked="0" layoutInCell="1" allowOverlap="1">
                <wp:simplePos x="0" y="0"/>
                <wp:positionH relativeFrom="column">
                  <wp:posOffset>-114300</wp:posOffset>
                </wp:positionH>
                <wp:positionV relativeFrom="paragraph">
                  <wp:posOffset>205105</wp:posOffset>
                </wp:positionV>
                <wp:extent cx="914400" cy="4953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a:effectLst/>
                      </wps:spPr>
                      <wps:txbx>
                        <w:txbxContent>
                          <w:p w14:paraId="49350540">
                            <w:pPr>
                              <w:rPr>
                                <w:rFonts w:ascii="楷体_GB2312" w:hAnsi="宋体" w:eastAsia="楷体_GB2312"/>
                                <w:sz w:val="18"/>
                                <w:szCs w:val="18"/>
                              </w:rPr>
                            </w:pPr>
                            <w:r>
                              <w:rPr>
                                <w:rFonts w:hint="eastAsia" w:ascii="楷体_GB2312" w:hAnsi="宋体" w:eastAsia="楷体_GB2312"/>
                                <w:b/>
                                <w:color w:val="000000"/>
                                <w:sz w:val="18"/>
                                <w:szCs w:val="18"/>
                              </w:rPr>
                              <w:t>分包工程责任和义务</w:t>
                            </w:r>
                          </w:p>
                        </w:txbxContent>
                      </wps:txbx>
                      <wps:bodyPr upright="1"/>
                    </wps:wsp>
                  </a:graphicData>
                </a:graphic>
              </wp:anchor>
            </w:drawing>
          </mc:Choice>
          <mc:Fallback>
            <w:pict>
              <v:shape id="_x0000_s1026" o:spid="_x0000_s1026" o:spt="202" type="#_x0000_t202" style="position:absolute;left:0pt;margin-left:-9pt;margin-top:16.15pt;height:39pt;width:72pt;z-index:251676672;mso-width-relative:page;mso-height-relative:page;" filled="f" stroked="f" coordsize="21600,21600" o:gfxdata="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kHD7&#10;ctcAAAAKAQAADwAAAAAAAAABACAAAAAiAAAAZHJzL2Rvd25yZXYueG1sUEsBAhQAFAAAAAgAh07i&#10;QB3AyR+xAQAAXQMAAA4AAAAAAAAAAQAgAAAAJgEAAGRycy9lMm9Eb2MueG1sUEsFBgAAAAAGAAYA&#10;WQEAAEkFAAAAAA==&#10;">
                <v:fill on="f" focussize="0,0"/>
                <v:stroke on="f"/>
                <v:imagedata o:title=""/>
                <o:lock v:ext="edit" aspectratio="f"/>
                <v:textbox>
                  <w:txbxContent>
                    <w:p w14:paraId="49350540">
                      <w:pPr>
                        <w:rPr>
                          <w:rFonts w:ascii="楷体_GB2312" w:hAnsi="宋体" w:eastAsia="楷体_GB2312"/>
                          <w:sz w:val="18"/>
                          <w:szCs w:val="18"/>
                        </w:rPr>
                      </w:pPr>
                      <w:r>
                        <w:rPr>
                          <w:rFonts w:hint="eastAsia" w:ascii="楷体_GB2312" w:hAnsi="宋体" w:eastAsia="楷体_GB2312"/>
                          <w:b/>
                          <w:color w:val="000000"/>
                          <w:sz w:val="18"/>
                          <w:szCs w:val="18"/>
                        </w:rPr>
                        <w:t>分包工程责任和义务</w:t>
                      </w:r>
                    </w:p>
                  </w:txbxContent>
                </v:textbox>
              </v:shape>
            </w:pict>
          </mc:Fallback>
        </mc:AlternateContent>
      </w:r>
      <w:r>
        <w:rPr>
          <w:rFonts w:hAnsi="宋体"/>
          <w:b/>
          <w:color w:val="auto"/>
          <w:sz w:val="24"/>
          <w:szCs w:val="18"/>
        </w:rPr>
        <w:t xml:space="preserve">7.5  </w:t>
      </w:r>
    </w:p>
    <w:p w14:paraId="1869C3D8">
      <w:pPr>
        <w:pStyle w:val="2"/>
        <w:adjustRightInd w:val="0"/>
        <w:snapToGrid w:val="0"/>
        <w:spacing w:line="360" w:lineRule="auto"/>
        <w:ind w:left="1619" w:leftChars="771"/>
        <w:rPr>
          <w:rFonts w:hAnsi="宋体"/>
          <w:color w:val="auto"/>
          <w:sz w:val="24"/>
          <w:szCs w:val="18"/>
        </w:rPr>
      </w:pPr>
      <w:r>
        <w:rPr>
          <w:rFonts w:hint="eastAsia" w:hAnsi="宋体"/>
          <w:color w:val="auto"/>
          <w:sz w:val="24"/>
          <w:szCs w:val="18"/>
        </w:rPr>
        <w:t>工程分包不能免除承包人应承担的任何责任和应履行的任何义务。承包人应在分包场地派驻相应管理人员保证本合同的履行。</w:t>
      </w:r>
    </w:p>
    <w:p w14:paraId="28A522C1">
      <w:pPr>
        <w:pStyle w:val="2"/>
        <w:adjustRightInd w:val="0"/>
        <w:snapToGrid w:val="0"/>
        <w:spacing w:line="360" w:lineRule="auto"/>
        <w:ind w:left="1619" w:leftChars="771"/>
        <w:rPr>
          <w:rFonts w:hAnsi="宋体"/>
          <w:color w:val="auto"/>
          <w:sz w:val="24"/>
          <w:szCs w:val="18"/>
        </w:rPr>
      </w:pPr>
      <w:r>
        <w:rPr>
          <w:rFonts w:hint="eastAsia" w:hAnsi="宋体"/>
          <w:color w:val="auto"/>
          <w:sz w:val="24"/>
          <w:szCs w:val="18"/>
        </w:rPr>
        <w:t>分包人应对分包工程负责。分包人的任何违约行为或疏忽导致工程损坏、损害或给发包人造成损失的，承包人应承担连带责任。</w:t>
      </w:r>
    </w:p>
    <w:p w14:paraId="7AFDBBB0">
      <w:pPr>
        <w:pStyle w:val="2"/>
        <w:adjustRightInd w:val="0"/>
        <w:snapToGrid w:val="0"/>
        <w:spacing w:line="360" w:lineRule="auto"/>
        <w:rPr>
          <w:rFonts w:hAnsi="宋体"/>
          <w:color w:val="auto"/>
          <w:sz w:val="24"/>
          <w:szCs w:val="18"/>
        </w:rPr>
      </w:pPr>
      <w:r>
        <w:rPr>
          <w:color w:val="auto"/>
        </w:rPr>
        <mc:AlternateContent>
          <mc:Choice Requires="wps">
            <w:drawing>
              <wp:anchor distT="0" distB="0" distL="114300" distR="114300" simplePos="0" relativeHeight="251677696" behindDoc="0" locked="0" layoutInCell="1" allowOverlap="1">
                <wp:simplePos x="0" y="0"/>
                <wp:positionH relativeFrom="column">
                  <wp:posOffset>-114300</wp:posOffset>
                </wp:positionH>
                <wp:positionV relativeFrom="paragraph">
                  <wp:posOffset>229235</wp:posOffset>
                </wp:positionV>
                <wp:extent cx="914400" cy="280035"/>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914400" cy="280035"/>
                        </a:xfrm>
                        <a:prstGeom prst="rect">
                          <a:avLst/>
                        </a:prstGeom>
                        <a:noFill/>
                        <a:ln>
                          <a:noFill/>
                        </a:ln>
                        <a:effectLst/>
                      </wps:spPr>
                      <wps:txbx>
                        <w:txbxContent>
                          <w:p w14:paraId="31D89DC5">
                            <w:pPr>
                              <w:rPr>
                                <w:rFonts w:ascii="楷体_GB2312" w:hAnsi="宋体" w:eastAsia="楷体_GB2312"/>
                                <w:b/>
                                <w:color w:val="000000"/>
                                <w:sz w:val="18"/>
                                <w:szCs w:val="18"/>
                              </w:rPr>
                            </w:pPr>
                            <w:r>
                              <w:rPr>
                                <w:rFonts w:hint="eastAsia" w:ascii="楷体_GB2312" w:hAnsi="宋体" w:eastAsia="楷体_GB2312"/>
                                <w:b/>
                                <w:color w:val="000000"/>
                                <w:sz w:val="18"/>
                                <w:szCs w:val="18"/>
                              </w:rPr>
                              <w:t>分包合同终止</w:t>
                            </w:r>
                          </w:p>
                        </w:txbxContent>
                      </wps:txbx>
                      <wps:bodyPr upright="1"/>
                    </wps:wsp>
                  </a:graphicData>
                </a:graphic>
              </wp:anchor>
            </w:drawing>
          </mc:Choice>
          <mc:Fallback>
            <w:pict>
              <v:shape id="_x0000_s1026" o:spid="_x0000_s1026" o:spt="202" type="#_x0000_t202" style="position:absolute;left:0pt;margin-left:-9pt;margin-top:18.05pt;height:22.05pt;width:72pt;z-index:251677696;mso-width-relative:page;mso-height-relative:page;" filled="f" stroked="f" coordsize="21600,21600" o:gfxdata="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HMc&#10;ytYAAAAJAQAADwAAAAAAAAABACAAAAAiAAAAZHJzL2Rvd25yZXYueG1sUEsBAhQAFAAAAAgAh07i&#10;QBDSPcqyAQAAXQMAAA4AAAAAAAAAAQAgAAAAJQEAAGRycy9lMm9Eb2MueG1sUEsFBgAAAAAGAAYA&#10;WQEAAEkFAAAAAA==&#10;">
                <v:fill on="f" focussize="0,0"/>
                <v:stroke on="f"/>
                <v:imagedata o:title=""/>
                <o:lock v:ext="edit" aspectratio="f"/>
                <v:textbox>
                  <w:txbxContent>
                    <w:p w14:paraId="31D89DC5">
                      <w:pPr>
                        <w:rPr>
                          <w:rFonts w:ascii="楷体_GB2312" w:hAnsi="宋体" w:eastAsia="楷体_GB2312"/>
                          <w:b/>
                          <w:color w:val="000000"/>
                          <w:sz w:val="18"/>
                          <w:szCs w:val="18"/>
                        </w:rPr>
                      </w:pPr>
                      <w:r>
                        <w:rPr>
                          <w:rFonts w:hint="eastAsia" w:ascii="楷体_GB2312" w:hAnsi="宋体" w:eastAsia="楷体_GB2312"/>
                          <w:b/>
                          <w:color w:val="000000"/>
                          <w:sz w:val="18"/>
                          <w:szCs w:val="18"/>
                        </w:rPr>
                        <w:t>分包合同终止</w:t>
                      </w:r>
                    </w:p>
                  </w:txbxContent>
                </v:textbox>
              </v:shape>
            </w:pict>
          </mc:Fallback>
        </mc:AlternateContent>
      </w:r>
      <w:r>
        <w:rPr>
          <w:rFonts w:hAnsi="宋体"/>
          <w:b/>
          <w:color w:val="auto"/>
          <w:sz w:val="24"/>
          <w:szCs w:val="18"/>
        </w:rPr>
        <w:t xml:space="preserve">7.6 </w:t>
      </w:r>
    </w:p>
    <w:p w14:paraId="05CD0BFF">
      <w:pPr>
        <w:pStyle w:val="2"/>
        <w:adjustRightInd w:val="0"/>
        <w:snapToGrid w:val="0"/>
        <w:spacing w:line="360" w:lineRule="auto"/>
        <w:ind w:left="1619" w:leftChars="771"/>
        <w:rPr>
          <w:rFonts w:hAnsi="宋体"/>
          <w:color w:val="auto"/>
          <w:sz w:val="24"/>
          <w:szCs w:val="18"/>
        </w:rPr>
      </w:pPr>
      <w:r>
        <w:rPr>
          <w:rFonts w:hint="eastAsia" w:hAnsi="宋体"/>
          <w:color w:val="auto"/>
          <w:sz w:val="24"/>
          <w:szCs w:val="18"/>
        </w:rPr>
        <w:t>无论何种原因，当本合同终止时，分包人与承包人签订的分包合同也随即终止。承包人应在本合同终止前向分包人支付分包人应得所有款项。</w:t>
      </w:r>
    </w:p>
    <w:p w14:paraId="21EFF449">
      <w:pPr>
        <w:pStyle w:val="2"/>
        <w:tabs>
          <w:tab w:val="left" w:pos="1260"/>
        </w:tabs>
        <w:adjustRightInd w:val="0"/>
        <w:snapToGrid w:val="0"/>
        <w:spacing w:before="120" w:beforeLines="50" w:line="360" w:lineRule="auto"/>
        <w:ind w:right="-238"/>
        <w:rPr>
          <w:rFonts w:hAnsi="宋体"/>
          <w:b/>
          <w:color w:val="auto"/>
          <w:sz w:val="30"/>
          <w:szCs w:val="24"/>
        </w:rPr>
      </w:pPr>
    </w:p>
    <w:p w14:paraId="27D7A7CE">
      <w:pPr>
        <w:pStyle w:val="2"/>
        <w:tabs>
          <w:tab w:val="left" w:pos="1260"/>
        </w:tabs>
        <w:adjustRightInd w:val="0"/>
        <w:snapToGrid w:val="0"/>
        <w:spacing w:before="120" w:beforeLines="50" w:line="360" w:lineRule="auto"/>
        <w:ind w:right="-238"/>
        <w:rPr>
          <w:rFonts w:hAnsi="宋体"/>
          <w:b/>
          <w:color w:val="auto"/>
          <w:sz w:val="30"/>
          <w:szCs w:val="24"/>
        </w:rPr>
      </w:pPr>
      <w:r>
        <w:rPr>
          <w:rFonts w:hAnsi="宋体"/>
          <w:b/>
          <w:color w:val="auto"/>
          <w:sz w:val="30"/>
          <w:szCs w:val="24"/>
        </w:rPr>
        <w:t xml:space="preserve">8  </w:t>
      </w:r>
      <w:r>
        <w:rPr>
          <w:rFonts w:hint="eastAsia" w:hAnsi="宋体"/>
          <w:b/>
          <w:color w:val="auto"/>
          <w:sz w:val="30"/>
          <w:szCs w:val="24"/>
        </w:rPr>
        <w:t>现场查勘</w:t>
      </w:r>
    </w:p>
    <w:p w14:paraId="095B8920">
      <w:pPr>
        <w:pStyle w:val="2"/>
        <w:adjustRightInd w:val="0"/>
        <w:snapToGrid w:val="0"/>
        <w:spacing w:line="360" w:lineRule="auto"/>
        <w:rPr>
          <w:rFonts w:hAnsi="宋体"/>
          <w:b/>
          <w:color w:val="auto"/>
          <w:sz w:val="24"/>
          <w:szCs w:val="18"/>
        </w:rPr>
      </w:pPr>
      <w:r>
        <w:rPr>
          <w:color w:val="auto"/>
        </w:rPr>
        <mc:AlternateContent>
          <mc:Choice Requires="wps">
            <w:drawing>
              <wp:anchor distT="0" distB="0" distL="114300" distR="114300" simplePos="0" relativeHeight="251678720" behindDoc="0" locked="0" layoutInCell="1" allowOverlap="1">
                <wp:simplePos x="0" y="0"/>
                <wp:positionH relativeFrom="column">
                  <wp:posOffset>-114300</wp:posOffset>
                </wp:positionH>
                <wp:positionV relativeFrom="paragraph">
                  <wp:posOffset>236855</wp:posOffset>
                </wp:positionV>
                <wp:extent cx="914400" cy="4953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a:effectLst/>
                      </wps:spPr>
                      <wps:txbx>
                        <w:txbxContent>
                          <w:p w14:paraId="286B597D">
                            <w:pPr>
                              <w:spacing w:line="200" w:lineRule="exact"/>
                              <w:rPr>
                                <w:rFonts w:ascii="楷体_GB2312" w:hAnsi="宋体" w:eastAsia="楷体_GB2312"/>
                                <w:sz w:val="18"/>
                                <w:szCs w:val="18"/>
                              </w:rPr>
                            </w:pPr>
                            <w:r>
                              <w:rPr>
                                <w:rFonts w:hint="eastAsia" w:ascii="楷体_GB2312" w:hAnsi="宋体" w:eastAsia="楷体_GB2312"/>
                                <w:b/>
                                <w:color w:val="000000"/>
                                <w:sz w:val="18"/>
                                <w:szCs w:val="18"/>
                              </w:rPr>
                              <w:t>发包人提供资料的责任</w:t>
                            </w:r>
                          </w:p>
                        </w:txbxContent>
                      </wps:txbx>
                      <wps:bodyPr upright="1"/>
                    </wps:wsp>
                  </a:graphicData>
                </a:graphic>
              </wp:anchor>
            </w:drawing>
          </mc:Choice>
          <mc:Fallback>
            <w:pict>
              <v:shape id="_x0000_s1026" o:spid="_x0000_s1026" o:spt="202" type="#_x0000_t202" style="position:absolute;left:0pt;margin-left:-9pt;margin-top:18.65pt;height:39pt;width:72pt;z-index:251678720;mso-width-relative:page;mso-height-relative:page;" filled="f" stroked="f" coordsize="21600,21600" o:gfxdata="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Cag&#10;SY/YAAAACgEAAA8AAAAAAAAAAQAgAAAAIgAAAGRycy9kb3ducmV2LnhtbFBLAQIUABQAAAAIAIdO&#10;4kA+Lw5RsQEAAF0DAAAOAAAAAAAAAAEAIAAAACcBAABkcnMvZTJvRG9jLnhtbFBLBQYAAAAABgAG&#10;AFkBAABKBQAAAAA=&#10;">
                <v:fill on="f" focussize="0,0"/>
                <v:stroke on="f"/>
                <v:imagedata o:title=""/>
                <o:lock v:ext="edit" aspectratio="f"/>
                <v:textbox>
                  <w:txbxContent>
                    <w:p w14:paraId="286B597D">
                      <w:pPr>
                        <w:spacing w:line="200" w:lineRule="exact"/>
                        <w:rPr>
                          <w:rFonts w:ascii="楷体_GB2312" w:hAnsi="宋体" w:eastAsia="楷体_GB2312"/>
                          <w:sz w:val="18"/>
                          <w:szCs w:val="18"/>
                        </w:rPr>
                      </w:pPr>
                      <w:r>
                        <w:rPr>
                          <w:rFonts w:hint="eastAsia" w:ascii="楷体_GB2312" w:hAnsi="宋体" w:eastAsia="楷体_GB2312"/>
                          <w:b/>
                          <w:color w:val="000000"/>
                          <w:sz w:val="18"/>
                          <w:szCs w:val="18"/>
                        </w:rPr>
                        <w:t>发包人提供资料的责任</w:t>
                      </w:r>
                    </w:p>
                  </w:txbxContent>
                </v:textbox>
              </v:shape>
            </w:pict>
          </mc:Fallback>
        </mc:AlternateContent>
      </w:r>
      <w:r>
        <w:rPr>
          <w:rFonts w:hAnsi="宋体"/>
          <w:b/>
          <w:color w:val="auto"/>
          <w:sz w:val="24"/>
          <w:szCs w:val="18"/>
        </w:rPr>
        <w:t xml:space="preserve">8.1                                                                                </w:t>
      </w:r>
    </w:p>
    <w:p w14:paraId="52CBE3E9">
      <w:pPr>
        <w:pStyle w:val="2"/>
        <w:adjustRightInd w:val="0"/>
        <w:snapToGrid w:val="0"/>
        <w:spacing w:line="360" w:lineRule="auto"/>
        <w:ind w:left="1619" w:leftChars="771"/>
        <w:rPr>
          <w:rFonts w:hAnsi="宋体"/>
          <w:color w:val="auto"/>
          <w:sz w:val="24"/>
          <w:szCs w:val="18"/>
        </w:rPr>
      </w:pPr>
      <w:r>
        <w:rPr>
          <w:rFonts w:hint="eastAsia" w:hAnsi="宋体"/>
          <w:color w:val="auto"/>
          <w:sz w:val="24"/>
          <w:szCs w:val="18"/>
        </w:rPr>
        <w:t>发包人应按照第</w:t>
      </w:r>
      <w:r>
        <w:rPr>
          <w:rFonts w:hAnsi="宋体"/>
          <w:color w:val="auto"/>
          <w:sz w:val="24"/>
          <w:szCs w:val="18"/>
        </w:rPr>
        <w:t>19.2</w:t>
      </w:r>
      <w:r>
        <w:rPr>
          <w:rFonts w:hint="eastAsia" w:hAnsi="宋体"/>
          <w:color w:val="auto"/>
          <w:sz w:val="24"/>
          <w:szCs w:val="18"/>
        </w:rPr>
        <w:t>款第（</w:t>
      </w:r>
      <w:r>
        <w:rPr>
          <w:rFonts w:hAnsi="宋体"/>
          <w:color w:val="auto"/>
          <w:sz w:val="24"/>
          <w:szCs w:val="18"/>
        </w:rPr>
        <w:t>4</w:t>
      </w:r>
      <w:r>
        <w:rPr>
          <w:rFonts w:hint="eastAsia" w:hAnsi="宋体"/>
          <w:color w:val="auto"/>
          <w:sz w:val="24"/>
          <w:szCs w:val="18"/>
        </w:rPr>
        <w:t>）点规定向承包人提供有关资料。此资料作为招标文件的组成部分，与招标文件一并发布。发包人对其提供的上述资料的真实性、准确性和完整性负责。因发包人提供上述资料错误导致承包人发生损失的，发包人应承担由此增加的费用和（或）延误的工期，并向承包人支付合理利润。</w:t>
      </w:r>
    </w:p>
    <w:p w14:paraId="008D57B1">
      <w:pPr>
        <w:pStyle w:val="2"/>
        <w:adjustRightInd w:val="0"/>
        <w:snapToGrid w:val="0"/>
        <w:spacing w:line="360" w:lineRule="auto"/>
        <w:rPr>
          <w:rFonts w:hAnsi="宋体"/>
          <w:b/>
          <w:color w:val="auto"/>
          <w:sz w:val="24"/>
          <w:szCs w:val="18"/>
        </w:rPr>
      </w:pPr>
      <w:r>
        <w:rPr>
          <w:rFonts w:hAnsi="宋体"/>
          <w:b/>
          <w:color w:val="auto"/>
          <w:sz w:val="24"/>
          <w:szCs w:val="18"/>
        </w:rPr>
        <w:t xml:space="preserve">8.2  </w:t>
      </w:r>
    </w:p>
    <w:p w14:paraId="12F75E5A">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1679744" behindDoc="0" locked="0" layoutInCell="1" allowOverlap="1">
                <wp:simplePos x="0" y="0"/>
                <wp:positionH relativeFrom="column">
                  <wp:posOffset>-114300</wp:posOffset>
                </wp:positionH>
                <wp:positionV relativeFrom="paragraph">
                  <wp:posOffset>0</wp:posOffset>
                </wp:positionV>
                <wp:extent cx="914400" cy="50038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914400" cy="500380"/>
                        </a:xfrm>
                        <a:prstGeom prst="rect">
                          <a:avLst/>
                        </a:prstGeom>
                        <a:noFill/>
                        <a:ln>
                          <a:noFill/>
                        </a:ln>
                        <a:effectLst/>
                      </wps:spPr>
                      <wps:txbx>
                        <w:txbxContent>
                          <w:p w14:paraId="710D5CBE">
                            <w:pPr>
                              <w:rPr>
                                <w:rFonts w:ascii="楷体_GB2312" w:hAnsi="宋体" w:eastAsia="楷体_GB2312"/>
                                <w:sz w:val="18"/>
                                <w:szCs w:val="18"/>
                              </w:rPr>
                            </w:pPr>
                            <w:r>
                              <w:rPr>
                                <w:rFonts w:hint="eastAsia" w:ascii="楷体_GB2312" w:hAnsi="宋体" w:eastAsia="楷体_GB2312"/>
                                <w:b/>
                                <w:color w:val="000000"/>
                                <w:sz w:val="18"/>
                                <w:szCs w:val="18"/>
                              </w:rPr>
                              <w:t>承包人现场查勘</w:t>
                            </w:r>
                          </w:p>
                        </w:txbxContent>
                      </wps:txbx>
                      <wps:bodyPr upright="1"/>
                    </wps:wsp>
                  </a:graphicData>
                </a:graphic>
              </wp:anchor>
            </w:drawing>
          </mc:Choice>
          <mc:Fallback>
            <w:pict>
              <v:shape id="_x0000_s1026" o:spid="_x0000_s1026" o:spt="202" type="#_x0000_t202" style="position:absolute;left:0pt;margin-left:-9pt;margin-top:0pt;height:39.4pt;width:72pt;z-index:251679744;mso-width-relative:page;mso-height-relative:page;" filled="f" stroked="f" coordsize="21600,21600" o:gfxdata="UEsDBAoAAAAAAIdO4kAAAAAAAAAAAAAAAAAEAAAAZHJzL1BLAwQUAAAACACHTuJAFaYpR9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WmKUfU&#10;AAAABwEAAA8AAAAAAAAAAQAgAAAAIgAAAGRycy9kb3ducmV2LnhtbFBLAQIUABQAAAAIAIdO4kCc&#10;OKm2sgEAAF0DAAAOAAAAAAAAAAEAIAAAACMBAABkcnMvZTJvRG9jLnhtbFBLBQYAAAAABgAGAFkB&#10;AABHBQAAAAA=&#10;">
                <v:fill on="f" focussize="0,0"/>
                <v:stroke on="f"/>
                <v:imagedata o:title=""/>
                <o:lock v:ext="edit" aspectratio="f"/>
                <v:textbox>
                  <w:txbxContent>
                    <w:p w14:paraId="710D5CBE">
                      <w:pPr>
                        <w:rPr>
                          <w:rFonts w:ascii="楷体_GB2312" w:hAnsi="宋体" w:eastAsia="楷体_GB2312"/>
                          <w:sz w:val="18"/>
                          <w:szCs w:val="18"/>
                        </w:rPr>
                      </w:pPr>
                      <w:r>
                        <w:rPr>
                          <w:rFonts w:hint="eastAsia" w:ascii="楷体_GB2312" w:hAnsi="宋体" w:eastAsia="楷体_GB2312"/>
                          <w:b/>
                          <w:color w:val="000000"/>
                          <w:sz w:val="18"/>
                          <w:szCs w:val="18"/>
                        </w:rPr>
                        <w:t>承包人现场查勘</w:t>
                      </w:r>
                    </w:p>
                  </w:txbxContent>
                </v:textbox>
              </v:shape>
            </w:pict>
          </mc:Fallback>
        </mc:AlternateContent>
      </w:r>
      <w:r>
        <w:rPr>
          <w:rFonts w:hint="eastAsia" w:hAnsi="宋体"/>
          <w:color w:val="auto"/>
          <w:sz w:val="24"/>
          <w:szCs w:val="18"/>
        </w:rPr>
        <w:t>承包人应依据发包人按照第</w:t>
      </w:r>
      <w:r>
        <w:rPr>
          <w:rFonts w:hAnsi="宋体"/>
          <w:color w:val="auto"/>
          <w:sz w:val="24"/>
          <w:szCs w:val="18"/>
        </w:rPr>
        <w:t>19.2</w:t>
      </w:r>
      <w:r>
        <w:rPr>
          <w:rFonts w:hint="eastAsia" w:hAnsi="宋体"/>
          <w:color w:val="auto"/>
          <w:sz w:val="24"/>
          <w:szCs w:val="18"/>
        </w:rPr>
        <w:t>款第（</w:t>
      </w:r>
      <w:r>
        <w:rPr>
          <w:rFonts w:hAnsi="宋体"/>
          <w:color w:val="auto"/>
          <w:sz w:val="24"/>
          <w:szCs w:val="18"/>
        </w:rPr>
        <w:t>4</w:t>
      </w:r>
      <w:r>
        <w:rPr>
          <w:rFonts w:hint="eastAsia" w:hAnsi="宋体"/>
          <w:color w:val="auto"/>
          <w:sz w:val="24"/>
          <w:szCs w:val="18"/>
        </w:rPr>
        <w:t>）点规定提供的资料和自己对现场查勘来编制投标文件，并对发包人提供上述资料的理解、推断和应用负责。承包人的投标文件应被认为已经考虑了现场及其周围环境的影响，包括但不限于以下内容：</w:t>
      </w:r>
    </w:p>
    <w:p w14:paraId="5C3B02B1">
      <w:pPr>
        <w:pStyle w:val="2"/>
        <w:numPr>
          <w:ilvl w:val="0"/>
          <w:numId w:val="7"/>
        </w:numPr>
        <w:tabs>
          <w:tab w:val="left" w:pos="1080"/>
        </w:tabs>
        <w:adjustRightInd w:val="0"/>
        <w:snapToGrid w:val="0"/>
        <w:spacing w:line="360" w:lineRule="auto"/>
        <w:ind w:left="1619" w:leftChars="771" w:firstLine="0"/>
        <w:rPr>
          <w:rFonts w:hAnsi="宋体"/>
          <w:color w:val="auto"/>
          <w:sz w:val="24"/>
          <w:szCs w:val="18"/>
        </w:rPr>
      </w:pPr>
      <w:r>
        <w:rPr>
          <w:rFonts w:hint="eastAsia" w:hAnsi="宋体"/>
          <w:color w:val="auto"/>
          <w:sz w:val="24"/>
          <w:szCs w:val="18"/>
        </w:rPr>
        <w:t>现场地质情况及地形地貌特征；</w:t>
      </w:r>
    </w:p>
    <w:p w14:paraId="02097606">
      <w:pPr>
        <w:pStyle w:val="2"/>
        <w:numPr>
          <w:ilvl w:val="0"/>
          <w:numId w:val="7"/>
        </w:numPr>
        <w:tabs>
          <w:tab w:val="left" w:pos="1080"/>
        </w:tabs>
        <w:adjustRightInd w:val="0"/>
        <w:snapToGrid w:val="0"/>
        <w:spacing w:line="360" w:lineRule="auto"/>
        <w:ind w:left="1619" w:leftChars="771" w:firstLine="0"/>
        <w:rPr>
          <w:rFonts w:hAnsi="宋体"/>
          <w:color w:val="auto"/>
          <w:sz w:val="24"/>
          <w:szCs w:val="18"/>
        </w:rPr>
      </w:pPr>
      <w:r>
        <w:rPr>
          <w:rFonts w:hint="eastAsia" w:hAnsi="宋体"/>
          <w:color w:val="auto"/>
          <w:sz w:val="24"/>
          <w:szCs w:val="18"/>
        </w:rPr>
        <w:t>水文和气候条件；</w:t>
      </w:r>
    </w:p>
    <w:p w14:paraId="1BA87231">
      <w:pPr>
        <w:pStyle w:val="2"/>
        <w:numPr>
          <w:ilvl w:val="0"/>
          <w:numId w:val="7"/>
        </w:numPr>
        <w:tabs>
          <w:tab w:val="left" w:pos="1080"/>
        </w:tabs>
        <w:adjustRightInd w:val="0"/>
        <w:snapToGrid w:val="0"/>
        <w:spacing w:line="360" w:lineRule="auto"/>
        <w:ind w:left="1619" w:leftChars="771" w:firstLine="0"/>
        <w:rPr>
          <w:rFonts w:hAnsi="宋体"/>
          <w:color w:val="auto"/>
          <w:sz w:val="24"/>
          <w:szCs w:val="18"/>
        </w:rPr>
      </w:pPr>
      <w:r>
        <w:rPr>
          <w:rFonts w:hint="eastAsia" w:hAnsi="宋体"/>
          <w:color w:val="auto"/>
          <w:sz w:val="24"/>
          <w:szCs w:val="18"/>
        </w:rPr>
        <w:t>为实施、完成并保修合同工程所需的临时工程和措施项目；</w:t>
      </w:r>
    </w:p>
    <w:p w14:paraId="0EF4A448">
      <w:pPr>
        <w:pStyle w:val="2"/>
        <w:numPr>
          <w:ilvl w:val="0"/>
          <w:numId w:val="7"/>
        </w:numPr>
        <w:tabs>
          <w:tab w:val="left" w:pos="1080"/>
          <w:tab w:val="left" w:pos="1260"/>
        </w:tabs>
        <w:adjustRightInd w:val="0"/>
        <w:snapToGrid w:val="0"/>
        <w:spacing w:line="360" w:lineRule="auto"/>
        <w:ind w:left="1619" w:leftChars="771" w:firstLine="0"/>
        <w:rPr>
          <w:rFonts w:hAnsi="宋体"/>
          <w:color w:val="auto"/>
          <w:sz w:val="24"/>
          <w:szCs w:val="18"/>
        </w:rPr>
      </w:pPr>
      <w:r>
        <w:rPr>
          <w:rFonts w:hint="eastAsia" w:hAnsi="宋体"/>
          <w:color w:val="auto"/>
          <w:sz w:val="24"/>
          <w:szCs w:val="18"/>
        </w:rPr>
        <w:t>为实施、完成并保修合同工程所需的材料采购和加工、设备的采购，及所需的施工设备、周转性材料、人员和管理等；</w:t>
      </w:r>
    </w:p>
    <w:p w14:paraId="32706378">
      <w:pPr>
        <w:pStyle w:val="2"/>
        <w:numPr>
          <w:ilvl w:val="0"/>
          <w:numId w:val="7"/>
        </w:numPr>
        <w:tabs>
          <w:tab w:val="left" w:pos="1080"/>
        </w:tabs>
        <w:adjustRightInd w:val="0"/>
        <w:snapToGrid w:val="0"/>
        <w:spacing w:line="360" w:lineRule="auto"/>
        <w:ind w:left="1619" w:leftChars="771" w:firstLine="0"/>
        <w:rPr>
          <w:rFonts w:hAnsi="宋体"/>
          <w:color w:val="auto"/>
          <w:sz w:val="24"/>
          <w:szCs w:val="18"/>
        </w:rPr>
      </w:pPr>
      <w:r>
        <w:rPr>
          <w:rFonts w:hint="eastAsia" w:hAnsi="宋体"/>
          <w:color w:val="auto"/>
          <w:sz w:val="24"/>
          <w:szCs w:val="18"/>
        </w:rPr>
        <w:t>场地内外的交通情况及水、电、食宿供应条件；</w:t>
      </w:r>
    </w:p>
    <w:p w14:paraId="336E89C6">
      <w:pPr>
        <w:pStyle w:val="2"/>
        <w:numPr>
          <w:ilvl w:val="0"/>
          <w:numId w:val="7"/>
        </w:numPr>
        <w:tabs>
          <w:tab w:val="left" w:pos="1080"/>
        </w:tabs>
        <w:adjustRightInd w:val="0"/>
        <w:snapToGrid w:val="0"/>
        <w:spacing w:line="360" w:lineRule="auto"/>
        <w:ind w:left="1619" w:leftChars="771" w:firstLine="0"/>
        <w:rPr>
          <w:rFonts w:hAnsi="宋体"/>
          <w:color w:val="auto"/>
          <w:sz w:val="24"/>
          <w:szCs w:val="18"/>
        </w:rPr>
      </w:pPr>
      <w:r>
        <w:rPr>
          <w:rFonts w:hint="eastAsia" w:hAnsi="宋体"/>
          <w:color w:val="auto"/>
          <w:sz w:val="24"/>
          <w:szCs w:val="18"/>
        </w:rPr>
        <w:t>可能对投标报价有影响或起作用的其他情况。</w:t>
      </w:r>
    </w:p>
    <w:p w14:paraId="4D61D168">
      <w:pPr>
        <w:pStyle w:val="2"/>
        <w:adjustRightInd w:val="0"/>
        <w:snapToGrid w:val="0"/>
        <w:spacing w:line="360" w:lineRule="auto"/>
        <w:ind w:right="-238"/>
        <w:rPr>
          <w:color w:val="auto"/>
        </w:rPr>
      </w:pPr>
    </w:p>
    <w:p w14:paraId="260D088C">
      <w:pPr>
        <w:pStyle w:val="2"/>
        <w:adjustRightInd w:val="0"/>
        <w:snapToGrid w:val="0"/>
        <w:spacing w:line="360" w:lineRule="auto"/>
        <w:ind w:right="-238"/>
        <w:rPr>
          <w:rFonts w:hAnsi="宋体"/>
          <w:b/>
          <w:color w:val="auto"/>
          <w:sz w:val="24"/>
          <w:szCs w:val="18"/>
        </w:rPr>
      </w:pPr>
      <w:r>
        <w:rPr>
          <w:rFonts w:hAnsi="宋体"/>
          <w:b/>
          <w:color w:val="auto"/>
          <w:sz w:val="30"/>
          <w:szCs w:val="24"/>
        </w:rPr>
        <w:t xml:space="preserve">9  </w:t>
      </w:r>
      <w:r>
        <w:rPr>
          <w:rFonts w:hint="eastAsia" w:hAnsi="宋体"/>
          <w:b/>
          <w:color w:val="auto"/>
          <w:sz w:val="30"/>
          <w:szCs w:val="24"/>
        </w:rPr>
        <w:t>招标错失的修正</w:t>
      </w:r>
    </w:p>
    <w:p w14:paraId="5B8FFD03">
      <w:pPr>
        <w:pStyle w:val="2"/>
        <w:adjustRightInd w:val="0"/>
        <w:snapToGrid w:val="0"/>
        <w:spacing w:before="240" w:beforeLines="100" w:line="360" w:lineRule="auto"/>
        <w:ind w:right="-238"/>
        <w:rPr>
          <w:rFonts w:hAnsi="宋体"/>
          <w:b/>
          <w:color w:val="auto"/>
          <w:sz w:val="24"/>
          <w:szCs w:val="18"/>
        </w:rPr>
      </w:pPr>
      <w:r>
        <w:rPr>
          <w:color w:val="auto"/>
        </w:rPr>
        <mc:AlternateContent>
          <mc:Choice Requires="wps">
            <w:drawing>
              <wp:anchor distT="0" distB="0" distL="114300" distR="114300" simplePos="0" relativeHeight="251680768" behindDoc="0" locked="0" layoutInCell="1" allowOverlap="1">
                <wp:simplePos x="0" y="0"/>
                <wp:positionH relativeFrom="column">
                  <wp:posOffset>-60960</wp:posOffset>
                </wp:positionH>
                <wp:positionV relativeFrom="paragraph">
                  <wp:posOffset>398145</wp:posOffset>
                </wp:positionV>
                <wp:extent cx="914400" cy="79248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a:effectLst/>
                      </wps:spPr>
                      <wps:txbx>
                        <w:txbxContent>
                          <w:p w14:paraId="0D457D63">
                            <w:pPr>
                              <w:pStyle w:val="2"/>
                              <w:tabs>
                                <w:tab w:val="left" w:pos="2160"/>
                              </w:tabs>
                              <w:spacing w:before="192" w:beforeLines="80"/>
                              <w:rPr>
                                <w:rFonts w:ascii="楷体_GB2312" w:hAnsi="宋体" w:eastAsia="楷体_GB2312"/>
                                <w:color w:val="FF00FF"/>
                                <w:sz w:val="24"/>
                                <w:szCs w:val="18"/>
                              </w:rPr>
                            </w:pPr>
                            <w:r>
                              <w:rPr>
                                <w:rFonts w:hint="eastAsia" w:ascii="楷体_GB2312" w:hAnsi="宋体" w:eastAsia="楷体_GB2312"/>
                                <w:b/>
                                <w:color w:val="000000"/>
                                <w:sz w:val="18"/>
                                <w:szCs w:val="18"/>
                              </w:rPr>
                              <w:t>合同条款及格式完备性和义务</w:t>
                            </w:r>
                          </w:p>
                          <w:p w14:paraId="31E3458F">
                            <w:pPr>
                              <w:rPr>
                                <w:sz w:val="18"/>
                                <w:szCs w:val="18"/>
                              </w:rPr>
                            </w:pPr>
                          </w:p>
                        </w:txbxContent>
                      </wps:txbx>
                      <wps:bodyPr upright="1"/>
                    </wps:wsp>
                  </a:graphicData>
                </a:graphic>
              </wp:anchor>
            </w:drawing>
          </mc:Choice>
          <mc:Fallback>
            <w:pict>
              <v:shape id="_x0000_s1026" o:spid="_x0000_s1026" o:spt="202" type="#_x0000_t202" style="position:absolute;left:0pt;margin-left:-4.8pt;margin-top:31.35pt;height:62.4pt;width:72pt;z-index:251680768;mso-width-relative:page;mso-height-relative:page;" filled="f" stroked="f" coordsize="21600,21600" o:gfxdata="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AXD&#10;qoDXAAAACQEAAA8AAAAAAAAAAQAgAAAAIgAAAGRycy9kb3ducmV2LnhtbFBLAQIUABQAAAAIAIdO&#10;4kAI6Hq1sgEAAF0DAAAOAAAAAAAAAAEAIAAAACYBAABkcnMvZTJvRG9jLnhtbFBLBQYAAAAABgAG&#10;AFkBAABKBQAAAAA=&#10;">
                <v:fill on="f" focussize="0,0"/>
                <v:stroke on="f"/>
                <v:imagedata o:title=""/>
                <o:lock v:ext="edit" aspectratio="f"/>
                <v:textbox>
                  <w:txbxContent>
                    <w:p w14:paraId="0D457D63">
                      <w:pPr>
                        <w:pStyle w:val="2"/>
                        <w:tabs>
                          <w:tab w:val="left" w:pos="2160"/>
                        </w:tabs>
                        <w:spacing w:before="192" w:beforeLines="80"/>
                        <w:rPr>
                          <w:rFonts w:ascii="楷体_GB2312" w:hAnsi="宋体" w:eastAsia="楷体_GB2312"/>
                          <w:color w:val="FF00FF"/>
                          <w:sz w:val="24"/>
                          <w:szCs w:val="18"/>
                        </w:rPr>
                      </w:pPr>
                      <w:r>
                        <w:rPr>
                          <w:rFonts w:hint="eastAsia" w:ascii="楷体_GB2312" w:hAnsi="宋体" w:eastAsia="楷体_GB2312"/>
                          <w:b/>
                          <w:color w:val="000000"/>
                          <w:sz w:val="18"/>
                          <w:szCs w:val="18"/>
                        </w:rPr>
                        <w:t>合同条款及格式完备性和义务</w:t>
                      </w:r>
                    </w:p>
                    <w:p w14:paraId="31E3458F">
                      <w:pPr>
                        <w:rPr>
                          <w:sz w:val="18"/>
                          <w:szCs w:val="18"/>
                        </w:rPr>
                      </w:pPr>
                    </w:p>
                  </w:txbxContent>
                </v:textbox>
              </v:shape>
            </w:pict>
          </mc:Fallback>
        </mc:AlternateContent>
      </w:r>
      <w:r>
        <w:rPr>
          <w:rFonts w:hAnsi="宋体"/>
          <w:b/>
          <w:color w:val="auto"/>
          <w:sz w:val="24"/>
          <w:szCs w:val="18"/>
        </w:rPr>
        <w:t xml:space="preserve">9.1  </w:t>
      </w:r>
    </w:p>
    <w:p w14:paraId="212F5EDC">
      <w:pPr>
        <w:pStyle w:val="2"/>
        <w:tabs>
          <w:tab w:val="left" w:pos="1980"/>
        </w:tabs>
        <w:spacing w:before="192" w:beforeLines="80" w:line="360" w:lineRule="auto"/>
        <w:ind w:left="1622"/>
        <w:rPr>
          <w:rFonts w:hAnsi="宋体"/>
          <w:color w:val="auto"/>
          <w:sz w:val="24"/>
          <w:szCs w:val="18"/>
        </w:rPr>
      </w:pPr>
      <w:r>
        <w:rPr>
          <w:rFonts w:hint="eastAsia" w:hAnsi="宋体"/>
          <w:color w:val="auto"/>
          <w:sz w:val="24"/>
          <w:szCs w:val="18"/>
        </w:rPr>
        <w:t>发包人招标文件中的合同条款及格式，应被认为是正确的和公平的，并已包括了发包人履行本合同的全部义务，包括但不限于以下内容：</w:t>
      </w:r>
    </w:p>
    <w:p w14:paraId="5D058F13">
      <w:pPr>
        <w:pStyle w:val="2"/>
        <w:tabs>
          <w:tab w:val="left" w:pos="2160"/>
        </w:tabs>
        <w:spacing w:line="360" w:lineRule="auto"/>
        <w:ind w:firstLine="1620" w:firstLineChars="675"/>
        <w:rPr>
          <w:rFonts w:hAnsi="宋体"/>
          <w:color w:val="auto"/>
          <w:sz w:val="24"/>
          <w:szCs w:val="18"/>
        </w:rPr>
      </w:pPr>
      <w:r>
        <w:rPr>
          <w:rFonts w:hint="eastAsia" w:hAnsi="宋体"/>
          <w:color w:val="auto"/>
          <w:sz w:val="24"/>
          <w:szCs w:val="18"/>
        </w:rPr>
        <w:t>（</w:t>
      </w:r>
      <w:r>
        <w:rPr>
          <w:rFonts w:hAnsi="宋体"/>
          <w:color w:val="auto"/>
          <w:sz w:val="24"/>
          <w:szCs w:val="18"/>
        </w:rPr>
        <w:t>1</w:t>
      </w:r>
      <w:r>
        <w:rPr>
          <w:rFonts w:hint="eastAsia" w:hAnsi="宋体"/>
          <w:color w:val="auto"/>
          <w:sz w:val="24"/>
          <w:szCs w:val="18"/>
        </w:rPr>
        <w:t>）支付工程款及其他应付款项的义务；</w:t>
      </w:r>
    </w:p>
    <w:p w14:paraId="5FDFBD6F">
      <w:pPr>
        <w:pStyle w:val="2"/>
        <w:tabs>
          <w:tab w:val="left" w:pos="2160"/>
        </w:tabs>
        <w:spacing w:line="360" w:lineRule="auto"/>
        <w:ind w:left="-61" w:leftChars="-29" w:firstLine="1680" w:firstLineChars="700"/>
        <w:rPr>
          <w:rFonts w:hAnsi="宋体"/>
          <w:color w:val="auto"/>
          <w:sz w:val="24"/>
          <w:szCs w:val="18"/>
        </w:rPr>
      </w:pPr>
      <w:r>
        <w:rPr>
          <w:rFonts w:hint="eastAsia" w:hAnsi="宋体"/>
          <w:color w:val="auto"/>
          <w:sz w:val="24"/>
          <w:szCs w:val="18"/>
        </w:rPr>
        <w:t>（</w:t>
      </w:r>
      <w:r>
        <w:rPr>
          <w:rFonts w:hAnsi="宋体"/>
          <w:color w:val="auto"/>
          <w:sz w:val="24"/>
          <w:szCs w:val="18"/>
        </w:rPr>
        <w:t>2</w:t>
      </w:r>
      <w:r>
        <w:rPr>
          <w:rFonts w:hint="eastAsia" w:hAnsi="宋体"/>
          <w:color w:val="auto"/>
          <w:sz w:val="24"/>
          <w:szCs w:val="18"/>
        </w:rPr>
        <w:t>）完成本合同第</w:t>
      </w:r>
      <w:r>
        <w:rPr>
          <w:rFonts w:hAnsi="宋体"/>
          <w:color w:val="auto"/>
          <w:sz w:val="24"/>
          <w:szCs w:val="18"/>
        </w:rPr>
        <w:t>19.2</w:t>
      </w:r>
      <w:r>
        <w:rPr>
          <w:rFonts w:hint="eastAsia" w:hAnsi="宋体"/>
          <w:color w:val="auto"/>
          <w:sz w:val="24"/>
          <w:szCs w:val="18"/>
        </w:rPr>
        <w:t>款约定工作的义务；</w:t>
      </w:r>
    </w:p>
    <w:p w14:paraId="6D6428DC">
      <w:pPr>
        <w:pStyle w:val="2"/>
        <w:tabs>
          <w:tab w:val="left" w:pos="2160"/>
        </w:tabs>
        <w:spacing w:line="360" w:lineRule="auto"/>
        <w:ind w:left="-61" w:leftChars="-29" w:firstLine="1680" w:firstLineChars="700"/>
        <w:rPr>
          <w:rFonts w:hAnsi="宋体"/>
          <w:color w:val="auto"/>
          <w:sz w:val="24"/>
          <w:szCs w:val="18"/>
        </w:rPr>
      </w:pPr>
      <w:r>
        <w:rPr>
          <w:rFonts w:hint="eastAsia" w:hAnsi="宋体"/>
          <w:color w:val="auto"/>
          <w:sz w:val="24"/>
          <w:szCs w:val="18"/>
        </w:rPr>
        <w:t>（</w:t>
      </w:r>
      <w:r>
        <w:rPr>
          <w:rFonts w:hAnsi="宋体"/>
          <w:color w:val="auto"/>
          <w:sz w:val="24"/>
          <w:szCs w:val="18"/>
        </w:rPr>
        <w:t>3</w:t>
      </w:r>
      <w:r>
        <w:rPr>
          <w:rFonts w:hint="eastAsia" w:hAnsi="宋体"/>
          <w:color w:val="auto"/>
          <w:sz w:val="24"/>
          <w:szCs w:val="18"/>
        </w:rPr>
        <w:t>）修正不正确合同条款及格式的义务；</w:t>
      </w:r>
    </w:p>
    <w:p w14:paraId="751FABCA">
      <w:pPr>
        <w:pStyle w:val="2"/>
        <w:tabs>
          <w:tab w:val="left" w:pos="2160"/>
        </w:tabs>
        <w:spacing w:line="360" w:lineRule="auto"/>
        <w:ind w:left="-61" w:leftChars="-29" w:firstLine="1680" w:firstLineChars="700"/>
        <w:rPr>
          <w:rFonts w:hAnsi="宋体"/>
          <w:color w:val="auto"/>
          <w:sz w:val="24"/>
          <w:szCs w:val="18"/>
        </w:rPr>
      </w:pPr>
      <w:r>
        <w:rPr>
          <w:rFonts w:hint="eastAsia" w:hAnsi="宋体"/>
          <w:color w:val="auto"/>
          <w:sz w:val="24"/>
          <w:szCs w:val="18"/>
        </w:rPr>
        <w:t>（</w:t>
      </w:r>
      <w:r>
        <w:rPr>
          <w:rFonts w:hAnsi="宋体"/>
          <w:color w:val="auto"/>
          <w:sz w:val="24"/>
          <w:szCs w:val="18"/>
        </w:rPr>
        <w:t>4</w:t>
      </w:r>
      <w:r>
        <w:rPr>
          <w:rFonts w:hint="eastAsia" w:hAnsi="宋体"/>
          <w:color w:val="auto"/>
          <w:sz w:val="24"/>
          <w:szCs w:val="18"/>
        </w:rPr>
        <w:t>）澄清并改正被认定有失公平的合同条款的义务；</w:t>
      </w:r>
    </w:p>
    <w:p w14:paraId="22745147">
      <w:pPr>
        <w:pStyle w:val="2"/>
        <w:tabs>
          <w:tab w:val="left" w:pos="2160"/>
        </w:tabs>
        <w:spacing w:line="360" w:lineRule="auto"/>
        <w:ind w:left="-61" w:leftChars="-29" w:firstLine="1680" w:firstLineChars="700"/>
        <w:rPr>
          <w:rFonts w:hAnsi="宋体"/>
          <w:b/>
          <w:color w:val="auto"/>
          <w:sz w:val="24"/>
          <w:szCs w:val="18"/>
        </w:rPr>
      </w:pPr>
      <w:r>
        <w:rPr>
          <w:rFonts w:hint="eastAsia" w:hAnsi="宋体"/>
          <w:color w:val="auto"/>
          <w:sz w:val="24"/>
          <w:szCs w:val="18"/>
        </w:rPr>
        <w:t>（</w:t>
      </w:r>
      <w:r>
        <w:rPr>
          <w:rFonts w:hAnsi="宋体"/>
          <w:color w:val="auto"/>
          <w:sz w:val="24"/>
          <w:szCs w:val="18"/>
        </w:rPr>
        <w:t>5</w:t>
      </w:r>
      <w:r>
        <w:rPr>
          <w:rFonts w:hint="eastAsia" w:hAnsi="宋体"/>
          <w:color w:val="auto"/>
          <w:sz w:val="24"/>
          <w:szCs w:val="18"/>
        </w:rPr>
        <w:t>）协助承包人实施、完成并保修合同工程的义务。</w:t>
      </w:r>
    </w:p>
    <w:p w14:paraId="4C18C637">
      <w:pPr>
        <w:pStyle w:val="2"/>
        <w:tabs>
          <w:tab w:val="left" w:pos="2160"/>
        </w:tabs>
        <w:spacing w:line="360" w:lineRule="auto"/>
        <w:rPr>
          <w:rFonts w:hAnsi="宋体"/>
          <w:b/>
          <w:color w:val="auto"/>
          <w:sz w:val="24"/>
          <w:szCs w:val="18"/>
        </w:rPr>
      </w:pPr>
      <w:r>
        <w:rPr>
          <w:color w:val="auto"/>
        </w:rPr>
        <mc:AlternateContent>
          <mc:Choice Requires="wps">
            <w:drawing>
              <wp:anchor distT="0" distB="0" distL="114300" distR="114300" simplePos="0" relativeHeight="251681792" behindDoc="0" locked="0" layoutInCell="1" allowOverlap="1">
                <wp:simplePos x="0" y="0"/>
                <wp:positionH relativeFrom="column">
                  <wp:posOffset>45085</wp:posOffset>
                </wp:positionH>
                <wp:positionV relativeFrom="paragraph">
                  <wp:posOffset>187325</wp:posOffset>
                </wp:positionV>
                <wp:extent cx="914400" cy="82931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914400" cy="829310"/>
                        </a:xfrm>
                        <a:prstGeom prst="rect">
                          <a:avLst/>
                        </a:prstGeom>
                        <a:noFill/>
                        <a:ln>
                          <a:noFill/>
                        </a:ln>
                        <a:effectLst/>
                      </wps:spPr>
                      <wps:txbx>
                        <w:txbxContent>
                          <w:p w14:paraId="5119F90D">
                            <w:pPr>
                              <w:pStyle w:val="2"/>
                              <w:tabs>
                                <w:tab w:val="left" w:pos="2160"/>
                              </w:tabs>
                              <w:spacing w:before="192" w:beforeLines="80"/>
                              <w:rPr>
                                <w:rFonts w:ascii="楷体_GB2312" w:hAnsi="宋体" w:eastAsia="楷体_GB2312"/>
                                <w:color w:val="FF00FF"/>
                                <w:sz w:val="24"/>
                                <w:szCs w:val="18"/>
                              </w:rPr>
                            </w:pPr>
                            <w:r>
                              <w:rPr>
                                <w:rFonts w:hint="eastAsia" w:ascii="楷体_GB2312" w:hAnsi="宋体" w:eastAsia="楷体_GB2312"/>
                                <w:b/>
                                <w:color w:val="000000"/>
                                <w:sz w:val="18"/>
                                <w:szCs w:val="18"/>
                              </w:rPr>
                              <w:t>工程量清单准确性和修正</w:t>
                            </w:r>
                          </w:p>
                          <w:p w14:paraId="02FBFF6F">
                            <w:pPr>
                              <w:rPr>
                                <w:sz w:val="18"/>
                                <w:szCs w:val="18"/>
                              </w:rPr>
                            </w:pPr>
                          </w:p>
                        </w:txbxContent>
                      </wps:txbx>
                      <wps:bodyPr upright="1"/>
                    </wps:wsp>
                  </a:graphicData>
                </a:graphic>
              </wp:anchor>
            </w:drawing>
          </mc:Choice>
          <mc:Fallback>
            <w:pict>
              <v:shape id="_x0000_s1026" o:spid="_x0000_s1026" o:spt="202" type="#_x0000_t202" style="position:absolute;left:0pt;margin-left:3.55pt;margin-top:14.75pt;height:65.3pt;width:72pt;z-index:251681792;mso-width-relative:page;mso-height-relative:page;" filled="f" stroked="f" coordsize="21600,21600" o:gfxdata="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7jO2t&#10;1QAAAAgBAAAPAAAAAAAAAAEAIAAAACIAAABkcnMvZG93bnJldi54bWxQSwECFAAUAAAACACHTuJA&#10;seOP9LIBAABdAwAADgAAAAAAAAABACAAAAAkAQAAZHJzL2Uyb0RvYy54bWxQSwUGAAAAAAYABgBZ&#10;AQAASAUAAAAA&#10;">
                <v:fill on="f" focussize="0,0"/>
                <v:stroke on="f"/>
                <v:imagedata o:title=""/>
                <o:lock v:ext="edit" aspectratio="f"/>
                <v:textbox>
                  <w:txbxContent>
                    <w:p w14:paraId="5119F90D">
                      <w:pPr>
                        <w:pStyle w:val="2"/>
                        <w:tabs>
                          <w:tab w:val="left" w:pos="2160"/>
                        </w:tabs>
                        <w:spacing w:before="192" w:beforeLines="80"/>
                        <w:rPr>
                          <w:rFonts w:ascii="楷体_GB2312" w:hAnsi="宋体" w:eastAsia="楷体_GB2312"/>
                          <w:color w:val="FF00FF"/>
                          <w:sz w:val="24"/>
                          <w:szCs w:val="18"/>
                        </w:rPr>
                      </w:pPr>
                      <w:r>
                        <w:rPr>
                          <w:rFonts w:hint="eastAsia" w:ascii="楷体_GB2312" w:hAnsi="宋体" w:eastAsia="楷体_GB2312"/>
                          <w:b/>
                          <w:color w:val="000000"/>
                          <w:sz w:val="18"/>
                          <w:szCs w:val="18"/>
                        </w:rPr>
                        <w:t>工程量清单准确性和修正</w:t>
                      </w:r>
                    </w:p>
                    <w:p w14:paraId="02FBFF6F">
                      <w:pPr>
                        <w:rPr>
                          <w:sz w:val="18"/>
                          <w:szCs w:val="18"/>
                        </w:rPr>
                      </w:pPr>
                    </w:p>
                  </w:txbxContent>
                </v:textbox>
              </v:shape>
            </w:pict>
          </mc:Fallback>
        </mc:AlternateContent>
      </w:r>
      <w:r>
        <w:rPr>
          <w:rFonts w:hAnsi="宋体"/>
          <w:b/>
          <w:color w:val="auto"/>
          <w:sz w:val="24"/>
          <w:szCs w:val="18"/>
        </w:rPr>
        <w:t xml:space="preserve">9.2  </w:t>
      </w:r>
    </w:p>
    <w:p w14:paraId="3C0C6588">
      <w:pPr>
        <w:pStyle w:val="2"/>
        <w:tabs>
          <w:tab w:val="left" w:pos="2160"/>
        </w:tabs>
        <w:spacing w:line="360" w:lineRule="auto"/>
        <w:ind w:left="1799" w:leftChars="828" w:hanging="60" w:hangingChars="25"/>
        <w:rPr>
          <w:rFonts w:hAnsi="宋体"/>
          <w:color w:val="auto"/>
          <w:sz w:val="24"/>
          <w:szCs w:val="18"/>
        </w:rPr>
      </w:pPr>
      <w:r>
        <w:rPr>
          <w:rFonts w:hint="eastAsia" w:hAnsi="宋体"/>
          <w:color w:val="auto"/>
          <w:sz w:val="24"/>
          <w:szCs w:val="18"/>
        </w:rPr>
        <w:t>发包人招标文件提供的工程量清单及其招标控制价等资料，应被认为是准确的和完整的。当出现下列情形之一的，发包人应及时予以修正，并相应调整合同价款：</w:t>
      </w:r>
    </w:p>
    <w:p w14:paraId="74B7CF29">
      <w:pPr>
        <w:pStyle w:val="2"/>
        <w:tabs>
          <w:tab w:val="left" w:pos="2160"/>
        </w:tabs>
        <w:spacing w:line="360" w:lineRule="auto"/>
        <w:ind w:firstLine="1800" w:firstLineChars="750"/>
        <w:rPr>
          <w:rFonts w:hAnsi="宋体"/>
          <w:color w:val="auto"/>
          <w:sz w:val="24"/>
          <w:szCs w:val="18"/>
        </w:rPr>
      </w:pPr>
      <w:r>
        <w:rPr>
          <w:rFonts w:hint="eastAsia" w:hAnsi="宋体"/>
          <w:color w:val="auto"/>
          <w:sz w:val="24"/>
          <w:szCs w:val="18"/>
        </w:rPr>
        <w:t>（</w:t>
      </w:r>
      <w:r>
        <w:rPr>
          <w:rFonts w:hAnsi="宋体"/>
          <w:color w:val="auto"/>
          <w:sz w:val="24"/>
          <w:szCs w:val="18"/>
        </w:rPr>
        <w:t>1</w:t>
      </w:r>
      <w:r>
        <w:rPr>
          <w:rFonts w:hint="eastAsia" w:hAnsi="宋体"/>
          <w:color w:val="auto"/>
          <w:sz w:val="24"/>
          <w:szCs w:val="18"/>
        </w:rPr>
        <w:t>）施工设计图纸发生变化的；</w:t>
      </w:r>
    </w:p>
    <w:p w14:paraId="1A4C59F0">
      <w:pPr>
        <w:pStyle w:val="2"/>
        <w:tabs>
          <w:tab w:val="left" w:pos="2160"/>
        </w:tabs>
        <w:spacing w:line="360" w:lineRule="auto"/>
        <w:ind w:firstLine="1800" w:firstLineChars="750"/>
        <w:rPr>
          <w:rFonts w:hAnsi="宋体"/>
          <w:color w:val="auto"/>
          <w:sz w:val="24"/>
          <w:szCs w:val="18"/>
        </w:rPr>
      </w:pPr>
      <w:r>
        <w:rPr>
          <w:rFonts w:hint="eastAsia" w:hAnsi="宋体"/>
          <w:color w:val="auto"/>
          <w:sz w:val="24"/>
          <w:szCs w:val="18"/>
        </w:rPr>
        <w:t>（</w:t>
      </w:r>
      <w:r>
        <w:rPr>
          <w:rFonts w:hAnsi="宋体"/>
          <w:color w:val="auto"/>
          <w:sz w:val="24"/>
          <w:szCs w:val="18"/>
        </w:rPr>
        <w:t>2</w:t>
      </w:r>
      <w:r>
        <w:rPr>
          <w:rFonts w:hint="eastAsia" w:hAnsi="宋体"/>
          <w:color w:val="auto"/>
          <w:sz w:val="24"/>
          <w:szCs w:val="18"/>
        </w:rPr>
        <w:t>）出现第</w:t>
      </w:r>
      <w:r>
        <w:rPr>
          <w:rFonts w:hAnsi="宋体"/>
          <w:color w:val="auto"/>
          <w:sz w:val="24"/>
          <w:szCs w:val="18"/>
        </w:rPr>
        <w:t>68.2</w:t>
      </w:r>
      <w:r>
        <w:rPr>
          <w:rFonts w:hint="eastAsia" w:hAnsi="宋体"/>
          <w:color w:val="auto"/>
          <w:sz w:val="24"/>
          <w:szCs w:val="18"/>
        </w:rPr>
        <w:t>款规定调整合同价款事件的；</w:t>
      </w:r>
    </w:p>
    <w:p w14:paraId="5B51DC5B">
      <w:pPr>
        <w:pStyle w:val="2"/>
        <w:tabs>
          <w:tab w:val="left" w:pos="2160"/>
        </w:tabs>
        <w:spacing w:line="360" w:lineRule="auto"/>
        <w:ind w:firstLine="1800" w:firstLineChars="750"/>
        <w:rPr>
          <w:rFonts w:hAnsi="宋体"/>
          <w:b/>
          <w:color w:val="auto"/>
          <w:sz w:val="24"/>
          <w:szCs w:val="18"/>
          <w:u w:val="single"/>
        </w:rPr>
      </w:pPr>
      <w:r>
        <w:rPr>
          <w:rFonts w:hint="eastAsia" w:hAnsi="宋体"/>
          <w:color w:val="auto"/>
          <w:sz w:val="24"/>
          <w:szCs w:val="18"/>
        </w:rPr>
        <w:t>（</w:t>
      </w:r>
      <w:r>
        <w:rPr>
          <w:rFonts w:hAnsi="宋体"/>
          <w:color w:val="auto"/>
          <w:sz w:val="24"/>
          <w:szCs w:val="18"/>
        </w:rPr>
        <w:t>3</w:t>
      </w:r>
      <w:r>
        <w:rPr>
          <w:rFonts w:hint="eastAsia" w:hAnsi="宋体"/>
          <w:color w:val="auto"/>
          <w:sz w:val="24"/>
          <w:szCs w:val="18"/>
        </w:rPr>
        <w:t>）未按照国家、省有关计价规定编制的其它情形。</w:t>
      </w:r>
    </w:p>
    <w:p w14:paraId="40958925">
      <w:pPr>
        <w:pStyle w:val="2"/>
        <w:adjustRightInd w:val="0"/>
        <w:snapToGrid w:val="0"/>
        <w:spacing w:line="360" w:lineRule="auto"/>
        <w:ind w:right="-238"/>
        <w:rPr>
          <w:rFonts w:hAnsi="宋体"/>
          <w:color w:val="auto"/>
          <w:sz w:val="24"/>
          <w:szCs w:val="18"/>
        </w:rPr>
      </w:pPr>
    </w:p>
    <w:p w14:paraId="07AF66C6">
      <w:pPr>
        <w:pStyle w:val="2"/>
        <w:tabs>
          <w:tab w:val="left" w:pos="1260"/>
        </w:tabs>
        <w:adjustRightInd w:val="0"/>
        <w:snapToGrid w:val="0"/>
        <w:spacing w:before="120" w:beforeLines="50" w:line="360" w:lineRule="auto"/>
        <w:ind w:right="-238"/>
        <w:rPr>
          <w:rFonts w:hAnsi="宋体"/>
          <w:b/>
          <w:color w:val="auto"/>
          <w:sz w:val="30"/>
          <w:szCs w:val="24"/>
        </w:rPr>
      </w:pPr>
      <w:r>
        <w:rPr>
          <w:rFonts w:hAnsi="宋体"/>
          <w:b/>
          <w:color w:val="auto"/>
          <w:sz w:val="30"/>
          <w:szCs w:val="24"/>
        </w:rPr>
        <w:t xml:space="preserve">10  </w:t>
      </w:r>
      <w:r>
        <w:rPr>
          <w:rFonts w:hint="eastAsia" w:hAnsi="宋体"/>
          <w:b/>
          <w:color w:val="auto"/>
          <w:sz w:val="30"/>
          <w:szCs w:val="24"/>
        </w:rPr>
        <w:t>投标文件的完备性</w:t>
      </w:r>
    </w:p>
    <w:p w14:paraId="6CF5A6B7">
      <w:pPr>
        <w:pStyle w:val="2"/>
        <w:tabs>
          <w:tab w:val="left" w:pos="1410"/>
        </w:tabs>
        <w:adjustRightInd w:val="0"/>
        <w:snapToGrid w:val="0"/>
        <w:spacing w:line="360" w:lineRule="auto"/>
        <w:rPr>
          <w:rFonts w:hAnsi="宋体"/>
          <w:b/>
          <w:color w:val="auto"/>
          <w:sz w:val="24"/>
          <w:szCs w:val="18"/>
        </w:rPr>
      </w:pPr>
      <w:r>
        <w:rPr>
          <w:color w:val="auto"/>
        </w:rPr>
        <mc:AlternateContent>
          <mc:Choice Requires="wps">
            <w:drawing>
              <wp:anchor distT="0" distB="0" distL="114300" distR="114300" simplePos="0" relativeHeight="251682816" behindDoc="0" locked="0" layoutInCell="1" allowOverlap="1">
                <wp:simplePos x="0" y="0"/>
                <wp:positionH relativeFrom="column">
                  <wp:posOffset>-114300</wp:posOffset>
                </wp:positionH>
                <wp:positionV relativeFrom="paragraph">
                  <wp:posOffset>92075</wp:posOffset>
                </wp:positionV>
                <wp:extent cx="914400" cy="812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914400" cy="812800"/>
                        </a:xfrm>
                        <a:prstGeom prst="rect">
                          <a:avLst/>
                        </a:prstGeom>
                        <a:noFill/>
                        <a:ln>
                          <a:noFill/>
                        </a:ln>
                        <a:effectLst/>
                      </wps:spPr>
                      <wps:txbx>
                        <w:txbxContent>
                          <w:p w14:paraId="5723A05A">
                            <w:pPr>
                              <w:pStyle w:val="2"/>
                              <w:tabs>
                                <w:tab w:val="left" w:pos="2160"/>
                              </w:tabs>
                              <w:spacing w:before="192" w:beforeLines="80"/>
                              <w:rPr>
                                <w:rFonts w:ascii="楷体_GB2312" w:hAnsi="宋体" w:eastAsia="楷体_GB2312"/>
                                <w:b/>
                                <w:color w:val="000000"/>
                                <w:sz w:val="18"/>
                                <w:szCs w:val="18"/>
                              </w:rPr>
                            </w:pPr>
                            <w:r>
                              <w:rPr>
                                <w:rFonts w:hint="eastAsia" w:ascii="楷体_GB2312" w:hAnsi="宋体" w:eastAsia="楷体_GB2312"/>
                                <w:b/>
                                <w:color w:val="000000"/>
                                <w:sz w:val="18"/>
                                <w:szCs w:val="18"/>
                              </w:rPr>
                              <w:t>投标文件完备性和义务</w:t>
                            </w:r>
                          </w:p>
                        </w:txbxContent>
                      </wps:txbx>
                      <wps:bodyPr upright="1"/>
                    </wps:wsp>
                  </a:graphicData>
                </a:graphic>
              </wp:anchor>
            </w:drawing>
          </mc:Choice>
          <mc:Fallback>
            <w:pict>
              <v:shape id="_x0000_s1026" o:spid="_x0000_s1026" o:spt="202" type="#_x0000_t202" style="position:absolute;left:0pt;margin-left:-9pt;margin-top:7.25pt;height:64pt;width:72pt;z-index:251682816;mso-width-relative:page;mso-height-relative:page;" filled="f" stroked="f" coordsize="21600,21600" o:gfxdata="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248oa&#10;1gAAAAoBAAAPAAAAAAAAAAEAIAAAACIAAABkcnMvZG93bnJldi54bWxQSwECFAAUAAAACACHTuJA&#10;bRZvkrEBAABdAwAADgAAAAAAAAABACAAAAAlAQAAZHJzL2Uyb0RvYy54bWxQSwUGAAAAAAYABgBZ&#10;AQAASAUAAAAA&#10;">
                <v:fill on="f" focussize="0,0"/>
                <v:stroke on="f"/>
                <v:imagedata o:title=""/>
                <o:lock v:ext="edit" aspectratio="f"/>
                <v:textbox>
                  <w:txbxContent>
                    <w:p w14:paraId="5723A05A">
                      <w:pPr>
                        <w:pStyle w:val="2"/>
                        <w:tabs>
                          <w:tab w:val="left" w:pos="2160"/>
                        </w:tabs>
                        <w:spacing w:before="192" w:beforeLines="80"/>
                        <w:rPr>
                          <w:rFonts w:ascii="楷体_GB2312" w:hAnsi="宋体" w:eastAsia="楷体_GB2312"/>
                          <w:b/>
                          <w:color w:val="000000"/>
                          <w:sz w:val="18"/>
                          <w:szCs w:val="18"/>
                        </w:rPr>
                      </w:pPr>
                      <w:r>
                        <w:rPr>
                          <w:rFonts w:hint="eastAsia" w:ascii="楷体_GB2312" w:hAnsi="宋体" w:eastAsia="楷体_GB2312"/>
                          <w:b/>
                          <w:color w:val="000000"/>
                          <w:sz w:val="18"/>
                          <w:szCs w:val="18"/>
                        </w:rPr>
                        <w:t>投标文件完备性和义务</w:t>
                      </w:r>
                    </w:p>
                  </w:txbxContent>
                </v:textbox>
              </v:shape>
            </w:pict>
          </mc:Fallback>
        </mc:AlternateContent>
      </w:r>
      <w:r>
        <w:rPr>
          <w:rFonts w:hAnsi="宋体"/>
          <w:b/>
          <w:color w:val="auto"/>
          <w:sz w:val="24"/>
          <w:szCs w:val="18"/>
        </w:rPr>
        <w:t xml:space="preserve">10.1                                      </w:t>
      </w:r>
    </w:p>
    <w:p w14:paraId="2AA870DF">
      <w:pPr>
        <w:pStyle w:val="2"/>
        <w:adjustRightInd w:val="0"/>
        <w:snapToGrid w:val="0"/>
        <w:spacing w:line="360" w:lineRule="auto"/>
        <w:ind w:left="1619" w:leftChars="771"/>
        <w:rPr>
          <w:rFonts w:hAnsi="宋体"/>
          <w:color w:val="auto"/>
          <w:sz w:val="24"/>
          <w:szCs w:val="18"/>
        </w:rPr>
      </w:pPr>
      <w:r>
        <w:rPr>
          <w:rFonts w:hint="eastAsia" w:hAnsi="宋体"/>
          <w:color w:val="auto"/>
          <w:sz w:val="24"/>
          <w:szCs w:val="18"/>
        </w:rPr>
        <w:t>承包人投标文件中的工程量清单所填单价和合价，应被认为是正确的和完备的，并已包括了承包人履行本合同的全部义务，包括但不限于以下内容：</w:t>
      </w:r>
    </w:p>
    <w:p w14:paraId="5BAFCAB6">
      <w:pPr>
        <w:pStyle w:val="2"/>
        <w:numPr>
          <w:ilvl w:val="0"/>
          <w:numId w:val="8"/>
        </w:numPr>
        <w:adjustRightInd w:val="0"/>
        <w:snapToGrid w:val="0"/>
        <w:spacing w:line="360" w:lineRule="auto"/>
        <w:ind w:left="1620" w:right="-240" w:firstLine="0"/>
        <w:rPr>
          <w:rFonts w:hAnsi="宋体"/>
          <w:color w:val="auto"/>
          <w:sz w:val="24"/>
          <w:szCs w:val="18"/>
        </w:rPr>
      </w:pPr>
      <w:r>
        <w:rPr>
          <w:rFonts w:hint="eastAsia" w:hAnsi="宋体"/>
          <w:color w:val="auto"/>
          <w:sz w:val="24"/>
          <w:szCs w:val="18"/>
        </w:rPr>
        <w:t>提供材料和工程设备、服务的义务及处理意外事件的义务；</w:t>
      </w:r>
    </w:p>
    <w:p w14:paraId="3E78D07B">
      <w:pPr>
        <w:pStyle w:val="2"/>
        <w:numPr>
          <w:ilvl w:val="0"/>
          <w:numId w:val="8"/>
        </w:numPr>
        <w:adjustRightInd w:val="0"/>
        <w:snapToGrid w:val="0"/>
        <w:spacing w:line="360" w:lineRule="auto"/>
        <w:ind w:left="1620" w:right="-240" w:firstLine="0"/>
        <w:rPr>
          <w:rFonts w:hAnsi="宋体"/>
          <w:color w:val="auto"/>
          <w:sz w:val="24"/>
          <w:szCs w:val="18"/>
        </w:rPr>
      </w:pPr>
      <w:r>
        <w:rPr>
          <w:rFonts w:hint="eastAsia" w:hAnsi="宋体"/>
          <w:color w:val="auto"/>
          <w:sz w:val="24"/>
          <w:szCs w:val="18"/>
        </w:rPr>
        <w:t>实施和完成合同工程的义务；</w:t>
      </w:r>
    </w:p>
    <w:p w14:paraId="75628445">
      <w:pPr>
        <w:pStyle w:val="2"/>
        <w:numPr>
          <w:ilvl w:val="0"/>
          <w:numId w:val="8"/>
        </w:numPr>
        <w:adjustRightInd w:val="0"/>
        <w:snapToGrid w:val="0"/>
        <w:spacing w:line="360" w:lineRule="auto"/>
        <w:ind w:left="1620" w:right="-240" w:firstLine="0"/>
        <w:rPr>
          <w:rFonts w:hAnsi="宋体"/>
          <w:color w:val="auto"/>
          <w:sz w:val="24"/>
          <w:szCs w:val="18"/>
        </w:rPr>
      </w:pPr>
      <w:r>
        <w:rPr>
          <w:rFonts w:hint="eastAsia" w:hAnsi="宋体"/>
          <w:color w:val="auto"/>
          <w:sz w:val="24"/>
          <w:szCs w:val="18"/>
        </w:rPr>
        <w:t>工程质量保修的一切义务。</w:t>
      </w:r>
    </w:p>
    <w:p w14:paraId="6B2BBF4B">
      <w:pPr>
        <w:pStyle w:val="2"/>
        <w:adjustRightInd w:val="0"/>
        <w:snapToGrid w:val="0"/>
        <w:spacing w:line="360" w:lineRule="auto"/>
        <w:rPr>
          <w:rFonts w:hAnsi="宋体"/>
          <w:b/>
          <w:color w:val="auto"/>
          <w:sz w:val="24"/>
          <w:szCs w:val="18"/>
        </w:rPr>
      </w:pPr>
      <w:r>
        <w:rPr>
          <w:rFonts w:hAnsi="宋体"/>
          <w:b/>
          <w:color w:val="auto"/>
          <w:sz w:val="24"/>
          <w:szCs w:val="18"/>
        </w:rPr>
        <w:t xml:space="preserve">10.2  </w:t>
      </w:r>
    </w:p>
    <w:p w14:paraId="705C6F22">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1683840" behindDoc="0" locked="0" layoutInCell="1" allowOverlap="1">
                <wp:simplePos x="0" y="0"/>
                <wp:positionH relativeFrom="column">
                  <wp:posOffset>-114300</wp:posOffset>
                </wp:positionH>
                <wp:positionV relativeFrom="paragraph">
                  <wp:posOffset>8255</wp:posOffset>
                </wp:positionV>
                <wp:extent cx="914400" cy="455295"/>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914400" cy="455295"/>
                        </a:xfrm>
                        <a:prstGeom prst="rect">
                          <a:avLst/>
                        </a:prstGeom>
                        <a:noFill/>
                        <a:ln>
                          <a:noFill/>
                        </a:ln>
                        <a:effectLst/>
                      </wps:spPr>
                      <wps:txbx>
                        <w:txbxContent>
                          <w:p w14:paraId="1E9B10CD">
                            <w:pPr>
                              <w:rPr>
                                <w:rFonts w:ascii="楷体_GB2312" w:hAnsi="宋体" w:eastAsia="楷体_GB2312"/>
                                <w:sz w:val="18"/>
                                <w:szCs w:val="18"/>
                              </w:rPr>
                            </w:pPr>
                            <w:r>
                              <w:rPr>
                                <w:rFonts w:hint="eastAsia" w:ascii="楷体_GB2312" w:hAnsi="宋体" w:eastAsia="楷体_GB2312"/>
                                <w:b/>
                                <w:color w:val="000000"/>
                                <w:sz w:val="18"/>
                                <w:szCs w:val="18"/>
                              </w:rPr>
                              <w:t>承包人报价的限制</w:t>
                            </w:r>
                          </w:p>
                        </w:txbxContent>
                      </wps:txbx>
                      <wps:bodyPr upright="1"/>
                    </wps:wsp>
                  </a:graphicData>
                </a:graphic>
              </wp:anchor>
            </w:drawing>
          </mc:Choice>
          <mc:Fallback>
            <w:pict>
              <v:shape id="_x0000_s1026" o:spid="_x0000_s1026" o:spt="202" type="#_x0000_t202" style="position:absolute;left:0pt;margin-left:-9pt;margin-top:0.65pt;height:35.85pt;width:72pt;z-index:251683840;mso-width-relative:page;mso-height-relative:page;" filled="f" stroked="f" coordsize="21600,21600" o:gfxdata="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Dv4xD&#10;1QAAAAgBAAAPAAAAAAAAAAEAIAAAACIAAABkcnMvZG93bnJldi54bWxQSwECFAAUAAAACACHTuJA&#10;+T2rpbIBAABdAwAADgAAAAAAAAABACAAAAAkAQAAZHJzL2Uyb0RvYy54bWxQSwUGAAAAAAYABgBZ&#10;AQAASAUAAAAA&#10;">
                <v:fill on="f" focussize="0,0"/>
                <v:stroke on="f"/>
                <v:imagedata o:title=""/>
                <o:lock v:ext="edit" aspectratio="f"/>
                <v:textbox>
                  <w:txbxContent>
                    <w:p w14:paraId="1E9B10CD">
                      <w:pPr>
                        <w:rPr>
                          <w:rFonts w:ascii="楷体_GB2312" w:hAnsi="宋体" w:eastAsia="楷体_GB2312"/>
                          <w:sz w:val="18"/>
                          <w:szCs w:val="18"/>
                        </w:rPr>
                      </w:pPr>
                      <w:r>
                        <w:rPr>
                          <w:rFonts w:hint="eastAsia" w:ascii="楷体_GB2312" w:hAnsi="宋体" w:eastAsia="楷体_GB2312"/>
                          <w:b/>
                          <w:color w:val="000000"/>
                          <w:sz w:val="18"/>
                          <w:szCs w:val="18"/>
                        </w:rPr>
                        <w:t>承包人报价的限制</w:t>
                      </w:r>
                    </w:p>
                  </w:txbxContent>
                </v:textbox>
              </v:shape>
            </w:pict>
          </mc:Fallback>
        </mc:AlternateContent>
      </w:r>
      <w:r>
        <w:rPr>
          <w:rFonts w:hint="eastAsia" w:hAnsi="宋体"/>
          <w:color w:val="auto"/>
          <w:sz w:val="24"/>
          <w:szCs w:val="18"/>
        </w:rPr>
        <w:t>承包人投标文件中的工程量清单中没有填入单价或合价的清单项目，应认为该项目价款已包含在工程量清单的其他项目的单价或合价中，发包人将不另行支付。</w:t>
      </w:r>
    </w:p>
    <w:p w14:paraId="40E7453A">
      <w:pPr>
        <w:pStyle w:val="2"/>
        <w:adjustRightInd w:val="0"/>
        <w:snapToGrid w:val="0"/>
        <w:spacing w:line="360" w:lineRule="auto"/>
        <w:rPr>
          <w:rFonts w:hAnsi="宋体"/>
          <w:b/>
          <w:color w:val="auto"/>
          <w:sz w:val="24"/>
          <w:szCs w:val="18"/>
        </w:rPr>
      </w:pPr>
      <w:r>
        <w:rPr>
          <w:rFonts w:hAnsi="宋体"/>
          <w:b/>
          <w:color w:val="auto"/>
          <w:sz w:val="24"/>
          <w:szCs w:val="18"/>
        </w:rPr>
        <w:t xml:space="preserve">10.3  </w:t>
      </w:r>
    </w:p>
    <w:p w14:paraId="3DFAE4C8">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1684864" behindDoc="0" locked="0" layoutInCell="1" allowOverlap="1">
                <wp:simplePos x="0" y="0"/>
                <wp:positionH relativeFrom="column">
                  <wp:posOffset>-114300</wp:posOffset>
                </wp:positionH>
                <wp:positionV relativeFrom="paragraph">
                  <wp:posOffset>8255</wp:posOffset>
                </wp:positionV>
                <wp:extent cx="914400" cy="455295"/>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914400" cy="455295"/>
                        </a:xfrm>
                        <a:prstGeom prst="rect">
                          <a:avLst/>
                        </a:prstGeom>
                        <a:noFill/>
                        <a:ln>
                          <a:noFill/>
                        </a:ln>
                        <a:effectLst/>
                      </wps:spPr>
                      <wps:txbx>
                        <w:txbxContent>
                          <w:p w14:paraId="61437D57">
                            <w:pPr>
                              <w:rPr>
                                <w:rFonts w:ascii="楷体_GB2312" w:hAnsi="宋体" w:eastAsia="楷体_GB2312"/>
                                <w:b/>
                                <w:color w:val="000000"/>
                                <w:sz w:val="18"/>
                                <w:szCs w:val="18"/>
                              </w:rPr>
                            </w:pPr>
                            <w:r>
                              <w:rPr>
                                <w:rFonts w:hint="eastAsia" w:ascii="楷体_GB2312" w:hAnsi="宋体" w:eastAsia="楷体_GB2312"/>
                                <w:b/>
                                <w:color w:val="000000"/>
                                <w:sz w:val="18"/>
                                <w:szCs w:val="18"/>
                              </w:rPr>
                              <w:t>算术性错误的调整</w:t>
                            </w:r>
                          </w:p>
                        </w:txbxContent>
                      </wps:txbx>
                      <wps:bodyPr upright="1"/>
                    </wps:wsp>
                  </a:graphicData>
                </a:graphic>
              </wp:anchor>
            </w:drawing>
          </mc:Choice>
          <mc:Fallback>
            <w:pict>
              <v:shape id="_x0000_s1026" o:spid="_x0000_s1026" o:spt="202" type="#_x0000_t202" style="position:absolute;left:0pt;margin-left:-9pt;margin-top:0.65pt;height:35.85pt;width:72pt;z-index:251684864;mso-width-relative:page;mso-height-relative:page;" filled="f" stroked="f" coordsize="21600,21600" o:gfxdata="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Dv4xD&#10;1QAAAAgBAAAPAAAAAAAAAAEAIAAAACIAAABkcnMvZG93bnJldi54bWxQSwECFAAUAAAACACHTuJA&#10;SElwb7IBAABdAwAADgAAAAAAAAABACAAAAAkAQAAZHJzL2Uyb0RvYy54bWxQSwUGAAAAAAYABgBZ&#10;AQAASAUAAAAA&#10;">
                <v:fill on="f" focussize="0,0"/>
                <v:stroke on="f"/>
                <v:imagedata o:title=""/>
                <o:lock v:ext="edit" aspectratio="f"/>
                <v:textbox>
                  <w:txbxContent>
                    <w:p w14:paraId="61437D57">
                      <w:pPr>
                        <w:rPr>
                          <w:rFonts w:ascii="楷体_GB2312" w:hAnsi="宋体" w:eastAsia="楷体_GB2312"/>
                          <w:b/>
                          <w:color w:val="000000"/>
                          <w:sz w:val="18"/>
                          <w:szCs w:val="18"/>
                        </w:rPr>
                      </w:pPr>
                      <w:r>
                        <w:rPr>
                          <w:rFonts w:hint="eastAsia" w:ascii="楷体_GB2312" w:hAnsi="宋体" w:eastAsia="楷体_GB2312"/>
                          <w:b/>
                          <w:color w:val="000000"/>
                          <w:sz w:val="18"/>
                          <w:szCs w:val="18"/>
                        </w:rPr>
                        <w:t>算术性错误的调整</w:t>
                      </w:r>
                    </w:p>
                  </w:txbxContent>
                </v:textbox>
              </v:shape>
            </w:pict>
          </mc:Fallback>
        </mc:AlternateContent>
      </w:r>
      <w:r>
        <w:rPr>
          <w:rFonts w:hint="eastAsia" w:hAnsi="宋体"/>
          <w:color w:val="auto"/>
          <w:sz w:val="24"/>
          <w:szCs w:val="18"/>
        </w:rPr>
        <w:t>承包人投标文件中出现算术性错误，导致其实际总造价与报价总金额不一致时，合同双方当事人可按照国家、省有关规定予以修正，并相应调整合同价款。</w:t>
      </w:r>
    </w:p>
    <w:p w14:paraId="0F2F583E">
      <w:pPr>
        <w:pStyle w:val="2"/>
        <w:adjustRightInd w:val="0"/>
        <w:snapToGrid w:val="0"/>
        <w:spacing w:line="360" w:lineRule="auto"/>
        <w:ind w:left="2032" w:leftChars="1" w:hanging="2030" w:hangingChars="674"/>
        <w:rPr>
          <w:rFonts w:hAnsi="宋体"/>
          <w:b/>
          <w:color w:val="auto"/>
          <w:sz w:val="30"/>
          <w:szCs w:val="24"/>
        </w:rPr>
      </w:pPr>
    </w:p>
    <w:p w14:paraId="6295DB15">
      <w:pPr>
        <w:pStyle w:val="2"/>
        <w:adjustRightInd w:val="0"/>
        <w:snapToGrid w:val="0"/>
        <w:spacing w:before="240" w:beforeLines="100" w:line="360" w:lineRule="auto"/>
        <w:ind w:right="-238"/>
        <w:rPr>
          <w:rFonts w:hAnsi="宋体"/>
          <w:b/>
          <w:color w:val="auto"/>
          <w:sz w:val="30"/>
          <w:szCs w:val="24"/>
        </w:rPr>
      </w:pPr>
      <w:r>
        <w:rPr>
          <w:rFonts w:hAnsi="宋体"/>
          <w:b/>
          <w:color w:val="auto"/>
          <w:sz w:val="30"/>
          <w:szCs w:val="24"/>
        </w:rPr>
        <w:t xml:space="preserve">11  </w:t>
      </w:r>
      <w:r>
        <w:rPr>
          <w:rFonts w:hint="eastAsia" w:hAnsi="宋体"/>
          <w:b/>
          <w:color w:val="auto"/>
          <w:sz w:val="30"/>
          <w:szCs w:val="24"/>
        </w:rPr>
        <w:t>文物和地下障碍物</w:t>
      </w:r>
    </w:p>
    <w:p w14:paraId="33291CB1">
      <w:pPr>
        <w:pStyle w:val="2"/>
        <w:adjustRightInd w:val="0"/>
        <w:snapToGrid w:val="0"/>
        <w:spacing w:line="360" w:lineRule="auto"/>
        <w:rPr>
          <w:rFonts w:hAnsi="宋体"/>
          <w:color w:val="auto"/>
          <w:sz w:val="24"/>
          <w:szCs w:val="18"/>
        </w:rPr>
      </w:pPr>
      <w:r>
        <w:rPr>
          <w:rFonts w:hAnsi="宋体"/>
          <w:b/>
          <w:color w:val="auto"/>
          <w:sz w:val="24"/>
          <w:szCs w:val="18"/>
        </w:rPr>
        <w:t xml:space="preserve">11.1  </w:t>
      </w:r>
    </w:p>
    <w:p w14:paraId="7CB7B09E">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1685888" behindDoc="0" locked="0" layoutInCell="1" allowOverlap="1">
                <wp:simplePos x="0" y="0"/>
                <wp:positionH relativeFrom="column">
                  <wp:posOffset>-114300</wp:posOffset>
                </wp:positionH>
                <wp:positionV relativeFrom="paragraph">
                  <wp:posOffset>-7620</wp:posOffset>
                </wp:positionV>
                <wp:extent cx="914400" cy="4953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a:effectLst/>
                      </wps:spPr>
                      <wps:txbx>
                        <w:txbxContent>
                          <w:p w14:paraId="51E3A9CF">
                            <w:pPr>
                              <w:rPr>
                                <w:rFonts w:ascii="楷体_GB2312" w:hAnsi="宋体" w:eastAsia="楷体_GB2312"/>
                                <w:sz w:val="18"/>
                                <w:szCs w:val="18"/>
                              </w:rPr>
                            </w:pPr>
                            <w:r>
                              <w:rPr>
                                <w:rFonts w:hint="eastAsia" w:ascii="楷体_GB2312" w:hAnsi="宋体" w:eastAsia="楷体_GB2312"/>
                                <w:b/>
                                <w:color w:val="000000"/>
                                <w:sz w:val="18"/>
                                <w:szCs w:val="18"/>
                              </w:rPr>
                              <w:t>文物化石等物品保护</w:t>
                            </w:r>
                          </w:p>
                        </w:txbxContent>
                      </wps:txbx>
                      <wps:bodyPr upright="1"/>
                    </wps:wsp>
                  </a:graphicData>
                </a:graphic>
              </wp:anchor>
            </w:drawing>
          </mc:Choice>
          <mc:Fallback>
            <w:pict>
              <v:shape id="_x0000_s1026" o:spid="_x0000_s1026" o:spt="202" type="#_x0000_t202" style="position:absolute;left:0pt;margin-left:-9pt;margin-top:-0.6pt;height:39pt;width:72pt;z-index:251685888;mso-width-relative:page;mso-height-relative:page;" filled="f" stroked="f" coordsize="21600,21600" o:gfxdata="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Y2Hu&#10;ttYAAAAJAQAADwAAAAAAAAABACAAAAAiAAAAZHJzL2Rvd25yZXYueG1sUEsBAhQAFAAAAAgAh07i&#10;QCI35FKyAQAAXQMAAA4AAAAAAAAAAQAgAAAAJQEAAGRycy9lMm9Eb2MueG1sUEsFBgAAAAAGAAYA&#10;WQEAAEkFAAAAAA==&#10;">
                <v:fill on="f" focussize="0,0"/>
                <v:stroke on="f"/>
                <v:imagedata o:title=""/>
                <o:lock v:ext="edit" aspectratio="f"/>
                <v:textbox>
                  <w:txbxContent>
                    <w:p w14:paraId="51E3A9CF">
                      <w:pPr>
                        <w:rPr>
                          <w:rFonts w:ascii="楷体_GB2312" w:hAnsi="宋体" w:eastAsia="楷体_GB2312"/>
                          <w:sz w:val="18"/>
                          <w:szCs w:val="18"/>
                        </w:rPr>
                      </w:pPr>
                      <w:r>
                        <w:rPr>
                          <w:rFonts w:hint="eastAsia" w:ascii="楷体_GB2312" w:hAnsi="宋体" w:eastAsia="楷体_GB2312"/>
                          <w:b/>
                          <w:color w:val="000000"/>
                          <w:sz w:val="18"/>
                          <w:szCs w:val="18"/>
                        </w:rPr>
                        <w:t>文物化石等物品保护</w:t>
                      </w:r>
                    </w:p>
                  </w:txbxContent>
                </v:textbox>
              </v:shape>
            </w:pict>
          </mc:Fallback>
        </mc:AlternateContent>
      </w:r>
      <w:r>
        <w:rPr>
          <w:rFonts w:hint="eastAsia" w:hAnsi="宋体"/>
          <w:color w:val="auto"/>
          <w:sz w:val="24"/>
          <w:szCs w:val="18"/>
        </w:rPr>
        <w:t>在施工现场发现的古墓、古建筑遗址等文物、古迹以及其他具有考古、地质研究等价值的遗迹、化石、钱币或物品，属于国家所有。一旦发现上述文物，承包人应立即保护好现场，防止任何人员移动或损坏上述文物，并于</w:t>
      </w:r>
      <w:r>
        <w:rPr>
          <w:rFonts w:hAnsi="宋体"/>
          <w:color w:val="auto"/>
          <w:sz w:val="24"/>
          <w:szCs w:val="18"/>
        </w:rPr>
        <w:t>4</w:t>
      </w:r>
      <w:r>
        <w:rPr>
          <w:rFonts w:hint="eastAsia" w:hAnsi="宋体"/>
          <w:color w:val="auto"/>
          <w:sz w:val="24"/>
          <w:szCs w:val="18"/>
        </w:rPr>
        <w:t>小时内以书面形式通知监理工程师和发包人。监理工程师应在收到通知后立即指令承包人继续保护好现场，并在收到通知后</w:t>
      </w:r>
      <w:r>
        <w:rPr>
          <w:rFonts w:hAnsi="宋体"/>
          <w:color w:val="auto"/>
          <w:sz w:val="24"/>
          <w:szCs w:val="18"/>
        </w:rPr>
        <w:t>24</w:t>
      </w:r>
      <w:r>
        <w:rPr>
          <w:rFonts w:hint="eastAsia" w:hAnsi="宋体"/>
          <w:color w:val="auto"/>
          <w:sz w:val="24"/>
          <w:szCs w:val="18"/>
        </w:rPr>
        <w:t>小时内报告当地文物管理部门，合同双方当事人应按照文物管理部门的要求采取妥善保护措施。发包人承担由此增加的费用和（或）工期延误，并向承包人支付合理利润。</w:t>
      </w:r>
    </w:p>
    <w:p w14:paraId="0ABE57C2">
      <w:pPr>
        <w:pStyle w:val="2"/>
        <w:adjustRightInd w:val="0"/>
        <w:snapToGrid w:val="0"/>
        <w:spacing w:line="360" w:lineRule="auto"/>
        <w:ind w:left="1619" w:leftChars="771"/>
        <w:rPr>
          <w:rFonts w:hAnsi="宋体"/>
          <w:b/>
          <w:color w:val="auto"/>
          <w:sz w:val="24"/>
          <w:szCs w:val="18"/>
        </w:rPr>
      </w:pPr>
      <w:r>
        <w:rPr>
          <w:rFonts w:hint="eastAsia" w:hAnsi="宋体"/>
          <w:color w:val="auto"/>
          <w:sz w:val="24"/>
          <w:szCs w:val="18"/>
        </w:rPr>
        <w:t>如发现文物后隐瞒不报或报告不及时，导致上述文物丢失或遭受破坏的，由责任方赔偿损失，并承担相应的法律责任。</w:t>
      </w:r>
    </w:p>
    <w:p w14:paraId="5E927D52">
      <w:pPr>
        <w:pStyle w:val="2"/>
        <w:adjustRightInd w:val="0"/>
        <w:snapToGrid w:val="0"/>
        <w:spacing w:line="360" w:lineRule="auto"/>
        <w:rPr>
          <w:rFonts w:hAnsi="宋体"/>
          <w:b/>
          <w:color w:val="auto"/>
          <w:sz w:val="24"/>
          <w:szCs w:val="18"/>
        </w:rPr>
      </w:pPr>
      <w:r>
        <w:rPr>
          <w:color w:val="auto"/>
        </w:rPr>
        <mc:AlternateContent>
          <mc:Choice Requires="wps">
            <w:drawing>
              <wp:anchor distT="0" distB="0" distL="114300" distR="114300" simplePos="0" relativeHeight="251686912" behindDoc="0" locked="0" layoutInCell="1" allowOverlap="1">
                <wp:simplePos x="0" y="0"/>
                <wp:positionH relativeFrom="column">
                  <wp:posOffset>-114300</wp:posOffset>
                </wp:positionH>
                <wp:positionV relativeFrom="paragraph">
                  <wp:posOffset>233045</wp:posOffset>
                </wp:positionV>
                <wp:extent cx="914400" cy="4953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a:effectLst/>
                      </wps:spPr>
                      <wps:txbx>
                        <w:txbxContent>
                          <w:p w14:paraId="745B0B47">
                            <w:pPr>
                              <w:rPr>
                                <w:rFonts w:ascii="楷体_GB2312" w:hAnsi="宋体" w:eastAsia="楷体_GB2312"/>
                                <w:sz w:val="18"/>
                                <w:szCs w:val="18"/>
                              </w:rPr>
                            </w:pPr>
                            <w:r>
                              <w:rPr>
                                <w:rFonts w:hint="eastAsia" w:ascii="楷体_GB2312" w:hAnsi="宋体" w:eastAsia="楷体_GB2312"/>
                                <w:b/>
                                <w:color w:val="000000"/>
                                <w:sz w:val="18"/>
                                <w:szCs w:val="18"/>
                              </w:rPr>
                              <w:t>地下障碍物处置</w:t>
                            </w:r>
                          </w:p>
                        </w:txbxContent>
                      </wps:txbx>
                      <wps:bodyPr upright="1"/>
                    </wps:wsp>
                  </a:graphicData>
                </a:graphic>
              </wp:anchor>
            </w:drawing>
          </mc:Choice>
          <mc:Fallback>
            <w:pict>
              <v:shape id="_x0000_s1026" o:spid="_x0000_s1026" o:spt="202" type="#_x0000_t202" style="position:absolute;left:0pt;margin-left:-9pt;margin-top:18.35pt;height:39pt;width:72pt;z-index:251686912;mso-width-relative:page;mso-height-relative:page;" filled="f" stroked="f" coordsize="21600,21600" o:gfxdata="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f&#10;PZ3g2AAAAAoBAAAPAAAAAAAAAAEAIAAAACIAAABkcnMvZG93bnJldi54bWxQSwECFAAUAAAACACH&#10;TuJAkmut77IBAABdAwAADgAAAAAAAAABACAAAAAnAQAAZHJzL2Uyb0RvYy54bWxQSwUGAAAAAAYA&#10;BgBZAQAASwUAAAAA&#10;">
                <v:fill on="f" focussize="0,0"/>
                <v:stroke on="f"/>
                <v:imagedata o:title=""/>
                <o:lock v:ext="edit" aspectratio="f"/>
                <v:textbox>
                  <w:txbxContent>
                    <w:p w14:paraId="745B0B47">
                      <w:pPr>
                        <w:rPr>
                          <w:rFonts w:ascii="楷体_GB2312" w:hAnsi="宋体" w:eastAsia="楷体_GB2312"/>
                          <w:sz w:val="18"/>
                          <w:szCs w:val="18"/>
                        </w:rPr>
                      </w:pPr>
                      <w:r>
                        <w:rPr>
                          <w:rFonts w:hint="eastAsia" w:ascii="楷体_GB2312" w:hAnsi="宋体" w:eastAsia="楷体_GB2312"/>
                          <w:b/>
                          <w:color w:val="000000"/>
                          <w:sz w:val="18"/>
                          <w:szCs w:val="18"/>
                        </w:rPr>
                        <w:t>地下障碍物处置</w:t>
                      </w:r>
                    </w:p>
                  </w:txbxContent>
                </v:textbox>
              </v:shape>
            </w:pict>
          </mc:Fallback>
        </mc:AlternateContent>
      </w:r>
      <w:r>
        <w:rPr>
          <w:rFonts w:hAnsi="宋体"/>
          <w:b/>
          <w:color w:val="auto"/>
          <w:sz w:val="24"/>
          <w:szCs w:val="18"/>
        </w:rPr>
        <w:t>11.2</w:t>
      </w:r>
    </w:p>
    <w:p w14:paraId="160C8F18">
      <w:pPr>
        <w:pStyle w:val="2"/>
        <w:adjustRightInd w:val="0"/>
        <w:snapToGrid w:val="0"/>
        <w:spacing w:line="360" w:lineRule="auto"/>
        <w:ind w:left="1619" w:leftChars="771"/>
        <w:rPr>
          <w:rFonts w:hAnsi="宋体"/>
          <w:color w:val="auto"/>
          <w:sz w:val="24"/>
          <w:szCs w:val="18"/>
        </w:rPr>
      </w:pPr>
      <w:r>
        <w:rPr>
          <w:rFonts w:hint="eastAsia" w:hAnsi="宋体"/>
          <w:color w:val="auto"/>
          <w:sz w:val="24"/>
          <w:szCs w:val="18"/>
        </w:rPr>
        <w:t>本合同已明确指出的地下障碍物，应视为承包人在投标报价时已预见其对施工的影响，并已在合同价款中考虑。</w:t>
      </w:r>
    </w:p>
    <w:p w14:paraId="093B8651">
      <w:pPr>
        <w:pStyle w:val="2"/>
        <w:adjustRightInd w:val="0"/>
        <w:snapToGrid w:val="0"/>
        <w:spacing w:line="360" w:lineRule="auto"/>
        <w:ind w:left="1619" w:leftChars="771"/>
        <w:rPr>
          <w:rFonts w:hAnsi="宋体"/>
          <w:color w:val="auto"/>
          <w:sz w:val="24"/>
          <w:szCs w:val="18"/>
        </w:rPr>
      </w:pPr>
      <w:r>
        <w:rPr>
          <w:rFonts w:hint="eastAsia" w:hAnsi="宋体"/>
          <w:color w:val="auto"/>
          <w:sz w:val="24"/>
          <w:szCs w:val="18"/>
        </w:rPr>
        <w:t>本合同未有明确指出的地下障碍物，在施工过程遇到时，承包人应于</w:t>
      </w:r>
      <w:r>
        <w:rPr>
          <w:rFonts w:hAnsi="宋体"/>
          <w:color w:val="auto"/>
          <w:sz w:val="24"/>
          <w:szCs w:val="18"/>
        </w:rPr>
        <w:t>8</w:t>
      </w:r>
      <w:r>
        <w:rPr>
          <w:rFonts w:hint="eastAsia" w:hAnsi="宋体"/>
          <w:color w:val="auto"/>
          <w:sz w:val="24"/>
          <w:szCs w:val="18"/>
        </w:rPr>
        <w:t>小时内以书面形式通知监理工程师和发包人，并提出处置方案。监理工程师在收到处置方案后</w:t>
      </w:r>
      <w:r>
        <w:rPr>
          <w:rFonts w:hAnsi="宋体"/>
          <w:color w:val="auto"/>
          <w:sz w:val="24"/>
          <w:szCs w:val="18"/>
        </w:rPr>
        <w:t>24</w:t>
      </w:r>
      <w:r>
        <w:rPr>
          <w:rFonts w:hint="eastAsia" w:hAnsi="宋体"/>
          <w:color w:val="auto"/>
          <w:sz w:val="24"/>
          <w:szCs w:val="18"/>
        </w:rPr>
        <w:t>小时内予以确认或提出修正方案，并发出施工指令。承包人应按照监理工程师指令进行施工。发包人应承担由此增加的费用和（或）延误的工期，并向承包人支付合理利润。</w:t>
      </w:r>
    </w:p>
    <w:p w14:paraId="4072110E">
      <w:pPr>
        <w:pStyle w:val="2"/>
        <w:adjustRightInd w:val="0"/>
        <w:snapToGrid w:val="0"/>
        <w:spacing w:line="360" w:lineRule="auto"/>
        <w:ind w:right="-238"/>
        <w:rPr>
          <w:rFonts w:hAnsi="宋体"/>
          <w:b/>
          <w:color w:val="auto"/>
          <w:sz w:val="24"/>
          <w:szCs w:val="18"/>
        </w:rPr>
      </w:pPr>
    </w:p>
    <w:p w14:paraId="0123C4EB">
      <w:pPr>
        <w:pStyle w:val="2"/>
        <w:tabs>
          <w:tab w:val="left" w:pos="1620"/>
        </w:tabs>
        <w:adjustRightInd w:val="0"/>
        <w:snapToGrid w:val="0"/>
        <w:spacing w:before="240" w:beforeLines="100" w:line="360" w:lineRule="auto"/>
        <w:ind w:right="-238"/>
        <w:rPr>
          <w:rFonts w:hAnsi="宋体"/>
          <w:b/>
          <w:color w:val="auto"/>
          <w:sz w:val="30"/>
          <w:szCs w:val="24"/>
        </w:rPr>
      </w:pPr>
      <w:r>
        <w:rPr>
          <w:rFonts w:hAnsi="宋体"/>
          <w:b/>
          <w:color w:val="auto"/>
          <w:sz w:val="30"/>
          <w:szCs w:val="24"/>
        </w:rPr>
        <w:t xml:space="preserve">12  </w:t>
      </w:r>
      <w:r>
        <w:rPr>
          <w:rFonts w:hint="eastAsia" w:hAnsi="宋体"/>
          <w:b/>
          <w:color w:val="auto"/>
          <w:sz w:val="30"/>
          <w:szCs w:val="24"/>
        </w:rPr>
        <w:t>事故处理</w:t>
      </w:r>
    </w:p>
    <w:p w14:paraId="279BA8A7">
      <w:pPr>
        <w:pStyle w:val="2"/>
        <w:adjustRightInd w:val="0"/>
        <w:snapToGrid w:val="0"/>
        <w:spacing w:line="360" w:lineRule="auto"/>
        <w:rPr>
          <w:rFonts w:hAnsi="宋体"/>
          <w:b/>
          <w:color w:val="auto"/>
          <w:sz w:val="24"/>
          <w:szCs w:val="18"/>
        </w:rPr>
      </w:pPr>
      <w:r>
        <w:rPr>
          <w:color w:val="auto"/>
        </w:rPr>
        <mc:AlternateContent>
          <mc:Choice Requires="wps">
            <w:drawing>
              <wp:anchor distT="0" distB="0" distL="114300" distR="114300" simplePos="0" relativeHeight="251687936" behindDoc="0" locked="0" layoutInCell="1" allowOverlap="1">
                <wp:simplePos x="0" y="0"/>
                <wp:positionH relativeFrom="column">
                  <wp:posOffset>-114300</wp:posOffset>
                </wp:positionH>
                <wp:positionV relativeFrom="paragraph">
                  <wp:posOffset>229235</wp:posOffset>
                </wp:positionV>
                <wp:extent cx="1028700" cy="523875"/>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028700" cy="523875"/>
                        </a:xfrm>
                        <a:prstGeom prst="rect">
                          <a:avLst/>
                        </a:prstGeom>
                        <a:noFill/>
                        <a:ln>
                          <a:noFill/>
                        </a:ln>
                        <a:effectLst/>
                      </wps:spPr>
                      <wps:txbx>
                        <w:txbxContent>
                          <w:p w14:paraId="35BAE61C">
                            <w:pPr>
                              <w:rPr>
                                <w:rFonts w:ascii="楷体_GB2312" w:hAnsi="宋体" w:eastAsia="楷体_GB2312"/>
                                <w:b/>
                                <w:color w:val="000000"/>
                                <w:sz w:val="18"/>
                                <w:szCs w:val="18"/>
                              </w:rPr>
                            </w:pPr>
                            <w:r>
                              <w:rPr>
                                <w:rFonts w:hint="eastAsia" w:ascii="楷体_GB2312" w:hAnsi="宋体" w:eastAsia="楷体_GB2312"/>
                                <w:b/>
                                <w:color w:val="000000"/>
                                <w:sz w:val="18"/>
                                <w:szCs w:val="18"/>
                              </w:rPr>
                              <w:t>发生事故的通</w:t>
                            </w:r>
                          </w:p>
                          <w:p w14:paraId="56ABDD48">
                            <w:pPr>
                              <w:rPr>
                                <w:rFonts w:ascii="楷体_GB2312" w:hAnsi="宋体" w:eastAsia="楷体_GB2312"/>
                                <w:b/>
                                <w:color w:val="000000"/>
                                <w:sz w:val="18"/>
                                <w:szCs w:val="18"/>
                              </w:rPr>
                            </w:pPr>
                            <w:r>
                              <w:rPr>
                                <w:rFonts w:hint="eastAsia" w:ascii="楷体_GB2312" w:hAnsi="宋体" w:eastAsia="楷体_GB2312"/>
                                <w:b/>
                                <w:color w:val="000000"/>
                                <w:sz w:val="18"/>
                                <w:szCs w:val="18"/>
                              </w:rPr>
                              <w:t>知</w:t>
                            </w:r>
                          </w:p>
                          <w:p w14:paraId="2E71C43F">
                            <w:pPr>
                              <w:rPr>
                                <w:color w:val="000000"/>
                                <w:sz w:val="18"/>
                                <w:szCs w:val="18"/>
                              </w:rPr>
                            </w:pPr>
                          </w:p>
                        </w:txbxContent>
                      </wps:txbx>
                      <wps:bodyPr upright="1"/>
                    </wps:wsp>
                  </a:graphicData>
                </a:graphic>
              </wp:anchor>
            </w:drawing>
          </mc:Choice>
          <mc:Fallback>
            <w:pict>
              <v:shape id="_x0000_s1026" o:spid="_x0000_s1026" o:spt="202" type="#_x0000_t202" style="position:absolute;left:0pt;margin-left:-9pt;margin-top:18.05pt;height:41.25pt;width:81pt;z-index:251687936;mso-width-relative:page;mso-height-relative:page;" filled="f" stroked="f" coordsize="21600,21600" o:gfxdata="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UBsYf&#10;1gAAAAoBAAAPAAAAAAAAAAEAIAAAACIAAABkcnMvZG93bnJldi54bWxQSwECFAAUAAAACACHTuJA&#10;Ic2F1rEBAABeAwAADgAAAAAAAAABACAAAAAlAQAAZHJzL2Uyb0RvYy54bWxQSwUGAAAAAAYABgBZ&#10;AQAASAUAAAAA&#10;">
                <v:fill on="f" focussize="0,0"/>
                <v:stroke on="f"/>
                <v:imagedata o:title=""/>
                <o:lock v:ext="edit" aspectratio="f"/>
                <v:textbox>
                  <w:txbxContent>
                    <w:p w14:paraId="35BAE61C">
                      <w:pPr>
                        <w:rPr>
                          <w:rFonts w:ascii="楷体_GB2312" w:hAnsi="宋体" w:eastAsia="楷体_GB2312"/>
                          <w:b/>
                          <w:color w:val="000000"/>
                          <w:sz w:val="18"/>
                          <w:szCs w:val="18"/>
                        </w:rPr>
                      </w:pPr>
                      <w:r>
                        <w:rPr>
                          <w:rFonts w:hint="eastAsia" w:ascii="楷体_GB2312" w:hAnsi="宋体" w:eastAsia="楷体_GB2312"/>
                          <w:b/>
                          <w:color w:val="000000"/>
                          <w:sz w:val="18"/>
                          <w:szCs w:val="18"/>
                        </w:rPr>
                        <w:t>发生事故的通</w:t>
                      </w:r>
                    </w:p>
                    <w:p w14:paraId="56ABDD48">
                      <w:pPr>
                        <w:rPr>
                          <w:rFonts w:ascii="楷体_GB2312" w:hAnsi="宋体" w:eastAsia="楷体_GB2312"/>
                          <w:b/>
                          <w:color w:val="000000"/>
                          <w:sz w:val="18"/>
                          <w:szCs w:val="18"/>
                        </w:rPr>
                      </w:pPr>
                      <w:r>
                        <w:rPr>
                          <w:rFonts w:hint="eastAsia" w:ascii="楷体_GB2312" w:hAnsi="宋体" w:eastAsia="楷体_GB2312"/>
                          <w:b/>
                          <w:color w:val="000000"/>
                          <w:sz w:val="18"/>
                          <w:szCs w:val="18"/>
                        </w:rPr>
                        <w:t>知</w:t>
                      </w:r>
                    </w:p>
                    <w:p w14:paraId="2E71C43F">
                      <w:pPr>
                        <w:rPr>
                          <w:color w:val="000000"/>
                          <w:sz w:val="18"/>
                          <w:szCs w:val="18"/>
                        </w:rPr>
                      </w:pPr>
                    </w:p>
                  </w:txbxContent>
                </v:textbox>
              </v:shape>
            </w:pict>
          </mc:Fallback>
        </mc:AlternateContent>
      </w:r>
      <w:r>
        <w:rPr>
          <w:rFonts w:hAnsi="宋体"/>
          <w:b/>
          <w:color w:val="auto"/>
          <w:sz w:val="24"/>
          <w:szCs w:val="18"/>
        </w:rPr>
        <w:t xml:space="preserve">12.1                   </w:t>
      </w:r>
    </w:p>
    <w:p w14:paraId="2A1C9696">
      <w:pPr>
        <w:pStyle w:val="2"/>
        <w:adjustRightInd w:val="0"/>
        <w:snapToGrid w:val="0"/>
        <w:spacing w:line="360" w:lineRule="auto"/>
        <w:ind w:left="1619" w:leftChars="771"/>
        <w:rPr>
          <w:rFonts w:hAnsi="宋体"/>
          <w:color w:val="auto"/>
          <w:sz w:val="24"/>
          <w:szCs w:val="18"/>
        </w:rPr>
      </w:pPr>
      <w:r>
        <w:rPr>
          <w:rFonts w:hint="eastAsia" w:hAnsi="宋体"/>
          <w:color w:val="auto"/>
          <w:sz w:val="24"/>
          <w:szCs w:val="18"/>
        </w:rPr>
        <w:t>合同履行期间，合同工程发生质量与安全事故，承包人立即通知监理工程师和发包人。</w:t>
      </w:r>
    </w:p>
    <w:p w14:paraId="698410EA">
      <w:pPr>
        <w:pStyle w:val="2"/>
        <w:adjustRightInd w:val="0"/>
        <w:snapToGrid w:val="0"/>
        <w:spacing w:line="360" w:lineRule="auto"/>
        <w:rPr>
          <w:rFonts w:hAnsi="宋体"/>
          <w:color w:val="auto"/>
          <w:sz w:val="24"/>
          <w:szCs w:val="18"/>
        </w:rPr>
      </w:pPr>
      <w:r>
        <w:rPr>
          <w:color w:val="auto"/>
        </w:rPr>
        <mc:AlternateContent>
          <mc:Choice Requires="wps">
            <w:drawing>
              <wp:anchor distT="0" distB="0" distL="114300" distR="114300" simplePos="0" relativeHeight="251688960"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a:effectLst/>
                      </wps:spPr>
                      <wps:txbx>
                        <w:txbxContent>
                          <w:p w14:paraId="2755A52C">
                            <w:pPr>
                              <w:rPr>
                                <w:rFonts w:ascii="楷体_GB2312" w:hAnsi="宋体" w:eastAsia="楷体_GB2312"/>
                                <w:b/>
                                <w:color w:val="000000"/>
                                <w:sz w:val="18"/>
                                <w:szCs w:val="18"/>
                              </w:rPr>
                            </w:pPr>
                            <w:r>
                              <w:rPr>
                                <w:rFonts w:hint="eastAsia" w:ascii="楷体_GB2312" w:hAnsi="宋体" w:eastAsia="楷体_GB2312"/>
                                <w:b/>
                                <w:color w:val="000000"/>
                                <w:sz w:val="18"/>
                                <w:szCs w:val="18"/>
                              </w:rPr>
                              <w:t>事故的处理</w:t>
                            </w:r>
                          </w:p>
                        </w:txbxContent>
                      </wps:txbx>
                      <wps:bodyPr upright="1"/>
                    </wps:wsp>
                  </a:graphicData>
                </a:graphic>
              </wp:anchor>
            </w:drawing>
          </mc:Choice>
          <mc:Fallback>
            <w:pict>
              <v:shape id="_x0000_s1026" o:spid="_x0000_s1026" o:spt="202" type="#_x0000_t202" style="position:absolute;left:0pt;margin-left:-9pt;margin-top:17.7pt;height:23.4pt;width:81pt;z-index:251688960;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tZyZ&#10;ZdYAAAAJAQAADwAAAAAAAAABACAAAAAiAAAAZHJzL2Rvd25yZXYueG1sUEsBAhQAFAAAAAgAh07i&#10;QLYBE/+yAQAAXgMAAA4AAAAAAAAAAQAgAAAAJQEAAGRycy9lMm9Eb2MueG1sUEsFBgAAAAAGAAYA&#10;WQEAAEkFAAAAAA==&#10;">
                <v:fill on="f" focussize="0,0"/>
                <v:stroke on="f"/>
                <v:imagedata o:title=""/>
                <o:lock v:ext="edit" aspectratio="f"/>
                <v:textbox>
                  <w:txbxContent>
                    <w:p w14:paraId="2755A52C">
                      <w:pPr>
                        <w:rPr>
                          <w:rFonts w:ascii="楷体_GB2312" w:hAnsi="宋体" w:eastAsia="楷体_GB2312"/>
                          <w:b/>
                          <w:color w:val="000000"/>
                          <w:sz w:val="18"/>
                          <w:szCs w:val="18"/>
                        </w:rPr>
                      </w:pPr>
                      <w:r>
                        <w:rPr>
                          <w:rFonts w:hint="eastAsia" w:ascii="楷体_GB2312" w:hAnsi="宋体" w:eastAsia="楷体_GB2312"/>
                          <w:b/>
                          <w:color w:val="000000"/>
                          <w:sz w:val="18"/>
                          <w:szCs w:val="18"/>
                        </w:rPr>
                        <w:t>事故的处理</w:t>
                      </w:r>
                    </w:p>
                  </w:txbxContent>
                </v:textbox>
              </v:shape>
            </w:pict>
          </mc:Fallback>
        </mc:AlternateContent>
      </w:r>
      <w:r>
        <w:rPr>
          <w:rFonts w:hAnsi="宋体"/>
          <w:b/>
          <w:color w:val="auto"/>
          <w:sz w:val="24"/>
          <w:szCs w:val="18"/>
        </w:rPr>
        <w:t>12.2</w:t>
      </w:r>
    </w:p>
    <w:p w14:paraId="3D381B8F">
      <w:pPr>
        <w:pStyle w:val="2"/>
        <w:adjustRightInd w:val="0"/>
        <w:snapToGrid w:val="0"/>
        <w:spacing w:line="360" w:lineRule="auto"/>
        <w:ind w:left="1619" w:leftChars="771"/>
        <w:rPr>
          <w:rFonts w:hAnsi="宋体"/>
          <w:color w:val="auto"/>
          <w:sz w:val="24"/>
          <w:szCs w:val="18"/>
        </w:rPr>
      </w:pPr>
      <w:r>
        <w:rPr>
          <w:rFonts w:hint="eastAsia" w:hAnsi="宋体"/>
          <w:color w:val="auto"/>
          <w:sz w:val="24"/>
          <w:szCs w:val="18"/>
        </w:rPr>
        <w:t>接到事故通知后，合同双方当事人应立即组织人员和设备进行紧急抢救和抢修，减少人员伤亡和财产损失，防止事故扩大，并保护事故现场。需移动现场物品时，应做好标记和书面记录，妥善保护有关证据。</w:t>
      </w:r>
    </w:p>
    <w:p w14:paraId="127996A4">
      <w:pPr>
        <w:pStyle w:val="2"/>
        <w:adjustRightInd w:val="0"/>
        <w:snapToGrid w:val="0"/>
        <w:spacing w:line="360" w:lineRule="auto"/>
        <w:ind w:left="1619" w:leftChars="771"/>
        <w:rPr>
          <w:rFonts w:hAnsi="宋体"/>
          <w:color w:val="auto"/>
          <w:sz w:val="24"/>
          <w:szCs w:val="18"/>
        </w:rPr>
      </w:pPr>
      <w:r>
        <w:rPr>
          <w:rFonts w:hint="eastAsia" w:hAnsi="宋体"/>
          <w:color w:val="auto"/>
          <w:sz w:val="24"/>
          <w:szCs w:val="18"/>
        </w:rPr>
        <w:t>合同双方当事人应按照国家规定时限如实上报政府有关部门，配合政府有关部门的调查和处理，由此发生的费用和（或）延误的工期由事故责任方承担。</w:t>
      </w:r>
    </w:p>
    <w:p w14:paraId="00190707">
      <w:pPr>
        <w:pStyle w:val="2"/>
        <w:adjustRightInd w:val="0"/>
        <w:snapToGrid w:val="0"/>
        <w:spacing w:line="360" w:lineRule="auto"/>
        <w:rPr>
          <w:rFonts w:hAnsi="宋体"/>
          <w:b/>
          <w:color w:val="auto"/>
          <w:sz w:val="24"/>
          <w:szCs w:val="18"/>
        </w:rPr>
      </w:pPr>
      <w:r>
        <w:rPr>
          <w:color w:val="auto"/>
        </w:rPr>
        <mc:AlternateContent>
          <mc:Choice Requires="wps">
            <w:drawing>
              <wp:anchor distT="0" distB="0" distL="114300" distR="114300" simplePos="0" relativeHeight="251689984"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a:effectLst/>
                      </wps:spPr>
                      <wps:txbx>
                        <w:txbxContent>
                          <w:p w14:paraId="4F577190">
                            <w:pPr>
                              <w:rPr>
                                <w:rFonts w:ascii="楷体_GB2312" w:hAnsi="宋体" w:eastAsia="楷体_GB2312"/>
                                <w:b/>
                                <w:color w:val="000000"/>
                                <w:sz w:val="18"/>
                                <w:szCs w:val="18"/>
                              </w:rPr>
                            </w:pPr>
                            <w:r>
                              <w:rPr>
                                <w:rFonts w:hint="eastAsia" w:ascii="楷体_GB2312" w:hAnsi="宋体" w:eastAsia="楷体_GB2312"/>
                                <w:b/>
                                <w:color w:val="000000"/>
                                <w:sz w:val="18"/>
                                <w:szCs w:val="18"/>
                              </w:rPr>
                              <w:t>事故争议认定</w:t>
                            </w:r>
                          </w:p>
                        </w:txbxContent>
                      </wps:txbx>
                      <wps:bodyPr upright="1"/>
                    </wps:wsp>
                  </a:graphicData>
                </a:graphic>
              </wp:anchor>
            </w:drawing>
          </mc:Choice>
          <mc:Fallback>
            <w:pict>
              <v:shape id="_x0000_s1026" o:spid="_x0000_s1026" o:spt="202" type="#_x0000_t202" style="position:absolute;left:0pt;margin-left:-9pt;margin-top:17.7pt;height:23.4pt;width:81pt;z-index:251689984;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Wc&#10;mWXWAAAACQEAAA8AAAAAAAAAAQAgAAAAIgAAAGRycy9kb3ducmV2LnhtbFBLAQIUABQAAAAIAIdO&#10;4kA5qncPswEAAF4DAAAOAAAAAAAAAAEAIAAAACUBAABkcnMvZTJvRG9jLnhtbFBLBQYAAAAABgAG&#10;AFkBAABKBQAAAAA=&#10;">
                <v:fill on="f" focussize="0,0"/>
                <v:stroke on="f"/>
                <v:imagedata o:title=""/>
                <o:lock v:ext="edit" aspectratio="f"/>
                <v:textbox>
                  <w:txbxContent>
                    <w:p w14:paraId="4F577190">
                      <w:pPr>
                        <w:rPr>
                          <w:rFonts w:ascii="楷体_GB2312" w:hAnsi="宋体" w:eastAsia="楷体_GB2312"/>
                          <w:b/>
                          <w:color w:val="000000"/>
                          <w:sz w:val="18"/>
                          <w:szCs w:val="18"/>
                        </w:rPr>
                      </w:pPr>
                      <w:r>
                        <w:rPr>
                          <w:rFonts w:hint="eastAsia" w:ascii="楷体_GB2312" w:hAnsi="宋体" w:eastAsia="楷体_GB2312"/>
                          <w:b/>
                          <w:color w:val="000000"/>
                          <w:sz w:val="18"/>
                          <w:szCs w:val="18"/>
                        </w:rPr>
                        <w:t>事故争议认定</w:t>
                      </w:r>
                    </w:p>
                  </w:txbxContent>
                </v:textbox>
              </v:shape>
            </w:pict>
          </mc:Fallback>
        </mc:AlternateContent>
      </w:r>
      <w:r>
        <w:rPr>
          <w:rFonts w:hAnsi="宋体"/>
          <w:b/>
          <w:color w:val="auto"/>
          <w:sz w:val="24"/>
          <w:szCs w:val="18"/>
        </w:rPr>
        <w:t>12.3</w:t>
      </w:r>
    </w:p>
    <w:p w14:paraId="00D3A65D">
      <w:pPr>
        <w:pStyle w:val="2"/>
        <w:tabs>
          <w:tab w:val="left" w:pos="1620"/>
        </w:tabs>
        <w:adjustRightInd w:val="0"/>
        <w:snapToGrid w:val="0"/>
        <w:spacing w:line="360" w:lineRule="auto"/>
        <w:ind w:firstLine="1620" w:firstLineChars="675"/>
        <w:rPr>
          <w:rFonts w:hAnsi="宋体"/>
          <w:color w:val="auto"/>
          <w:sz w:val="24"/>
          <w:szCs w:val="18"/>
        </w:rPr>
      </w:pPr>
      <w:r>
        <w:rPr>
          <w:rFonts w:hint="eastAsia" w:hAnsi="宋体"/>
          <w:color w:val="auto"/>
          <w:sz w:val="24"/>
          <w:szCs w:val="18"/>
        </w:rPr>
        <w:t>合同双方当事人对事故责任有争议时，应按照政府有关部门的认定处理。</w:t>
      </w:r>
    </w:p>
    <w:p w14:paraId="78463408">
      <w:pPr>
        <w:pStyle w:val="2"/>
        <w:adjustRightInd w:val="0"/>
        <w:snapToGrid w:val="0"/>
        <w:spacing w:line="360" w:lineRule="auto"/>
        <w:ind w:right="-238"/>
        <w:rPr>
          <w:rFonts w:hAnsi="宋体"/>
          <w:color w:val="auto"/>
        </w:rPr>
      </w:pPr>
    </w:p>
    <w:p w14:paraId="031D60F4">
      <w:pPr>
        <w:pStyle w:val="2"/>
        <w:tabs>
          <w:tab w:val="left" w:pos="1620"/>
        </w:tabs>
        <w:adjustRightInd w:val="0"/>
        <w:snapToGrid w:val="0"/>
        <w:spacing w:before="240" w:beforeLines="100" w:line="360" w:lineRule="auto"/>
        <w:ind w:right="-237" w:rightChars="-113"/>
        <w:rPr>
          <w:rFonts w:hAnsi="宋体"/>
          <w:b/>
          <w:color w:val="auto"/>
          <w:sz w:val="30"/>
          <w:szCs w:val="24"/>
        </w:rPr>
      </w:pPr>
      <w:r>
        <w:rPr>
          <w:rFonts w:hAnsi="宋体"/>
          <w:b/>
          <w:color w:val="auto"/>
          <w:sz w:val="30"/>
          <w:szCs w:val="24"/>
        </w:rPr>
        <w:t xml:space="preserve">13  </w:t>
      </w:r>
      <w:r>
        <w:rPr>
          <w:rFonts w:hint="eastAsia" w:hAnsi="宋体"/>
          <w:b/>
          <w:color w:val="auto"/>
          <w:sz w:val="30"/>
          <w:szCs w:val="24"/>
        </w:rPr>
        <w:t>交通运输</w:t>
      </w:r>
    </w:p>
    <w:p w14:paraId="503790B0">
      <w:pPr>
        <w:pStyle w:val="2"/>
        <w:adjustRightInd w:val="0"/>
        <w:snapToGrid w:val="0"/>
        <w:spacing w:line="360" w:lineRule="auto"/>
        <w:rPr>
          <w:rFonts w:hAnsi="宋体"/>
          <w:b/>
          <w:color w:val="auto"/>
          <w:sz w:val="24"/>
          <w:szCs w:val="18"/>
        </w:rPr>
      </w:pPr>
      <w:r>
        <w:rPr>
          <w:color w:val="auto"/>
        </w:rPr>
        <mc:AlternateContent>
          <mc:Choice Requires="wps">
            <w:drawing>
              <wp:anchor distT="0" distB="0" distL="114300" distR="114300" simplePos="0" relativeHeight="251691008" behindDoc="0" locked="0" layoutInCell="1" allowOverlap="1">
                <wp:simplePos x="0" y="0"/>
                <wp:positionH relativeFrom="column">
                  <wp:posOffset>-114300</wp:posOffset>
                </wp:positionH>
                <wp:positionV relativeFrom="paragraph">
                  <wp:posOffset>229235</wp:posOffset>
                </wp:positionV>
                <wp:extent cx="1028700" cy="523875"/>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028700" cy="523875"/>
                        </a:xfrm>
                        <a:prstGeom prst="rect">
                          <a:avLst/>
                        </a:prstGeom>
                        <a:noFill/>
                        <a:ln>
                          <a:noFill/>
                        </a:ln>
                        <a:effectLst/>
                      </wps:spPr>
                      <wps:txbx>
                        <w:txbxContent>
                          <w:p w14:paraId="0D04FD77">
                            <w:pPr>
                              <w:rPr>
                                <w:rFonts w:ascii="楷体_GB2312" w:hAnsi="宋体" w:eastAsia="楷体_GB2312"/>
                                <w:b/>
                                <w:color w:val="000000"/>
                                <w:sz w:val="18"/>
                                <w:szCs w:val="18"/>
                              </w:rPr>
                            </w:pPr>
                            <w:r>
                              <w:rPr>
                                <w:rFonts w:hint="eastAsia" w:ascii="楷体_GB2312" w:hAnsi="宋体" w:eastAsia="楷体_GB2312"/>
                                <w:b/>
                                <w:color w:val="000000"/>
                                <w:sz w:val="18"/>
                                <w:szCs w:val="18"/>
                              </w:rPr>
                              <w:t>道路通行权和</w:t>
                            </w:r>
                          </w:p>
                          <w:p w14:paraId="4C4B14D7">
                            <w:pPr>
                              <w:rPr>
                                <w:rFonts w:ascii="楷体_GB2312" w:hAnsi="宋体" w:eastAsia="楷体_GB2312"/>
                                <w:b/>
                                <w:color w:val="000000"/>
                                <w:sz w:val="18"/>
                                <w:szCs w:val="18"/>
                              </w:rPr>
                            </w:pPr>
                            <w:r>
                              <w:rPr>
                                <w:rFonts w:hint="eastAsia" w:ascii="楷体_GB2312" w:hAnsi="宋体" w:eastAsia="楷体_GB2312"/>
                                <w:b/>
                                <w:color w:val="000000"/>
                                <w:sz w:val="18"/>
                                <w:szCs w:val="18"/>
                              </w:rPr>
                              <w:t>场外设施</w:t>
                            </w:r>
                          </w:p>
                          <w:p w14:paraId="26172D23">
                            <w:pPr>
                              <w:rPr>
                                <w:color w:val="0000FF"/>
                                <w:sz w:val="18"/>
                                <w:szCs w:val="18"/>
                              </w:rPr>
                            </w:pPr>
                          </w:p>
                          <w:p w14:paraId="42214194">
                            <w:pPr>
                              <w:rPr>
                                <w:sz w:val="18"/>
                                <w:szCs w:val="18"/>
                              </w:rPr>
                            </w:pPr>
                          </w:p>
                        </w:txbxContent>
                      </wps:txbx>
                      <wps:bodyPr upright="1"/>
                    </wps:wsp>
                  </a:graphicData>
                </a:graphic>
              </wp:anchor>
            </w:drawing>
          </mc:Choice>
          <mc:Fallback>
            <w:pict>
              <v:shape id="_x0000_s1026" o:spid="_x0000_s1026" o:spt="202" type="#_x0000_t202" style="position:absolute;left:0pt;margin-left:-9pt;margin-top:18.05pt;height:41.25pt;width:81pt;z-index:251691008;mso-width-relative:page;mso-height-relative:page;" filled="f" stroked="f" coordsize="21600,21600" o:gfxdata="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QGxh/W&#10;AAAACgEAAA8AAAAAAAAAAQAgAAAAIgAAAGRycy9kb3ducmV2LnhtbFBLAQIUABQAAAAIAIdO4kBI&#10;dZ/AsAEAAF4DAAAOAAAAAAAAAAEAIAAAACUBAABkcnMvZTJvRG9jLnhtbFBLBQYAAAAABgAGAFkB&#10;AABHBQAAAAA=&#10;">
                <v:fill on="f" focussize="0,0"/>
                <v:stroke on="f"/>
                <v:imagedata o:title=""/>
                <o:lock v:ext="edit" aspectratio="f"/>
                <v:textbox>
                  <w:txbxContent>
                    <w:p w14:paraId="0D04FD77">
                      <w:pPr>
                        <w:rPr>
                          <w:rFonts w:ascii="楷体_GB2312" w:hAnsi="宋体" w:eastAsia="楷体_GB2312"/>
                          <w:b/>
                          <w:color w:val="000000"/>
                          <w:sz w:val="18"/>
                          <w:szCs w:val="18"/>
                        </w:rPr>
                      </w:pPr>
                      <w:r>
                        <w:rPr>
                          <w:rFonts w:hint="eastAsia" w:ascii="楷体_GB2312" w:hAnsi="宋体" w:eastAsia="楷体_GB2312"/>
                          <w:b/>
                          <w:color w:val="000000"/>
                          <w:sz w:val="18"/>
                          <w:szCs w:val="18"/>
                        </w:rPr>
                        <w:t>道路通行权和</w:t>
                      </w:r>
                    </w:p>
                    <w:p w14:paraId="4C4B14D7">
                      <w:pPr>
                        <w:rPr>
                          <w:rFonts w:ascii="楷体_GB2312" w:hAnsi="宋体" w:eastAsia="楷体_GB2312"/>
                          <w:b/>
                          <w:color w:val="000000"/>
                          <w:sz w:val="18"/>
                          <w:szCs w:val="18"/>
                        </w:rPr>
                      </w:pPr>
                      <w:r>
                        <w:rPr>
                          <w:rFonts w:hint="eastAsia" w:ascii="楷体_GB2312" w:hAnsi="宋体" w:eastAsia="楷体_GB2312"/>
                          <w:b/>
                          <w:color w:val="000000"/>
                          <w:sz w:val="18"/>
                          <w:szCs w:val="18"/>
                        </w:rPr>
                        <w:t>场外设施</w:t>
                      </w:r>
                    </w:p>
                    <w:p w14:paraId="26172D23">
                      <w:pPr>
                        <w:rPr>
                          <w:color w:val="0000FF"/>
                          <w:sz w:val="18"/>
                          <w:szCs w:val="18"/>
                        </w:rPr>
                      </w:pPr>
                    </w:p>
                    <w:p w14:paraId="42214194">
                      <w:pPr>
                        <w:rPr>
                          <w:sz w:val="18"/>
                          <w:szCs w:val="18"/>
                        </w:rPr>
                      </w:pPr>
                    </w:p>
                  </w:txbxContent>
                </v:textbox>
              </v:shape>
            </w:pict>
          </mc:Fallback>
        </mc:AlternateContent>
      </w:r>
      <w:r>
        <w:rPr>
          <w:rFonts w:hAnsi="宋体"/>
          <w:b/>
          <w:color w:val="auto"/>
          <w:sz w:val="24"/>
          <w:szCs w:val="18"/>
        </w:rPr>
        <w:t xml:space="preserve">13.1                   </w:t>
      </w:r>
    </w:p>
    <w:p w14:paraId="7803E208">
      <w:pPr>
        <w:pStyle w:val="2"/>
        <w:tabs>
          <w:tab w:val="left" w:pos="1202"/>
        </w:tabs>
        <w:adjustRightInd w:val="0"/>
        <w:snapToGrid w:val="0"/>
        <w:spacing w:line="360" w:lineRule="auto"/>
        <w:ind w:left="1619" w:leftChars="771"/>
        <w:rPr>
          <w:rFonts w:hAnsi="宋体"/>
          <w:color w:val="auto"/>
        </w:rPr>
      </w:pPr>
      <w:r>
        <w:rPr>
          <w:rFonts w:hint="eastAsia" w:hAnsi="宋体"/>
          <w:color w:val="auto"/>
          <w:sz w:val="24"/>
          <w:szCs w:val="18"/>
        </w:rPr>
        <w:t>除专用条款另有约定外，发包人应根据实施合同工程的需要，负责办理取得出入施工场地的专用和临时道路的通行权，以及取得为实施合同工程所需修建场外设施的权利，并承担有关费用。承包人应协助发包人办理上述手续。</w:t>
      </w:r>
    </w:p>
    <w:p w14:paraId="4A0FF322">
      <w:pPr>
        <w:pStyle w:val="2"/>
        <w:tabs>
          <w:tab w:val="left" w:pos="1202"/>
        </w:tabs>
        <w:adjustRightInd w:val="0"/>
        <w:snapToGrid w:val="0"/>
        <w:spacing w:line="360" w:lineRule="auto"/>
        <w:ind w:left="1350" w:leftChars="1" w:hanging="1348" w:hangingChars="674"/>
        <w:rPr>
          <w:rFonts w:hAnsi="宋体"/>
          <w:color w:val="auto"/>
          <w:sz w:val="24"/>
          <w:szCs w:val="18"/>
        </w:rPr>
      </w:pPr>
      <w:r>
        <w:rPr>
          <w:color w:val="auto"/>
        </w:rPr>
        <mc:AlternateContent>
          <mc:Choice Requires="wps">
            <w:drawing>
              <wp:anchor distT="0" distB="0" distL="114300" distR="114300" simplePos="0" relativeHeight="251692032" behindDoc="0" locked="0" layoutInCell="1" allowOverlap="1">
                <wp:simplePos x="0" y="0"/>
                <wp:positionH relativeFrom="column">
                  <wp:posOffset>-114300</wp:posOffset>
                </wp:positionH>
                <wp:positionV relativeFrom="paragraph">
                  <wp:posOffset>333375</wp:posOffset>
                </wp:positionV>
                <wp:extent cx="1028700" cy="523875"/>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028700" cy="523875"/>
                        </a:xfrm>
                        <a:prstGeom prst="rect">
                          <a:avLst/>
                        </a:prstGeom>
                        <a:noFill/>
                        <a:ln>
                          <a:noFill/>
                        </a:ln>
                        <a:effectLst/>
                      </wps:spPr>
                      <wps:txbx>
                        <w:txbxContent>
                          <w:p w14:paraId="09B24BA2">
                            <w:pPr>
                              <w:rPr>
                                <w:rFonts w:ascii="楷体_GB2312" w:hAnsi="宋体" w:eastAsia="楷体_GB2312"/>
                                <w:b/>
                                <w:color w:val="000000"/>
                                <w:sz w:val="18"/>
                                <w:szCs w:val="18"/>
                              </w:rPr>
                            </w:pPr>
                            <w:r>
                              <w:rPr>
                                <w:rFonts w:hint="eastAsia" w:ascii="楷体_GB2312" w:hAnsi="宋体" w:eastAsia="楷体_GB2312"/>
                                <w:b/>
                                <w:color w:val="000000"/>
                                <w:sz w:val="18"/>
                                <w:szCs w:val="18"/>
                              </w:rPr>
                              <w:t>场内临时道路</w:t>
                            </w:r>
                          </w:p>
                          <w:p w14:paraId="6E50346C">
                            <w:pPr>
                              <w:rPr>
                                <w:rFonts w:ascii="宋体"/>
                                <w:color w:val="000000"/>
                                <w:sz w:val="24"/>
                              </w:rPr>
                            </w:pPr>
                            <w:r>
                              <w:rPr>
                                <w:rFonts w:hint="eastAsia" w:ascii="楷体_GB2312" w:hAnsi="宋体" w:eastAsia="楷体_GB2312"/>
                                <w:b/>
                                <w:color w:val="000000"/>
                                <w:sz w:val="18"/>
                                <w:szCs w:val="18"/>
                              </w:rPr>
                              <w:t>和交通设施</w:t>
                            </w:r>
                          </w:p>
                          <w:p w14:paraId="1C3067A7">
                            <w:pPr>
                              <w:rPr>
                                <w:color w:val="0000FF"/>
                                <w:sz w:val="18"/>
                                <w:szCs w:val="18"/>
                              </w:rPr>
                            </w:pPr>
                          </w:p>
                          <w:p w14:paraId="6D253284">
                            <w:pPr>
                              <w:rPr>
                                <w:sz w:val="18"/>
                                <w:szCs w:val="18"/>
                              </w:rPr>
                            </w:pPr>
                          </w:p>
                        </w:txbxContent>
                      </wps:txbx>
                      <wps:bodyPr upright="1"/>
                    </wps:wsp>
                  </a:graphicData>
                </a:graphic>
              </wp:anchor>
            </w:drawing>
          </mc:Choice>
          <mc:Fallback>
            <w:pict>
              <v:shape id="_x0000_s1026" o:spid="_x0000_s1026" o:spt="202" type="#_x0000_t202" style="position:absolute;left:0pt;margin-left:-9pt;margin-top:26.25pt;height:41.25pt;width:81pt;z-index:251692032;mso-width-relative:page;mso-height-relative:page;" filled="f" stroked="f" coordsize="21600,21600" o:gfxdata="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U&#10;niuZ2AAAAAoBAAAPAAAAAAAAAAEAIAAAACIAAABkcnMvZG93bnJldi54bWxQSwECFAAUAAAACACH&#10;TuJAx977MLIBAABeAwAADgAAAAAAAAABACAAAAAnAQAAZHJzL2Uyb0RvYy54bWxQSwUGAAAAAAYA&#10;BgBZAQAASwUAAAAA&#10;">
                <v:fill on="f" focussize="0,0"/>
                <v:stroke on="f"/>
                <v:imagedata o:title=""/>
                <o:lock v:ext="edit" aspectratio="f"/>
                <v:textbox>
                  <w:txbxContent>
                    <w:p w14:paraId="09B24BA2">
                      <w:pPr>
                        <w:rPr>
                          <w:rFonts w:ascii="楷体_GB2312" w:hAnsi="宋体" w:eastAsia="楷体_GB2312"/>
                          <w:b/>
                          <w:color w:val="000000"/>
                          <w:sz w:val="18"/>
                          <w:szCs w:val="18"/>
                        </w:rPr>
                      </w:pPr>
                      <w:r>
                        <w:rPr>
                          <w:rFonts w:hint="eastAsia" w:ascii="楷体_GB2312" w:hAnsi="宋体" w:eastAsia="楷体_GB2312"/>
                          <w:b/>
                          <w:color w:val="000000"/>
                          <w:sz w:val="18"/>
                          <w:szCs w:val="18"/>
                        </w:rPr>
                        <w:t>场内临时道路</w:t>
                      </w:r>
                    </w:p>
                    <w:p w14:paraId="6E50346C">
                      <w:pPr>
                        <w:rPr>
                          <w:rFonts w:ascii="宋体"/>
                          <w:color w:val="000000"/>
                          <w:sz w:val="24"/>
                        </w:rPr>
                      </w:pPr>
                      <w:r>
                        <w:rPr>
                          <w:rFonts w:hint="eastAsia" w:ascii="楷体_GB2312" w:hAnsi="宋体" w:eastAsia="楷体_GB2312"/>
                          <w:b/>
                          <w:color w:val="000000"/>
                          <w:sz w:val="18"/>
                          <w:szCs w:val="18"/>
                        </w:rPr>
                        <w:t>和交通设施</w:t>
                      </w:r>
                    </w:p>
                    <w:p w14:paraId="1C3067A7">
                      <w:pPr>
                        <w:rPr>
                          <w:color w:val="0000FF"/>
                          <w:sz w:val="18"/>
                          <w:szCs w:val="18"/>
                        </w:rPr>
                      </w:pPr>
                    </w:p>
                    <w:p w14:paraId="6D253284">
                      <w:pPr>
                        <w:rPr>
                          <w:sz w:val="18"/>
                          <w:szCs w:val="18"/>
                        </w:rPr>
                      </w:pPr>
                    </w:p>
                  </w:txbxContent>
                </v:textbox>
              </v:shape>
            </w:pict>
          </mc:Fallback>
        </mc:AlternateContent>
      </w:r>
      <w:r>
        <w:rPr>
          <w:rFonts w:hAnsi="宋体"/>
          <w:b/>
          <w:color w:val="auto"/>
          <w:sz w:val="24"/>
          <w:szCs w:val="18"/>
        </w:rPr>
        <w:t>13.2</w:t>
      </w:r>
      <w:r>
        <w:rPr>
          <w:rFonts w:hint="eastAsia" w:hAnsi="宋体"/>
          <w:color w:val="auto"/>
          <w:sz w:val="24"/>
          <w:szCs w:val="18"/>
        </w:rPr>
        <w:t>除专用条款另有约定外，承包人应负责修建、维修、养护和管理施工场地内所需的临时道路和交通设施，包括维修、养护和管理发包人提供的道路和交通设施，并承担相应费用。</w:t>
      </w:r>
    </w:p>
    <w:p w14:paraId="2B2E3E91">
      <w:pPr>
        <w:pStyle w:val="2"/>
        <w:tabs>
          <w:tab w:val="left" w:pos="1202"/>
        </w:tabs>
        <w:adjustRightInd w:val="0"/>
        <w:snapToGrid w:val="0"/>
        <w:spacing w:line="360" w:lineRule="auto"/>
        <w:ind w:left="1619" w:leftChars="771"/>
        <w:rPr>
          <w:rFonts w:hAnsi="宋体"/>
          <w:color w:val="auto"/>
          <w:sz w:val="24"/>
          <w:szCs w:val="18"/>
        </w:rPr>
      </w:pPr>
      <w:r>
        <w:rPr>
          <w:rFonts w:hint="eastAsia" w:hAnsi="宋体"/>
          <w:color w:val="auto"/>
          <w:sz w:val="24"/>
          <w:szCs w:val="18"/>
        </w:rPr>
        <w:t>承包人修建的临时道路和交通设施应免费提供发包人使用。</w:t>
      </w:r>
    </w:p>
    <w:p w14:paraId="0AEE142B">
      <w:pPr>
        <w:pStyle w:val="2"/>
        <w:adjustRightInd w:val="0"/>
        <w:snapToGrid w:val="0"/>
        <w:spacing w:line="360" w:lineRule="auto"/>
        <w:rPr>
          <w:rFonts w:hAnsi="宋体"/>
          <w:b/>
          <w:color w:val="auto"/>
          <w:sz w:val="24"/>
          <w:szCs w:val="18"/>
        </w:rPr>
      </w:pPr>
      <w:r>
        <w:rPr>
          <w:color w:val="auto"/>
        </w:rPr>
        <mc:AlternateContent>
          <mc:Choice Requires="wps">
            <w:drawing>
              <wp:anchor distT="0" distB="0" distL="114300" distR="114300" simplePos="0" relativeHeight="251693056"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a:effectLst/>
                      </wps:spPr>
                      <wps:txbx>
                        <w:txbxContent>
                          <w:p w14:paraId="669DFE3A">
                            <w:pPr>
                              <w:rPr>
                                <w:rFonts w:ascii="楷体_GB2312" w:hAnsi="宋体" w:eastAsia="楷体_GB2312"/>
                                <w:b/>
                                <w:color w:val="000000"/>
                                <w:sz w:val="18"/>
                                <w:szCs w:val="18"/>
                              </w:rPr>
                            </w:pPr>
                            <w:r>
                              <w:rPr>
                                <w:rFonts w:hint="eastAsia" w:ascii="楷体_GB2312" w:hAnsi="宋体" w:eastAsia="楷体_GB2312"/>
                                <w:b/>
                                <w:color w:val="000000"/>
                                <w:sz w:val="18"/>
                                <w:szCs w:val="18"/>
                              </w:rPr>
                              <w:t>场外交通</w:t>
                            </w:r>
                          </w:p>
                        </w:txbxContent>
                      </wps:txbx>
                      <wps:bodyPr upright="1"/>
                    </wps:wsp>
                  </a:graphicData>
                </a:graphic>
              </wp:anchor>
            </w:drawing>
          </mc:Choice>
          <mc:Fallback>
            <w:pict>
              <v:shape id="_x0000_s1026" o:spid="_x0000_s1026" o:spt="202" type="#_x0000_t202" style="position:absolute;left:0pt;margin-left:-9pt;margin-top:17.7pt;height:23.4pt;width:81pt;z-index:251693056;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tZyZ&#10;ZdYAAAAJAQAADwAAAAAAAAABACAAAAAiAAAAZHJzL2Rvd25yZXYueG1sUEsBAhQAFAAAAAgAh07i&#10;QJL1/ICyAQAAXgMAAA4AAAAAAAAAAQAgAAAAJQEAAGRycy9lMm9Eb2MueG1sUEsFBgAAAAAGAAYA&#10;WQEAAEkFAAAAAA==&#10;">
                <v:fill on="f" focussize="0,0"/>
                <v:stroke on="f"/>
                <v:imagedata o:title=""/>
                <o:lock v:ext="edit" aspectratio="f"/>
                <v:textbox>
                  <w:txbxContent>
                    <w:p w14:paraId="669DFE3A">
                      <w:pPr>
                        <w:rPr>
                          <w:rFonts w:ascii="楷体_GB2312" w:hAnsi="宋体" w:eastAsia="楷体_GB2312"/>
                          <w:b/>
                          <w:color w:val="000000"/>
                          <w:sz w:val="18"/>
                          <w:szCs w:val="18"/>
                        </w:rPr>
                      </w:pPr>
                      <w:r>
                        <w:rPr>
                          <w:rFonts w:hint="eastAsia" w:ascii="楷体_GB2312" w:hAnsi="宋体" w:eastAsia="楷体_GB2312"/>
                          <w:b/>
                          <w:color w:val="000000"/>
                          <w:sz w:val="18"/>
                          <w:szCs w:val="18"/>
                        </w:rPr>
                        <w:t>场外交通</w:t>
                      </w:r>
                    </w:p>
                  </w:txbxContent>
                </v:textbox>
              </v:shape>
            </w:pict>
          </mc:Fallback>
        </mc:AlternateContent>
      </w:r>
      <w:r>
        <w:rPr>
          <w:rFonts w:hAnsi="宋体"/>
          <w:b/>
          <w:color w:val="auto"/>
          <w:sz w:val="24"/>
          <w:szCs w:val="18"/>
        </w:rPr>
        <w:t>13.3</w:t>
      </w:r>
    </w:p>
    <w:p w14:paraId="0DFFD6AE">
      <w:pPr>
        <w:pStyle w:val="2"/>
        <w:tabs>
          <w:tab w:val="left" w:pos="1202"/>
        </w:tabs>
        <w:adjustRightInd w:val="0"/>
        <w:snapToGrid w:val="0"/>
        <w:spacing w:line="360" w:lineRule="auto"/>
        <w:ind w:left="1619" w:leftChars="771"/>
        <w:rPr>
          <w:rFonts w:hAnsi="宋体"/>
          <w:color w:val="auto"/>
          <w:sz w:val="24"/>
          <w:szCs w:val="18"/>
        </w:rPr>
      </w:pPr>
      <w:r>
        <w:rPr>
          <w:rFonts w:hint="eastAsia" w:hAnsi="宋体"/>
          <w:color w:val="auto"/>
          <w:sz w:val="24"/>
        </w:rPr>
        <w:t>承包人应遵守有关交通法规，严格按照道路和桥梁的限制荷重安全行驶，并服从交通管理部门的检查和监督。承包人车辆外出行驶所需的场外公共道路的通行费、养路费和税款等，由承包人承担。</w:t>
      </w:r>
    </w:p>
    <w:p w14:paraId="1024B7CC">
      <w:pPr>
        <w:pStyle w:val="2"/>
        <w:adjustRightInd w:val="0"/>
        <w:snapToGrid w:val="0"/>
        <w:spacing w:line="360" w:lineRule="auto"/>
        <w:rPr>
          <w:rFonts w:hAnsi="宋体"/>
          <w:b/>
          <w:color w:val="auto"/>
          <w:sz w:val="24"/>
          <w:szCs w:val="18"/>
        </w:rPr>
      </w:pPr>
      <w:r>
        <w:rPr>
          <w:color w:val="auto"/>
        </w:rPr>
        <mc:AlternateContent>
          <mc:Choice Requires="wps">
            <w:drawing>
              <wp:anchor distT="0" distB="0" distL="114300" distR="114300" simplePos="0" relativeHeight="251694080" behindDoc="0" locked="0" layoutInCell="1" allowOverlap="1">
                <wp:simplePos x="0" y="0"/>
                <wp:positionH relativeFrom="column">
                  <wp:posOffset>-114300</wp:posOffset>
                </wp:positionH>
                <wp:positionV relativeFrom="paragraph">
                  <wp:posOffset>224790</wp:posOffset>
                </wp:positionV>
                <wp:extent cx="1028700" cy="46609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028700" cy="466090"/>
                        </a:xfrm>
                        <a:prstGeom prst="rect">
                          <a:avLst/>
                        </a:prstGeom>
                        <a:noFill/>
                        <a:ln>
                          <a:noFill/>
                        </a:ln>
                        <a:effectLst/>
                      </wps:spPr>
                      <wps:txbx>
                        <w:txbxContent>
                          <w:p w14:paraId="74F3F38B">
                            <w:pPr>
                              <w:rPr>
                                <w:rFonts w:ascii="楷体_GB2312" w:hAnsi="宋体" w:eastAsia="楷体_GB2312"/>
                                <w:b/>
                                <w:color w:val="000000"/>
                                <w:sz w:val="18"/>
                                <w:szCs w:val="18"/>
                              </w:rPr>
                            </w:pPr>
                            <w:r>
                              <w:rPr>
                                <w:rFonts w:hint="eastAsia" w:ascii="楷体_GB2312" w:hAnsi="宋体" w:eastAsia="楷体_GB2312"/>
                                <w:b/>
                                <w:color w:val="000000"/>
                                <w:sz w:val="18"/>
                                <w:szCs w:val="18"/>
                              </w:rPr>
                              <w:t>超大件和超重</w:t>
                            </w:r>
                          </w:p>
                          <w:p w14:paraId="49498460">
                            <w:pPr>
                              <w:rPr>
                                <w:rFonts w:ascii="楷体_GB2312" w:hAnsi="宋体" w:eastAsia="楷体_GB2312"/>
                                <w:b/>
                                <w:color w:val="000000"/>
                                <w:sz w:val="18"/>
                                <w:szCs w:val="18"/>
                              </w:rPr>
                            </w:pPr>
                            <w:r>
                              <w:rPr>
                                <w:rFonts w:hint="eastAsia" w:ascii="楷体_GB2312" w:hAnsi="宋体" w:eastAsia="楷体_GB2312"/>
                                <w:b/>
                                <w:color w:val="000000"/>
                                <w:sz w:val="18"/>
                                <w:szCs w:val="18"/>
                              </w:rPr>
                              <w:t>件的运输</w:t>
                            </w:r>
                          </w:p>
                        </w:txbxContent>
                      </wps:txbx>
                      <wps:bodyPr upright="1"/>
                    </wps:wsp>
                  </a:graphicData>
                </a:graphic>
              </wp:anchor>
            </w:drawing>
          </mc:Choice>
          <mc:Fallback>
            <w:pict>
              <v:shape id="_x0000_s1026" o:spid="_x0000_s1026" o:spt="202" type="#_x0000_t202" style="position:absolute;left:0pt;margin-left:-9pt;margin-top:17.7pt;height:36.7pt;width:81pt;z-index:251694080;mso-width-relative:page;mso-height-relative:page;" filled="f" stroked="f" coordsize="21600,21600"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b&#10;0iq31wAAAAoBAAAPAAAAAAAAAAEAIAAAACIAAABkcnMvZG93bnJldi54bWxQSwECFAAUAAAACACH&#10;TuJAZYjPaLMBAABeAwAADgAAAAAAAAABACAAAAAmAQAAZHJzL2Uyb0RvYy54bWxQSwUGAAAAAAYA&#10;BgBZAQAASwUAAAAA&#10;">
                <v:fill on="f" focussize="0,0"/>
                <v:stroke on="f"/>
                <v:imagedata o:title=""/>
                <o:lock v:ext="edit" aspectratio="f"/>
                <v:textbox>
                  <w:txbxContent>
                    <w:p w14:paraId="74F3F38B">
                      <w:pPr>
                        <w:rPr>
                          <w:rFonts w:ascii="楷体_GB2312" w:hAnsi="宋体" w:eastAsia="楷体_GB2312"/>
                          <w:b/>
                          <w:color w:val="000000"/>
                          <w:sz w:val="18"/>
                          <w:szCs w:val="18"/>
                        </w:rPr>
                      </w:pPr>
                      <w:r>
                        <w:rPr>
                          <w:rFonts w:hint="eastAsia" w:ascii="楷体_GB2312" w:hAnsi="宋体" w:eastAsia="楷体_GB2312"/>
                          <w:b/>
                          <w:color w:val="000000"/>
                          <w:sz w:val="18"/>
                          <w:szCs w:val="18"/>
                        </w:rPr>
                        <w:t>超大件和超重</w:t>
                      </w:r>
                    </w:p>
                    <w:p w14:paraId="49498460">
                      <w:pPr>
                        <w:rPr>
                          <w:rFonts w:ascii="楷体_GB2312" w:hAnsi="宋体" w:eastAsia="楷体_GB2312"/>
                          <w:b/>
                          <w:color w:val="000000"/>
                          <w:sz w:val="18"/>
                          <w:szCs w:val="18"/>
                        </w:rPr>
                      </w:pPr>
                      <w:r>
                        <w:rPr>
                          <w:rFonts w:hint="eastAsia" w:ascii="楷体_GB2312" w:hAnsi="宋体" w:eastAsia="楷体_GB2312"/>
                          <w:b/>
                          <w:color w:val="000000"/>
                          <w:sz w:val="18"/>
                          <w:szCs w:val="18"/>
                        </w:rPr>
                        <w:t>件的运输</w:t>
                      </w:r>
                    </w:p>
                  </w:txbxContent>
                </v:textbox>
              </v:shape>
            </w:pict>
          </mc:Fallback>
        </mc:AlternateContent>
      </w:r>
      <w:r>
        <w:rPr>
          <w:rFonts w:hAnsi="宋体"/>
          <w:b/>
          <w:color w:val="auto"/>
          <w:sz w:val="24"/>
          <w:szCs w:val="18"/>
        </w:rPr>
        <w:t>13.4</w:t>
      </w:r>
    </w:p>
    <w:p w14:paraId="110F64C0">
      <w:pPr>
        <w:pStyle w:val="2"/>
        <w:tabs>
          <w:tab w:val="left" w:pos="1202"/>
        </w:tabs>
        <w:adjustRightInd w:val="0"/>
        <w:snapToGrid w:val="0"/>
        <w:spacing w:line="360" w:lineRule="auto"/>
        <w:ind w:left="1619" w:leftChars="771"/>
        <w:rPr>
          <w:rFonts w:hAnsi="宋体"/>
          <w:color w:val="auto"/>
          <w:sz w:val="24"/>
        </w:rPr>
      </w:pPr>
      <w:r>
        <w:rPr>
          <w:rFonts w:hint="eastAsia" w:hAnsi="宋体"/>
          <w:color w:val="auto"/>
          <w:sz w:val="24"/>
        </w:rPr>
        <w:t>承包人应负责向交通管理部门办理运输超大件或超重件的申请手续，发包人应协助承包人办理上述手续。除专用条款另有约定外，运输超大件或超重件所需的道路和桥梁临时加固改造费用和其他有关费用，由承包人承担。</w:t>
      </w:r>
    </w:p>
    <w:p w14:paraId="69DFE9A3">
      <w:pPr>
        <w:pStyle w:val="2"/>
        <w:adjustRightInd w:val="0"/>
        <w:snapToGrid w:val="0"/>
        <w:spacing w:line="360" w:lineRule="auto"/>
        <w:rPr>
          <w:rFonts w:hAnsi="宋体"/>
          <w:b/>
          <w:color w:val="auto"/>
          <w:sz w:val="24"/>
          <w:szCs w:val="18"/>
        </w:rPr>
      </w:pPr>
      <w:r>
        <w:rPr>
          <w:color w:val="auto"/>
        </w:rPr>
        <mc:AlternateContent>
          <mc:Choice Requires="wps">
            <w:drawing>
              <wp:anchor distT="0" distB="0" distL="114300" distR="114300" simplePos="0" relativeHeight="251695104" behindDoc="0" locked="0" layoutInCell="1" allowOverlap="1">
                <wp:simplePos x="0" y="0"/>
                <wp:positionH relativeFrom="column">
                  <wp:posOffset>-114300</wp:posOffset>
                </wp:positionH>
                <wp:positionV relativeFrom="paragraph">
                  <wp:posOffset>224790</wp:posOffset>
                </wp:positionV>
                <wp:extent cx="1028700" cy="46609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028700" cy="466090"/>
                        </a:xfrm>
                        <a:prstGeom prst="rect">
                          <a:avLst/>
                        </a:prstGeom>
                        <a:noFill/>
                        <a:ln>
                          <a:noFill/>
                        </a:ln>
                        <a:effectLst/>
                      </wps:spPr>
                      <wps:txbx>
                        <w:txbxContent>
                          <w:p w14:paraId="0B03F537">
                            <w:pPr>
                              <w:rPr>
                                <w:rFonts w:ascii="楷体_GB2312" w:hAnsi="宋体" w:eastAsia="楷体_GB2312"/>
                                <w:b/>
                                <w:color w:val="000000"/>
                                <w:sz w:val="18"/>
                                <w:szCs w:val="18"/>
                              </w:rPr>
                            </w:pPr>
                            <w:r>
                              <w:rPr>
                                <w:rFonts w:hint="eastAsia" w:ascii="楷体_GB2312" w:hAnsi="宋体" w:eastAsia="楷体_GB2312"/>
                                <w:b/>
                                <w:color w:val="000000"/>
                                <w:sz w:val="18"/>
                                <w:szCs w:val="18"/>
                              </w:rPr>
                              <w:t>道路和桥梁的</w:t>
                            </w:r>
                          </w:p>
                          <w:p w14:paraId="4A3DBFFA">
                            <w:pPr>
                              <w:rPr>
                                <w:rFonts w:ascii="楷体_GB2312" w:hAnsi="宋体" w:eastAsia="楷体_GB2312"/>
                                <w:b/>
                                <w:color w:val="000000"/>
                                <w:sz w:val="18"/>
                                <w:szCs w:val="18"/>
                              </w:rPr>
                            </w:pPr>
                            <w:r>
                              <w:rPr>
                                <w:rFonts w:hint="eastAsia" w:ascii="楷体_GB2312" w:hAnsi="宋体" w:eastAsia="楷体_GB2312"/>
                                <w:b/>
                                <w:color w:val="000000"/>
                                <w:sz w:val="18"/>
                                <w:szCs w:val="18"/>
                              </w:rPr>
                              <w:t>损坏责任</w:t>
                            </w:r>
                          </w:p>
                        </w:txbxContent>
                      </wps:txbx>
                      <wps:bodyPr upright="1"/>
                    </wps:wsp>
                  </a:graphicData>
                </a:graphic>
              </wp:anchor>
            </w:drawing>
          </mc:Choice>
          <mc:Fallback>
            <w:pict>
              <v:shape id="_x0000_s1026" o:spid="_x0000_s1026" o:spt="202" type="#_x0000_t202" style="position:absolute;left:0pt;margin-left:-9pt;margin-top:17.7pt;height:36.7pt;width:81pt;z-index:251695104;mso-width-relative:page;mso-height-relative:page;" filled="f" stroked="f" coordsize="21600,21600"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BvS&#10;KrfXAAAACgEAAA8AAAAAAAAAAQAgAAAAIgAAAGRycy9kb3ducmV2LnhtbFBLAQIUABQAAAAIAIdO&#10;4kAL0GPUsgEAAF4DAAAOAAAAAAAAAAEAIAAAACYBAABkcnMvZTJvRG9jLnhtbFBLBQYAAAAABgAG&#10;AFkBAABKBQAAAAA=&#10;">
                <v:fill on="f" focussize="0,0"/>
                <v:stroke on="f"/>
                <v:imagedata o:title=""/>
                <o:lock v:ext="edit" aspectratio="f"/>
                <v:textbox>
                  <w:txbxContent>
                    <w:p w14:paraId="0B03F537">
                      <w:pPr>
                        <w:rPr>
                          <w:rFonts w:ascii="楷体_GB2312" w:hAnsi="宋体" w:eastAsia="楷体_GB2312"/>
                          <w:b/>
                          <w:color w:val="000000"/>
                          <w:sz w:val="18"/>
                          <w:szCs w:val="18"/>
                        </w:rPr>
                      </w:pPr>
                      <w:r>
                        <w:rPr>
                          <w:rFonts w:hint="eastAsia" w:ascii="楷体_GB2312" w:hAnsi="宋体" w:eastAsia="楷体_GB2312"/>
                          <w:b/>
                          <w:color w:val="000000"/>
                          <w:sz w:val="18"/>
                          <w:szCs w:val="18"/>
                        </w:rPr>
                        <w:t>道路和桥梁的</w:t>
                      </w:r>
                    </w:p>
                    <w:p w14:paraId="4A3DBFFA">
                      <w:pPr>
                        <w:rPr>
                          <w:rFonts w:ascii="楷体_GB2312" w:hAnsi="宋体" w:eastAsia="楷体_GB2312"/>
                          <w:b/>
                          <w:color w:val="000000"/>
                          <w:sz w:val="18"/>
                          <w:szCs w:val="18"/>
                        </w:rPr>
                      </w:pPr>
                      <w:r>
                        <w:rPr>
                          <w:rFonts w:hint="eastAsia" w:ascii="楷体_GB2312" w:hAnsi="宋体" w:eastAsia="楷体_GB2312"/>
                          <w:b/>
                          <w:color w:val="000000"/>
                          <w:sz w:val="18"/>
                          <w:szCs w:val="18"/>
                        </w:rPr>
                        <w:t>损坏责任</w:t>
                      </w:r>
                    </w:p>
                  </w:txbxContent>
                </v:textbox>
              </v:shape>
            </w:pict>
          </mc:Fallback>
        </mc:AlternateContent>
      </w:r>
      <w:r>
        <w:rPr>
          <w:rFonts w:hAnsi="宋体"/>
          <w:b/>
          <w:color w:val="auto"/>
          <w:sz w:val="24"/>
          <w:szCs w:val="18"/>
        </w:rPr>
        <w:t>13.5</w:t>
      </w:r>
    </w:p>
    <w:p w14:paraId="77D504E1">
      <w:pPr>
        <w:pStyle w:val="2"/>
        <w:tabs>
          <w:tab w:val="left" w:pos="1202"/>
        </w:tabs>
        <w:adjustRightInd w:val="0"/>
        <w:snapToGrid w:val="0"/>
        <w:spacing w:line="360" w:lineRule="auto"/>
        <w:ind w:left="1619" w:leftChars="771"/>
        <w:rPr>
          <w:rFonts w:hAnsi="宋体"/>
          <w:color w:val="auto"/>
          <w:sz w:val="24"/>
        </w:rPr>
      </w:pPr>
      <w:r>
        <w:rPr>
          <w:rFonts w:hint="eastAsia" w:hAnsi="宋体"/>
          <w:color w:val="auto"/>
          <w:sz w:val="24"/>
        </w:rPr>
        <w:t>因承包人运输造成施工场地内外公共道路和桥梁损坏的，由承包人承担修复损坏的全部费用和可能引起的赔偿。</w:t>
      </w:r>
    </w:p>
    <w:p w14:paraId="1350E51F">
      <w:pPr>
        <w:pStyle w:val="2"/>
        <w:adjustRightInd w:val="0"/>
        <w:snapToGrid w:val="0"/>
        <w:spacing w:line="360" w:lineRule="auto"/>
        <w:rPr>
          <w:rFonts w:hAnsi="宋体"/>
          <w:b/>
          <w:color w:val="auto"/>
          <w:sz w:val="24"/>
          <w:szCs w:val="18"/>
        </w:rPr>
      </w:pPr>
      <w:r>
        <w:rPr>
          <w:color w:val="auto"/>
        </w:rPr>
        <mc:AlternateContent>
          <mc:Choice Requires="wps">
            <w:drawing>
              <wp:anchor distT="0" distB="0" distL="114300" distR="114300" simplePos="0" relativeHeight="251696128" behindDoc="0" locked="0" layoutInCell="1" allowOverlap="1">
                <wp:simplePos x="0" y="0"/>
                <wp:positionH relativeFrom="column">
                  <wp:posOffset>-114300</wp:posOffset>
                </wp:positionH>
                <wp:positionV relativeFrom="paragraph">
                  <wp:posOffset>224790</wp:posOffset>
                </wp:positionV>
                <wp:extent cx="1028700" cy="60833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028700" cy="608330"/>
                        </a:xfrm>
                        <a:prstGeom prst="rect">
                          <a:avLst/>
                        </a:prstGeom>
                        <a:noFill/>
                        <a:ln>
                          <a:noFill/>
                        </a:ln>
                        <a:effectLst/>
                      </wps:spPr>
                      <wps:txbx>
                        <w:txbxContent>
                          <w:p w14:paraId="5A939232">
                            <w:pPr>
                              <w:rPr>
                                <w:rFonts w:ascii="楷体_GB2312" w:hAnsi="宋体" w:eastAsia="楷体_GB2312"/>
                                <w:b/>
                                <w:color w:val="000000"/>
                                <w:sz w:val="18"/>
                                <w:szCs w:val="18"/>
                              </w:rPr>
                            </w:pPr>
                            <w:r>
                              <w:rPr>
                                <w:rFonts w:hint="eastAsia" w:ascii="楷体_GB2312" w:hAnsi="宋体" w:eastAsia="楷体_GB2312"/>
                                <w:b/>
                                <w:color w:val="000000"/>
                                <w:sz w:val="18"/>
                                <w:szCs w:val="18"/>
                              </w:rPr>
                              <w:t>水路和航空运</w:t>
                            </w:r>
                          </w:p>
                          <w:p w14:paraId="644D4034">
                            <w:pPr>
                              <w:rPr>
                                <w:rFonts w:ascii="楷体_GB2312" w:hAnsi="宋体" w:eastAsia="楷体_GB2312"/>
                                <w:b/>
                                <w:color w:val="000000"/>
                                <w:sz w:val="18"/>
                                <w:szCs w:val="18"/>
                              </w:rPr>
                            </w:pPr>
                            <w:r>
                              <w:rPr>
                                <w:rFonts w:hint="eastAsia" w:ascii="楷体_GB2312" w:hAnsi="宋体" w:eastAsia="楷体_GB2312"/>
                                <w:b/>
                                <w:color w:val="000000"/>
                                <w:sz w:val="18"/>
                                <w:szCs w:val="18"/>
                              </w:rPr>
                              <w:t>输</w:t>
                            </w:r>
                          </w:p>
                        </w:txbxContent>
                      </wps:txbx>
                      <wps:bodyPr upright="1"/>
                    </wps:wsp>
                  </a:graphicData>
                </a:graphic>
              </wp:anchor>
            </w:drawing>
          </mc:Choice>
          <mc:Fallback>
            <w:pict>
              <v:shape id="_x0000_s1026" o:spid="_x0000_s1026" o:spt="202" type="#_x0000_t202" style="position:absolute;left:0pt;margin-left:-9pt;margin-top:17.7pt;height:47.9pt;width:81pt;z-index:251696128;mso-width-relative:page;mso-height-relative:page;" filled="f" stroked="f" coordsize="21600,21600" o:gfxdata="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4&#10;pp1J1wAAAAoBAAAPAAAAAAAAAAEAIAAAACIAAABkcnMvZG93bnJldi54bWxQSwECFAAUAAAACACH&#10;TuJAeYqNB7MBAABeAwAADgAAAAAAAAABACAAAAAmAQAAZHJzL2Uyb0RvYy54bWxQSwUGAAAAAAYA&#10;BgBZAQAASwUAAAAA&#10;">
                <v:fill on="f" focussize="0,0"/>
                <v:stroke on="f"/>
                <v:imagedata o:title=""/>
                <o:lock v:ext="edit" aspectratio="f"/>
                <v:textbox>
                  <w:txbxContent>
                    <w:p w14:paraId="5A939232">
                      <w:pPr>
                        <w:rPr>
                          <w:rFonts w:ascii="楷体_GB2312" w:hAnsi="宋体" w:eastAsia="楷体_GB2312"/>
                          <w:b/>
                          <w:color w:val="000000"/>
                          <w:sz w:val="18"/>
                          <w:szCs w:val="18"/>
                        </w:rPr>
                      </w:pPr>
                      <w:r>
                        <w:rPr>
                          <w:rFonts w:hint="eastAsia" w:ascii="楷体_GB2312" w:hAnsi="宋体" w:eastAsia="楷体_GB2312"/>
                          <w:b/>
                          <w:color w:val="000000"/>
                          <w:sz w:val="18"/>
                          <w:szCs w:val="18"/>
                        </w:rPr>
                        <w:t>水路和航空运</w:t>
                      </w:r>
                    </w:p>
                    <w:p w14:paraId="644D4034">
                      <w:pPr>
                        <w:rPr>
                          <w:rFonts w:ascii="楷体_GB2312" w:hAnsi="宋体" w:eastAsia="楷体_GB2312"/>
                          <w:b/>
                          <w:color w:val="000000"/>
                          <w:sz w:val="18"/>
                          <w:szCs w:val="18"/>
                        </w:rPr>
                      </w:pPr>
                      <w:r>
                        <w:rPr>
                          <w:rFonts w:hint="eastAsia" w:ascii="楷体_GB2312" w:hAnsi="宋体" w:eastAsia="楷体_GB2312"/>
                          <w:b/>
                          <w:color w:val="000000"/>
                          <w:sz w:val="18"/>
                          <w:szCs w:val="18"/>
                        </w:rPr>
                        <w:t>输</w:t>
                      </w:r>
                    </w:p>
                  </w:txbxContent>
                </v:textbox>
              </v:shape>
            </w:pict>
          </mc:Fallback>
        </mc:AlternateContent>
      </w:r>
      <w:r>
        <w:rPr>
          <w:rFonts w:hAnsi="宋体"/>
          <w:b/>
          <w:color w:val="auto"/>
          <w:sz w:val="24"/>
          <w:szCs w:val="18"/>
        </w:rPr>
        <w:t>13.6</w:t>
      </w:r>
    </w:p>
    <w:p w14:paraId="4A179BB8">
      <w:pPr>
        <w:pStyle w:val="2"/>
        <w:tabs>
          <w:tab w:val="left" w:pos="1202"/>
        </w:tabs>
        <w:adjustRightInd w:val="0"/>
        <w:snapToGrid w:val="0"/>
        <w:spacing w:line="360" w:lineRule="auto"/>
        <w:ind w:left="1619" w:leftChars="771"/>
        <w:rPr>
          <w:rFonts w:hAnsi="宋体"/>
          <w:color w:val="auto"/>
          <w:sz w:val="24"/>
        </w:rPr>
      </w:pPr>
      <w:r>
        <w:rPr>
          <w:rFonts w:hint="eastAsia" w:hAnsi="宋体"/>
          <w:color w:val="auto"/>
          <w:sz w:val="24"/>
          <w:szCs w:val="18"/>
        </w:rPr>
        <w:t>本条内容适用于水路运输和航空运输，其中“道路”包括河道、航线、船闸、机场、码头、堤防以及水路或航空运输中其他相似结构物；“车辆”包括</w:t>
      </w:r>
      <w:r>
        <w:rPr>
          <w:rFonts w:hint="eastAsia" w:hAnsi="宋体"/>
          <w:color w:val="auto"/>
          <w:sz w:val="24"/>
        </w:rPr>
        <w:t>船舶和飞机等。</w:t>
      </w:r>
    </w:p>
    <w:p w14:paraId="5F9217AE">
      <w:pPr>
        <w:pStyle w:val="2"/>
        <w:tabs>
          <w:tab w:val="left" w:pos="1202"/>
        </w:tabs>
        <w:adjustRightInd w:val="0"/>
        <w:snapToGrid w:val="0"/>
        <w:spacing w:line="360" w:lineRule="auto"/>
        <w:jc w:val="left"/>
        <w:rPr>
          <w:rFonts w:hAnsi="宋体"/>
          <w:b/>
          <w:color w:val="auto"/>
          <w:sz w:val="30"/>
          <w:szCs w:val="24"/>
        </w:rPr>
      </w:pPr>
    </w:p>
    <w:p w14:paraId="506A28BD">
      <w:pPr>
        <w:pStyle w:val="2"/>
        <w:tabs>
          <w:tab w:val="left" w:pos="3818"/>
        </w:tabs>
        <w:adjustRightInd w:val="0"/>
        <w:snapToGrid w:val="0"/>
        <w:spacing w:before="240" w:beforeLines="100" w:line="360" w:lineRule="auto"/>
        <w:ind w:right="-238"/>
        <w:rPr>
          <w:rFonts w:hAnsi="宋体"/>
          <w:b/>
          <w:color w:val="auto"/>
          <w:sz w:val="30"/>
          <w:szCs w:val="24"/>
        </w:rPr>
      </w:pPr>
      <w:r>
        <w:rPr>
          <w:rFonts w:hAnsi="宋体"/>
          <w:b/>
          <w:color w:val="auto"/>
          <w:sz w:val="30"/>
          <w:szCs w:val="24"/>
        </w:rPr>
        <w:t xml:space="preserve">14  </w:t>
      </w:r>
      <w:r>
        <w:rPr>
          <w:rFonts w:hint="eastAsia" w:hAnsi="宋体"/>
          <w:b/>
          <w:color w:val="auto"/>
          <w:sz w:val="30"/>
          <w:szCs w:val="24"/>
        </w:rPr>
        <w:t>专项批准事件的签认</w:t>
      </w:r>
      <w:r>
        <w:rPr>
          <w:rFonts w:hAnsi="宋体"/>
          <w:b/>
          <w:color w:val="auto"/>
          <w:sz w:val="30"/>
          <w:szCs w:val="24"/>
        </w:rPr>
        <w:tab/>
      </w:r>
    </w:p>
    <w:p w14:paraId="145AB619">
      <w:pPr>
        <w:pStyle w:val="2"/>
        <w:tabs>
          <w:tab w:val="left" w:pos="1202"/>
        </w:tabs>
        <w:adjustRightInd w:val="0"/>
        <w:snapToGrid w:val="0"/>
        <w:spacing w:line="360" w:lineRule="auto"/>
        <w:rPr>
          <w:rFonts w:hAnsi="宋体"/>
          <w:b/>
          <w:color w:val="auto"/>
          <w:sz w:val="24"/>
          <w:szCs w:val="18"/>
        </w:rPr>
      </w:pPr>
      <w:r>
        <w:rPr>
          <w:color w:val="auto"/>
        </w:rPr>
        <mc:AlternateContent>
          <mc:Choice Requires="wps">
            <w:drawing>
              <wp:anchor distT="0" distB="0" distL="114300" distR="114300" simplePos="0" relativeHeight="251697152" behindDoc="0" locked="0" layoutInCell="1" allowOverlap="1">
                <wp:simplePos x="0" y="0"/>
                <wp:positionH relativeFrom="column">
                  <wp:posOffset>-114300</wp:posOffset>
                </wp:positionH>
                <wp:positionV relativeFrom="paragraph">
                  <wp:posOffset>246380</wp:posOffset>
                </wp:positionV>
                <wp:extent cx="914400" cy="875665"/>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914400" cy="875665"/>
                        </a:xfrm>
                        <a:prstGeom prst="rect">
                          <a:avLst/>
                        </a:prstGeom>
                        <a:noFill/>
                        <a:ln>
                          <a:noFill/>
                        </a:ln>
                        <a:effectLst/>
                      </wps:spPr>
                      <wps:txbx>
                        <w:txbxContent>
                          <w:p w14:paraId="55663875">
                            <w:pPr>
                              <w:rPr>
                                <w:rFonts w:ascii="楷体_GB2312" w:hAnsi="宋体" w:eastAsia="楷体_GB2312"/>
                                <w:b/>
                                <w:color w:val="000000"/>
                                <w:sz w:val="18"/>
                                <w:szCs w:val="18"/>
                              </w:rPr>
                            </w:pPr>
                            <w:r>
                              <w:rPr>
                                <w:rFonts w:hint="eastAsia" w:ascii="楷体_GB2312" w:hAnsi="宋体" w:eastAsia="楷体_GB2312"/>
                                <w:b/>
                                <w:color w:val="000000"/>
                                <w:sz w:val="18"/>
                                <w:szCs w:val="18"/>
                              </w:rPr>
                              <w:t>专项批准事件的签认</w:t>
                            </w:r>
                          </w:p>
                        </w:txbxContent>
                      </wps:txbx>
                      <wps:bodyPr upright="1"/>
                    </wps:wsp>
                  </a:graphicData>
                </a:graphic>
              </wp:anchor>
            </w:drawing>
          </mc:Choice>
          <mc:Fallback>
            <w:pict>
              <v:shape id="_x0000_s1026" o:spid="_x0000_s1026" o:spt="202" type="#_x0000_t202" style="position:absolute;left:0pt;margin-left:-9pt;margin-top:19.4pt;height:68.95pt;width:72pt;z-index:251697152;mso-width-relative:page;mso-height-relative:page;" filled="f" stroked="f" coordsize="21600,21600" o:gfxdata="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s&#10;cEsY2AAAAAoBAAAPAAAAAAAAAAEAIAAAACIAAABkcnMvZG93bnJldi54bWxQSwECFAAUAAAACACH&#10;TuJArW7OFLIBAABdAwAADgAAAAAAAAABACAAAAAnAQAAZHJzL2Uyb0RvYy54bWxQSwUGAAAAAAYA&#10;BgBZAQAASwUAAAAA&#10;">
                <v:fill on="f" focussize="0,0"/>
                <v:stroke on="f"/>
                <v:imagedata o:title=""/>
                <o:lock v:ext="edit" aspectratio="f"/>
                <v:textbox>
                  <w:txbxContent>
                    <w:p w14:paraId="55663875">
                      <w:pPr>
                        <w:rPr>
                          <w:rFonts w:ascii="楷体_GB2312" w:hAnsi="宋体" w:eastAsia="楷体_GB2312"/>
                          <w:b/>
                          <w:color w:val="000000"/>
                          <w:sz w:val="18"/>
                          <w:szCs w:val="18"/>
                        </w:rPr>
                      </w:pPr>
                      <w:r>
                        <w:rPr>
                          <w:rFonts w:hint="eastAsia" w:ascii="楷体_GB2312" w:hAnsi="宋体" w:eastAsia="楷体_GB2312"/>
                          <w:b/>
                          <w:color w:val="000000"/>
                          <w:sz w:val="18"/>
                          <w:szCs w:val="18"/>
                        </w:rPr>
                        <w:t>专项批准事件的签认</w:t>
                      </w:r>
                    </w:p>
                  </w:txbxContent>
                </v:textbox>
              </v:shape>
            </w:pict>
          </mc:Fallback>
        </mc:AlternateContent>
      </w:r>
      <w:r>
        <w:rPr>
          <w:rFonts w:hAnsi="宋体"/>
          <w:b/>
          <w:color w:val="auto"/>
          <w:sz w:val="24"/>
          <w:szCs w:val="18"/>
        </w:rPr>
        <w:t xml:space="preserve">14.1      </w:t>
      </w:r>
    </w:p>
    <w:p w14:paraId="44DE6265">
      <w:pPr>
        <w:pStyle w:val="2"/>
        <w:tabs>
          <w:tab w:val="left" w:pos="1202"/>
        </w:tabs>
        <w:adjustRightInd w:val="0"/>
        <w:snapToGrid w:val="0"/>
        <w:spacing w:line="360" w:lineRule="auto"/>
        <w:ind w:left="1619" w:leftChars="771"/>
        <w:rPr>
          <w:rFonts w:hAnsi="宋体"/>
          <w:color w:val="auto"/>
          <w:sz w:val="24"/>
          <w:szCs w:val="18"/>
        </w:rPr>
      </w:pPr>
      <w:r>
        <w:rPr>
          <w:rFonts w:hint="eastAsia" w:hAnsi="宋体"/>
          <w:color w:val="auto"/>
          <w:sz w:val="24"/>
          <w:szCs w:val="18"/>
        </w:rPr>
        <w:t>合同履行期间，合同工程发生第</w:t>
      </w:r>
      <w:r>
        <w:rPr>
          <w:rFonts w:hAnsi="宋体"/>
          <w:color w:val="auto"/>
          <w:sz w:val="24"/>
          <w:szCs w:val="18"/>
        </w:rPr>
        <w:t>23.3</w:t>
      </w:r>
      <w:r>
        <w:rPr>
          <w:rFonts w:hint="eastAsia" w:hAnsi="宋体"/>
          <w:color w:val="auto"/>
          <w:sz w:val="24"/>
          <w:szCs w:val="18"/>
        </w:rPr>
        <w:t>款、第</w:t>
      </w:r>
      <w:r>
        <w:rPr>
          <w:rFonts w:hAnsi="宋体"/>
          <w:color w:val="auto"/>
          <w:sz w:val="24"/>
          <w:szCs w:val="18"/>
        </w:rPr>
        <w:t>24.3</w:t>
      </w:r>
      <w:r>
        <w:rPr>
          <w:rFonts w:hint="eastAsia" w:hAnsi="宋体"/>
          <w:color w:val="auto"/>
          <w:sz w:val="24"/>
          <w:szCs w:val="18"/>
        </w:rPr>
        <w:t>款专项批准事件的，发包人批准后应通知监理工程师和（或）造价工程师按照合同约定以书面形式向承包人发出工作指令，提供所需的相关资料。承包人在收到监理工程师和（或）造价工程师发出的工作指令后，应按照合同约定实施发生事件的相关工作。</w:t>
      </w:r>
    </w:p>
    <w:p w14:paraId="14BBEAF6">
      <w:pPr>
        <w:pStyle w:val="2"/>
        <w:tabs>
          <w:tab w:val="left" w:pos="1202"/>
        </w:tabs>
        <w:adjustRightInd w:val="0"/>
        <w:snapToGrid w:val="0"/>
        <w:spacing w:line="360" w:lineRule="auto"/>
        <w:ind w:left="1619" w:leftChars="771"/>
        <w:rPr>
          <w:rFonts w:hAnsi="宋体"/>
          <w:color w:val="auto"/>
          <w:sz w:val="24"/>
          <w:szCs w:val="18"/>
        </w:rPr>
      </w:pPr>
      <w:r>
        <w:rPr>
          <w:rFonts w:hint="eastAsia" w:hAnsi="宋体"/>
          <w:color w:val="auto"/>
          <w:sz w:val="24"/>
          <w:szCs w:val="18"/>
        </w:rPr>
        <w:t>合同双方当事人应按照第</w:t>
      </w:r>
      <w:r>
        <w:rPr>
          <w:rFonts w:hAnsi="宋体"/>
          <w:color w:val="auto"/>
          <w:sz w:val="24"/>
          <w:szCs w:val="18"/>
        </w:rPr>
        <w:t>14.2</w:t>
      </w:r>
      <w:r>
        <w:rPr>
          <w:rFonts w:hint="eastAsia" w:hAnsi="宋体"/>
          <w:color w:val="auto"/>
          <w:sz w:val="24"/>
          <w:szCs w:val="18"/>
        </w:rPr>
        <w:t>款规定对发生的专项批准事件予以签认，并及时将发生事件的相关资料整理、归档，同时按第</w:t>
      </w:r>
      <w:r>
        <w:rPr>
          <w:rFonts w:hAnsi="宋体"/>
          <w:color w:val="auto"/>
          <w:sz w:val="24"/>
          <w:szCs w:val="18"/>
        </w:rPr>
        <w:t>23.2</w:t>
      </w:r>
      <w:r>
        <w:rPr>
          <w:rFonts w:hint="eastAsia" w:hAnsi="宋体"/>
          <w:color w:val="auto"/>
          <w:sz w:val="24"/>
          <w:szCs w:val="18"/>
        </w:rPr>
        <w:t>款、第</w:t>
      </w:r>
      <w:r>
        <w:rPr>
          <w:rFonts w:hAnsi="宋体"/>
          <w:color w:val="auto"/>
          <w:sz w:val="24"/>
          <w:szCs w:val="18"/>
        </w:rPr>
        <w:t>24.2</w:t>
      </w:r>
      <w:r>
        <w:rPr>
          <w:rFonts w:hint="eastAsia" w:hAnsi="宋体"/>
          <w:color w:val="auto"/>
          <w:sz w:val="24"/>
          <w:szCs w:val="18"/>
        </w:rPr>
        <w:t>款规定职权将其中一份送监理工程师和（或）造价工程师留存。</w:t>
      </w:r>
    </w:p>
    <w:p w14:paraId="5256298F">
      <w:pPr>
        <w:pStyle w:val="2"/>
        <w:tabs>
          <w:tab w:val="left" w:pos="2160"/>
        </w:tabs>
        <w:spacing w:before="192" w:beforeLines="80" w:line="360" w:lineRule="auto"/>
        <w:rPr>
          <w:rFonts w:hAnsi="宋体"/>
          <w:b/>
          <w:color w:val="auto"/>
          <w:sz w:val="24"/>
          <w:szCs w:val="18"/>
        </w:rPr>
      </w:pPr>
      <w:r>
        <w:rPr>
          <w:rFonts w:hAnsi="宋体"/>
          <w:b/>
          <w:color w:val="auto"/>
          <w:sz w:val="24"/>
          <w:szCs w:val="18"/>
        </w:rPr>
        <w:t>14.2</w:t>
      </w:r>
    </w:p>
    <w:p w14:paraId="4E15E9B2">
      <w:pPr>
        <w:pStyle w:val="2"/>
        <w:tabs>
          <w:tab w:val="left" w:pos="1620"/>
        </w:tabs>
        <w:spacing w:line="360" w:lineRule="auto"/>
        <w:ind w:left="1618" w:leftChars="770" w:hanging="1"/>
        <w:rPr>
          <w:rFonts w:hAnsi="宋体"/>
          <w:color w:val="auto"/>
          <w:sz w:val="24"/>
          <w:szCs w:val="18"/>
        </w:rPr>
      </w:pPr>
      <w:r>
        <w:rPr>
          <w:color w:val="auto"/>
        </w:rPr>
        <mc:AlternateContent>
          <mc:Choice Requires="wps">
            <w:drawing>
              <wp:anchor distT="0" distB="0" distL="114300" distR="114300" simplePos="0" relativeHeight="251698176" behindDoc="0" locked="0" layoutInCell="1" allowOverlap="1">
                <wp:simplePos x="0" y="0"/>
                <wp:positionH relativeFrom="column">
                  <wp:posOffset>0</wp:posOffset>
                </wp:positionH>
                <wp:positionV relativeFrom="paragraph">
                  <wp:posOffset>10795</wp:posOffset>
                </wp:positionV>
                <wp:extent cx="914400" cy="875665"/>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914400" cy="875665"/>
                        </a:xfrm>
                        <a:prstGeom prst="rect">
                          <a:avLst/>
                        </a:prstGeom>
                        <a:noFill/>
                        <a:ln>
                          <a:noFill/>
                        </a:ln>
                        <a:effectLst/>
                      </wps:spPr>
                      <wps:txbx>
                        <w:txbxContent>
                          <w:p w14:paraId="2F0A655E">
                            <w:pPr>
                              <w:rPr>
                                <w:rFonts w:ascii="楷体_GB2312" w:hAnsi="宋体" w:eastAsia="楷体_GB2312"/>
                                <w:b/>
                                <w:color w:val="000000"/>
                                <w:sz w:val="18"/>
                                <w:szCs w:val="18"/>
                              </w:rPr>
                            </w:pPr>
                            <w:r>
                              <w:rPr>
                                <w:rFonts w:hint="eastAsia" w:ascii="楷体_GB2312" w:hAnsi="宋体" w:eastAsia="楷体_GB2312"/>
                                <w:b/>
                                <w:color w:val="000000"/>
                                <w:sz w:val="18"/>
                                <w:szCs w:val="18"/>
                              </w:rPr>
                              <w:t>专项批准事件签认人的要求</w:t>
                            </w:r>
                          </w:p>
                        </w:txbxContent>
                      </wps:txbx>
                      <wps:bodyPr upright="1"/>
                    </wps:wsp>
                  </a:graphicData>
                </a:graphic>
              </wp:anchor>
            </w:drawing>
          </mc:Choice>
          <mc:Fallback>
            <w:pict>
              <v:shape id="_x0000_s1026" o:spid="_x0000_s1026" o:spt="202" type="#_x0000_t202" style="position:absolute;left:0pt;margin-left:0pt;margin-top:0.85pt;height:68.95pt;width:72pt;z-index:251698176;mso-width-relative:page;mso-height-relative:page;" filled="f" stroked="f" coordsize="21600,21600" o:gfxdata="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5qRuYtMA&#10;AAAGAQAADwAAAAAAAAABACAAAAAiAAAAZHJzL2Rvd25yZXYueG1sUEsBAhQAFAAAAAgAh07iQD2l&#10;9n+yAQAAXQMAAA4AAAAAAAAAAQAgAAAAIgEAAGRycy9lMm9Eb2MueG1sUEsFBgAAAAAGAAYAWQEA&#10;AEYFAAAAAA==&#10;">
                <v:fill on="f" focussize="0,0"/>
                <v:stroke on="f"/>
                <v:imagedata o:title=""/>
                <o:lock v:ext="edit" aspectratio="f"/>
                <v:textbox>
                  <w:txbxContent>
                    <w:p w14:paraId="2F0A655E">
                      <w:pPr>
                        <w:rPr>
                          <w:rFonts w:ascii="楷体_GB2312" w:hAnsi="宋体" w:eastAsia="楷体_GB2312"/>
                          <w:b/>
                          <w:color w:val="000000"/>
                          <w:sz w:val="18"/>
                          <w:szCs w:val="18"/>
                        </w:rPr>
                      </w:pPr>
                      <w:r>
                        <w:rPr>
                          <w:rFonts w:hint="eastAsia" w:ascii="楷体_GB2312" w:hAnsi="宋体" w:eastAsia="楷体_GB2312"/>
                          <w:b/>
                          <w:color w:val="000000"/>
                          <w:sz w:val="18"/>
                          <w:szCs w:val="18"/>
                        </w:rPr>
                        <w:t>专项批准事件签认人的要求</w:t>
                      </w:r>
                    </w:p>
                  </w:txbxContent>
                </v:textbox>
              </v:shape>
            </w:pict>
          </mc:Fallback>
        </mc:AlternateContent>
      </w:r>
      <w:r>
        <w:rPr>
          <w:rFonts w:hint="eastAsia" w:hAnsi="宋体"/>
          <w:color w:val="auto"/>
          <w:sz w:val="24"/>
          <w:szCs w:val="18"/>
        </w:rPr>
        <w:t>合同双方当事人应按照第</w:t>
      </w:r>
      <w:r>
        <w:rPr>
          <w:rFonts w:hAnsi="宋体"/>
          <w:color w:val="auto"/>
          <w:sz w:val="24"/>
          <w:szCs w:val="18"/>
        </w:rPr>
        <w:t>23.1</w:t>
      </w:r>
      <w:r>
        <w:rPr>
          <w:rFonts w:hint="eastAsia" w:hAnsi="宋体"/>
          <w:color w:val="auto"/>
          <w:sz w:val="24"/>
          <w:szCs w:val="18"/>
        </w:rPr>
        <w:t>款、第</w:t>
      </w:r>
      <w:r>
        <w:rPr>
          <w:rFonts w:hAnsi="宋体"/>
          <w:color w:val="auto"/>
          <w:sz w:val="24"/>
          <w:szCs w:val="18"/>
        </w:rPr>
        <w:t>24.1</w:t>
      </w:r>
      <w:r>
        <w:rPr>
          <w:rFonts w:hint="eastAsia" w:hAnsi="宋体"/>
          <w:color w:val="auto"/>
          <w:sz w:val="24"/>
          <w:szCs w:val="18"/>
        </w:rPr>
        <w:t>款和第</w:t>
      </w:r>
      <w:r>
        <w:rPr>
          <w:rFonts w:hAnsi="宋体"/>
          <w:color w:val="auto"/>
          <w:sz w:val="24"/>
          <w:szCs w:val="18"/>
        </w:rPr>
        <w:t>25.1</w:t>
      </w:r>
      <w:r>
        <w:rPr>
          <w:rFonts w:hint="eastAsia" w:hAnsi="宋体"/>
          <w:color w:val="auto"/>
          <w:sz w:val="24"/>
          <w:szCs w:val="18"/>
        </w:rPr>
        <w:t>款规定，分别在专用条款中写明负责专项批准事件签认的监理工程师、造价工程师和建造师具体人选，授予其负责专项批准事件签认的权力，并提供该人选的印章、签字式样，作为本合同的附件。当专项批准事件发生时，该人选应在其职权范围内，按照本合同约定的程序、时限、生效条件等要求，对发生事件的内容、数量和单价等办理签认手续，并加盖所在单位的法人公章或其授权的施工现场管理机构章。</w:t>
      </w:r>
    </w:p>
    <w:p w14:paraId="76AF3A8F">
      <w:pPr>
        <w:pStyle w:val="2"/>
        <w:adjustRightInd w:val="0"/>
        <w:snapToGrid w:val="0"/>
        <w:spacing w:line="360" w:lineRule="auto"/>
        <w:ind w:right="-238"/>
        <w:rPr>
          <w:color w:val="auto"/>
        </w:rPr>
      </w:pPr>
    </w:p>
    <w:p w14:paraId="6CDB921B">
      <w:pPr>
        <w:pStyle w:val="2"/>
        <w:adjustRightInd w:val="0"/>
        <w:snapToGrid w:val="0"/>
        <w:spacing w:before="240" w:beforeLines="100" w:line="360" w:lineRule="auto"/>
        <w:ind w:right="-238"/>
        <w:rPr>
          <w:rFonts w:hAnsi="宋体"/>
          <w:b/>
          <w:color w:val="auto"/>
          <w:sz w:val="30"/>
          <w:szCs w:val="24"/>
        </w:rPr>
      </w:pPr>
      <w:r>
        <w:rPr>
          <w:rFonts w:hAnsi="宋体"/>
          <w:b/>
          <w:color w:val="auto"/>
          <w:sz w:val="30"/>
          <w:szCs w:val="24"/>
        </w:rPr>
        <w:t xml:space="preserve">15  </w:t>
      </w:r>
      <w:r>
        <w:rPr>
          <w:rFonts w:hint="eastAsia" w:hAnsi="宋体"/>
          <w:b/>
          <w:color w:val="auto"/>
          <w:sz w:val="30"/>
          <w:szCs w:val="24"/>
        </w:rPr>
        <w:t>专利技术</w:t>
      </w:r>
    </w:p>
    <w:p w14:paraId="66F71F90">
      <w:pPr>
        <w:pStyle w:val="2"/>
        <w:adjustRightInd w:val="0"/>
        <w:snapToGrid w:val="0"/>
        <w:spacing w:line="360" w:lineRule="auto"/>
        <w:rPr>
          <w:rFonts w:hAnsi="宋体"/>
          <w:b/>
          <w:color w:val="auto"/>
          <w:sz w:val="24"/>
          <w:szCs w:val="18"/>
        </w:rPr>
      </w:pPr>
      <w:r>
        <w:rPr>
          <w:rFonts w:hAnsi="宋体"/>
          <w:b/>
          <w:color w:val="auto"/>
          <w:sz w:val="24"/>
          <w:szCs w:val="18"/>
        </w:rPr>
        <w:t xml:space="preserve">15.1                                                                                   </w:t>
      </w:r>
    </w:p>
    <w:p w14:paraId="2F5AABE7">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1699200" behindDoc="0" locked="0" layoutInCell="1" allowOverlap="1">
                <wp:simplePos x="0" y="0"/>
                <wp:positionH relativeFrom="column">
                  <wp:posOffset>-114300</wp:posOffset>
                </wp:positionH>
                <wp:positionV relativeFrom="paragraph">
                  <wp:posOffset>22860</wp:posOffset>
                </wp:positionV>
                <wp:extent cx="914400" cy="47180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914400" cy="471805"/>
                        </a:xfrm>
                        <a:prstGeom prst="rect">
                          <a:avLst/>
                        </a:prstGeom>
                        <a:noFill/>
                        <a:ln>
                          <a:noFill/>
                        </a:ln>
                        <a:effectLst/>
                      </wps:spPr>
                      <wps:txbx>
                        <w:txbxContent>
                          <w:p w14:paraId="12CF2769">
                            <w:pPr>
                              <w:rPr>
                                <w:rFonts w:ascii="楷体_GB2312" w:hAnsi="宋体" w:eastAsia="楷体_GB2312"/>
                                <w:b/>
                                <w:color w:val="000000"/>
                                <w:sz w:val="18"/>
                                <w:szCs w:val="18"/>
                              </w:rPr>
                            </w:pPr>
                            <w:r>
                              <w:rPr>
                                <w:rFonts w:hint="eastAsia" w:ascii="楷体_GB2312" w:hAnsi="宋体" w:eastAsia="楷体_GB2312"/>
                                <w:b/>
                                <w:color w:val="000000"/>
                                <w:sz w:val="18"/>
                                <w:szCs w:val="18"/>
                              </w:rPr>
                              <w:t>侵犯专利技术责任</w:t>
                            </w:r>
                          </w:p>
                        </w:txbxContent>
                      </wps:txbx>
                      <wps:bodyPr upright="1"/>
                    </wps:wsp>
                  </a:graphicData>
                </a:graphic>
              </wp:anchor>
            </w:drawing>
          </mc:Choice>
          <mc:Fallback>
            <w:pict>
              <v:shape id="_x0000_s1026" o:spid="_x0000_s1026" o:spt="202" type="#_x0000_t202" style="position:absolute;left:0pt;margin-left:-9pt;margin-top:1.8pt;height:37.15pt;width:72pt;z-index:251699200;mso-width-relative:page;mso-height-relative:page;" filled="f" stroked="f" coordsize="21600,21600" o:gfxdata="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6bZOk&#10;1gAAAAgBAAAPAAAAAAAAAAEAIAAAACIAAABkcnMvZG93bnJldi54bWxQSwECFAAUAAAACACHTuJA&#10;0Ctn7rEBAABdAwAADgAAAAAAAAABACAAAAAlAQAAZHJzL2Uyb0RvYy54bWxQSwUGAAAAAAYABgBZ&#10;AQAASAUAAAAA&#10;">
                <v:fill on="f" focussize="0,0"/>
                <v:stroke on="f"/>
                <v:imagedata o:title=""/>
                <o:lock v:ext="edit" aspectratio="f"/>
                <v:textbox>
                  <w:txbxContent>
                    <w:p w14:paraId="12CF2769">
                      <w:pPr>
                        <w:rPr>
                          <w:rFonts w:ascii="楷体_GB2312" w:hAnsi="宋体" w:eastAsia="楷体_GB2312"/>
                          <w:b/>
                          <w:color w:val="000000"/>
                          <w:sz w:val="18"/>
                          <w:szCs w:val="18"/>
                        </w:rPr>
                      </w:pPr>
                      <w:r>
                        <w:rPr>
                          <w:rFonts w:hint="eastAsia" w:ascii="楷体_GB2312" w:hAnsi="宋体" w:eastAsia="楷体_GB2312"/>
                          <w:b/>
                          <w:color w:val="000000"/>
                          <w:sz w:val="18"/>
                          <w:szCs w:val="18"/>
                        </w:rPr>
                        <w:t>侵犯专利技术责任</w:t>
                      </w:r>
                    </w:p>
                  </w:txbxContent>
                </v:textbox>
              </v:shape>
            </w:pict>
          </mc:Fallback>
        </mc:AlternateContent>
      </w:r>
      <w:r>
        <w:rPr>
          <w:rFonts w:hint="eastAsia" w:hAnsi="宋体"/>
          <w:color w:val="auto"/>
          <w:sz w:val="24"/>
          <w:szCs w:val="18"/>
        </w:rPr>
        <w:t>承包人在实施、完成并保修合同工程过程中，如因采用施工工艺或使用施工设备及自身供应的材料和工程设备，而发生侵犯他人商标、图案、工艺、材料、设备专利权或知识产权的行为，并引起索赔或诉讼，则一切与此有关的损失、赔偿、诉讼等责任，均由承包人承担。但由于遵守发包人提供的施工设计图纸、标准与规范、技术说明和要求而造成的侵权，则属例外。</w:t>
      </w:r>
    </w:p>
    <w:p w14:paraId="497A008A">
      <w:pPr>
        <w:pStyle w:val="2"/>
        <w:adjustRightInd w:val="0"/>
        <w:snapToGrid w:val="0"/>
        <w:spacing w:line="360" w:lineRule="auto"/>
        <w:rPr>
          <w:rFonts w:hAnsi="宋体"/>
          <w:b/>
          <w:color w:val="auto"/>
          <w:sz w:val="24"/>
          <w:szCs w:val="18"/>
        </w:rPr>
      </w:pPr>
      <w:r>
        <w:rPr>
          <w:rFonts w:hAnsi="宋体"/>
          <w:b/>
          <w:color w:val="auto"/>
          <w:sz w:val="24"/>
          <w:szCs w:val="18"/>
        </w:rPr>
        <w:t>15.2</w:t>
      </w:r>
    </w:p>
    <w:p w14:paraId="6175415A">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1700224" behindDoc="0" locked="0" layoutInCell="1" allowOverlap="1">
                <wp:simplePos x="0" y="0"/>
                <wp:positionH relativeFrom="column">
                  <wp:posOffset>-114300</wp:posOffset>
                </wp:positionH>
                <wp:positionV relativeFrom="paragraph">
                  <wp:posOffset>22860</wp:posOffset>
                </wp:positionV>
                <wp:extent cx="914400" cy="471805"/>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914400" cy="471805"/>
                        </a:xfrm>
                        <a:prstGeom prst="rect">
                          <a:avLst/>
                        </a:prstGeom>
                        <a:noFill/>
                        <a:ln>
                          <a:noFill/>
                        </a:ln>
                        <a:effectLst/>
                      </wps:spPr>
                      <wps:txbx>
                        <w:txbxContent>
                          <w:p w14:paraId="20D685F6">
                            <w:pPr>
                              <w:rPr>
                                <w:rFonts w:ascii="楷体_GB2312" w:hAnsi="宋体" w:eastAsia="楷体_GB2312"/>
                                <w:b/>
                                <w:color w:val="000000"/>
                                <w:sz w:val="18"/>
                                <w:szCs w:val="18"/>
                              </w:rPr>
                            </w:pPr>
                            <w:r>
                              <w:rPr>
                                <w:rFonts w:hint="eastAsia" w:ascii="楷体_GB2312" w:hAnsi="宋体" w:eastAsia="楷体_GB2312"/>
                                <w:b/>
                                <w:color w:val="000000"/>
                                <w:sz w:val="18"/>
                                <w:szCs w:val="18"/>
                              </w:rPr>
                              <w:t>专利技术的使用</w:t>
                            </w:r>
                          </w:p>
                        </w:txbxContent>
                      </wps:txbx>
                      <wps:bodyPr upright="1"/>
                    </wps:wsp>
                  </a:graphicData>
                </a:graphic>
              </wp:anchor>
            </w:drawing>
          </mc:Choice>
          <mc:Fallback>
            <w:pict>
              <v:shape id="_x0000_s1026" o:spid="_x0000_s1026" o:spt="202" type="#_x0000_t202" style="position:absolute;left:0pt;margin-left:-9pt;margin-top:1.8pt;height:37.15pt;width:72pt;z-index:251700224;mso-width-relative:page;mso-height-relative:page;" filled="f" stroked="f" coordsize="21600,21600" o:gfxdata="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m2T&#10;pNYAAAAIAQAADwAAAAAAAAABACAAAAAiAAAAZHJzL2Rvd25yZXYueG1sUEsBAhQAFAAAAAgAh07i&#10;QEDgX4WyAQAAXQMAAA4AAAAAAAAAAQAgAAAAJQEAAGRycy9lMm9Eb2MueG1sUEsFBgAAAAAGAAYA&#10;WQEAAEkFAAAAAA==&#10;">
                <v:fill on="f" focussize="0,0"/>
                <v:stroke on="f"/>
                <v:imagedata o:title=""/>
                <o:lock v:ext="edit" aspectratio="f"/>
                <v:textbox>
                  <w:txbxContent>
                    <w:p w14:paraId="20D685F6">
                      <w:pPr>
                        <w:rPr>
                          <w:rFonts w:ascii="楷体_GB2312" w:hAnsi="宋体" w:eastAsia="楷体_GB2312"/>
                          <w:b/>
                          <w:color w:val="000000"/>
                          <w:sz w:val="18"/>
                          <w:szCs w:val="18"/>
                        </w:rPr>
                      </w:pPr>
                      <w:r>
                        <w:rPr>
                          <w:rFonts w:hint="eastAsia" w:ascii="楷体_GB2312" w:hAnsi="宋体" w:eastAsia="楷体_GB2312"/>
                          <w:b/>
                          <w:color w:val="000000"/>
                          <w:sz w:val="18"/>
                          <w:szCs w:val="18"/>
                        </w:rPr>
                        <w:t>专利技术的使用</w:t>
                      </w:r>
                    </w:p>
                  </w:txbxContent>
                </v:textbox>
              </v:shape>
            </w:pict>
          </mc:Fallback>
        </mc:AlternateContent>
      </w:r>
      <w:r>
        <w:rPr>
          <w:rFonts w:hint="eastAsia" w:hAnsi="宋体"/>
          <w:color w:val="auto"/>
          <w:sz w:val="24"/>
          <w:szCs w:val="18"/>
        </w:rPr>
        <w:t>承包人在投标文件中采用专利技术的，其发生的费用已包含在投标报价内。承包人的技术秘密和第</w:t>
      </w:r>
      <w:r>
        <w:rPr>
          <w:rFonts w:hAnsi="宋体"/>
          <w:color w:val="auto"/>
          <w:sz w:val="24"/>
          <w:szCs w:val="18"/>
        </w:rPr>
        <w:t>91</w:t>
      </w:r>
      <w:r>
        <w:rPr>
          <w:rFonts w:hint="eastAsia" w:hAnsi="宋体"/>
          <w:color w:val="auto"/>
          <w:sz w:val="24"/>
          <w:szCs w:val="18"/>
        </w:rPr>
        <w:t>条规定的保密信息、资料等，发包人应严格按照第</w:t>
      </w:r>
      <w:r>
        <w:rPr>
          <w:rFonts w:hAnsi="宋体"/>
          <w:color w:val="auto"/>
          <w:sz w:val="24"/>
          <w:szCs w:val="18"/>
        </w:rPr>
        <w:t>91</w:t>
      </w:r>
      <w:r>
        <w:rPr>
          <w:rFonts w:hint="eastAsia" w:hAnsi="宋体"/>
          <w:color w:val="auto"/>
          <w:sz w:val="24"/>
          <w:szCs w:val="18"/>
        </w:rPr>
        <w:t>条规定不得为合同以外的目的泄露给第三方。</w:t>
      </w:r>
    </w:p>
    <w:p w14:paraId="4BC191CF">
      <w:pPr>
        <w:pStyle w:val="2"/>
        <w:tabs>
          <w:tab w:val="left" w:pos="1680"/>
        </w:tabs>
        <w:adjustRightInd w:val="0"/>
        <w:snapToGrid w:val="0"/>
        <w:spacing w:line="360" w:lineRule="auto"/>
        <w:rPr>
          <w:rFonts w:hAnsi="宋体"/>
          <w:color w:val="auto"/>
          <w:sz w:val="24"/>
          <w:szCs w:val="18"/>
        </w:rPr>
      </w:pPr>
      <w:r>
        <w:rPr>
          <w:color w:val="auto"/>
        </w:rPr>
        <mc:AlternateContent>
          <mc:Choice Requires="wps">
            <w:drawing>
              <wp:anchor distT="0" distB="0" distL="114300" distR="114300" simplePos="0" relativeHeight="251701248" behindDoc="0" locked="0" layoutInCell="1" allowOverlap="1">
                <wp:simplePos x="0" y="0"/>
                <wp:positionH relativeFrom="column">
                  <wp:posOffset>-114300</wp:posOffset>
                </wp:positionH>
                <wp:positionV relativeFrom="paragraph">
                  <wp:posOffset>241300</wp:posOffset>
                </wp:positionV>
                <wp:extent cx="685800" cy="45847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685800" cy="458470"/>
                        </a:xfrm>
                        <a:prstGeom prst="rect">
                          <a:avLst/>
                        </a:prstGeom>
                        <a:noFill/>
                        <a:ln>
                          <a:noFill/>
                        </a:ln>
                        <a:effectLst/>
                      </wps:spPr>
                      <wps:txbx>
                        <w:txbxContent>
                          <w:p w14:paraId="36132369">
                            <w:pPr>
                              <w:rPr>
                                <w:rFonts w:ascii="楷体_GB2312" w:hAnsi="宋体" w:eastAsia="楷体_GB2312"/>
                                <w:b/>
                                <w:color w:val="000000"/>
                                <w:sz w:val="18"/>
                                <w:szCs w:val="18"/>
                              </w:rPr>
                            </w:pPr>
                            <w:r>
                              <w:rPr>
                                <w:rFonts w:hint="eastAsia" w:ascii="楷体_GB2312" w:hAnsi="宋体" w:eastAsia="楷体_GB2312"/>
                                <w:b/>
                                <w:color w:val="000000"/>
                                <w:sz w:val="18"/>
                                <w:szCs w:val="18"/>
                              </w:rPr>
                              <w:t>版权和</w:t>
                            </w:r>
                          </w:p>
                          <w:p w14:paraId="2B386EE9">
                            <w:pPr>
                              <w:rPr>
                                <w:rFonts w:ascii="楷体_GB2312" w:hAnsi="宋体" w:eastAsia="楷体_GB2312"/>
                                <w:b/>
                                <w:color w:val="000000"/>
                                <w:sz w:val="18"/>
                                <w:szCs w:val="18"/>
                              </w:rPr>
                            </w:pPr>
                            <w:r>
                              <w:rPr>
                                <w:rFonts w:hint="eastAsia" w:ascii="楷体_GB2312" w:hAnsi="宋体" w:eastAsia="楷体_GB2312"/>
                                <w:b/>
                                <w:color w:val="000000"/>
                                <w:sz w:val="18"/>
                                <w:szCs w:val="18"/>
                              </w:rPr>
                              <w:t>知识产权</w:t>
                            </w:r>
                          </w:p>
                        </w:txbxContent>
                      </wps:txbx>
                      <wps:bodyPr upright="1"/>
                    </wps:wsp>
                  </a:graphicData>
                </a:graphic>
              </wp:anchor>
            </w:drawing>
          </mc:Choice>
          <mc:Fallback>
            <w:pict>
              <v:shape id="_x0000_s1026" o:spid="_x0000_s1026" o:spt="202" type="#_x0000_t202" style="position:absolute;left:0pt;margin-left:-9pt;margin-top:19pt;height:36.1pt;width:54pt;z-index:251701248;mso-width-relative:page;mso-height-relative:page;" filled="f" stroked="f" coordsize="21600,21600" o:gfxdata="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QD15bV&#10;AAAACQEAAA8AAAAAAAAAAQAgAAAAIgAAAGRycy9kb3ducmV2LnhtbFBLAQIUABQAAAAIAIdO4kDn&#10;UU/ZsQEAAF0DAAAOAAAAAAAAAAEAIAAAACQBAABkcnMvZTJvRG9jLnhtbFBLBQYAAAAABgAGAFkB&#10;AABHBQAAAAA=&#10;">
                <v:fill on="f" focussize="0,0"/>
                <v:stroke on="f"/>
                <v:imagedata o:title=""/>
                <o:lock v:ext="edit" aspectratio="f"/>
                <v:textbox>
                  <w:txbxContent>
                    <w:p w14:paraId="36132369">
                      <w:pPr>
                        <w:rPr>
                          <w:rFonts w:ascii="楷体_GB2312" w:hAnsi="宋体" w:eastAsia="楷体_GB2312"/>
                          <w:b/>
                          <w:color w:val="000000"/>
                          <w:sz w:val="18"/>
                          <w:szCs w:val="18"/>
                        </w:rPr>
                      </w:pPr>
                      <w:r>
                        <w:rPr>
                          <w:rFonts w:hint="eastAsia" w:ascii="楷体_GB2312" w:hAnsi="宋体" w:eastAsia="楷体_GB2312"/>
                          <w:b/>
                          <w:color w:val="000000"/>
                          <w:sz w:val="18"/>
                          <w:szCs w:val="18"/>
                        </w:rPr>
                        <w:t>版权和</w:t>
                      </w:r>
                    </w:p>
                    <w:p w14:paraId="2B386EE9">
                      <w:pPr>
                        <w:rPr>
                          <w:rFonts w:ascii="楷体_GB2312" w:hAnsi="宋体" w:eastAsia="楷体_GB2312"/>
                          <w:b/>
                          <w:color w:val="000000"/>
                          <w:sz w:val="18"/>
                          <w:szCs w:val="18"/>
                        </w:rPr>
                      </w:pPr>
                      <w:r>
                        <w:rPr>
                          <w:rFonts w:hint="eastAsia" w:ascii="楷体_GB2312" w:hAnsi="宋体" w:eastAsia="楷体_GB2312"/>
                          <w:b/>
                          <w:color w:val="000000"/>
                          <w:sz w:val="18"/>
                          <w:szCs w:val="18"/>
                        </w:rPr>
                        <w:t>知识产权</w:t>
                      </w:r>
                    </w:p>
                  </w:txbxContent>
                </v:textbox>
              </v:shape>
            </w:pict>
          </mc:Fallback>
        </mc:AlternateContent>
      </w:r>
      <w:r>
        <w:rPr>
          <w:rFonts w:hAnsi="宋体"/>
          <w:color w:val="auto"/>
          <w:sz w:val="24"/>
          <w:szCs w:val="18"/>
        </w:rPr>
        <w:t>15.3</w:t>
      </w:r>
    </w:p>
    <w:p w14:paraId="5298A61A">
      <w:pPr>
        <w:pStyle w:val="2"/>
        <w:adjustRightInd w:val="0"/>
        <w:snapToGrid w:val="0"/>
        <w:spacing w:line="360" w:lineRule="auto"/>
        <w:ind w:left="1619" w:leftChars="771"/>
        <w:rPr>
          <w:rFonts w:hAnsi="宋体"/>
          <w:color w:val="auto"/>
          <w:sz w:val="24"/>
          <w:szCs w:val="18"/>
        </w:rPr>
      </w:pPr>
      <w:r>
        <w:rPr>
          <w:rFonts w:hint="eastAsia" w:hAnsi="宋体"/>
          <w:color w:val="auto"/>
          <w:sz w:val="24"/>
          <w:szCs w:val="18"/>
        </w:rPr>
        <w:t>合同双方当事人各自对属于自己的施工设计图纸及其他文件保留版权和知识产权。双方签订本合同后，应视为分别授权对方当事人为实施合同工程而复制、使用、传送上述施工设计图纸和文件。但未经对方当事人同意，另一方当事人不得将其另作他用或转给第三方。</w:t>
      </w:r>
    </w:p>
    <w:p w14:paraId="548DB06A">
      <w:pPr>
        <w:pStyle w:val="2"/>
        <w:adjustRightInd w:val="0"/>
        <w:snapToGrid w:val="0"/>
        <w:spacing w:line="360" w:lineRule="auto"/>
        <w:rPr>
          <w:color w:val="auto"/>
        </w:rPr>
      </w:pPr>
    </w:p>
    <w:p w14:paraId="3F73BDE5">
      <w:pPr>
        <w:pStyle w:val="2"/>
        <w:adjustRightInd w:val="0"/>
        <w:snapToGrid w:val="0"/>
        <w:spacing w:line="360" w:lineRule="auto"/>
        <w:rPr>
          <w:rFonts w:hAnsi="宋体"/>
          <w:b/>
          <w:color w:val="auto"/>
          <w:sz w:val="30"/>
          <w:szCs w:val="24"/>
        </w:rPr>
      </w:pPr>
      <w:r>
        <w:rPr>
          <w:rFonts w:hAnsi="宋体"/>
          <w:b/>
          <w:color w:val="auto"/>
          <w:sz w:val="30"/>
          <w:szCs w:val="24"/>
        </w:rPr>
        <w:t xml:space="preserve">16  </w:t>
      </w:r>
      <w:r>
        <w:rPr>
          <w:rFonts w:hint="eastAsia" w:hAnsi="宋体"/>
          <w:b/>
          <w:color w:val="auto"/>
          <w:sz w:val="30"/>
          <w:szCs w:val="24"/>
        </w:rPr>
        <w:t>联合的责任</w:t>
      </w:r>
    </w:p>
    <w:p w14:paraId="44FFC504">
      <w:pPr>
        <w:pStyle w:val="2"/>
        <w:adjustRightInd w:val="0"/>
        <w:snapToGrid w:val="0"/>
        <w:spacing w:line="360" w:lineRule="auto"/>
        <w:rPr>
          <w:rFonts w:hAnsi="宋体"/>
          <w:b/>
          <w:color w:val="auto"/>
          <w:sz w:val="24"/>
          <w:szCs w:val="18"/>
        </w:rPr>
      </w:pPr>
      <w:r>
        <w:rPr>
          <w:color w:val="auto"/>
        </w:rPr>
        <mc:AlternateContent>
          <mc:Choice Requires="wps">
            <w:drawing>
              <wp:anchor distT="0" distB="0" distL="114300" distR="114300" simplePos="0" relativeHeight="251702272" behindDoc="0" locked="0" layoutInCell="1" allowOverlap="1">
                <wp:simplePos x="0" y="0"/>
                <wp:positionH relativeFrom="column">
                  <wp:posOffset>-114300</wp:posOffset>
                </wp:positionH>
                <wp:positionV relativeFrom="paragraph">
                  <wp:posOffset>234950</wp:posOffset>
                </wp:positionV>
                <wp:extent cx="800100" cy="46101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800100" cy="461010"/>
                        </a:xfrm>
                        <a:prstGeom prst="rect">
                          <a:avLst/>
                        </a:prstGeom>
                        <a:noFill/>
                        <a:ln>
                          <a:noFill/>
                        </a:ln>
                        <a:effectLst/>
                      </wps:spPr>
                      <wps:txbx>
                        <w:txbxContent>
                          <w:p w14:paraId="578508B9">
                            <w:pPr>
                              <w:rPr>
                                <w:rFonts w:ascii="楷体_GB2312" w:hAnsi="宋体" w:eastAsia="楷体_GB2312"/>
                                <w:b/>
                                <w:color w:val="000000"/>
                                <w:sz w:val="18"/>
                                <w:szCs w:val="18"/>
                              </w:rPr>
                            </w:pPr>
                            <w:r>
                              <w:rPr>
                                <w:rFonts w:hint="eastAsia" w:ascii="楷体_GB2312" w:hAnsi="宋体" w:eastAsia="楷体_GB2312"/>
                                <w:b/>
                                <w:color w:val="000000"/>
                                <w:sz w:val="18"/>
                                <w:szCs w:val="18"/>
                              </w:rPr>
                              <w:t>共同的和</w:t>
                            </w:r>
                          </w:p>
                          <w:p w14:paraId="5400F404">
                            <w:pPr>
                              <w:rPr>
                                <w:rFonts w:ascii="楷体_GB2312" w:hAnsi="宋体" w:eastAsia="楷体_GB2312"/>
                                <w:b/>
                                <w:color w:val="000000"/>
                                <w:sz w:val="18"/>
                                <w:szCs w:val="18"/>
                              </w:rPr>
                            </w:pPr>
                            <w:r>
                              <w:rPr>
                                <w:rFonts w:hint="eastAsia" w:ascii="楷体_GB2312" w:hAnsi="宋体" w:eastAsia="楷体_GB2312"/>
                                <w:b/>
                                <w:color w:val="000000"/>
                                <w:sz w:val="18"/>
                                <w:szCs w:val="18"/>
                              </w:rPr>
                              <w:t>各自的责任</w:t>
                            </w:r>
                          </w:p>
                        </w:txbxContent>
                      </wps:txbx>
                      <wps:bodyPr upright="1"/>
                    </wps:wsp>
                  </a:graphicData>
                </a:graphic>
              </wp:anchor>
            </w:drawing>
          </mc:Choice>
          <mc:Fallback>
            <w:pict>
              <v:shape id="_x0000_s1026" o:spid="_x0000_s1026" o:spt="202" type="#_x0000_t202" style="position:absolute;left:0pt;margin-left:-9pt;margin-top:18.5pt;height:36.3pt;width:63pt;z-index:251702272;mso-width-relative:page;mso-height-relative:page;" filled="f" stroked="f" coordsize="21600,21600" o:gfxdata="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J/MuDVAAAA&#10;CgEAAA8AAAAAAAAAAQAgAAAAIgAAAGRycy9kb3ducmV2LnhtbFBLAQIUABQAAAAIAIdO4kBWxAvX&#10;rgEAAF0DAAAOAAAAAAAAAAEAIAAAACQBAABkcnMvZTJvRG9jLnhtbFBLBQYAAAAABgAGAFkBAABE&#10;BQAAAAA=&#10;">
                <v:fill on="f" focussize="0,0"/>
                <v:stroke on="f"/>
                <v:imagedata o:title=""/>
                <o:lock v:ext="edit" aspectratio="f"/>
                <v:textbox>
                  <w:txbxContent>
                    <w:p w14:paraId="578508B9">
                      <w:pPr>
                        <w:rPr>
                          <w:rFonts w:ascii="楷体_GB2312" w:hAnsi="宋体" w:eastAsia="楷体_GB2312"/>
                          <w:b/>
                          <w:color w:val="000000"/>
                          <w:sz w:val="18"/>
                          <w:szCs w:val="18"/>
                        </w:rPr>
                      </w:pPr>
                      <w:r>
                        <w:rPr>
                          <w:rFonts w:hint="eastAsia" w:ascii="楷体_GB2312" w:hAnsi="宋体" w:eastAsia="楷体_GB2312"/>
                          <w:b/>
                          <w:color w:val="000000"/>
                          <w:sz w:val="18"/>
                          <w:szCs w:val="18"/>
                        </w:rPr>
                        <w:t>共同的和</w:t>
                      </w:r>
                    </w:p>
                    <w:p w14:paraId="5400F404">
                      <w:pPr>
                        <w:rPr>
                          <w:rFonts w:ascii="楷体_GB2312" w:hAnsi="宋体" w:eastAsia="楷体_GB2312"/>
                          <w:b/>
                          <w:color w:val="000000"/>
                          <w:sz w:val="18"/>
                          <w:szCs w:val="18"/>
                        </w:rPr>
                      </w:pPr>
                      <w:r>
                        <w:rPr>
                          <w:rFonts w:hint="eastAsia" w:ascii="楷体_GB2312" w:hAnsi="宋体" w:eastAsia="楷体_GB2312"/>
                          <w:b/>
                          <w:color w:val="000000"/>
                          <w:sz w:val="18"/>
                          <w:szCs w:val="18"/>
                        </w:rPr>
                        <w:t>各自的责任</w:t>
                      </w:r>
                    </w:p>
                  </w:txbxContent>
                </v:textbox>
              </v:shape>
            </w:pict>
          </mc:Fallback>
        </mc:AlternateContent>
      </w:r>
      <w:r>
        <w:rPr>
          <w:rFonts w:hAnsi="宋体"/>
          <w:b/>
          <w:color w:val="auto"/>
          <w:sz w:val="24"/>
          <w:szCs w:val="18"/>
        </w:rPr>
        <w:t xml:space="preserve">16.1                     </w:t>
      </w:r>
    </w:p>
    <w:p w14:paraId="7DA03EDF">
      <w:pPr>
        <w:pStyle w:val="2"/>
        <w:adjustRightInd w:val="0"/>
        <w:snapToGrid w:val="0"/>
        <w:spacing w:line="360" w:lineRule="auto"/>
        <w:ind w:left="1619" w:leftChars="771"/>
        <w:rPr>
          <w:rFonts w:hAnsi="宋体"/>
          <w:color w:val="auto"/>
          <w:sz w:val="24"/>
          <w:szCs w:val="18"/>
        </w:rPr>
      </w:pPr>
      <w:r>
        <w:rPr>
          <w:rFonts w:hint="eastAsia" w:hAnsi="宋体"/>
          <w:color w:val="auto"/>
          <w:sz w:val="24"/>
          <w:szCs w:val="18"/>
        </w:rPr>
        <w:t>如果承包人是联合体经营，则联合体各方应共同与发包人签订合同协议书，并在工程开工前签订联合体施工协议书，作为本合同的附件。该联合体各方都应在合同履行期间对发包人负有共同的和各自的责任。</w:t>
      </w:r>
    </w:p>
    <w:p w14:paraId="5A89BB6F">
      <w:pPr>
        <w:pStyle w:val="2"/>
        <w:adjustRightInd w:val="0"/>
        <w:snapToGrid w:val="0"/>
        <w:spacing w:line="360" w:lineRule="auto"/>
        <w:rPr>
          <w:rFonts w:hAnsi="宋体"/>
          <w:b/>
          <w:color w:val="auto"/>
          <w:sz w:val="24"/>
          <w:szCs w:val="18"/>
        </w:rPr>
      </w:pPr>
      <w:r>
        <w:rPr>
          <w:color w:val="auto"/>
        </w:rPr>
        <mc:AlternateContent>
          <mc:Choice Requires="wps">
            <w:drawing>
              <wp:anchor distT="0" distB="0" distL="114300" distR="114300" simplePos="0" relativeHeight="251703296" behindDoc="0" locked="0" layoutInCell="1" allowOverlap="1">
                <wp:simplePos x="0" y="0"/>
                <wp:positionH relativeFrom="column">
                  <wp:posOffset>-114300</wp:posOffset>
                </wp:positionH>
                <wp:positionV relativeFrom="paragraph">
                  <wp:posOffset>245745</wp:posOffset>
                </wp:positionV>
                <wp:extent cx="685800" cy="437515"/>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685800" cy="437515"/>
                        </a:xfrm>
                        <a:prstGeom prst="rect">
                          <a:avLst/>
                        </a:prstGeom>
                        <a:noFill/>
                        <a:ln>
                          <a:noFill/>
                        </a:ln>
                        <a:effectLst/>
                      </wps:spPr>
                      <wps:txbx>
                        <w:txbxContent>
                          <w:p w14:paraId="07908E04">
                            <w:pPr>
                              <w:rPr>
                                <w:rFonts w:ascii="楷体_GB2312" w:hAnsi="宋体" w:eastAsia="楷体_GB2312"/>
                                <w:b/>
                                <w:color w:val="000000"/>
                                <w:sz w:val="18"/>
                                <w:szCs w:val="18"/>
                              </w:rPr>
                            </w:pPr>
                            <w:r>
                              <w:rPr>
                                <w:rFonts w:hint="eastAsia" w:ascii="楷体_GB2312" w:hAnsi="宋体" w:eastAsia="楷体_GB2312"/>
                                <w:b/>
                                <w:color w:val="000000"/>
                                <w:sz w:val="18"/>
                                <w:szCs w:val="18"/>
                              </w:rPr>
                              <w:t>联合体</w:t>
                            </w:r>
                          </w:p>
                          <w:p w14:paraId="701805A2">
                            <w:pPr>
                              <w:rPr>
                                <w:rFonts w:ascii="楷体_GB2312" w:hAnsi="宋体" w:eastAsia="楷体_GB2312"/>
                                <w:b/>
                                <w:color w:val="000000"/>
                                <w:sz w:val="18"/>
                                <w:szCs w:val="18"/>
                              </w:rPr>
                            </w:pPr>
                            <w:r>
                              <w:rPr>
                                <w:rFonts w:hint="eastAsia" w:ascii="楷体_GB2312" w:hAnsi="宋体" w:eastAsia="楷体_GB2312"/>
                                <w:b/>
                                <w:color w:val="000000"/>
                                <w:sz w:val="18"/>
                                <w:szCs w:val="18"/>
                              </w:rPr>
                              <w:t>文件签暑</w:t>
                            </w:r>
                          </w:p>
                        </w:txbxContent>
                      </wps:txbx>
                      <wps:bodyPr upright="1"/>
                    </wps:wsp>
                  </a:graphicData>
                </a:graphic>
              </wp:anchor>
            </w:drawing>
          </mc:Choice>
          <mc:Fallback>
            <w:pict>
              <v:shape id="_x0000_s1026" o:spid="_x0000_s1026" o:spt="202" type="#_x0000_t202" style="position:absolute;left:0pt;margin-left:-9pt;margin-top:19.35pt;height:34.45pt;width:54pt;z-index:251703296;mso-width-relative:page;mso-height-relative:page;" filled="f" stroked="f" coordsize="21600,21600" o:gfxdata="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IgiR&#10;XdYAAAAJAQAADwAAAAAAAAABACAAAAAiAAAAZHJzL2Rvd25yZXYueG1sUEsBAhQAFAAAAAgAh07i&#10;QNj+CNmyAQAAXQMAAA4AAAAAAAAAAQAgAAAAJQEAAGRycy9lMm9Eb2MueG1sUEsFBgAAAAAGAAYA&#10;WQEAAEkFAAAAAA==&#10;">
                <v:fill on="f" focussize="0,0"/>
                <v:stroke on="f"/>
                <v:imagedata o:title=""/>
                <o:lock v:ext="edit" aspectratio="f"/>
                <v:textbox>
                  <w:txbxContent>
                    <w:p w14:paraId="07908E04">
                      <w:pPr>
                        <w:rPr>
                          <w:rFonts w:ascii="楷体_GB2312" w:hAnsi="宋体" w:eastAsia="楷体_GB2312"/>
                          <w:b/>
                          <w:color w:val="000000"/>
                          <w:sz w:val="18"/>
                          <w:szCs w:val="18"/>
                        </w:rPr>
                      </w:pPr>
                      <w:r>
                        <w:rPr>
                          <w:rFonts w:hint="eastAsia" w:ascii="楷体_GB2312" w:hAnsi="宋体" w:eastAsia="楷体_GB2312"/>
                          <w:b/>
                          <w:color w:val="000000"/>
                          <w:sz w:val="18"/>
                          <w:szCs w:val="18"/>
                        </w:rPr>
                        <w:t>联合体</w:t>
                      </w:r>
                    </w:p>
                    <w:p w14:paraId="701805A2">
                      <w:pPr>
                        <w:rPr>
                          <w:rFonts w:ascii="楷体_GB2312" w:hAnsi="宋体" w:eastAsia="楷体_GB2312"/>
                          <w:b/>
                          <w:color w:val="000000"/>
                          <w:sz w:val="18"/>
                          <w:szCs w:val="18"/>
                        </w:rPr>
                      </w:pPr>
                      <w:r>
                        <w:rPr>
                          <w:rFonts w:hint="eastAsia" w:ascii="楷体_GB2312" w:hAnsi="宋体" w:eastAsia="楷体_GB2312"/>
                          <w:b/>
                          <w:color w:val="000000"/>
                          <w:sz w:val="18"/>
                          <w:szCs w:val="18"/>
                        </w:rPr>
                        <w:t>文件签暑</w:t>
                      </w:r>
                    </w:p>
                  </w:txbxContent>
                </v:textbox>
              </v:shape>
            </w:pict>
          </mc:Fallback>
        </mc:AlternateContent>
      </w:r>
      <w:r>
        <w:rPr>
          <w:rFonts w:hAnsi="宋体"/>
          <w:b/>
          <w:color w:val="auto"/>
          <w:sz w:val="24"/>
          <w:szCs w:val="18"/>
        </w:rPr>
        <w:t xml:space="preserve">16.2  </w:t>
      </w:r>
    </w:p>
    <w:p w14:paraId="05A92FF6">
      <w:pPr>
        <w:pStyle w:val="2"/>
        <w:adjustRightInd w:val="0"/>
        <w:snapToGrid w:val="0"/>
        <w:spacing w:line="360" w:lineRule="auto"/>
        <w:ind w:left="1619" w:leftChars="771"/>
        <w:rPr>
          <w:rFonts w:hAnsi="宋体"/>
          <w:color w:val="auto"/>
          <w:sz w:val="24"/>
          <w:szCs w:val="18"/>
        </w:rPr>
      </w:pPr>
      <w:r>
        <w:rPr>
          <w:rFonts w:hint="eastAsia" w:hAnsi="宋体"/>
          <w:color w:val="auto"/>
          <w:sz w:val="24"/>
          <w:szCs w:val="18"/>
        </w:rPr>
        <w:t>联合体应有一个被授权的、对联合体各方有约束力的牵头人，由其负责与发包人、监理人和工程造价咨询人联系，组织联合体各方全面履行合同。该牵头人应指派专职代表负责，履行合同的有关文件由该专职代表签署。未经发包人事先书面同意，联合体的组成、结构和施工协议书不得随意变动。</w:t>
      </w:r>
    </w:p>
    <w:p w14:paraId="7952242E">
      <w:pPr>
        <w:tabs>
          <w:tab w:val="left" w:pos="1620"/>
        </w:tabs>
        <w:spacing w:line="360" w:lineRule="auto"/>
        <w:rPr>
          <w:color w:val="auto"/>
        </w:rPr>
      </w:pPr>
    </w:p>
    <w:p w14:paraId="67232920">
      <w:pPr>
        <w:pStyle w:val="2"/>
        <w:tabs>
          <w:tab w:val="left" w:pos="105"/>
        </w:tabs>
        <w:adjustRightInd w:val="0"/>
        <w:snapToGrid w:val="0"/>
        <w:spacing w:before="240" w:beforeLines="100" w:line="360" w:lineRule="auto"/>
        <w:ind w:right="-238"/>
        <w:rPr>
          <w:rFonts w:hAnsi="宋体"/>
          <w:b/>
          <w:color w:val="auto"/>
          <w:sz w:val="30"/>
          <w:szCs w:val="24"/>
        </w:rPr>
      </w:pPr>
      <w:r>
        <w:rPr>
          <w:rFonts w:hAnsi="宋体"/>
          <w:b/>
          <w:color w:val="auto"/>
          <w:sz w:val="30"/>
          <w:szCs w:val="24"/>
        </w:rPr>
        <w:t xml:space="preserve">17  </w:t>
      </w:r>
      <w:r>
        <w:rPr>
          <w:rFonts w:hint="eastAsia" w:hAnsi="宋体"/>
          <w:b/>
          <w:color w:val="auto"/>
          <w:sz w:val="30"/>
          <w:szCs w:val="24"/>
        </w:rPr>
        <w:t>保障</w:t>
      </w:r>
    </w:p>
    <w:p w14:paraId="3772D1AA">
      <w:pPr>
        <w:pStyle w:val="2"/>
        <w:tabs>
          <w:tab w:val="left" w:pos="1202"/>
        </w:tabs>
        <w:adjustRightInd w:val="0"/>
        <w:snapToGrid w:val="0"/>
        <w:spacing w:line="360" w:lineRule="auto"/>
        <w:rPr>
          <w:rFonts w:hAnsi="宋体"/>
          <w:b/>
          <w:color w:val="auto"/>
          <w:sz w:val="24"/>
          <w:szCs w:val="18"/>
        </w:rPr>
      </w:pPr>
      <w:r>
        <w:rPr>
          <w:rFonts w:hAnsi="宋体"/>
          <w:b/>
          <w:color w:val="auto"/>
          <w:sz w:val="24"/>
          <w:szCs w:val="18"/>
        </w:rPr>
        <w:t xml:space="preserve">17.1      </w:t>
      </w:r>
    </w:p>
    <w:p w14:paraId="0BBFBFB3">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1704320" behindDoc="0" locked="0" layoutInCell="1" allowOverlap="1">
                <wp:simplePos x="0" y="0"/>
                <wp:positionH relativeFrom="column">
                  <wp:posOffset>0</wp:posOffset>
                </wp:positionH>
                <wp:positionV relativeFrom="paragraph">
                  <wp:posOffset>36830</wp:posOffset>
                </wp:positionV>
                <wp:extent cx="685800" cy="39624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685800" cy="396240"/>
                        </a:xfrm>
                        <a:prstGeom prst="rect">
                          <a:avLst/>
                        </a:prstGeom>
                        <a:noFill/>
                        <a:ln>
                          <a:noFill/>
                        </a:ln>
                        <a:effectLst/>
                      </wps:spPr>
                      <wps:txbx>
                        <w:txbxContent>
                          <w:p w14:paraId="1695EC4E">
                            <w:pPr>
                              <w:rPr>
                                <w:rFonts w:ascii="楷体_GB2312" w:hAnsi="宋体" w:eastAsia="楷体_GB2312"/>
                                <w:b/>
                                <w:color w:val="000000"/>
                                <w:sz w:val="18"/>
                                <w:szCs w:val="18"/>
                              </w:rPr>
                            </w:pPr>
                            <w:r>
                              <w:rPr>
                                <w:rFonts w:hint="eastAsia" w:ascii="楷体_GB2312" w:hAnsi="宋体" w:eastAsia="楷体_GB2312"/>
                                <w:b/>
                                <w:color w:val="000000"/>
                                <w:sz w:val="18"/>
                                <w:szCs w:val="18"/>
                              </w:rPr>
                              <w:t>合同双方</w:t>
                            </w:r>
                          </w:p>
                          <w:p w14:paraId="6A234350">
                            <w:pPr>
                              <w:rPr>
                                <w:rFonts w:ascii="楷体_GB2312" w:hAnsi="宋体" w:eastAsia="楷体_GB2312"/>
                                <w:b/>
                                <w:color w:val="000000"/>
                                <w:sz w:val="18"/>
                                <w:szCs w:val="18"/>
                              </w:rPr>
                            </w:pPr>
                            <w:r>
                              <w:rPr>
                                <w:rFonts w:hint="eastAsia" w:ascii="楷体_GB2312" w:hAnsi="宋体" w:eastAsia="楷体_GB2312"/>
                                <w:b/>
                                <w:color w:val="000000"/>
                                <w:sz w:val="18"/>
                                <w:szCs w:val="18"/>
                              </w:rPr>
                              <w:t>相互保障</w:t>
                            </w:r>
                          </w:p>
                        </w:txbxContent>
                      </wps:txbx>
                      <wps:bodyPr upright="1"/>
                    </wps:wsp>
                  </a:graphicData>
                </a:graphic>
              </wp:anchor>
            </w:drawing>
          </mc:Choice>
          <mc:Fallback>
            <w:pict>
              <v:shape id="_x0000_s1026" o:spid="_x0000_s1026" o:spt="202" type="#_x0000_t202" style="position:absolute;left:0pt;margin-left:0pt;margin-top:2.9pt;height:31.2pt;width:54pt;z-index:251704320;mso-width-relative:page;mso-height-relative:page;" filled="f" stroked="f" coordsize="21600,21600" o:gfxdata="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t0xHutIA&#10;AAAFAQAADwAAAAAAAAABACAAAAAiAAAAZHJzL2Rvd25yZXYueG1sUEsBAhQAFAAAAAgAh07iQKPm&#10;7w6zAQAAXQMAAA4AAAAAAAAAAQAgAAAAIQEAAGRycy9lMm9Eb2MueG1sUEsFBgAAAAAGAAYAWQEA&#10;AEYFAAAAAA==&#10;">
                <v:fill on="f" focussize="0,0"/>
                <v:stroke on="f"/>
                <v:imagedata o:title=""/>
                <o:lock v:ext="edit" aspectratio="f"/>
                <v:textbox>
                  <w:txbxContent>
                    <w:p w14:paraId="1695EC4E">
                      <w:pPr>
                        <w:rPr>
                          <w:rFonts w:ascii="楷体_GB2312" w:hAnsi="宋体" w:eastAsia="楷体_GB2312"/>
                          <w:b/>
                          <w:color w:val="000000"/>
                          <w:sz w:val="18"/>
                          <w:szCs w:val="18"/>
                        </w:rPr>
                      </w:pPr>
                      <w:r>
                        <w:rPr>
                          <w:rFonts w:hint="eastAsia" w:ascii="楷体_GB2312" w:hAnsi="宋体" w:eastAsia="楷体_GB2312"/>
                          <w:b/>
                          <w:color w:val="000000"/>
                          <w:sz w:val="18"/>
                          <w:szCs w:val="18"/>
                        </w:rPr>
                        <w:t>合同双方</w:t>
                      </w:r>
                    </w:p>
                    <w:p w14:paraId="6A234350">
                      <w:pPr>
                        <w:rPr>
                          <w:rFonts w:ascii="楷体_GB2312" w:hAnsi="宋体" w:eastAsia="楷体_GB2312"/>
                          <w:b/>
                          <w:color w:val="000000"/>
                          <w:sz w:val="18"/>
                          <w:szCs w:val="18"/>
                        </w:rPr>
                      </w:pPr>
                      <w:r>
                        <w:rPr>
                          <w:rFonts w:hint="eastAsia" w:ascii="楷体_GB2312" w:hAnsi="宋体" w:eastAsia="楷体_GB2312"/>
                          <w:b/>
                          <w:color w:val="000000"/>
                          <w:sz w:val="18"/>
                          <w:szCs w:val="18"/>
                        </w:rPr>
                        <w:t>相互保障</w:t>
                      </w:r>
                    </w:p>
                  </w:txbxContent>
                </v:textbox>
              </v:shape>
            </w:pict>
          </mc:Fallback>
        </mc:AlternateContent>
      </w:r>
      <w:r>
        <w:rPr>
          <w:rFonts w:hint="eastAsia" w:hAnsi="宋体"/>
          <w:color w:val="auto"/>
          <w:sz w:val="24"/>
          <w:szCs w:val="18"/>
        </w:rPr>
        <w:t>合同一方当事人应负责和保障另一方当事人不因其自身的行为或疏忽而引起的一切损害、损失和赔偿。但受保障的一方当事人应积极采取合理措施减少可能发生的损失或损害。因受保障的一方当事人未采取合理措施而导致损失扩大，则损失扩大部分由其自身承担。</w:t>
      </w:r>
    </w:p>
    <w:p w14:paraId="446D7BCD">
      <w:pPr>
        <w:pStyle w:val="2"/>
        <w:tabs>
          <w:tab w:val="left" w:pos="1202"/>
        </w:tabs>
        <w:adjustRightInd w:val="0"/>
        <w:snapToGrid w:val="0"/>
        <w:spacing w:line="360" w:lineRule="auto"/>
        <w:rPr>
          <w:rFonts w:hAnsi="宋体"/>
          <w:b/>
          <w:color w:val="auto"/>
          <w:sz w:val="24"/>
          <w:szCs w:val="18"/>
        </w:rPr>
      </w:pPr>
      <w:r>
        <w:rPr>
          <w:color w:val="auto"/>
        </w:rPr>
        <mc:AlternateContent>
          <mc:Choice Requires="wps">
            <w:drawing>
              <wp:anchor distT="0" distB="0" distL="114300" distR="114300" simplePos="0" relativeHeight="251705344" behindDoc="0" locked="0" layoutInCell="1" allowOverlap="1">
                <wp:simplePos x="0" y="0"/>
                <wp:positionH relativeFrom="column">
                  <wp:posOffset>-114300</wp:posOffset>
                </wp:positionH>
                <wp:positionV relativeFrom="paragraph">
                  <wp:posOffset>240665</wp:posOffset>
                </wp:positionV>
                <wp:extent cx="685800" cy="53467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685800" cy="534670"/>
                        </a:xfrm>
                        <a:prstGeom prst="rect">
                          <a:avLst/>
                        </a:prstGeom>
                        <a:noFill/>
                        <a:ln>
                          <a:noFill/>
                        </a:ln>
                        <a:effectLst/>
                      </wps:spPr>
                      <wps:txbx>
                        <w:txbxContent>
                          <w:p w14:paraId="3B9EA0A0">
                            <w:pPr>
                              <w:rPr>
                                <w:rFonts w:ascii="楷体_GB2312" w:hAnsi="宋体" w:eastAsia="楷体_GB2312"/>
                                <w:b/>
                                <w:color w:val="000000"/>
                                <w:sz w:val="18"/>
                                <w:szCs w:val="18"/>
                              </w:rPr>
                            </w:pPr>
                            <w:r>
                              <w:rPr>
                                <w:rFonts w:hint="eastAsia" w:ascii="楷体_GB2312" w:hAnsi="宋体" w:eastAsia="楷体_GB2312"/>
                                <w:b/>
                                <w:color w:val="000000"/>
                                <w:sz w:val="18"/>
                                <w:szCs w:val="18"/>
                              </w:rPr>
                              <w:t>承包人对</w:t>
                            </w:r>
                          </w:p>
                          <w:p w14:paraId="02D1FD6D">
                            <w:pPr>
                              <w:rPr>
                                <w:rFonts w:ascii="楷体_GB2312" w:hAnsi="宋体" w:eastAsia="楷体_GB2312"/>
                                <w:b/>
                                <w:color w:val="000000"/>
                                <w:sz w:val="18"/>
                                <w:szCs w:val="18"/>
                              </w:rPr>
                            </w:pPr>
                            <w:r>
                              <w:rPr>
                                <w:rFonts w:hint="eastAsia" w:ascii="楷体_GB2312" w:hAnsi="宋体" w:eastAsia="楷体_GB2312"/>
                                <w:b/>
                                <w:color w:val="000000"/>
                                <w:sz w:val="18"/>
                                <w:szCs w:val="18"/>
                              </w:rPr>
                              <w:t>发包人的</w:t>
                            </w:r>
                          </w:p>
                          <w:p w14:paraId="48BD75DC">
                            <w:pPr>
                              <w:rPr>
                                <w:rFonts w:ascii="楷体_GB2312" w:hAnsi="宋体" w:eastAsia="楷体_GB2312"/>
                                <w:b/>
                                <w:color w:val="000000"/>
                                <w:sz w:val="18"/>
                                <w:szCs w:val="18"/>
                              </w:rPr>
                            </w:pPr>
                            <w:r>
                              <w:rPr>
                                <w:rFonts w:hint="eastAsia" w:ascii="楷体_GB2312" w:hAnsi="宋体" w:eastAsia="楷体_GB2312"/>
                                <w:b/>
                                <w:color w:val="000000"/>
                                <w:sz w:val="18"/>
                                <w:szCs w:val="18"/>
                              </w:rPr>
                              <w:t>保障</w:t>
                            </w:r>
                          </w:p>
                        </w:txbxContent>
                      </wps:txbx>
                      <wps:bodyPr upright="1"/>
                    </wps:wsp>
                  </a:graphicData>
                </a:graphic>
              </wp:anchor>
            </w:drawing>
          </mc:Choice>
          <mc:Fallback>
            <w:pict>
              <v:shape id="_x0000_s1026" o:spid="_x0000_s1026" o:spt="202" type="#_x0000_t202" style="position:absolute;left:0pt;margin-left:-9pt;margin-top:18.95pt;height:42.1pt;width:54pt;z-index:251705344;mso-width-relative:page;mso-height-relative:page;" filled="f" stroked="f" coordsize="21600,21600" o:gfxdata="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jQ&#10;FYnWAAAACQEAAA8AAAAAAAAAAQAgAAAAIgAAAGRycy9kb3ducmV2LnhtbFBLAQIUABQAAAAIAIdO&#10;4kBGtFzzswEAAF0DAAAOAAAAAAAAAAEAIAAAACUBAABkcnMvZTJvRG9jLnhtbFBLBQYAAAAABgAG&#10;AFkBAABKBQAAAAA=&#10;">
                <v:fill on="f" focussize="0,0"/>
                <v:stroke on="f"/>
                <v:imagedata o:title=""/>
                <o:lock v:ext="edit" aspectratio="f"/>
                <v:textbox>
                  <w:txbxContent>
                    <w:p w14:paraId="3B9EA0A0">
                      <w:pPr>
                        <w:rPr>
                          <w:rFonts w:ascii="楷体_GB2312" w:hAnsi="宋体" w:eastAsia="楷体_GB2312"/>
                          <w:b/>
                          <w:color w:val="000000"/>
                          <w:sz w:val="18"/>
                          <w:szCs w:val="18"/>
                        </w:rPr>
                      </w:pPr>
                      <w:r>
                        <w:rPr>
                          <w:rFonts w:hint="eastAsia" w:ascii="楷体_GB2312" w:hAnsi="宋体" w:eastAsia="楷体_GB2312"/>
                          <w:b/>
                          <w:color w:val="000000"/>
                          <w:sz w:val="18"/>
                          <w:szCs w:val="18"/>
                        </w:rPr>
                        <w:t>承包人对</w:t>
                      </w:r>
                    </w:p>
                    <w:p w14:paraId="02D1FD6D">
                      <w:pPr>
                        <w:rPr>
                          <w:rFonts w:ascii="楷体_GB2312" w:hAnsi="宋体" w:eastAsia="楷体_GB2312"/>
                          <w:b/>
                          <w:color w:val="000000"/>
                          <w:sz w:val="18"/>
                          <w:szCs w:val="18"/>
                        </w:rPr>
                      </w:pPr>
                      <w:r>
                        <w:rPr>
                          <w:rFonts w:hint="eastAsia" w:ascii="楷体_GB2312" w:hAnsi="宋体" w:eastAsia="楷体_GB2312"/>
                          <w:b/>
                          <w:color w:val="000000"/>
                          <w:sz w:val="18"/>
                          <w:szCs w:val="18"/>
                        </w:rPr>
                        <w:t>发包人的</w:t>
                      </w:r>
                    </w:p>
                    <w:p w14:paraId="48BD75DC">
                      <w:pPr>
                        <w:rPr>
                          <w:rFonts w:ascii="楷体_GB2312" w:hAnsi="宋体" w:eastAsia="楷体_GB2312"/>
                          <w:b/>
                          <w:color w:val="000000"/>
                          <w:sz w:val="18"/>
                          <w:szCs w:val="18"/>
                        </w:rPr>
                      </w:pPr>
                      <w:r>
                        <w:rPr>
                          <w:rFonts w:hint="eastAsia" w:ascii="楷体_GB2312" w:hAnsi="宋体" w:eastAsia="楷体_GB2312"/>
                          <w:b/>
                          <w:color w:val="000000"/>
                          <w:sz w:val="18"/>
                          <w:szCs w:val="18"/>
                        </w:rPr>
                        <w:t>保障</w:t>
                      </w:r>
                    </w:p>
                  </w:txbxContent>
                </v:textbox>
              </v:shape>
            </w:pict>
          </mc:Fallback>
        </mc:AlternateContent>
      </w:r>
      <w:r>
        <w:rPr>
          <w:rFonts w:hAnsi="宋体"/>
          <w:b/>
          <w:color w:val="auto"/>
          <w:sz w:val="24"/>
          <w:szCs w:val="18"/>
        </w:rPr>
        <w:t>17.2</w:t>
      </w:r>
    </w:p>
    <w:p w14:paraId="0F97FC46">
      <w:pPr>
        <w:pStyle w:val="2"/>
        <w:adjustRightInd w:val="0"/>
        <w:snapToGrid w:val="0"/>
        <w:spacing w:line="360" w:lineRule="auto"/>
        <w:ind w:left="1619" w:leftChars="771"/>
        <w:rPr>
          <w:rFonts w:hAnsi="宋体"/>
          <w:color w:val="auto"/>
          <w:sz w:val="24"/>
          <w:szCs w:val="18"/>
        </w:rPr>
      </w:pPr>
      <w:r>
        <w:rPr>
          <w:rFonts w:hint="eastAsia" w:hAnsi="宋体"/>
          <w:color w:val="auto"/>
          <w:sz w:val="24"/>
          <w:szCs w:val="18"/>
        </w:rPr>
        <w:t>承包人应保障发包人不承担因承包人移动或使用施工场地外的施工设备和临时设施所造成的损害而引起的赔偿。</w:t>
      </w:r>
    </w:p>
    <w:p w14:paraId="007ABA7C">
      <w:pPr>
        <w:pStyle w:val="2"/>
        <w:adjustRightInd w:val="0"/>
        <w:snapToGrid w:val="0"/>
        <w:spacing w:line="360" w:lineRule="auto"/>
        <w:rPr>
          <w:color w:val="auto"/>
        </w:rPr>
      </w:pPr>
    </w:p>
    <w:p w14:paraId="3D947A70">
      <w:pPr>
        <w:pStyle w:val="2"/>
        <w:adjustRightInd w:val="0"/>
        <w:snapToGrid w:val="0"/>
        <w:spacing w:before="240" w:beforeLines="100" w:line="360" w:lineRule="auto"/>
        <w:rPr>
          <w:rFonts w:hAnsi="宋体"/>
          <w:b/>
          <w:color w:val="auto"/>
          <w:sz w:val="30"/>
          <w:szCs w:val="24"/>
        </w:rPr>
      </w:pPr>
      <w:r>
        <w:rPr>
          <w:rFonts w:hAnsi="宋体"/>
          <w:b/>
          <w:color w:val="auto"/>
          <w:sz w:val="30"/>
          <w:szCs w:val="24"/>
        </w:rPr>
        <w:t xml:space="preserve">18  </w:t>
      </w:r>
      <w:r>
        <w:rPr>
          <w:rFonts w:hint="eastAsia" w:hAnsi="宋体"/>
          <w:b/>
          <w:color w:val="auto"/>
          <w:sz w:val="30"/>
          <w:szCs w:val="24"/>
        </w:rPr>
        <w:t>财产</w:t>
      </w:r>
    </w:p>
    <w:p w14:paraId="7A386EA7">
      <w:pPr>
        <w:spacing w:line="360" w:lineRule="auto"/>
        <w:rPr>
          <w:rFonts w:ascii="宋体"/>
          <w:b/>
          <w:color w:val="auto"/>
          <w:sz w:val="24"/>
          <w:szCs w:val="18"/>
        </w:rPr>
      </w:pPr>
      <w:r>
        <w:rPr>
          <w:rFonts w:ascii="宋体" w:hAnsi="宋体"/>
          <w:b/>
          <w:color w:val="auto"/>
          <w:sz w:val="24"/>
          <w:szCs w:val="18"/>
        </w:rPr>
        <w:t xml:space="preserve">18.1                       </w:t>
      </w:r>
    </w:p>
    <w:p w14:paraId="0A260A32">
      <w:pPr>
        <w:spacing w:line="360" w:lineRule="auto"/>
        <w:ind w:left="1619" w:leftChars="771"/>
        <w:rPr>
          <w:rFonts w:ascii="宋体"/>
          <w:color w:val="auto"/>
          <w:sz w:val="24"/>
          <w:szCs w:val="18"/>
        </w:rPr>
      </w:pPr>
      <w:r>
        <w:rPr>
          <w:color w:val="auto"/>
        </w:rPr>
        <mc:AlternateContent>
          <mc:Choice Requires="wps">
            <w:drawing>
              <wp:anchor distT="0" distB="0" distL="114300" distR="114300" simplePos="0" relativeHeight="251706368" behindDoc="0" locked="0" layoutInCell="1" allowOverlap="1">
                <wp:simplePos x="0" y="0"/>
                <wp:positionH relativeFrom="column">
                  <wp:posOffset>-114300</wp:posOffset>
                </wp:positionH>
                <wp:positionV relativeFrom="paragraph">
                  <wp:posOffset>0</wp:posOffset>
                </wp:positionV>
                <wp:extent cx="914400" cy="724535"/>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914400" cy="724535"/>
                        </a:xfrm>
                        <a:prstGeom prst="rect">
                          <a:avLst/>
                        </a:prstGeom>
                        <a:noFill/>
                        <a:ln>
                          <a:noFill/>
                        </a:ln>
                        <a:effectLst/>
                      </wps:spPr>
                      <wps:txbx>
                        <w:txbxContent>
                          <w:p w14:paraId="05BE1EDB">
                            <w:pPr>
                              <w:rPr>
                                <w:rFonts w:ascii="楷体_GB2312" w:hAnsi="宋体" w:eastAsia="楷体_GB2312"/>
                                <w:b/>
                                <w:color w:val="000000"/>
                                <w:sz w:val="18"/>
                                <w:szCs w:val="18"/>
                              </w:rPr>
                            </w:pPr>
                            <w:r>
                              <w:rPr>
                                <w:rFonts w:hint="eastAsia" w:ascii="楷体_GB2312" w:hAnsi="宋体" w:eastAsia="楷体_GB2312"/>
                                <w:b/>
                                <w:color w:val="000000"/>
                                <w:sz w:val="18"/>
                                <w:szCs w:val="18"/>
                              </w:rPr>
                              <w:t>用于工程材料、工程设备和施工设备的</w:t>
                            </w:r>
                          </w:p>
                        </w:txbxContent>
                      </wps:txbx>
                      <wps:bodyPr upright="1"/>
                    </wps:wsp>
                  </a:graphicData>
                </a:graphic>
              </wp:anchor>
            </w:drawing>
          </mc:Choice>
          <mc:Fallback>
            <w:pict>
              <v:shape id="_x0000_s1026" o:spid="_x0000_s1026" o:spt="202" type="#_x0000_t202" style="position:absolute;left:0pt;margin-left:-9pt;margin-top:0pt;height:57.05pt;width:72pt;z-index:251706368;mso-width-relative:page;mso-height-relative:page;" filled="f" stroked="f" coordsize="21600,21600" o:gfxdata="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FFLI&#10;udUAAAAIAQAADwAAAAAAAAABACAAAAAiAAAAZHJzL2Rvd25yZXYueG1sUEsBAhQAFAAAAAgAh07i&#10;QHTFtNazAQAAXQMAAA4AAAAAAAAAAQAgAAAAJAEAAGRycy9lMm9Eb2MueG1sUEsFBgAAAAAGAAYA&#10;WQEAAEkFAAAAAA==&#10;">
                <v:fill on="f" focussize="0,0"/>
                <v:stroke on="f"/>
                <v:imagedata o:title=""/>
                <o:lock v:ext="edit" aspectratio="f"/>
                <v:textbox>
                  <w:txbxContent>
                    <w:p w14:paraId="05BE1EDB">
                      <w:pPr>
                        <w:rPr>
                          <w:rFonts w:ascii="楷体_GB2312" w:hAnsi="宋体" w:eastAsia="楷体_GB2312"/>
                          <w:b/>
                          <w:color w:val="000000"/>
                          <w:sz w:val="18"/>
                          <w:szCs w:val="18"/>
                        </w:rPr>
                      </w:pPr>
                      <w:r>
                        <w:rPr>
                          <w:rFonts w:hint="eastAsia" w:ascii="楷体_GB2312" w:hAnsi="宋体" w:eastAsia="楷体_GB2312"/>
                          <w:b/>
                          <w:color w:val="000000"/>
                          <w:sz w:val="18"/>
                          <w:szCs w:val="18"/>
                        </w:rPr>
                        <w:t>用于工程材料、工程设备和施工设备的</w:t>
                      </w:r>
                    </w:p>
                  </w:txbxContent>
                </v:textbox>
              </v:shape>
            </w:pict>
          </mc:Fallback>
        </mc:AlternateContent>
      </w:r>
      <w:r>
        <w:rPr>
          <w:rFonts w:hint="eastAsia" w:ascii="宋体" w:hAnsi="宋体"/>
          <w:color w:val="auto"/>
          <w:sz w:val="24"/>
          <w:szCs w:val="18"/>
        </w:rPr>
        <w:t>合同工程所需的材料、工程设备（包括备品备件、安装专用工器具与随机资料）和承包人的施工设备一经运至施工现场，即成为实施合同工程的财产。没有经监理工程师同意并由其报发包人批准，承包人不得使用合同工程的财产，也不得将实施合同工程的财产运出施工现场，但用于运送材料和工程设备、施工设备和雇员的运输工具除外。</w:t>
      </w:r>
    </w:p>
    <w:p w14:paraId="12558418">
      <w:pPr>
        <w:spacing w:line="360" w:lineRule="auto"/>
        <w:rPr>
          <w:rFonts w:ascii="宋体"/>
          <w:b/>
          <w:color w:val="auto"/>
          <w:sz w:val="24"/>
          <w:szCs w:val="18"/>
        </w:rPr>
      </w:pPr>
      <w:r>
        <w:rPr>
          <w:color w:val="auto"/>
        </w:rPr>
        <mc:AlternateContent>
          <mc:Choice Requires="wps">
            <w:drawing>
              <wp:anchor distT="0" distB="0" distL="114300" distR="114300" simplePos="0" relativeHeight="251707392" behindDoc="0" locked="0" layoutInCell="1" allowOverlap="1">
                <wp:simplePos x="0" y="0"/>
                <wp:positionH relativeFrom="column">
                  <wp:posOffset>-114300</wp:posOffset>
                </wp:positionH>
                <wp:positionV relativeFrom="paragraph">
                  <wp:posOffset>282575</wp:posOffset>
                </wp:positionV>
                <wp:extent cx="800100" cy="460375"/>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800100" cy="460375"/>
                        </a:xfrm>
                        <a:prstGeom prst="rect">
                          <a:avLst/>
                        </a:prstGeom>
                        <a:noFill/>
                        <a:ln>
                          <a:noFill/>
                        </a:ln>
                        <a:effectLst/>
                      </wps:spPr>
                      <wps:txbx>
                        <w:txbxContent>
                          <w:p w14:paraId="2074C0FF">
                            <w:pPr>
                              <w:rPr>
                                <w:rFonts w:ascii="楷体_GB2312" w:hAnsi="宋体" w:eastAsia="楷体_GB2312"/>
                                <w:b/>
                                <w:color w:val="000000"/>
                                <w:sz w:val="18"/>
                                <w:szCs w:val="18"/>
                              </w:rPr>
                            </w:pPr>
                            <w:r>
                              <w:rPr>
                                <w:rFonts w:hint="eastAsia" w:ascii="楷体_GB2312" w:hAnsi="宋体" w:eastAsia="楷体_GB2312"/>
                                <w:b/>
                                <w:color w:val="000000"/>
                                <w:sz w:val="18"/>
                                <w:szCs w:val="18"/>
                              </w:rPr>
                              <w:t>发包人财产</w:t>
                            </w:r>
                          </w:p>
                          <w:p w14:paraId="500C6B0E">
                            <w:pPr>
                              <w:rPr>
                                <w:rFonts w:ascii="楷体_GB2312" w:hAnsi="宋体" w:eastAsia="楷体_GB2312"/>
                                <w:b/>
                                <w:color w:val="000000"/>
                                <w:sz w:val="18"/>
                                <w:szCs w:val="18"/>
                              </w:rPr>
                            </w:pPr>
                            <w:r>
                              <w:rPr>
                                <w:rFonts w:hint="eastAsia" w:ascii="楷体_GB2312" w:hAnsi="宋体" w:eastAsia="楷体_GB2312"/>
                                <w:b/>
                                <w:color w:val="000000"/>
                                <w:sz w:val="18"/>
                                <w:szCs w:val="18"/>
                              </w:rPr>
                              <w:t>及其使用</w:t>
                            </w:r>
                          </w:p>
                        </w:txbxContent>
                      </wps:txbx>
                      <wps:bodyPr upright="1"/>
                    </wps:wsp>
                  </a:graphicData>
                </a:graphic>
              </wp:anchor>
            </w:drawing>
          </mc:Choice>
          <mc:Fallback>
            <w:pict>
              <v:shape id="_x0000_s1026" o:spid="_x0000_s1026" o:spt="202" type="#_x0000_t202" style="position:absolute;left:0pt;margin-left:-9pt;margin-top:22.25pt;height:36.25pt;width:63pt;z-index:251707392;mso-width-relative:page;mso-height-relative:page;" filled="f" stroked="f" coordsize="21600,21600" o:gfxdata="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kclJ&#10;atcAAAAKAQAADwAAAAAAAAABACAAAAAiAAAAZHJzL2Rvd25yZXYueG1sUEsBAhQAFAAAAAgAh07i&#10;QLgAhM6xAQAAXQMAAA4AAAAAAAAAAQAgAAAAJgEAAGRycy9lMm9Eb2MueG1sUEsFBgAAAAAGAAYA&#10;WQEAAEkFAAAAAA==&#10;">
                <v:fill on="f" focussize="0,0"/>
                <v:stroke on="f"/>
                <v:imagedata o:title=""/>
                <o:lock v:ext="edit" aspectratio="f"/>
                <v:textbox>
                  <w:txbxContent>
                    <w:p w14:paraId="2074C0FF">
                      <w:pPr>
                        <w:rPr>
                          <w:rFonts w:ascii="楷体_GB2312" w:hAnsi="宋体" w:eastAsia="楷体_GB2312"/>
                          <w:b/>
                          <w:color w:val="000000"/>
                          <w:sz w:val="18"/>
                          <w:szCs w:val="18"/>
                        </w:rPr>
                      </w:pPr>
                      <w:r>
                        <w:rPr>
                          <w:rFonts w:hint="eastAsia" w:ascii="楷体_GB2312" w:hAnsi="宋体" w:eastAsia="楷体_GB2312"/>
                          <w:b/>
                          <w:color w:val="000000"/>
                          <w:sz w:val="18"/>
                          <w:szCs w:val="18"/>
                        </w:rPr>
                        <w:t>发包人财产</w:t>
                      </w:r>
                    </w:p>
                    <w:p w14:paraId="500C6B0E">
                      <w:pPr>
                        <w:rPr>
                          <w:rFonts w:ascii="楷体_GB2312" w:hAnsi="宋体" w:eastAsia="楷体_GB2312"/>
                          <w:b/>
                          <w:color w:val="000000"/>
                          <w:sz w:val="18"/>
                          <w:szCs w:val="18"/>
                        </w:rPr>
                      </w:pPr>
                      <w:r>
                        <w:rPr>
                          <w:rFonts w:hint="eastAsia" w:ascii="楷体_GB2312" w:hAnsi="宋体" w:eastAsia="楷体_GB2312"/>
                          <w:b/>
                          <w:color w:val="000000"/>
                          <w:sz w:val="18"/>
                          <w:szCs w:val="18"/>
                        </w:rPr>
                        <w:t>及其使用</w:t>
                      </w:r>
                    </w:p>
                  </w:txbxContent>
                </v:textbox>
              </v:shape>
            </w:pict>
          </mc:Fallback>
        </mc:AlternateContent>
      </w:r>
      <w:r>
        <w:rPr>
          <w:rFonts w:ascii="宋体" w:hAnsi="宋体"/>
          <w:b/>
          <w:color w:val="auto"/>
          <w:sz w:val="24"/>
          <w:szCs w:val="18"/>
        </w:rPr>
        <w:t xml:space="preserve">18.2  </w:t>
      </w:r>
    </w:p>
    <w:p w14:paraId="599469D2">
      <w:pPr>
        <w:spacing w:line="360" w:lineRule="auto"/>
        <w:ind w:left="1619" w:leftChars="771"/>
        <w:rPr>
          <w:rFonts w:ascii="宋体"/>
          <w:color w:val="auto"/>
          <w:sz w:val="24"/>
          <w:szCs w:val="18"/>
        </w:rPr>
      </w:pPr>
      <w:r>
        <w:rPr>
          <w:rFonts w:hint="eastAsia" w:ascii="宋体" w:hAnsi="宋体"/>
          <w:color w:val="auto"/>
          <w:sz w:val="24"/>
          <w:szCs w:val="18"/>
        </w:rPr>
        <w:t>如果发包人依据第</w:t>
      </w:r>
      <w:r>
        <w:rPr>
          <w:rFonts w:ascii="宋体" w:hAnsi="宋体"/>
          <w:color w:val="auto"/>
          <w:sz w:val="24"/>
          <w:szCs w:val="18"/>
        </w:rPr>
        <w:t>87.3</w:t>
      </w:r>
      <w:r>
        <w:rPr>
          <w:rFonts w:hint="eastAsia" w:ascii="宋体" w:hAnsi="宋体"/>
          <w:color w:val="auto"/>
          <w:sz w:val="24"/>
          <w:szCs w:val="18"/>
        </w:rPr>
        <w:t>款规定的情形解除合同，则现场的所有材料和工程设备（周转性材料除外）和合同工程，均应认为是发包人的财产。发包人有权留下承包人的任何施工设备、周转性材料，且无需为此支付任何费用，直到永久工程完工为止。</w:t>
      </w:r>
    </w:p>
    <w:p w14:paraId="1D00F59C">
      <w:pPr>
        <w:spacing w:line="360" w:lineRule="auto"/>
        <w:rPr>
          <w:rFonts w:ascii="宋体"/>
          <w:b/>
          <w:color w:val="auto"/>
          <w:sz w:val="24"/>
          <w:szCs w:val="18"/>
        </w:rPr>
      </w:pPr>
      <w:r>
        <w:rPr>
          <w:color w:val="auto"/>
        </w:rPr>
        <mc:AlternateContent>
          <mc:Choice Requires="wps">
            <w:drawing>
              <wp:anchor distT="0" distB="0" distL="114300" distR="114300" simplePos="0" relativeHeight="251708416" behindDoc="0" locked="0" layoutInCell="1" allowOverlap="1">
                <wp:simplePos x="0" y="0"/>
                <wp:positionH relativeFrom="column">
                  <wp:posOffset>-114300</wp:posOffset>
                </wp:positionH>
                <wp:positionV relativeFrom="paragraph">
                  <wp:posOffset>355600</wp:posOffset>
                </wp:positionV>
                <wp:extent cx="800100" cy="396240"/>
                <wp:effectExtent l="0" t="0" r="0" b="0"/>
                <wp:wrapNone/>
                <wp:docPr id="9" name="文本框 3"/>
                <wp:cNvGraphicFramePr/>
                <a:graphic xmlns:a="http://schemas.openxmlformats.org/drawingml/2006/main">
                  <a:graphicData uri="http://schemas.microsoft.com/office/word/2010/wordprocessingShape">
                    <wps:wsp>
                      <wps:cNvSpPr txBox="1"/>
                      <wps:spPr>
                        <a:xfrm>
                          <a:off x="0" y="0"/>
                          <a:ext cx="800100" cy="396240"/>
                        </a:xfrm>
                        <a:prstGeom prst="rect">
                          <a:avLst/>
                        </a:prstGeom>
                        <a:noFill/>
                        <a:ln>
                          <a:noFill/>
                        </a:ln>
                        <a:effectLst/>
                      </wps:spPr>
                      <wps:txbx>
                        <w:txbxContent>
                          <w:p w14:paraId="5131A078">
                            <w:pPr>
                              <w:rPr>
                                <w:rFonts w:ascii="楷体_GB2312" w:hAnsi="宋体" w:eastAsia="楷体_GB2312"/>
                                <w:b/>
                                <w:color w:val="000000"/>
                                <w:sz w:val="18"/>
                                <w:szCs w:val="18"/>
                              </w:rPr>
                            </w:pPr>
                            <w:r>
                              <w:rPr>
                                <w:rFonts w:hint="eastAsia" w:ascii="楷体_GB2312" w:hAnsi="宋体" w:eastAsia="楷体_GB2312"/>
                                <w:b/>
                                <w:color w:val="000000"/>
                                <w:sz w:val="18"/>
                                <w:szCs w:val="18"/>
                              </w:rPr>
                              <w:t>承包人财产</w:t>
                            </w:r>
                          </w:p>
                          <w:p w14:paraId="084E59F7">
                            <w:pPr>
                              <w:rPr>
                                <w:rFonts w:ascii="楷体_GB2312" w:hAnsi="宋体" w:eastAsia="楷体_GB2312"/>
                                <w:b/>
                                <w:color w:val="000000"/>
                                <w:sz w:val="18"/>
                                <w:szCs w:val="18"/>
                              </w:rPr>
                            </w:pPr>
                            <w:r>
                              <w:rPr>
                                <w:rFonts w:hint="eastAsia" w:ascii="楷体_GB2312" w:hAnsi="宋体" w:eastAsia="楷体_GB2312"/>
                                <w:b/>
                                <w:color w:val="000000"/>
                                <w:sz w:val="18"/>
                                <w:szCs w:val="18"/>
                              </w:rPr>
                              <w:t>及其使用</w:t>
                            </w:r>
                          </w:p>
                        </w:txbxContent>
                      </wps:txbx>
                      <wps:bodyPr upright="1"/>
                    </wps:wsp>
                  </a:graphicData>
                </a:graphic>
              </wp:anchor>
            </w:drawing>
          </mc:Choice>
          <mc:Fallback>
            <w:pict>
              <v:shape id="文本框 3" o:spid="_x0000_s1026" o:spt="202" type="#_x0000_t202" style="position:absolute;left:0pt;margin-left:-9pt;margin-top:28pt;height:31.2pt;width:63pt;z-index:251708416;mso-width-relative:page;mso-height-relative:page;" filled="f" stroked="f" coordsize="21600,21600" o:gfxdata="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4D9J/W&#10;AAAACgEAAA8AAAAAAAAAAQAgAAAAIgAAAGRycy9kb3ducmV2LnhtbFBLAQIUABQAAAAIAIdO4kAJ&#10;taJPsAEAAFsDAAAOAAAAAAAAAAEAIAAAACUBAABkcnMvZTJvRG9jLnhtbFBLBQYAAAAABgAGAFkB&#10;AABHBQAAAAA=&#10;">
                <v:fill on="f" focussize="0,0"/>
                <v:stroke on="f"/>
                <v:imagedata o:title=""/>
                <o:lock v:ext="edit" aspectratio="f"/>
                <v:textbox>
                  <w:txbxContent>
                    <w:p w14:paraId="5131A078">
                      <w:pPr>
                        <w:rPr>
                          <w:rFonts w:ascii="楷体_GB2312" w:hAnsi="宋体" w:eastAsia="楷体_GB2312"/>
                          <w:b/>
                          <w:color w:val="000000"/>
                          <w:sz w:val="18"/>
                          <w:szCs w:val="18"/>
                        </w:rPr>
                      </w:pPr>
                      <w:r>
                        <w:rPr>
                          <w:rFonts w:hint="eastAsia" w:ascii="楷体_GB2312" w:hAnsi="宋体" w:eastAsia="楷体_GB2312"/>
                          <w:b/>
                          <w:color w:val="000000"/>
                          <w:sz w:val="18"/>
                          <w:szCs w:val="18"/>
                        </w:rPr>
                        <w:t>承包人财产</w:t>
                      </w:r>
                    </w:p>
                    <w:p w14:paraId="084E59F7">
                      <w:pPr>
                        <w:rPr>
                          <w:rFonts w:ascii="楷体_GB2312" w:hAnsi="宋体" w:eastAsia="楷体_GB2312"/>
                          <w:b/>
                          <w:color w:val="000000"/>
                          <w:sz w:val="18"/>
                          <w:szCs w:val="18"/>
                        </w:rPr>
                      </w:pPr>
                      <w:r>
                        <w:rPr>
                          <w:rFonts w:hint="eastAsia" w:ascii="楷体_GB2312" w:hAnsi="宋体" w:eastAsia="楷体_GB2312"/>
                          <w:b/>
                          <w:color w:val="000000"/>
                          <w:sz w:val="18"/>
                          <w:szCs w:val="18"/>
                        </w:rPr>
                        <w:t>及其使用</w:t>
                      </w:r>
                    </w:p>
                  </w:txbxContent>
                </v:textbox>
              </v:shape>
            </w:pict>
          </mc:Fallback>
        </mc:AlternateContent>
      </w:r>
      <w:r>
        <w:rPr>
          <w:rFonts w:ascii="宋体" w:hAnsi="宋体"/>
          <w:b/>
          <w:color w:val="auto"/>
          <w:sz w:val="24"/>
          <w:szCs w:val="18"/>
        </w:rPr>
        <w:t xml:space="preserve">18.3  </w:t>
      </w:r>
    </w:p>
    <w:p w14:paraId="7B719E60">
      <w:pPr>
        <w:spacing w:line="360" w:lineRule="auto"/>
        <w:ind w:left="1619" w:leftChars="771"/>
        <w:rPr>
          <w:rFonts w:ascii="宋体"/>
          <w:color w:val="auto"/>
          <w:sz w:val="24"/>
          <w:szCs w:val="18"/>
        </w:rPr>
      </w:pPr>
      <w:r>
        <w:rPr>
          <w:rFonts w:hint="eastAsia" w:ascii="宋体" w:hAnsi="宋体"/>
          <w:color w:val="auto"/>
          <w:sz w:val="24"/>
          <w:szCs w:val="18"/>
        </w:rPr>
        <w:t>如果承包人依据第</w:t>
      </w:r>
      <w:r>
        <w:rPr>
          <w:rFonts w:ascii="宋体" w:hAnsi="宋体"/>
          <w:color w:val="auto"/>
          <w:sz w:val="24"/>
          <w:szCs w:val="18"/>
        </w:rPr>
        <w:t>87.4</w:t>
      </w:r>
      <w:r>
        <w:rPr>
          <w:rFonts w:hint="eastAsia" w:ascii="宋体" w:hAnsi="宋体"/>
          <w:color w:val="auto"/>
          <w:sz w:val="24"/>
          <w:szCs w:val="18"/>
        </w:rPr>
        <w:t>款规定的情形解除合同，则承包人有权要求发包人支付已完工程款，并赔偿因此造成的损失。发包人应为承包人撤出现场提供便利和协助。如发包人未付完相关款项，承包人有权留置施工现场，直到发包人付完款项为止。</w:t>
      </w:r>
    </w:p>
    <w:p w14:paraId="688DE667">
      <w:pPr>
        <w:spacing w:line="360" w:lineRule="auto"/>
        <w:outlineLvl w:val="1"/>
        <w:rPr>
          <w:rFonts w:ascii="宋体"/>
          <w:b/>
          <w:bCs/>
          <w:color w:val="auto"/>
          <w:sz w:val="32"/>
          <w:szCs w:val="28"/>
        </w:rPr>
      </w:pPr>
    </w:p>
    <w:p w14:paraId="426A6FB8">
      <w:pPr>
        <w:spacing w:line="360" w:lineRule="auto"/>
        <w:ind w:firstLine="3839" w:firstLineChars="1195"/>
        <w:outlineLvl w:val="1"/>
        <w:rPr>
          <w:rFonts w:ascii="宋体"/>
          <w:b/>
          <w:bCs/>
          <w:color w:val="auto"/>
          <w:sz w:val="32"/>
          <w:szCs w:val="28"/>
        </w:rPr>
      </w:pPr>
      <w:r>
        <w:rPr>
          <w:rFonts w:hint="eastAsia" w:ascii="宋体" w:hAnsi="宋体"/>
          <w:b/>
          <w:bCs/>
          <w:color w:val="auto"/>
          <w:sz w:val="32"/>
          <w:szCs w:val="28"/>
        </w:rPr>
        <w:t>二、合同主体</w:t>
      </w:r>
    </w:p>
    <w:p w14:paraId="36FC8CA7">
      <w:pPr>
        <w:spacing w:before="120" w:beforeLines="50" w:after="120" w:afterLines="50" w:line="360" w:lineRule="auto"/>
        <w:rPr>
          <w:rFonts w:ascii="宋体"/>
          <w:b/>
          <w:color w:val="auto"/>
          <w:sz w:val="30"/>
        </w:rPr>
      </w:pPr>
      <w:r>
        <w:rPr>
          <w:rFonts w:ascii="宋体" w:hAnsi="宋体"/>
          <w:b/>
          <w:color w:val="auto"/>
          <w:sz w:val="30"/>
        </w:rPr>
        <w:t xml:space="preserve">19  </w:t>
      </w:r>
      <w:r>
        <w:rPr>
          <w:rFonts w:hint="eastAsia" w:ascii="宋体" w:hAnsi="宋体"/>
          <w:b/>
          <w:color w:val="auto"/>
          <w:sz w:val="30"/>
        </w:rPr>
        <w:t>发包人</w:t>
      </w:r>
    </w:p>
    <w:p w14:paraId="47088E1F">
      <w:pPr>
        <w:tabs>
          <w:tab w:val="left" w:pos="1620"/>
        </w:tabs>
        <w:spacing w:line="360" w:lineRule="auto"/>
        <w:ind w:left="-2" w:leftChars="-1" w:firstLine="1"/>
        <w:rPr>
          <w:rFonts w:ascii="宋体"/>
          <w:b/>
          <w:color w:val="auto"/>
          <w:sz w:val="24"/>
          <w:szCs w:val="18"/>
        </w:rPr>
      </w:pPr>
      <w:r>
        <w:rPr>
          <w:rFonts w:ascii="宋体" w:hAnsi="宋体"/>
          <w:b/>
          <w:color w:val="auto"/>
          <w:sz w:val="24"/>
          <w:szCs w:val="18"/>
        </w:rPr>
        <w:t xml:space="preserve">19.1                                                        </w:t>
      </w:r>
    </w:p>
    <w:p w14:paraId="11D85495">
      <w:pPr>
        <w:tabs>
          <w:tab w:val="left" w:pos="1620"/>
        </w:tabs>
        <w:spacing w:line="360" w:lineRule="auto"/>
        <w:ind w:left="1619" w:leftChars="771"/>
        <w:rPr>
          <w:rFonts w:ascii="宋体"/>
          <w:color w:val="auto"/>
          <w:sz w:val="24"/>
          <w:szCs w:val="18"/>
        </w:rPr>
      </w:pPr>
      <w:r>
        <w:rPr>
          <w:color w:val="auto"/>
        </w:rPr>
        <mc:AlternateContent>
          <mc:Choice Requires="wps">
            <w:drawing>
              <wp:anchor distT="0" distB="0" distL="114300" distR="114300" simplePos="0" relativeHeight="251709440"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3" name="文本框 2"/>
                <wp:cNvGraphicFramePr/>
                <a:graphic xmlns:a="http://schemas.openxmlformats.org/drawingml/2006/main">
                  <a:graphicData uri="http://schemas.microsoft.com/office/word/2010/wordprocessingShape">
                    <wps:wsp>
                      <wps:cNvSpPr txBox="1"/>
                      <wps:spPr>
                        <a:xfrm>
                          <a:off x="0" y="0"/>
                          <a:ext cx="914400" cy="429895"/>
                        </a:xfrm>
                        <a:prstGeom prst="rect">
                          <a:avLst/>
                        </a:prstGeom>
                        <a:noFill/>
                        <a:ln>
                          <a:noFill/>
                        </a:ln>
                        <a:effectLst/>
                      </wps:spPr>
                      <wps:txbx>
                        <w:txbxContent>
                          <w:p w14:paraId="7BECBBDB">
                            <w:pPr>
                              <w:rPr>
                                <w:rFonts w:ascii="楷体_GB2312" w:hAnsi="宋体" w:eastAsia="楷体_GB2312"/>
                                <w:b/>
                                <w:color w:val="000000"/>
                                <w:sz w:val="18"/>
                                <w:szCs w:val="18"/>
                              </w:rPr>
                            </w:pPr>
                            <w:r>
                              <w:rPr>
                                <w:rFonts w:hint="eastAsia" w:ascii="楷体_GB2312" w:hAnsi="宋体" w:eastAsia="楷体_GB2312"/>
                                <w:b/>
                                <w:color w:val="000000"/>
                                <w:sz w:val="18"/>
                                <w:szCs w:val="18"/>
                              </w:rPr>
                              <w:t>遵守法律</w:t>
                            </w:r>
                          </w:p>
                        </w:txbxContent>
                      </wps:txbx>
                      <wps:bodyPr upright="1"/>
                    </wps:wsp>
                  </a:graphicData>
                </a:graphic>
              </wp:anchor>
            </w:drawing>
          </mc:Choice>
          <mc:Fallback>
            <w:pict>
              <v:shape id="文本框 2" o:spid="_x0000_s1026" o:spt="202" type="#_x0000_t202" style="position:absolute;left:0pt;margin-left:-9pt;margin-top:0.35pt;height:33.85pt;width:72pt;z-index:251709440;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UWimTV&#10;AAAABwEAAA8AAAAAAAAAAQAgAAAAIgAAAGRycy9kb3ducmV2LnhtbFBLAQIUABQAAAAIAIdO4kBe&#10;eFSesQEAAFsDAAAOAAAAAAAAAAEAIAAAACQBAABkcnMvZTJvRG9jLnhtbFBLBQYAAAAABgAGAFkB&#10;AABHBQAAAAA=&#10;">
                <v:fill on="f" focussize="0,0"/>
                <v:stroke on="f"/>
                <v:imagedata o:title=""/>
                <o:lock v:ext="edit" aspectratio="f"/>
                <v:textbox>
                  <w:txbxContent>
                    <w:p w14:paraId="7BECBBDB">
                      <w:pPr>
                        <w:rPr>
                          <w:rFonts w:ascii="楷体_GB2312" w:hAnsi="宋体" w:eastAsia="楷体_GB2312"/>
                          <w:b/>
                          <w:color w:val="000000"/>
                          <w:sz w:val="18"/>
                          <w:szCs w:val="18"/>
                        </w:rPr>
                      </w:pPr>
                      <w:r>
                        <w:rPr>
                          <w:rFonts w:hint="eastAsia" w:ascii="楷体_GB2312" w:hAnsi="宋体" w:eastAsia="楷体_GB2312"/>
                          <w:b/>
                          <w:color w:val="000000"/>
                          <w:sz w:val="18"/>
                          <w:szCs w:val="18"/>
                        </w:rPr>
                        <w:t>遵守法律</w:t>
                      </w:r>
                    </w:p>
                  </w:txbxContent>
                </v:textbox>
              </v:shape>
            </w:pict>
          </mc:Fallback>
        </mc:AlternateContent>
      </w:r>
      <w:r>
        <w:rPr>
          <w:rFonts w:hint="eastAsia" w:ascii="宋体" w:hAnsi="宋体"/>
          <w:color w:val="auto"/>
          <w:sz w:val="24"/>
          <w:szCs w:val="18"/>
        </w:rPr>
        <w:t>发包人在履行合同期间应遵守法律，并保证承包人免于承担因发包人违反法律而引起的任何责任。</w:t>
      </w:r>
    </w:p>
    <w:p w14:paraId="4149998E">
      <w:pPr>
        <w:tabs>
          <w:tab w:val="left" w:pos="1620"/>
        </w:tabs>
        <w:spacing w:line="360" w:lineRule="auto"/>
        <w:ind w:left="-2" w:leftChars="-1" w:firstLine="1"/>
        <w:rPr>
          <w:rFonts w:ascii="宋体"/>
          <w:b/>
          <w:color w:val="auto"/>
          <w:sz w:val="24"/>
          <w:szCs w:val="18"/>
        </w:rPr>
      </w:pPr>
      <w:r>
        <w:rPr>
          <w:rFonts w:ascii="宋体" w:hAnsi="宋体"/>
          <w:b/>
          <w:color w:val="auto"/>
          <w:sz w:val="24"/>
          <w:szCs w:val="18"/>
        </w:rPr>
        <w:t xml:space="preserve">19.2 </w:t>
      </w:r>
    </w:p>
    <w:p w14:paraId="2DB5F1AA">
      <w:pPr>
        <w:spacing w:line="360" w:lineRule="auto"/>
        <w:ind w:left="1620"/>
        <w:rPr>
          <w:rFonts w:ascii="宋体"/>
          <w:color w:val="auto"/>
          <w:sz w:val="24"/>
          <w:szCs w:val="18"/>
        </w:rPr>
      </w:pPr>
      <w:r>
        <w:rPr>
          <w:color w:val="auto"/>
        </w:rPr>
        <mc:AlternateContent>
          <mc:Choice Requires="wps">
            <w:drawing>
              <wp:anchor distT="0" distB="0" distL="114300" distR="114300" simplePos="0" relativeHeight="251710464"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6" name="文本框 6"/>
                <wp:cNvGraphicFramePr/>
                <a:graphic xmlns:a="http://schemas.openxmlformats.org/drawingml/2006/main">
                  <a:graphicData uri="http://schemas.microsoft.com/office/word/2010/wordprocessingShape">
                    <wps:wsp>
                      <wps:cNvSpPr txBox="1"/>
                      <wps:spPr>
                        <a:xfrm>
                          <a:off x="0" y="0"/>
                          <a:ext cx="914400" cy="429895"/>
                        </a:xfrm>
                        <a:prstGeom prst="rect">
                          <a:avLst/>
                        </a:prstGeom>
                        <a:noFill/>
                        <a:ln>
                          <a:noFill/>
                        </a:ln>
                        <a:effectLst/>
                      </wps:spPr>
                      <wps:txbx>
                        <w:txbxContent>
                          <w:p w14:paraId="0ACAC0FF">
                            <w:pPr>
                              <w:rPr>
                                <w:rFonts w:ascii="楷体_GB2312" w:hAnsi="宋体" w:eastAsia="楷体_GB2312"/>
                                <w:b/>
                                <w:color w:val="000000"/>
                                <w:sz w:val="18"/>
                                <w:szCs w:val="18"/>
                              </w:rPr>
                            </w:pPr>
                            <w:r>
                              <w:rPr>
                                <w:rFonts w:hint="eastAsia" w:ascii="楷体_GB2312" w:hAnsi="宋体" w:eastAsia="楷体_GB2312"/>
                                <w:b/>
                                <w:color w:val="000000"/>
                                <w:sz w:val="18"/>
                                <w:szCs w:val="18"/>
                              </w:rPr>
                              <w:t>发包人工作</w:t>
                            </w:r>
                          </w:p>
                        </w:txbxContent>
                      </wps:txbx>
                      <wps:bodyPr upright="1"/>
                    </wps:wsp>
                  </a:graphicData>
                </a:graphic>
              </wp:anchor>
            </w:drawing>
          </mc:Choice>
          <mc:Fallback>
            <w:pict>
              <v:shape id="_x0000_s1026" o:spid="_x0000_s1026" o:spt="202" type="#_x0000_t202" style="position:absolute;left:0pt;margin-left:-9pt;margin-top:0.35pt;height:33.85pt;width:72pt;z-index:251710464;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hRaKZNUA&#10;AAAHAQAADwAAAAAAAAABACAAAAAiAAAAZHJzL2Rvd25yZXYueG1sUEsBAhQAFAAAAAgAh07iQOZ6&#10;5V6wAQAAWwMAAA4AAAAAAAAAAQAgAAAAJAEAAGRycy9lMm9Eb2MueG1sUEsFBgAAAAAGAAYAWQEA&#10;AEYFAAAAAA==&#10;">
                <v:fill on="f" focussize="0,0"/>
                <v:stroke on="f"/>
                <v:imagedata o:title=""/>
                <o:lock v:ext="edit" aspectratio="f"/>
                <v:textbox>
                  <w:txbxContent>
                    <w:p w14:paraId="0ACAC0FF">
                      <w:pPr>
                        <w:rPr>
                          <w:rFonts w:ascii="楷体_GB2312" w:hAnsi="宋体" w:eastAsia="楷体_GB2312"/>
                          <w:b/>
                          <w:color w:val="000000"/>
                          <w:sz w:val="18"/>
                          <w:szCs w:val="18"/>
                        </w:rPr>
                      </w:pPr>
                      <w:r>
                        <w:rPr>
                          <w:rFonts w:hint="eastAsia" w:ascii="楷体_GB2312" w:hAnsi="宋体" w:eastAsia="楷体_GB2312"/>
                          <w:b/>
                          <w:color w:val="000000"/>
                          <w:sz w:val="18"/>
                          <w:szCs w:val="18"/>
                        </w:rPr>
                        <w:t>发包人工作</w:t>
                      </w:r>
                    </w:p>
                  </w:txbxContent>
                </v:textbox>
              </v:shape>
            </w:pict>
          </mc:Fallback>
        </mc:AlternateContent>
      </w:r>
      <w:r>
        <w:rPr>
          <w:rFonts w:hint="eastAsia" w:ascii="宋体" w:hAnsi="宋体"/>
          <w:color w:val="auto"/>
          <w:sz w:val="24"/>
          <w:szCs w:val="18"/>
        </w:rPr>
        <w:t>发包人应按照合同约定完成下列工作，包括但不限于：</w:t>
      </w:r>
    </w:p>
    <w:p w14:paraId="4D2A7858">
      <w:pPr>
        <w:numPr>
          <w:ilvl w:val="0"/>
          <w:numId w:val="9"/>
        </w:numPr>
        <w:tabs>
          <w:tab w:val="left" w:pos="1080"/>
          <w:tab w:val="left" w:pos="1470"/>
          <w:tab w:val="left" w:pos="1980"/>
        </w:tabs>
        <w:spacing w:line="360" w:lineRule="auto"/>
        <w:ind w:left="1616" w:leftChars="749" w:hanging="43" w:hangingChars="18"/>
        <w:rPr>
          <w:rFonts w:ascii="宋体"/>
          <w:color w:val="auto"/>
          <w:sz w:val="24"/>
          <w:szCs w:val="18"/>
        </w:rPr>
      </w:pPr>
      <w:r>
        <w:rPr>
          <w:rFonts w:hint="eastAsia" w:ascii="宋体" w:hAnsi="宋体"/>
          <w:color w:val="auto"/>
          <w:sz w:val="24"/>
          <w:szCs w:val="18"/>
        </w:rPr>
        <w:t>办理土地征用、拆迁、平整施工场地等工作，使施工场地具备施工条件，并在开工后继续负责解决上述工作遗留的问题；</w:t>
      </w:r>
    </w:p>
    <w:p w14:paraId="45070213">
      <w:pPr>
        <w:numPr>
          <w:ilvl w:val="0"/>
          <w:numId w:val="9"/>
        </w:numPr>
        <w:tabs>
          <w:tab w:val="left" w:pos="1080"/>
          <w:tab w:val="left" w:pos="1470"/>
          <w:tab w:val="left" w:pos="1980"/>
        </w:tabs>
        <w:spacing w:line="360" w:lineRule="auto"/>
        <w:ind w:left="1635" w:leftChars="750" w:hanging="60" w:hangingChars="25"/>
        <w:rPr>
          <w:rFonts w:ascii="宋体"/>
          <w:color w:val="auto"/>
          <w:sz w:val="24"/>
          <w:szCs w:val="18"/>
        </w:rPr>
      </w:pPr>
      <w:r>
        <w:rPr>
          <w:rFonts w:hint="eastAsia" w:ascii="宋体" w:hAnsi="宋体"/>
          <w:color w:val="auto"/>
          <w:sz w:val="24"/>
          <w:szCs w:val="18"/>
        </w:rPr>
        <w:t>将施工所需水、电、通讯线路从施工场地外部接驳至专用条款约定的地点，</w:t>
      </w:r>
    </w:p>
    <w:p w14:paraId="41BBBE3F">
      <w:pPr>
        <w:tabs>
          <w:tab w:val="left" w:pos="1980"/>
        </w:tabs>
        <w:spacing w:line="360" w:lineRule="auto"/>
        <w:ind w:left="1575" w:leftChars="750" w:firstLine="43" w:firstLineChars="18"/>
        <w:rPr>
          <w:rFonts w:ascii="宋体"/>
          <w:color w:val="auto"/>
          <w:sz w:val="24"/>
          <w:szCs w:val="18"/>
        </w:rPr>
      </w:pPr>
      <w:r>
        <w:rPr>
          <w:rFonts w:hint="eastAsia" w:ascii="宋体" w:hAnsi="宋体"/>
          <w:color w:val="auto"/>
          <w:sz w:val="24"/>
          <w:szCs w:val="18"/>
        </w:rPr>
        <w:t>保证施工期间的需要；</w:t>
      </w:r>
    </w:p>
    <w:p w14:paraId="1830C1F8">
      <w:pPr>
        <w:numPr>
          <w:ilvl w:val="0"/>
          <w:numId w:val="9"/>
        </w:numPr>
        <w:tabs>
          <w:tab w:val="left" w:pos="1080"/>
          <w:tab w:val="left" w:pos="1470"/>
          <w:tab w:val="left" w:pos="1980"/>
        </w:tabs>
        <w:spacing w:line="360" w:lineRule="auto"/>
        <w:ind w:left="1635" w:leftChars="750" w:hanging="60" w:hangingChars="25"/>
        <w:rPr>
          <w:rFonts w:ascii="宋体"/>
          <w:color w:val="auto"/>
          <w:sz w:val="24"/>
          <w:szCs w:val="18"/>
        </w:rPr>
      </w:pPr>
      <w:r>
        <w:rPr>
          <w:rFonts w:hint="eastAsia" w:ascii="宋体" w:hAnsi="宋体"/>
          <w:color w:val="auto"/>
          <w:sz w:val="24"/>
          <w:szCs w:val="18"/>
        </w:rPr>
        <w:t>开通施工场地与城乡公共道路间的通道，满足第</w:t>
      </w:r>
      <w:r>
        <w:rPr>
          <w:rFonts w:ascii="宋体" w:hAnsi="宋体"/>
          <w:color w:val="auto"/>
          <w:sz w:val="24"/>
          <w:szCs w:val="18"/>
        </w:rPr>
        <w:t>13</w:t>
      </w:r>
      <w:r>
        <w:rPr>
          <w:rFonts w:hint="eastAsia" w:ascii="宋体" w:hAnsi="宋体"/>
          <w:color w:val="auto"/>
          <w:sz w:val="24"/>
          <w:szCs w:val="18"/>
        </w:rPr>
        <w:t>条交通运输的需要；</w:t>
      </w:r>
    </w:p>
    <w:p w14:paraId="2395F400">
      <w:pPr>
        <w:numPr>
          <w:ilvl w:val="0"/>
          <w:numId w:val="9"/>
        </w:numPr>
        <w:tabs>
          <w:tab w:val="left" w:pos="1080"/>
          <w:tab w:val="left" w:pos="1470"/>
          <w:tab w:val="left" w:pos="1980"/>
        </w:tabs>
        <w:spacing w:line="360" w:lineRule="auto"/>
        <w:ind w:left="1616" w:leftChars="749" w:hanging="43" w:hangingChars="18"/>
        <w:rPr>
          <w:rFonts w:ascii="宋体"/>
          <w:color w:val="auto"/>
          <w:sz w:val="24"/>
          <w:szCs w:val="18"/>
        </w:rPr>
      </w:pPr>
      <w:r>
        <w:rPr>
          <w:rFonts w:hint="eastAsia" w:ascii="宋体" w:hAnsi="宋体"/>
          <w:color w:val="auto"/>
          <w:sz w:val="24"/>
          <w:szCs w:val="18"/>
        </w:rPr>
        <w:t>向承包人提供施工场地的工程地质勘察资料，以及施工现场及毗邻区域内供水、排水、供电、供气、供热、通信、广播电视等地下管线资料，气象和水文观测资料，邻近建筑物和构筑物、地下工程的有关资料，并保证资料的真实、准确、完整；</w:t>
      </w:r>
    </w:p>
    <w:p w14:paraId="4E22E186">
      <w:pPr>
        <w:numPr>
          <w:ilvl w:val="0"/>
          <w:numId w:val="9"/>
        </w:numPr>
        <w:tabs>
          <w:tab w:val="left" w:pos="1080"/>
          <w:tab w:val="left" w:pos="1470"/>
          <w:tab w:val="left" w:pos="1980"/>
        </w:tabs>
        <w:spacing w:line="360" w:lineRule="auto"/>
        <w:ind w:left="1616" w:leftChars="748" w:hanging="45" w:hangingChars="19"/>
        <w:rPr>
          <w:rFonts w:ascii="宋体"/>
          <w:color w:val="auto"/>
          <w:sz w:val="24"/>
          <w:szCs w:val="18"/>
        </w:rPr>
      </w:pPr>
      <w:r>
        <w:rPr>
          <w:rFonts w:hint="eastAsia" w:ascii="宋体" w:hAnsi="宋体"/>
          <w:color w:val="auto"/>
          <w:sz w:val="24"/>
          <w:szCs w:val="18"/>
        </w:rPr>
        <w:t>办理施工许可及其他所需证件、批准文件和办理临时用地、停水、停电、中断道路交通、爆破作业等的申请批准手续（承包人自身施工资质的证件除外）；</w:t>
      </w:r>
    </w:p>
    <w:p w14:paraId="582BE63D">
      <w:pPr>
        <w:numPr>
          <w:ilvl w:val="0"/>
          <w:numId w:val="9"/>
        </w:numPr>
        <w:tabs>
          <w:tab w:val="left" w:pos="1080"/>
          <w:tab w:val="left" w:pos="1470"/>
          <w:tab w:val="left" w:pos="1980"/>
        </w:tabs>
        <w:spacing w:line="360" w:lineRule="auto"/>
        <w:ind w:left="1635" w:leftChars="750" w:hanging="60" w:hangingChars="25"/>
        <w:rPr>
          <w:rFonts w:ascii="宋体"/>
          <w:color w:val="auto"/>
          <w:sz w:val="24"/>
          <w:szCs w:val="18"/>
        </w:rPr>
      </w:pPr>
      <w:r>
        <w:rPr>
          <w:rFonts w:hint="eastAsia" w:ascii="宋体" w:hAnsi="宋体"/>
          <w:color w:val="auto"/>
          <w:sz w:val="24"/>
          <w:szCs w:val="18"/>
        </w:rPr>
        <w:t>确定水准点与坐标控制点，组织现场交验并以书面形式移交给承包人；</w:t>
      </w:r>
    </w:p>
    <w:p w14:paraId="63557439">
      <w:pPr>
        <w:tabs>
          <w:tab w:val="left" w:pos="1980"/>
        </w:tabs>
        <w:spacing w:line="360" w:lineRule="auto"/>
        <w:ind w:left="540" w:leftChars="257" w:firstLine="1017" w:firstLineChars="424"/>
        <w:rPr>
          <w:rFonts w:ascii="宋体"/>
          <w:color w:val="auto"/>
          <w:sz w:val="24"/>
          <w:szCs w:val="18"/>
        </w:rPr>
      </w:pPr>
      <w:r>
        <w:rPr>
          <w:rFonts w:ascii="宋体" w:hAnsi="宋体"/>
          <w:color w:val="auto"/>
          <w:sz w:val="24"/>
          <w:szCs w:val="18"/>
        </w:rPr>
        <w:t xml:space="preserve">(7) </w:t>
      </w:r>
      <w:r>
        <w:rPr>
          <w:rFonts w:hint="eastAsia" w:ascii="宋体" w:hAnsi="宋体"/>
          <w:color w:val="auto"/>
          <w:sz w:val="24"/>
          <w:szCs w:val="18"/>
        </w:rPr>
        <w:t>按照专用条款约定的时间向承包人提供一式两份约定的标准与规范；</w:t>
      </w:r>
    </w:p>
    <w:p w14:paraId="0F3C12B6">
      <w:pPr>
        <w:tabs>
          <w:tab w:val="left" w:pos="1080"/>
          <w:tab w:val="left" w:pos="1980"/>
        </w:tabs>
        <w:spacing w:line="360" w:lineRule="auto"/>
        <w:ind w:left="1575"/>
        <w:rPr>
          <w:rFonts w:ascii="宋体"/>
          <w:color w:val="auto"/>
          <w:sz w:val="24"/>
          <w:szCs w:val="18"/>
        </w:rPr>
      </w:pPr>
      <w:r>
        <w:rPr>
          <w:rFonts w:ascii="宋体" w:hAnsi="宋体"/>
          <w:color w:val="auto"/>
          <w:sz w:val="24"/>
          <w:szCs w:val="18"/>
        </w:rPr>
        <w:t xml:space="preserve">(8) </w:t>
      </w:r>
      <w:r>
        <w:rPr>
          <w:rFonts w:hint="eastAsia" w:ascii="宋体" w:hAnsi="宋体"/>
          <w:color w:val="auto"/>
          <w:sz w:val="24"/>
          <w:szCs w:val="18"/>
        </w:rPr>
        <w:t>组织承包人和设计人进行图纸会审和设计交底；</w:t>
      </w:r>
    </w:p>
    <w:p w14:paraId="59E173F3">
      <w:pPr>
        <w:tabs>
          <w:tab w:val="left" w:pos="1980"/>
        </w:tabs>
        <w:spacing w:line="360" w:lineRule="auto"/>
        <w:ind w:left="1575"/>
        <w:rPr>
          <w:rFonts w:ascii="宋体"/>
          <w:color w:val="auto"/>
          <w:sz w:val="24"/>
          <w:szCs w:val="18"/>
        </w:rPr>
      </w:pPr>
      <w:r>
        <w:rPr>
          <w:rFonts w:ascii="宋体" w:hAnsi="宋体"/>
          <w:color w:val="auto"/>
          <w:sz w:val="24"/>
          <w:szCs w:val="18"/>
        </w:rPr>
        <w:t>(9)</w:t>
      </w:r>
      <w:r>
        <w:rPr>
          <w:rFonts w:hint="eastAsia" w:ascii="宋体" w:hAnsi="宋体"/>
          <w:color w:val="auto"/>
          <w:sz w:val="24"/>
          <w:szCs w:val="18"/>
        </w:rPr>
        <w:t>协调处理施工场地周围地形关系问题和做好邻近建筑物、构筑物（包括文物</w:t>
      </w:r>
    </w:p>
    <w:p w14:paraId="338FEF7C">
      <w:pPr>
        <w:tabs>
          <w:tab w:val="left" w:pos="1980"/>
        </w:tabs>
        <w:spacing w:line="360" w:lineRule="auto"/>
        <w:ind w:left="1575" w:leftChars="750" w:firstLine="43" w:firstLineChars="18"/>
        <w:rPr>
          <w:rFonts w:ascii="宋体"/>
          <w:color w:val="auto"/>
          <w:sz w:val="24"/>
          <w:szCs w:val="18"/>
        </w:rPr>
      </w:pPr>
      <w:r>
        <w:rPr>
          <w:rFonts w:hint="eastAsia" w:ascii="宋体" w:hAnsi="宋体"/>
          <w:color w:val="auto"/>
          <w:sz w:val="24"/>
          <w:szCs w:val="18"/>
        </w:rPr>
        <w:t>保护建筑）、古树名木等的保护工作；</w:t>
      </w:r>
    </w:p>
    <w:p w14:paraId="65661E7F">
      <w:pPr>
        <w:tabs>
          <w:tab w:val="left" w:pos="1980"/>
        </w:tabs>
        <w:spacing w:line="360" w:lineRule="auto"/>
        <w:ind w:left="1617" w:leftChars="770"/>
        <w:rPr>
          <w:rFonts w:ascii="宋体"/>
          <w:color w:val="auto"/>
          <w:sz w:val="24"/>
          <w:szCs w:val="18"/>
        </w:rPr>
      </w:pPr>
      <w:r>
        <w:rPr>
          <w:rFonts w:ascii="宋体" w:hAnsi="宋体"/>
          <w:color w:val="auto"/>
          <w:sz w:val="24"/>
          <w:szCs w:val="18"/>
        </w:rPr>
        <w:t>(10)</w:t>
      </w:r>
      <w:r>
        <w:rPr>
          <w:rFonts w:hint="eastAsia" w:ascii="宋体" w:hAnsi="宋体"/>
          <w:color w:val="auto"/>
          <w:sz w:val="24"/>
          <w:szCs w:val="18"/>
        </w:rPr>
        <w:t>及时接收已完工程，并按照合同约定及时支付工程款及其他各种款项。</w:t>
      </w:r>
    </w:p>
    <w:p w14:paraId="137C104D">
      <w:pPr>
        <w:pStyle w:val="8"/>
        <w:tabs>
          <w:tab w:val="left" w:pos="1980"/>
          <w:tab w:val="clear" w:pos="4970"/>
        </w:tabs>
        <w:ind w:left="1619" w:leftChars="771" w:firstLine="1" w:firstLineChars="0"/>
        <w:rPr>
          <w:rFonts w:ascii="宋体"/>
          <w:color w:val="auto"/>
          <w:szCs w:val="18"/>
        </w:rPr>
      </w:pPr>
      <w:r>
        <w:rPr>
          <w:rFonts w:hint="eastAsia" w:ascii="宋体" w:hAnsi="宋体"/>
          <w:color w:val="auto"/>
          <w:szCs w:val="18"/>
        </w:rPr>
        <w:t>发包人可将其中部分工作委托给承包人办理，具体由合同双方当事人在专用条款中约定。除合同价款已包括外，由发包人承担所需费用，并向承包人支付合理利润。</w:t>
      </w:r>
    </w:p>
    <w:p w14:paraId="09991B7E">
      <w:pPr>
        <w:spacing w:line="360" w:lineRule="auto"/>
        <w:rPr>
          <w:rFonts w:ascii="宋体"/>
          <w:color w:val="auto"/>
          <w:sz w:val="24"/>
          <w:szCs w:val="18"/>
        </w:rPr>
      </w:pPr>
      <w:r>
        <w:rPr>
          <w:rFonts w:ascii="宋体" w:hAnsi="宋体"/>
          <w:b/>
          <w:color w:val="auto"/>
          <w:sz w:val="24"/>
          <w:szCs w:val="18"/>
        </w:rPr>
        <w:t xml:space="preserve">19.3 </w:t>
      </w:r>
    </w:p>
    <w:p w14:paraId="307848D5">
      <w:pPr>
        <w:spacing w:line="360" w:lineRule="auto"/>
        <w:ind w:left="1619" w:leftChars="771" w:firstLine="2"/>
        <w:rPr>
          <w:rFonts w:ascii="宋体"/>
          <w:color w:val="auto"/>
          <w:sz w:val="24"/>
          <w:szCs w:val="18"/>
        </w:rPr>
      </w:pPr>
      <w:r>
        <w:rPr>
          <w:color w:val="auto"/>
        </w:rPr>
        <mc:AlternateContent>
          <mc:Choice Requires="wps">
            <w:drawing>
              <wp:anchor distT="0" distB="0" distL="114300" distR="114300" simplePos="0" relativeHeight="251711488" behindDoc="0" locked="0" layoutInCell="1" allowOverlap="1">
                <wp:simplePos x="0" y="0"/>
                <wp:positionH relativeFrom="column">
                  <wp:posOffset>-114300</wp:posOffset>
                </wp:positionH>
                <wp:positionV relativeFrom="paragraph">
                  <wp:posOffset>0</wp:posOffset>
                </wp:positionV>
                <wp:extent cx="914400" cy="4953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a:effectLst/>
                      </wps:spPr>
                      <wps:txbx>
                        <w:txbxContent>
                          <w:p w14:paraId="172515A7">
                            <w:pPr>
                              <w:rPr>
                                <w:rFonts w:ascii="楷体_GB2312" w:hAnsi="宋体" w:eastAsia="楷体_GB2312"/>
                                <w:b/>
                                <w:color w:val="000000"/>
                                <w:sz w:val="18"/>
                                <w:szCs w:val="18"/>
                              </w:rPr>
                            </w:pPr>
                            <w:r>
                              <w:rPr>
                                <w:rFonts w:hint="eastAsia" w:ascii="楷体_GB2312" w:hAnsi="宋体" w:eastAsia="楷体_GB2312"/>
                                <w:b/>
                                <w:color w:val="000000"/>
                                <w:sz w:val="18"/>
                                <w:szCs w:val="18"/>
                              </w:rPr>
                              <w:t>发包人提供施工场地</w:t>
                            </w:r>
                          </w:p>
                        </w:txbxContent>
                      </wps:txbx>
                      <wps:bodyPr upright="1"/>
                    </wps:wsp>
                  </a:graphicData>
                </a:graphic>
              </wp:anchor>
            </w:drawing>
          </mc:Choice>
          <mc:Fallback>
            <w:pict>
              <v:shape id="_x0000_s1026" o:spid="_x0000_s1026" o:spt="202" type="#_x0000_t202" style="position:absolute;left:0pt;margin-left:-9pt;margin-top:0pt;height:39pt;width:72pt;z-index:251711488;mso-width-relative:page;mso-height-relative:page;" filled="f" stroked="f" coordsize="21600,21600" o:gfxdata="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Qu4hO1AAA&#10;AAcBAAAPAAAAAAAAAAEAIAAAACIAAABkcnMvZG93bnJldi54bWxQSwECFAAUAAAACACHTuJAt74f&#10;37ABAABbAwAADgAAAAAAAAABACAAAAAjAQAAZHJzL2Uyb0RvYy54bWxQSwUGAAAAAAYABgBZAQAA&#10;RQUAAAAA&#10;">
                <v:fill on="f" focussize="0,0"/>
                <v:stroke on="f"/>
                <v:imagedata o:title=""/>
                <o:lock v:ext="edit" aspectratio="f"/>
                <v:textbox>
                  <w:txbxContent>
                    <w:p w14:paraId="172515A7">
                      <w:pPr>
                        <w:rPr>
                          <w:rFonts w:ascii="楷体_GB2312" w:hAnsi="宋体" w:eastAsia="楷体_GB2312"/>
                          <w:b/>
                          <w:color w:val="000000"/>
                          <w:sz w:val="18"/>
                          <w:szCs w:val="18"/>
                        </w:rPr>
                      </w:pPr>
                      <w:r>
                        <w:rPr>
                          <w:rFonts w:hint="eastAsia" w:ascii="楷体_GB2312" w:hAnsi="宋体" w:eastAsia="楷体_GB2312"/>
                          <w:b/>
                          <w:color w:val="000000"/>
                          <w:sz w:val="18"/>
                          <w:szCs w:val="18"/>
                        </w:rPr>
                        <w:t>发包人提供施工场地</w:t>
                      </w:r>
                    </w:p>
                  </w:txbxContent>
                </v:textbox>
              </v:shape>
            </w:pict>
          </mc:Fallback>
        </mc:AlternateContent>
      </w:r>
      <w:r>
        <w:rPr>
          <w:rFonts w:hint="eastAsia" w:ascii="宋体" w:hAnsi="宋体"/>
          <w:color w:val="auto"/>
          <w:sz w:val="24"/>
          <w:szCs w:val="18"/>
        </w:rPr>
        <w:t>发包人应按照专用条款约定的时间提供施工场地，并在确保承包人按照计划进度顺利开工的时间内给予承包人进入和使用施工场地的权利。</w:t>
      </w:r>
    </w:p>
    <w:p w14:paraId="4BDF287B">
      <w:pPr>
        <w:spacing w:line="360" w:lineRule="auto"/>
        <w:ind w:left="1619" w:leftChars="771" w:firstLine="2"/>
        <w:rPr>
          <w:rFonts w:ascii="宋体"/>
          <w:color w:val="auto"/>
          <w:sz w:val="24"/>
          <w:szCs w:val="18"/>
        </w:rPr>
      </w:pPr>
      <w:r>
        <w:rPr>
          <w:rFonts w:hint="eastAsia" w:ascii="宋体" w:hAnsi="宋体"/>
          <w:color w:val="auto"/>
          <w:sz w:val="24"/>
          <w:szCs w:val="18"/>
        </w:rPr>
        <w:t>发包人保留其工作人员、雇员和相关执法人员进入和使用施工场地的权利。</w:t>
      </w:r>
    </w:p>
    <w:p w14:paraId="25FB610A">
      <w:pPr>
        <w:spacing w:line="360" w:lineRule="auto"/>
        <w:rPr>
          <w:rFonts w:ascii="宋体"/>
          <w:b/>
          <w:color w:val="auto"/>
          <w:sz w:val="24"/>
          <w:szCs w:val="18"/>
        </w:rPr>
      </w:pPr>
      <w:r>
        <w:rPr>
          <w:rFonts w:ascii="宋体" w:hAnsi="宋体"/>
          <w:b/>
          <w:color w:val="auto"/>
          <w:sz w:val="24"/>
          <w:szCs w:val="18"/>
        </w:rPr>
        <w:t xml:space="preserve">19.4  </w:t>
      </w:r>
    </w:p>
    <w:p w14:paraId="3FBA3C6F">
      <w:pPr>
        <w:spacing w:line="360" w:lineRule="auto"/>
        <w:ind w:left="1619" w:leftChars="771"/>
        <w:rPr>
          <w:rFonts w:ascii="宋体"/>
          <w:b/>
          <w:color w:val="auto"/>
          <w:sz w:val="18"/>
          <w:szCs w:val="18"/>
        </w:rPr>
      </w:pPr>
      <w:r>
        <w:rPr>
          <w:color w:val="auto"/>
        </w:rPr>
        <mc:AlternateContent>
          <mc:Choice Requires="wps">
            <w:drawing>
              <wp:anchor distT="0" distB="0" distL="114300" distR="114300" simplePos="0" relativeHeight="251712512" behindDoc="0" locked="0" layoutInCell="1" allowOverlap="1">
                <wp:simplePos x="0" y="0"/>
                <wp:positionH relativeFrom="column">
                  <wp:posOffset>-114300</wp:posOffset>
                </wp:positionH>
                <wp:positionV relativeFrom="paragraph">
                  <wp:posOffset>15240</wp:posOffset>
                </wp:positionV>
                <wp:extent cx="914400" cy="7156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914400" cy="715645"/>
                        </a:xfrm>
                        <a:prstGeom prst="rect">
                          <a:avLst/>
                        </a:prstGeom>
                        <a:noFill/>
                        <a:ln>
                          <a:noFill/>
                        </a:ln>
                        <a:effectLst/>
                      </wps:spPr>
                      <wps:txbx>
                        <w:txbxContent>
                          <w:p w14:paraId="2DA35189">
                            <w:pPr>
                              <w:rPr>
                                <w:rFonts w:ascii="楷体_GB2312" w:hAnsi="宋体" w:eastAsia="楷体_GB2312"/>
                                <w:b/>
                                <w:color w:val="000000"/>
                                <w:sz w:val="18"/>
                                <w:szCs w:val="18"/>
                              </w:rPr>
                            </w:pPr>
                            <w:r>
                              <w:rPr>
                                <w:rFonts w:hint="eastAsia" w:ascii="楷体_GB2312" w:hAnsi="宋体" w:eastAsia="楷体_GB2312"/>
                                <w:b/>
                                <w:color w:val="000000"/>
                                <w:sz w:val="18"/>
                                <w:szCs w:val="18"/>
                              </w:rPr>
                              <w:t>发包人支付款项</w:t>
                            </w:r>
                          </w:p>
                        </w:txbxContent>
                      </wps:txbx>
                      <wps:bodyPr upright="1"/>
                    </wps:wsp>
                  </a:graphicData>
                </a:graphic>
              </wp:anchor>
            </w:drawing>
          </mc:Choice>
          <mc:Fallback>
            <w:pict>
              <v:shape id="_x0000_s1026" o:spid="_x0000_s1026" o:spt="202" type="#_x0000_t202" style="position:absolute;left:0pt;margin-left:-9pt;margin-top:1.2pt;height:56.35pt;width:72pt;z-index:251712512;mso-width-relative:page;mso-height-relative:page;" filled="f" stroked="f" coordsize="21600,21600" o:gfxdata="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VDE7k&#10;1gAAAAkBAAAPAAAAAAAAAAEAIAAAACIAAABkcnMvZG93bnJldi54bWxQSwECFAAUAAAACACHTuJA&#10;gH3uGbEBAABbAwAADgAAAAAAAAABACAAAAAlAQAAZHJzL2Uyb0RvYy54bWxQSwUGAAAAAAYABgBZ&#10;AQAASAUAAAAA&#10;">
                <v:fill on="f" focussize="0,0"/>
                <v:stroke on="f"/>
                <v:imagedata o:title=""/>
                <o:lock v:ext="edit" aspectratio="f"/>
                <v:textbox>
                  <w:txbxContent>
                    <w:p w14:paraId="2DA35189">
                      <w:pPr>
                        <w:rPr>
                          <w:rFonts w:ascii="楷体_GB2312" w:hAnsi="宋体" w:eastAsia="楷体_GB2312"/>
                          <w:b/>
                          <w:color w:val="000000"/>
                          <w:sz w:val="18"/>
                          <w:szCs w:val="18"/>
                        </w:rPr>
                      </w:pPr>
                      <w:r>
                        <w:rPr>
                          <w:rFonts w:hint="eastAsia" w:ascii="楷体_GB2312" w:hAnsi="宋体" w:eastAsia="楷体_GB2312"/>
                          <w:b/>
                          <w:color w:val="000000"/>
                          <w:sz w:val="18"/>
                          <w:szCs w:val="18"/>
                        </w:rPr>
                        <w:t>发包人支付款项</w:t>
                      </w:r>
                    </w:p>
                  </w:txbxContent>
                </v:textbox>
              </v:shape>
            </w:pict>
          </mc:Fallback>
        </mc:AlternateContent>
      </w:r>
      <w:r>
        <w:rPr>
          <w:rFonts w:hint="eastAsia" w:ascii="宋体" w:hAnsi="宋体"/>
          <w:color w:val="auto"/>
          <w:sz w:val="24"/>
          <w:szCs w:val="18"/>
        </w:rPr>
        <w:t>发包人应按照合同约定的期限和方式向承包人支付工程款及其他应支付的款项。</w:t>
      </w:r>
    </w:p>
    <w:p w14:paraId="3C9DD5D4">
      <w:pPr>
        <w:spacing w:line="360" w:lineRule="auto"/>
        <w:rPr>
          <w:rFonts w:ascii="宋体"/>
          <w:b/>
          <w:color w:val="auto"/>
          <w:sz w:val="24"/>
          <w:szCs w:val="18"/>
        </w:rPr>
      </w:pPr>
      <w:r>
        <w:rPr>
          <w:rFonts w:ascii="宋体" w:hAnsi="宋体"/>
          <w:b/>
          <w:color w:val="auto"/>
          <w:sz w:val="24"/>
          <w:szCs w:val="18"/>
        </w:rPr>
        <w:t xml:space="preserve">19.5  </w:t>
      </w:r>
    </w:p>
    <w:p w14:paraId="0492FCD6">
      <w:pPr>
        <w:spacing w:line="360" w:lineRule="auto"/>
        <w:ind w:left="1619" w:leftChars="771"/>
        <w:rPr>
          <w:rFonts w:ascii="宋体"/>
          <w:color w:val="auto"/>
          <w:sz w:val="24"/>
          <w:szCs w:val="18"/>
        </w:rPr>
      </w:pPr>
      <w:r>
        <w:rPr>
          <w:color w:val="auto"/>
        </w:rPr>
        <mc:AlternateContent>
          <mc:Choice Requires="wps">
            <w:drawing>
              <wp:anchor distT="0" distB="0" distL="114300" distR="114300" simplePos="0" relativeHeight="251713536" behindDoc="0" locked="0" layoutInCell="1" allowOverlap="1">
                <wp:simplePos x="0" y="0"/>
                <wp:positionH relativeFrom="column">
                  <wp:posOffset>-114300</wp:posOffset>
                </wp:positionH>
                <wp:positionV relativeFrom="paragraph">
                  <wp:posOffset>15240</wp:posOffset>
                </wp:positionV>
                <wp:extent cx="914400" cy="852170"/>
                <wp:effectExtent l="0" t="0" r="0" b="0"/>
                <wp:wrapNone/>
                <wp:docPr id="7" name="文本框 7"/>
                <wp:cNvGraphicFramePr/>
                <a:graphic xmlns:a="http://schemas.openxmlformats.org/drawingml/2006/main">
                  <a:graphicData uri="http://schemas.microsoft.com/office/word/2010/wordprocessingShape">
                    <wps:wsp>
                      <wps:cNvSpPr txBox="1"/>
                      <wps:spPr>
                        <a:xfrm>
                          <a:off x="0" y="0"/>
                          <a:ext cx="914400" cy="852170"/>
                        </a:xfrm>
                        <a:prstGeom prst="rect">
                          <a:avLst/>
                        </a:prstGeom>
                        <a:noFill/>
                        <a:ln>
                          <a:noFill/>
                        </a:ln>
                        <a:effectLst/>
                      </wps:spPr>
                      <wps:txbx>
                        <w:txbxContent>
                          <w:p w14:paraId="30849055">
                            <w:pPr>
                              <w:rPr>
                                <w:rFonts w:ascii="楷体_GB2312" w:hAnsi="宋体" w:eastAsia="楷体_GB2312"/>
                                <w:b/>
                                <w:color w:val="000000"/>
                                <w:sz w:val="18"/>
                                <w:szCs w:val="18"/>
                              </w:rPr>
                            </w:pPr>
                            <w:r>
                              <w:rPr>
                                <w:rFonts w:hint="eastAsia" w:ascii="楷体_GB2312" w:hAnsi="宋体" w:eastAsia="楷体_GB2312"/>
                                <w:b/>
                                <w:color w:val="000000"/>
                                <w:sz w:val="18"/>
                                <w:szCs w:val="18"/>
                              </w:rPr>
                              <w:t>发包人组织竣工验收</w:t>
                            </w:r>
                          </w:p>
                        </w:txbxContent>
                      </wps:txbx>
                      <wps:bodyPr upright="1"/>
                    </wps:wsp>
                  </a:graphicData>
                </a:graphic>
              </wp:anchor>
            </w:drawing>
          </mc:Choice>
          <mc:Fallback>
            <w:pict>
              <v:shape id="_x0000_s1026" o:spid="_x0000_s1026" o:spt="202" type="#_x0000_t202" style="position:absolute;left:0pt;margin-left:-9pt;margin-top:1.2pt;height:67.1pt;width:72pt;z-index:251713536;mso-width-relative:page;mso-height-relative:page;" filled="f" stroked="f" coordsize="21600,21600" o:gfxdata="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6csd&#10;5dYAAAAJAQAADwAAAAAAAAABACAAAAAiAAAAZHJzL2Rvd25yZXYueG1sUEsBAhQAFAAAAAgAh07i&#10;QN6Q3EeyAQAAWwMAAA4AAAAAAAAAAQAgAAAAJQEAAGRycy9lMm9Eb2MueG1sUEsFBgAAAAAGAAYA&#10;WQEAAEkFAAAAAA==&#10;">
                <v:fill on="f" focussize="0,0"/>
                <v:stroke on="f"/>
                <v:imagedata o:title=""/>
                <o:lock v:ext="edit" aspectratio="f"/>
                <v:textbox>
                  <w:txbxContent>
                    <w:p w14:paraId="30849055">
                      <w:pPr>
                        <w:rPr>
                          <w:rFonts w:ascii="楷体_GB2312" w:hAnsi="宋体" w:eastAsia="楷体_GB2312"/>
                          <w:b/>
                          <w:color w:val="000000"/>
                          <w:sz w:val="18"/>
                          <w:szCs w:val="18"/>
                        </w:rPr>
                      </w:pPr>
                      <w:r>
                        <w:rPr>
                          <w:rFonts w:hint="eastAsia" w:ascii="楷体_GB2312" w:hAnsi="宋体" w:eastAsia="楷体_GB2312"/>
                          <w:b/>
                          <w:color w:val="000000"/>
                          <w:sz w:val="18"/>
                          <w:szCs w:val="18"/>
                        </w:rPr>
                        <w:t>发包人组织竣工验收</w:t>
                      </w:r>
                    </w:p>
                  </w:txbxContent>
                </v:textbox>
              </v:shape>
            </w:pict>
          </mc:Fallback>
        </mc:AlternateContent>
      </w:r>
      <w:r>
        <w:rPr>
          <w:rFonts w:hint="eastAsia" w:ascii="宋体" w:hAnsi="宋体"/>
          <w:color w:val="auto"/>
          <w:sz w:val="24"/>
          <w:szCs w:val="18"/>
        </w:rPr>
        <w:t>发包人应按照第</w:t>
      </w:r>
      <w:r>
        <w:rPr>
          <w:rFonts w:ascii="宋体" w:hAnsi="宋体"/>
          <w:color w:val="auto"/>
          <w:sz w:val="24"/>
          <w:szCs w:val="18"/>
        </w:rPr>
        <w:t>58</w:t>
      </w:r>
      <w:r>
        <w:rPr>
          <w:rFonts w:hint="eastAsia" w:ascii="宋体" w:hAnsi="宋体"/>
          <w:color w:val="auto"/>
          <w:sz w:val="24"/>
          <w:szCs w:val="18"/>
        </w:rPr>
        <w:t>条规定组织承包人、设计人、监理人和工程造价咨询人等进行竣工验收。</w:t>
      </w:r>
    </w:p>
    <w:p w14:paraId="7B106323">
      <w:pPr>
        <w:spacing w:line="360" w:lineRule="auto"/>
        <w:rPr>
          <w:rFonts w:ascii="宋体"/>
          <w:b/>
          <w:color w:val="auto"/>
          <w:sz w:val="24"/>
          <w:szCs w:val="18"/>
        </w:rPr>
      </w:pPr>
      <w:r>
        <w:rPr>
          <w:color w:val="auto"/>
        </w:rPr>
        <mc:AlternateContent>
          <mc:Choice Requires="wps">
            <w:drawing>
              <wp:anchor distT="0" distB="0" distL="114300" distR="114300" simplePos="0" relativeHeight="251714560" behindDoc="0" locked="0" layoutInCell="1" allowOverlap="1">
                <wp:simplePos x="0" y="0"/>
                <wp:positionH relativeFrom="column">
                  <wp:posOffset>-114300</wp:posOffset>
                </wp:positionH>
                <wp:positionV relativeFrom="paragraph">
                  <wp:posOffset>273050</wp:posOffset>
                </wp:positionV>
                <wp:extent cx="914400" cy="1162685"/>
                <wp:effectExtent l="0" t="0" r="0" b="0"/>
                <wp:wrapNone/>
                <wp:docPr id="8" name="文本框 8"/>
                <wp:cNvGraphicFramePr/>
                <a:graphic xmlns:a="http://schemas.openxmlformats.org/drawingml/2006/main">
                  <a:graphicData uri="http://schemas.microsoft.com/office/word/2010/wordprocessingShape">
                    <wps:wsp>
                      <wps:cNvSpPr txBox="1"/>
                      <wps:spPr>
                        <a:xfrm>
                          <a:off x="0" y="0"/>
                          <a:ext cx="914400" cy="1162685"/>
                        </a:xfrm>
                        <a:prstGeom prst="rect">
                          <a:avLst/>
                        </a:prstGeom>
                        <a:noFill/>
                        <a:ln>
                          <a:noFill/>
                        </a:ln>
                        <a:effectLst/>
                      </wps:spPr>
                      <wps:txbx>
                        <w:txbxContent>
                          <w:p w14:paraId="352ACC49">
                            <w:pPr>
                              <w:rPr>
                                <w:rFonts w:ascii="楷体_GB2312" w:hAnsi="宋体" w:eastAsia="楷体_GB2312"/>
                                <w:b/>
                                <w:color w:val="000000"/>
                                <w:sz w:val="18"/>
                                <w:szCs w:val="18"/>
                              </w:rPr>
                            </w:pPr>
                            <w:r>
                              <w:rPr>
                                <w:rFonts w:hint="eastAsia" w:ascii="楷体_GB2312" w:hAnsi="宋体" w:eastAsia="楷体_GB2312"/>
                                <w:b/>
                                <w:color w:val="000000"/>
                                <w:sz w:val="18"/>
                                <w:szCs w:val="18"/>
                              </w:rPr>
                              <w:t>发包人供应材料和工程设备要求</w:t>
                            </w:r>
                          </w:p>
                        </w:txbxContent>
                      </wps:txbx>
                      <wps:bodyPr upright="1"/>
                    </wps:wsp>
                  </a:graphicData>
                </a:graphic>
              </wp:anchor>
            </w:drawing>
          </mc:Choice>
          <mc:Fallback>
            <w:pict>
              <v:shape id="_x0000_s1026" o:spid="_x0000_s1026" o:spt="202" type="#_x0000_t202" style="position:absolute;left:0pt;margin-left:-9pt;margin-top:21.5pt;height:91.55pt;width:72pt;z-index:251714560;mso-width-relative:page;mso-height-relative:page;" filled="f" stroked="f" coordsize="21600,21600" o:gfxdata="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LMi0l&#10;1wAAAAoBAAAPAAAAAAAAAAEAIAAAACIAAABkcnMvZG93bnJldi54bWxQSwECFAAUAAAACACHTuJA&#10;F2dKWbABAABcAwAADgAAAAAAAAABACAAAAAmAQAAZHJzL2Uyb0RvYy54bWxQSwUGAAAAAAYABgBZ&#10;AQAASAUAAAAA&#10;">
                <v:fill on="f" focussize="0,0"/>
                <v:stroke on="f"/>
                <v:imagedata o:title=""/>
                <o:lock v:ext="edit" aspectratio="f"/>
                <v:textbox>
                  <w:txbxContent>
                    <w:p w14:paraId="352ACC49">
                      <w:pPr>
                        <w:rPr>
                          <w:rFonts w:ascii="楷体_GB2312" w:hAnsi="宋体" w:eastAsia="楷体_GB2312"/>
                          <w:b/>
                          <w:color w:val="000000"/>
                          <w:sz w:val="18"/>
                          <w:szCs w:val="18"/>
                        </w:rPr>
                      </w:pPr>
                      <w:r>
                        <w:rPr>
                          <w:rFonts w:hint="eastAsia" w:ascii="楷体_GB2312" w:hAnsi="宋体" w:eastAsia="楷体_GB2312"/>
                          <w:b/>
                          <w:color w:val="000000"/>
                          <w:sz w:val="18"/>
                          <w:szCs w:val="18"/>
                        </w:rPr>
                        <w:t>发包人供应材料和工程设备要求</w:t>
                      </w:r>
                    </w:p>
                  </w:txbxContent>
                </v:textbox>
              </v:shape>
            </w:pict>
          </mc:Fallback>
        </mc:AlternateContent>
      </w:r>
      <w:r>
        <w:rPr>
          <w:rFonts w:ascii="宋体" w:hAnsi="宋体"/>
          <w:b/>
          <w:color w:val="auto"/>
          <w:sz w:val="24"/>
          <w:szCs w:val="18"/>
        </w:rPr>
        <w:t xml:space="preserve">19.6  </w:t>
      </w:r>
    </w:p>
    <w:p w14:paraId="279C5E72">
      <w:pPr>
        <w:spacing w:line="360" w:lineRule="auto"/>
        <w:ind w:left="1619" w:leftChars="771"/>
        <w:rPr>
          <w:rFonts w:ascii="宋体"/>
          <w:color w:val="auto"/>
          <w:sz w:val="24"/>
          <w:szCs w:val="18"/>
        </w:rPr>
      </w:pPr>
      <w:r>
        <w:rPr>
          <w:rFonts w:hint="eastAsia" w:ascii="宋体" w:hAnsi="宋体"/>
          <w:color w:val="auto"/>
          <w:sz w:val="24"/>
          <w:szCs w:val="18"/>
        </w:rPr>
        <w:t>发包人供应材料和工程设备的，发包人应按照第</w:t>
      </w:r>
      <w:r>
        <w:rPr>
          <w:rFonts w:ascii="宋体" w:hAnsi="宋体"/>
          <w:color w:val="auto"/>
          <w:sz w:val="24"/>
          <w:szCs w:val="18"/>
        </w:rPr>
        <w:t>48</w:t>
      </w:r>
      <w:r>
        <w:rPr>
          <w:rFonts w:hint="eastAsia" w:ascii="宋体" w:hAnsi="宋体"/>
          <w:color w:val="auto"/>
          <w:sz w:val="24"/>
          <w:szCs w:val="18"/>
        </w:rPr>
        <w:t>条规定向承包人提供材料和工程设备。</w:t>
      </w:r>
    </w:p>
    <w:p w14:paraId="76B661CC">
      <w:pPr>
        <w:spacing w:line="360" w:lineRule="auto"/>
        <w:rPr>
          <w:rFonts w:ascii="宋体"/>
          <w:b/>
          <w:color w:val="auto"/>
          <w:sz w:val="24"/>
          <w:szCs w:val="18"/>
        </w:rPr>
      </w:pPr>
      <w:r>
        <w:rPr>
          <w:rFonts w:ascii="宋体" w:hAnsi="宋体"/>
          <w:b/>
          <w:color w:val="auto"/>
          <w:sz w:val="24"/>
          <w:szCs w:val="18"/>
        </w:rPr>
        <w:t xml:space="preserve">19.7  </w:t>
      </w:r>
    </w:p>
    <w:p w14:paraId="11E44AA1">
      <w:pPr>
        <w:spacing w:line="360" w:lineRule="auto"/>
        <w:ind w:left="1619" w:leftChars="771" w:firstLine="1"/>
        <w:rPr>
          <w:rFonts w:ascii="宋体"/>
          <w:color w:val="auto"/>
          <w:sz w:val="24"/>
          <w:szCs w:val="18"/>
        </w:rPr>
      </w:pPr>
      <w:r>
        <w:rPr>
          <w:color w:val="auto"/>
        </w:rPr>
        <mc:AlternateContent>
          <mc:Choice Requires="wps">
            <w:drawing>
              <wp:anchor distT="0" distB="0" distL="114300" distR="114300" simplePos="0" relativeHeight="251715584" behindDoc="0" locked="0" layoutInCell="1" allowOverlap="1">
                <wp:simplePos x="0" y="0"/>
                <wp:positionH relativeFrom="column">
                  <wp:posOffset>-114300</wp:posOffset>
                </wp:positionH>
                <wp:positionV relativeFrom="paragraph">
                  <wp:posOffset>0</wp:posOffset>
                </wp:positionV>
                <wp:extent cx="914400" cy="449580"/>
                <wp:effectExtent l="0" t="0" r="0" b="0"/>
                <wp:wrapNone/>
                <wp:docPr id="2" name="文本框 1"/>
                <wp:cNvGraphicFramePr/>
                <a:graphic xmlns:a="http://schemas.openxmlformats.org/drawingml/2006/main">
                  <a:graphicData uri="http://schemas.microsoft.com/office/word/2010/wordprocessingShape">
                    <wps:wsp>
                      <wps:cNvSpPr txBox="1"/>
                      <wps:spPr>
                        <a:xfrm>
                          <a:off x="0" y="0"/>
                          <a:ext cx="914400" cy="449580"/>
                        </a:xfrm>
                        <a:prstGeom prst="rect">
                          <a:avLst/>
                        </a:prstGeom>
                        <a:noFill/>
                        <a:ln>
                          <a:noFill/>
                        </a:ln>
                        <a:effectLst/>
                      </wps:spPr>
                      <wps:txbx>
                        <w:txbxContent>
                          <w:p w14:paraId="7A37BBA0">
                            <w:pPr>
                              <w:rPr>
                                <w:rFonts w:ascii="楷体_GB2312" w:hAnsi="宋体" w:eastAsia="楷体_GB2312"/>
                                <w:sz w:val="18"/>
                                <w:szCs w:val="18"/>
                              </w:rPr>
                            </w:pPr>
                            <w:r>
                              <w:rPr>
                                <w:rFonts w:hint="eastAsia" w:ascii="楷体_GB2312" w:hAnsi="宋体" w:eastAsia="楷体_GB2312"/>
                                <w:b/>
                                <w:color w:val="000000"/>
                                <w:sz w:val="18"/>
                                <w:szCs w:val="18"/>
                              </w:rPr>
                              <w:t>发包人未尽义务的责任</w:t>
                            </w:r>
                          </w:p>
                        </w:txbxContent>
                      </wps:txbx>
                      <wps:bodyPr upright="1"/>
                    </wps:wsp>
                  </a:graphicData>
                </a:graphic>
              </wp:anchor>
            </w:drawing>
          </mc:Choice>
          <mc:Fallback>
            <w:pict>
              <v:shape id="文本框 1" o:spid="_x0000_s1026" o:spt="202" type="#_x0000_t202" style="position:absolute;left:0pt;margin-left:-9pt;margin-top:0pt;height:35.4pt;width:72pt;z-index:251715584;mso-width-relative:page;mso-height-relative:page;" filled="f" stroked="f" coordsize="21600,21600" o:gfxdata="UEsDBAoAAAAAAIdO4kAAAAAAAAAAAAAAAAAEAAAAZHJzL1BLAwQUAAAACACHTuJAp3Dy2t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p3Dy2tQA&#10;AAAHAQAADwAAAAAAAAABACAAAAAiAAAAZHJzL2Rvd25yZXYueG1sUEsBAhQAFAAAAAgAh07iQIU6&#10;/5+xAQAAWwMAAA4AAAAAAAAAAQAgAAAAIwEAAGRycy9lMm9Eb2MueG1sUEsFBgAAAAAGAAYAWQEA&#10;AEYFAAAAAA==&#10;">
                <v:fill on="f" focussize="0,0"/>
                <v:stroke on="f"/>
                <v:imagedata o:title=""/>
                <o:lock v:ext="edit" aspectratio="f"/>
                <v:textbox>
                  <w:txbxContent>
                    <w:p w14:paraId="7A37BBA0">
                      <w:pPr>
                        <w:rPr>
                          <w:rFonts w:ascii="楷体_GB2312" w:hAnsi="宋体" w:eastAsia="楷体_GB2312"/>
                          <w:sz w:val="18"/>
                          <w:szCs w:val="18"/>
                        </w:rPr>
                      </w:pPr>
                      <w:r>
                        <w:rPr>
                          <w:rFonts w:hint="eastAsia" w:ascii="楷体_GB2312" w:hAnsi="宋体" w:eastAsia="楷体_GB2312"/>
                          <w:b/>
                          <w:color w:val="000000"/>
                          <w:sz w:val="18"/>
                          <w:szCs w:val="18"/>
                        </w:rPr>
                        <w:t>发包人未尽义务的责任</w:t>
                      </w:r>
                    </w:p>
                  </w:txbxContent>
                </v:textbox>
              </v:shape>
            </w:pict>
          </mc:Fallback>
        </mc:AlternateContent>
      </w:r>
      <w:r>
        <w:rPr>
          <w:rFonts w:hint="eastAsia" w:ascii="宋体" w:hAnsi="宋体"/>
          <w:color w:val="auto"/>
          <w:sz w:val="24"/>
          <w:szCs w:val="18"/>
        </w:rPr>
        <w:t>发包人未能正确完成本合同约定的全部义务，导致费用的增加和（或）延误的工期，由发包人承担；给承包人造成损失的，发包人应予赔偿。</w:t>
      </w:r>
    </w:p>
    <w:p w14:paraId="2E8CBE82">
      <w:pPr>
        <w:spacing w:line="360" w:lineRule="auto"/>
        <w:rPr>
          <w:rFonts w:ascii="宋体"/>
          <w:b/>
          <w:color w:val="auto"/>
          <w:sz w:val="24"/>
          <w:szCs w:val="18"/>
        </w:rPr>
      </w:pPr>
    </w:p>
    <w:p w14:paraId="7D7F21AA">
      <w:pPr>
        <w:spacing w:before="240" w:beforeLines="100" w:line="360" w:lineRule="auto"/>
        <w:rPr>
          <w:rFonts w:ascii="宋体"/>
          <w:b/>
          <w:color w:val="auto"/>
          <w:sz w:val="30"/>
        </w:rPr>
      </w:pPr>
      <w:r>
        <w:rPr>
          <w:rFonts w:ascii="宋体" w:hAnsi="宋体"/>
          <w:b/>
          <w:color w:val="auto"/>
          <w:sz w:val="30"/>
        </w:rPr>
        <w:t xml:space="preserve">20  </w:t>
      </w:r>
      <w:r>
        <w:rPr>
          <w:rFonts w:hint="eastAsia" w:ascii="宋体" w:hAnsi="宋体"/>
          <w:b/>
          <w:color w:val="auto"/>
          <w:sz w:val="30"/>
        </w:rPr>
        <w:t>承包人</w:t>
      </w:r>
    </w:p>
    <w:p w14:paraId="529313DE">
      <w:pPr>
        <w:tabs>
          <w:tab w:val="left" w:pos="1620"/>
        </w:tabs>
        <w:spacing w:line="360" w:lineRule="auto"/>
        <w:ind w:left="-2" w:leftChars="-1" w:firstLine="1"/>
        <w:rPr>
          <w:rFonts w:ascii="宋体"/>
          <w:b/>
          <w:color w:val="auto"/>
          <w:sz w:val="24"/>
          <w:szCs w:val="18"/>
        </w:rPr>
      </w:pPr>
      <w:r>
        <w:rPr>
          <w:rFonts w:ascii="宋体" w:hAnsi="宋体"/>
          <w:b/>
          <w:color w:val="auto"/>
          <w:sz w:val="24"/>
          <w:szCs w:val="18"/>
        </w:rPr>
        <w:t xml:space="preserve">20.1                                                        </w:t>
      </w:r>
    </w:p>
    <w:p w14:paraId="6AFEC3DA">
      <w:pPr>
        <w:tabs>
          <w:tab w:val="left" w:pos="1620"/>
        </w:tabs>
        <w:spacing w:line="360" w:lineRule="auto"/>
        <w:ind w:left="1619" w:leftChars="771"/>
        <w:rPr>
          <w:rFonts w:ascii="宋体"/>
          <w:color w:val="auto"/>
          <w:sz w:val="24"/>
          <w:szCs w:val="18"/>
        </w:rPr>
      </w:pPr>
      <w:r>
        <w:rPr>
          <w:color w:val="auto"/>
        </w:rPr>
        <mc:AlternateContent>
          <mc:Choice Requires="wps">
            <w:drawing>
              <wp:anchor distT="0" distB="0" distL="114300" distR="114300" simplePos="0" relativeHeight="251716608"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914400" cy="429895"/>
                        </a:xfrm>
                        <a:prstGeom prst="rect">
                          <a:avLst/>
                        </a:prstGeom>
                        <a:noFill/>
                        <a:ln>
                          <a:noFill/>
                        </a:ln>
                        <a:effectLst/>
                      </wps:spPr>
                      <wps:txbx>
                        <w:txbxContent>
                          <w:p w14:paraId="4B8A9AEE">
                            <w:pPr>
                              <w:rPr>
                                <w:rFonts w:ascii="楷体_GB2312" w:hAnsi="宋体" w:eastAsia="楷体_GB2312"/>
                                <w:b/>
                                <w:color w:val="000000"/>
                                <w:sz w:val="18"/>
                                <w:szCs w:val="18"/>
                              </w:rPr>
                            </w:pPr>
                            <w:r>
                              <w:rPr>
                                <w:rFonts w:hint="eastAsia" w:ascii="楷体_GB2312" w:hAnsi="宋体" w:eastAsia="楷体_GB2312"/>
                                <w:b/>
                                <w:color w:val="000000"/>
                                <w:sz w:val="18"/>
                                <w:szCs w:val="18"/>
                              </w:rPr>
                              <w:t>遵守法律</w:t>
                            </w:r>
                          </w:p>
                        </w:txbxContent>
                      </wps:txbx>
                      <wps:bodyPr upright="1"/>
                    </wps:wsp>
                  </a:graphicData>
                </a:graphic>
              </wp:anchor>
            </w:drawing>
          </mc:Choice>
          <mc:Fallback>
            <w:pict>
              <v:shape id="_x0000_s1026" o:spid="_x0000_s1026" o:spt="202" type="#_x0000_t202" style="position:absolute;left:0pt;margin-left:-9pt;margin-top:0.35pt;height:33.85pt;width:72pt;z-index:251716608;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FFopk&#10;1QAAAAcBAAAPAAAAAAAAAAEAIAAAACIAAABkcnMvZG93bnJldi54bWxQSwECFAAUAAAACACHTuJA&#10;ASHtmLIBAABdAwAADgAAAAAAAAABACAAAAAkAQAAZHJzL2Uyb0RvYy54bWxQSwUGAAAAAAYABgBZ&#10;AQAASAUAAAAA&#10;">
                <v:fill on="f" focussize="0,0"/>
                <v:stroke on="f"/>
                <v:imagedata o:title=""/>
                <o:lock v:ext="edit" aspectratio="f"/>
                <v:textbox>
                  <w:txbxContent>
                    <w:p w14:paraId="4B8A9AEE">
                      <w:pPr>
                        <w:rPr>
                          <w:rFonts w:ascii="楷体_GB2312" w:hAnsi="宋体" w:eastAsia="楷体_GB2312"/>
                          <w:b/>
                          <w:color w:val="000000"/>
                          <w:sz w:val="18"/>
                          <w:szCs w:val="18"/>
                        </w:rPr>
                      </w:pPr>
                      <w:r>
                        <w:rPr>
                          <w:rFonts w:hint="eastAsia" w:ascii="楷体_GB2312" w:hAnsi="宋体" w:eastAsia="楷体_GB2312"/>
                          <w:b/>
                          <w:color w:val="000000"/>
                          <w:sz w:val="18"/>
                          <w:szCs w:val="18"/>
                        </w:rPr>
                        <w:t>遵守法律</w:t>
                      </w:r>
                    </w:p>
                  </w:txbxContent>
                </v:textbox>
              </v:shape>
            </w:pict>
          </mc:Fallback>
        </mc:AlternateContent>
      </w:r>
      <w:r>
        <w:rPr>
          <w:rFonts w:hint="eastAsia" w:ascii="宋体" w:hAnsi="宋体"/>
          <w:color w:val="auto"/>
          <w:sz w:val="24"/>
          <w:szCs w:val="18"/>
        </w:rPr>
        <w:t>承包人在履行合同期间应遵守法律，并保证发包人免于承担因承包人违反法律而引起的任何责任。</w:t>
      </w:r>
    </w:p>
    <w:p w14:paraId="5C934F5B">
      <w:pPr>
        <w:spacing w:line="360" w:lineRule="auto"/>
        <w:rPr>
          <w:rFonts w:ascii="宋体"/>
          <w:color w:val="auto"/>
          <w:sz w:val="24"/>
          <w:szCs w:val="18"/>
        </w:rPr>
      </w:pPr>
      <w:r>
        <w:rPr>
          <w:rFonts w:ascii="宋体" w:hAnsi="宋体"/>
          <w:b/>
          <w:color w:val="auto"/>
          <w:sz w:val="24"/>
          <w:szCs w:val="18"/>
        </w:rPr>
        <w:t>20.2</w:t>
      </w:r>
    </w:p>
    <w:p w14:paraId="3FCE240A">
      <w:pPr>
        <w:tabs>
          <w:tab w:val="left" w:pos="1620"/>
        </w:tabs>
        <w:spacing w:line="360" w:lineRule="auto"/>
        <w:ind w:left="1619" w:leftChars="771"/>
        <w:rPr>
          <w:rFonts w:ascii="宋体"/>
          <w:color w:val="auto"/>
          <w:sz w:val="24"/>
          <w:szCs w:val="18"/>
        </w:rPr>
      </w:pPr>
      <w:r>
        <w:rPr>
          <w:color w:val="auto"/>
        </w:rPr>
        <mc:AlternateContent>
          <mc:Choice Requires="wps">
            <w:drawing>
              <wp:anchor distT="0" distB="0" distL="114300" distR="114300" simplePos="0" relativeHeight="251717632" behindDoc="0" locked="0" layoutInCell="1" allowOverlap="1">
                <wp:simplePos x="0" y="0"/>
                <wp:positionH relativeFrom="column">
                  <wp:posOffset>-114300</wp:posOffset>
                </wp:positionH>
                <wp:positionV relativeFrom="paragraph">
                  <wp:posOffset>0</wp:posOffset>
                </wp:positionV>
                <wp:extent cx="914400" cy="37338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914400" cy="373380"/>
                        </a:xfrm>
                        <a:prstGeom prst="rect">
                          <a:avLst/>
                        </a:prstGeom>
                        <a:noFill/>
                        <a:ln>
                          <a:noFill/>
                        </a:ln>
                        <a:effectLst/>
                      </wps:spPr>
                      <wps:txbx>
                        <w:txbxContent>
                          <w:p w14:paraId="033EB4AC">
                            <w:pPr>
                              <w:rPr>
                                <w:rFonts w:ascii="楷体_GB2312" w:hAnsi="宋体" w:eastAsia="楷体_GB2312"/>
                                <w:b/>
                                <w:color w:val="000000"/>
                                <w:sz w:val="18"/>
                                <w:szCs w:val="18"/>
                              </w:rPr>
                            </w:pPr>
                            <w:r>
                              <w:rPr>
                                <w:rFonts w:hint="eastAsia" w:ascii="楷体_GB2312" w:hAnsi="宋体" w:eastAsia="楷体_GB2312"/>
                                <w:b/>
                                <w:color w:val="000000"/>
                                <w:sz w:val="18"/>
                                <w:szCs w:val="18"/>
                              </w:rPr>
                              <w:t>承包人工作</w:t>
                            </w:r>
                          </w:p>
                        </w:txbxContent>
                      </wps:txbx>
                      <wps:bodyPr upright="1"/>
                    </wps:wsp>
                  </a:graphicData>
                </a:graphic>
              </wp:anchor>
            </w:drawing>
          </mc:Choice>
          <mc:Fallback>
            <w:pict>
              <v:shape id="_x0000_s1026" o:spid="_x0000_s1026" o:spt="202" type="#_x0000_t202" style="position:absolute;left:0pt;margin-left:-9pt;margin-top:0pt;height:29.4pt;width:72pt;z-index:251717632;mso-width-relative:page;mso-height-relative:page;" filled="f" stroked="f" coordsize="21600,21600" o:gfxdata="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op+2j&#10;1AAAAAcBAAAPAAAAAAAAAAEAIAAAACIAAABkcnMvZG93bnJldi54bWxQSwECFAAUAAAACACHTuJA&#10;FbJTlbMBAABdAwAADgAAAAAAAAABACAAAAAjAQAAZHJzL2Uyb0RvYy54bWxQSwUGAAAAAAYABgBZ&#10;AQAASAUAAAAA&#10;">
                <v:fill on="f" focussize="0,0"/>
                <v:stroke on="f"/>
                <v:imagedata o:title=""/>
                <o:lock v:ext="edit" aspectratio="f"/>
                <v:textbox>
                  <w:txbxContent>
                    <w:p w14:paraId="033EB4AC">
                      <w:pPr>
                        <w:rPr>
                          <w:rFonts w:ascii="楷体_GB2312" w:hAnsi="宋体" w:eastAsia="楷体_GB2312"/>
                          <w:b/>
                          <w:color w:val="000000"/>
                          <w:sz w:val="18"/>
                          <w:szCs w:val="18"/>
                        </w:rPr>
                      </w:pPr>
                      <w:r>
                        <w:rPr>
                          <w:rFonts w:hint="eastAsia" w:ascii="楷体_GB2312" w:hAnsi="宋体" w:eastAsia="楷体_GB2312"/>
                          <w:b/>
                          <w:color w:val="000000"/>
                          <w:sz w:val="18"/>
                          <w:szCs w:val="18"/>
                        </w:rPr>
                        <w:t>承包人工作</w:t>
                      </w:r>
                    </w:p>
                  </w:txbxContent>
                </v:textbox>
              </v:shape>
            </w:pict>
          </mc:Fallback>
        </mc:AlternateContent>
      </w:r>
      <w:r>
        <w:rPr>
          <w:rFonts w:hint="eastAsia" w:ascii="宋体" w:hAnsi="宋体"/>
          <w:color w:val="auto"/>
          <w:sz w:val="24"/>
          <w:szCs w:val="18"/>
        </w:rPr>
        <w:t>承包人应按照合同约定完成下列工作，包括但不限于：</w:t>
      </w:r>
    </w:p>
    <w:p w14:paraId="0F327724">
      <w:pPr>
        <w:numPr>
          <w:ilvl w:val="0"/>
          <w:numId w:val="10"/>
        </w:numPr>
        <w:tabs>
          <w:tab w:val="left" w:pos="1980"/>
        </w:tabs>
        <w:spacing w:line="360" w:lineRule="auto"/>
        <w:ind w:left="1619" w:leftChars="771" w:firstLine="0"/>
        <w:rPr>
          <w:rFonts w:ascii="宋体"/>
          <w:color w:val="auto"/>
          <w:sz w:val="24"/>
          <w:szCs w:val="18"/>
        </w:rPr>
      </w:pPr>
      <w:r>
        <w:rPr>
          <w:rFonts w:hint="eastAsia" w:ascii="宋体" w:hAnsi="宋体"/>
          <w:color w:val="auto"/>
          <w:sz w:val="24"/>
          <w:szCs w:val="18"/>
        </w:rPr>
        <w:t>按照合同约定和监理工程师的指令实施、完成并保修合同工程；</w:t>
      </w:r>
    </w:p>
    <w:p w14:paraId="23F0DC46">
      <w:pPr>
        <w:numPr>
          <w:ilvl w:val="0"/>
          <w:numId w:val="10"/>
        </w:numPr>
        <w:tabs>
          <w:tab w:val="left" w:pos="1980"/>
        </w:tabs>
        <w:spacing w:line="360" w:lineRule="auto"/>
        <w:ind w:left="1619" w:leftChars="771" w:firstLine="0"/>
        <w:rPr>
          <w:rFonts w:ascii="宋体"/>
          <w:color w:val="auto"/>
          <w:sz w:val="24"/>
          <w:szCs w:val="18"/>
        </w:rPr>
      </w:pPr>
      <w:r>
        <w:rPr>
          <w:rFonts w:hint="eastAsia" w:ascii="宋体" w:hAnsi="宋体"/>
          <w:color w:val="auto"/>
          <w:sz w:val="24"/>
          <w:szCs w:val="18"/>
        </w:rPr>
        <w:t>按照合同约定和监理工程师的要求提交工程进度报告和进度计划；</w:t>
      </w:r>
    </w:p>
    <w:p w14:paraId="4FBEC6A6">
      <w:pPr>
        <w:numPr>
          <w:ilvl w:val="0"/>
          <w:numId w:val="10"/>
        </w:numPr>
        <w:tabs>
          <w:tab w:val="left" w:pos="1980"/>
        </w:tabs>
        <w:spacing w:line="360" w:lineRule="auto"/>
        <w:ind w:left="1619" w:leftChars="771" w:firstLine="0"/>
        <w:rPr>
          <w:rFonts w:ascii="宋体"/>
          <w:color w:val="auto"/>
          <w:sz w:val="24"/>
          <w:szCs w:val="18"/>
        </w:rPr>
      </w:pPr>
      <w:r>
        <w:rPr>
          <w:rFonts w:hint="eastAsia" w:ascii="宋体" w:hAnsi="宋体"/>
          <w:color w:val="auto"/>
          <w:sz w:val="24"/>
          <w:szCs w:val="18"/>
        </w:rPr>
        <w:t>按照合同约定和造价工程师的要求提交支付申请和工程款报告，包括安全文明施工费、进度款、结算款和调整合同价款等；</w:t>
      </w:r>
    </w:p>
    <w:p w14:paraId="4D972662">
      <w:pPr>
        <w:numPr>
          <w:ilvl w:val="0"/>
          <w:numId w:val="10"/>
        </w:numPr>
        <w:tabs>
          <w:tab w:val="left" w:pos="1980"/>
        </w:tabs>
        <w:spacing w:line="360" w:lineRule="auto"/>
        <w:ind w:left="1619" w:leftChars="771" w:firstLine="0"/>
        <w:rPr>
          <w:rFonts w:ascii="宋体"/>
          <w:color w:val="auto"/>
          <w:sz w:val="24"/>
          <w:szCs w:val="18"/>
        </w:rPr>
      </w:pPr>
      <w:r>
        <w:rPr>
          <w:rFonts w:hint="eastAsia" w:ascii="宋体" w:hAnsi="宋体"/>
          <w:color w:val="auto"/>
          <w:sz w:val="24"/>
          <w:szCs w:val="18"/>
        </w:rPr>
        <w:t>负责施工场地安全保卫工作，防止因工程施工造成的人身伤害和财产损失，提供和维修非夜间施工使用的照明、围栏设施等安全标志；</w:t>
      </w:r>
    </w:p>
    <w:p w14:paraId="275C16F1">
      <w:pPr>
        <w:numPr>
          <w:ilvl w:val="0"/>
          <w:numId w:val="10"/>
        </w:numPr>
        <w:tabs>
          <w:tab w:val="left" w:pos="1980"/>
        </w:tabs>
        <w:spacing w:line="360" w:lineRule="auto"/>
        <w:ind w:left="1619" w:leftChars="771" w:firstLine="0"/>
        <w:rPr>
          <w:rFonts w:ascii="宋体"/>
          <w:color w:val="auto"/>
          <w:sz w:val="24"/>
          <w:szCs w:val="18"/>
        </w:rPr>
      </w:pPr>
      <w:r>
        <w:rPr>
          <w:rFonts w:hint="eastAsia" w:ascii="宋体" w:hAnsi="宋体"/>
          <w:color w:val="auto"/>
          <w:sz w:val="24"/>
          <w:szCs w:val="18"/>
        </w:rPr>
        <w:t>按照专用条款约定的数量和要求，向发包人提供施工场地办公和生活的房屋及设施，并在施工现场保留本合同、约定的标准与规范、变更资料等各一份，供监理工程师、造价工程师需要时使用；</w:t>
      </w:r>
    </w:p>
    <w:p w14:paraId="7A99463B">
      <w:pPr>
        <w:numPr>
          <w:ilvl w:val="0"/>
          <w:numId w:val="10"/>
        </w:numPr>
        <w:tabs>
          <w:tab w:val="left" w:pos="1980"/>
        </w:tabs>
        <w:spacing w:line="360" w:lineRule="auto"/>
        <w:ind w:left="1618" w:leftChars="770" w:hanging="1"/>
        <w:rPr>
          <w:rFonts w:ascii="宋体"/>
          <w:color w:val="auto"/>
          <w:sz w:val="24"/>
          <w:szCs w:val="18"/>
        </w:rPr>
      </w:pPr>
      <w:r>
        <w:rPr>
          <w:rFonts w:hint="eastAsia" w:ascii="宋体" w:hAnsi="宋体"/>
          <w:color w:val="auto"/>
          <w:sz w:val="24"/>
          <w:szCs w:val="18"/>
        </w:rPr>
        <w:t>遵守政府部门有关施工场地交通、环境保护、施工噪声、安全文明施工等的管理规定，办理有关手续，并以书面形式通知发包人；</w:t>
      </w:r>
    </w:p>
    <w:p w14:paraId="0619EA89">
      <w:pPr>
        <w:numPr>
          <w:ilvl w:val="0"/>
          <w:numId w:val="10"/>
        </w:numPr>
        <w:tabs>
          <w:tab w:val="left" w:pos="1980"/>
          <w:tab w:val="left" w:pos="2520"/>
        </w:tabs>
        <w:spacing w:line="360" w:lineRule="auto"/>
        <w:ind w:left="1618" w:leftChars="770" w:hanging="1"/>
        <w:rPr>
          <w:rFonts w:ascii="宋体"/>
          <w:color w:val="auto"/>
          <w:sz w:val="24"/>
          <w:szCs w:val="18"/>
        </w:rPr>
      </w:pPr>
      <w:r>
        <w:rPr>
          <w:rFonts w:hint="eastAsia" w:ascii="宋体" w:hAnsi="宋体"/>
          <w:color w:val="auto"/>
          <w:sz w:val="24"/>
          <w:szCs w:val="18"/>
        </w:rPr>
        <w:t>在合同工程或其某单位工程已竣工未移交给发包人之前，负责已完工程的照管工作。工程接收证书颁发时尚有部分未竣工工程的，还应负责该未竣工工程的照管工作，直至竣工后移交给发包人为止。照管期间发生损坏的，应予以修复并承担费用；发包人要求采取特殊保护措施的，由发包人承担相应费用；</w:t>
      </w:r>
    </w:p>
    <w:p w14:paraId="428461D2">
      <w:pPr>
        <w:numPr>
          <w:ilvl w:val="0"/>
          <w:numId w:val="10"/>
        </w:numPr>
        <w:tabs>
          <w:tab w:val="left" w:pos="1980"/>
          <w:tab w:val="left" w:pos="2520"/>
        </w:tabs>
        <w:spacing w:line="360" w:lineRule="auto"/>
        <w:ind w:left="1619" w:leftChars="771" w:firstLine="0"/>
        <w:rPr>
          <w:rFonts w:ascii="宋体"/>
          <w:color w:val="auto"/>
          <w:sz w:val="24"/>
          <w:szCs w:val="18"/>
        </w:rPr>
      </w:pPr>
      <w:r>
        <w:rPr>
          <w:rFonts w:hint="eastAsia" w:ascii="宋体" w:hAnsi="宋体"/>
          <w:color w:val="auto"/>
          <w:sz w:val="24"/>
          <w:szCs w:val="18"/>
        </w:rPr>
        <w:t>做好施工场地地下管线和邻近建筑物、构筑物（包括文物保护建筑）、古树</w:t>
      </w:r>
    </w:p>
    <w:p w14:paraId="4F272BDA">
      <w:pPr>
        <w:tabs>
          <w:tab w:val="left" w:pos="1980"/>
          <w:tab w:val="left" w:pos="2520"/>
        </w:tabs>
        <w:spacing w:line="360" w:lineRule="auto"/>
        <w:ind w:left="1138" w:leftChars="542" w:firstLine="480" w:firstLineChars="200"/>
        <w:rPr>
          <w:rFonts w:ascii="宋体"/>
          <w:color w:val="auto"/>
          <w:sz w:val="24"/>
          <w:szCs w:val="18"/>
        </w:rPr>
      </w:pPr>
      <w:r>
        <w:rPr>
          <w:rFonts w:hint="eastAsia" w:ascii="宋体" w:hAnsi="宋体"/>
          <w:color w:val="auto"/>
          <w:sz w:val="24"/>
          <w:szCs w:val="18"/>
        </w:rPr>
        <w:t>名木的保护工作；</w:t>
      </w:r>
    </w:p>
    <w:p w14:paraId="6C4DD0F6">
      <w:pPr>
        <w:numPr>
          <w:ilvl w:val="0"/>
          <w:numId w:val="10"/>
        </w:numPr>
        <w:tabs>
          <w:tab w:val="left" w:pos="1980"/>
          <w:tab w:val="left" w:pos="2520"/>
        </w:tabs>
        <w:spacing w:line="360" w:lineRule="auto"/>
        <w:ind w:left="1618" w:leftChars="770" w:hanging="1"/>
        <w:rPr>
          <w:rFonts w:ascii="宋体"/>
          <w:color w:val="auto"/>
          <w:sz w:val="24"/>
          <w:szCs w:val="18"/>
        </w:rPr>
      </w:pPr>
      <w:r>
        <w:rPr>
          <w:rFonts w:hint="eastAsia" w:ascii="宋体" w:hAnsi="宋体"/>
          <w:color w:val="auto"/>
          <w:sz w:val="24"/>
          <w:szCs w:val="18"/>
        </w:rPr>
        <w:t>遵守政府部门有关环境卫生的管理规定，保证施工场地的清洁和做好交工前施工现场的清理工作，并承担因自身责任造成的损失和罚款；</w:t>
      </w:r>
    </w:p>
    <w:p w14:paraId="702C68DA">
      <w:pPr>
        <w:numPr>
          <w:ilvl w:val="0"/>
          <w:numId w:val="10"/>
        </w:numPr>
        <w:tabs>
          <w:tab w:val="left" w:pos="1440"/>
          <w:tab w:val="left" w:pos="1980"/>
        </w:tabs>
        <w:spacing w:line="360" w:lineRule="auto"/>
        <w:ind w:left="1619" w:leftChars="771" w:firstLine="0"/>
        <w:rPr>
          <w:rFonts w:ascii="宋体"/>
          <w:color w:val="auto"/>
          <w:sz w:val="24"/>
          <w:szCs w:val="18"/>
        </w:rPr>
      </w:pPr>
      <w:r>
        <w:rPr>
          <w:rFonts w:hint="eastAsia" w:ascii="宋体" w:hAnsi="宋体"/>
          <w:color w:val="auto"/>
          <w:sz w:val="24"/>
          <w:szCs w:val="18"/>
        </w:rPr>
        <w:t>工程完工后，应按照合同约定提交竣工验收申请报告和竣工结算文件。</w:t>
      </w:r>
    </w:p>
    <w:p w14:paraId="5EB804CA">
      <w:pPr>
        <w:tabs>
          <w:tab w:val="left" w:pos="4970"/>
        </w:tabs>
        <w:spacing w:line="360" w:lineRule="auto"/>
        <w:rPr>
          <w:rFonts w:ascii="宋体"/>
          <w:b/>
          <w:color w:val="auto"/>
          <w:sz w:val="24"/>
          <w:szCs w:val="18"/>
        </w:rPr>
      </w:pPr>
      <w:r>
        <w:rPr>
          <w:rFonts w:ascii="宋体" w:hAnsi="宋体"/>
          <w:b/>
          <w:color w:val="auto"/>
          <w:sz w:val="24"/>
          <w:szCs w:val="18"/>
        </w:rPr>
        <w:t xml:space="preserve">20.3   </w:t>
      </w:r>
    </w:p>
    <w:p w14:paraId="34685C8E">
      <w:pPr>
        <w:tabs>
          <w:tab w:val="left" w:pos="4970"/>
        </w:tabs>
        <w:spacing w:line="360" w:lineRule="auto"/>
        <w:ind w:left="1619" w:leftChars="771"/>
        <w:rPr>
          <w:rFonts w:ascii="宋体"/>
          <w:color w:val="auto"/>
          <w:sz w:val="24"/>
          <w:szCs w:val="18"/>
        </w:rPr>
      </w:pPr>
      <w:r>
        <w:rPr>
          <w:color w:val="auto"/>
        </w:rPr>
        <mc:AlternateContent>
          <mc:Choice Requires="wps">
            <w:drawing>
              <wp:anchor distT="0" distB="0" distL="114300" distR="114300" simplePos="0" relativeHeight="251718656"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a:effectLst/>
                      </wps:spPr>
                      <wps:txbx>
                        <w:txbxContent>
                          <w:p w14:paraId="2056E9CD">
                            <w:pPr>
                              <w:rPr>
                                <w:rFonts w:ascii="楷体_GB2312" w:hAnsi="宋体" w:eastAsia="楷体_GB2312"/>
                                <w:b/>
                                <w:color w:val="000000"/>
                                <w:sz w:val="18"/>
                                <w:szCs w:val="18"/>
                              </w:rPr>
                            </w:pPr>
                            <w:r>
                              <w:rPr>
                                <w:rFonts w:hint="eastAsia" w:ascii="楷体_GB2312" w:hAnsi="宋体" w:eastAsia="楷体_GB2312"/>
                                <w:b/>
                                <w:color w:val="000000"/>
                                <w:sz w:val="18"/>
                                <w:szCs w:val="18"/>
                              </w:rPr>
                              <w:t>承包人实施工作</w:t>
                            </w:r>
                          </w:p>
                        </w:txbxContent>
                      </wps:txbx>
                      <wps:bodyPr upright="1"/>
                    </wps:wsp>
                  </a:graphicData>
                </a:graphic>
              </wp:anchor>
            </w:drawing>
          </mc:Choice>
          <mc:Fallback>
            <w:pict>
              <v:shape id="_x0000_s1026" o:spid="_x0000_s1026" o:spt="202" type="#_x0000_t202" style="position:absolute;left:0pt;margin-left:-9pt;margin-top:0pt;height:46.8pt;width:72pt;z-index:251718656;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Syfp&#10;MtUAAAAHAQAADwAAAAAAAAABACAAAAAiAAAAZHJzL2Rvd25yZXYueG1sUEsBAhQAFAAAAAgAh07i&#10;QI+G0tyzAQAAXQMAAA4AAAAAAAAAAQAgAAAAJAEAAGRycy9lMm9Eb2MueG1sUEsFBgAAAAAGAAYA&#10;WQEAAEkFAAAAAA==&#10;">
                <v:fill on="f" focussize="0,0"/>
                <v:stroke on="f"/>
                <v:imagedata o:title=""/>
                <o:lock v:ext="edit" aspectratio="f"/>
                <v:textbox>
                  <w:txbxContent>
                    <w:p w14:paraId="2056E9CD">
                      <w:pPr>
                        <w:rPr>
                          <w:rFonts w:ascii="楷体_GB2312" w:hAnsi="宋体" w:eastAsia="楷体_GB2312"/>
                          <w:b/>
                          <w:color w:val="000000"/>
                          <w:sz w:val="18"/>
                          <w:szCs w:val="18"/>
                        </w:rPr>
                      </w:pPr>
                      <w:r>
                        <w:rPr>
                          <w:rFonts w:hint="eastAsia" w:ascii="楷体_GB2312" w:hAnsi="宋体" w:eastAsia="楷体_GB2312"/>
                          <w:b/>
                          <w:color w:val="000000"/>
                          <w:sz w:val="18"/>
                          <w:szCs w:val="18"/>
                        </w:rPr>
                        <w:t>承包人实施工作</w:t>
                      </w:r>
                    </w:p>
                  </w:txbxContent>
                </v:textbox>
              </v:shape>
            </w:pict>
          </mc:Fallback>
        </mc:AlternateContent>
      </w:r>
      <w:r>
        <w:rPr>
          <w:rFonts w:hint="eastAsia" w:ascii="宋体" w:hAnsi="宋体"/>
          <w:color w:val="auto"/>
          <w:sz w:val="24"/>
          <w:szCs w:val="18"/>
        </w:rPr>
        <w:t>承包人应按照合同约定和监理工程师指令实施、完成并保修合同工程。除专用条款另有约定外，承包人应提供为完成合同工程所需的劳务、材料、工程设备、施工设备和其他物品。如果承包人不按照合同约定或监理工程师依据合同发出的指令组织施工，且在监理工程师书面要求改正后的</w:t>
      </w:r>
      <w:r>
        <w:rPr>
          <w:rFonts w:ascii="宋体" w:hAnsi="宋体"/>
          <w:color w:val="auto"/>
          <w:sz w:val="24"/>
          <w:szCs w:val="18"/>
        </w:rPr>
        <w:t>7</w:t>
      </w:r>
      <w:r>
        <w:rPr>
          <w:rFonts w:hint="eastAsia" w:ascii="宋体" w:hAnsi="宋体"/>
          <w:color w:val="auto"/>
          <w:sz w:val="24"/>
          <w:szCs w:val="18"/>
        </w:rPr>
        <w:t>天内仍未采取补救措施的，则发包人可自行或委托第三方进行补救，由此发生的费用和造成的损失由承包人承担。该笔款项经造价工程师核实后，由发包人从应支付或将支付给承包人的工程进度款或结算款中扣除。</w:t>
      </w:r>
    </w:p>
    <w:p w14:paraId="7BBE874E">
      <w:pPr>
        <w:tabs>
          <w:tab w:val="left" w:pos="4970"/>
        </w:tabs>
        <w:spacing w:line="360" w:lineRule="auto"/>
        <w:rPr>
          <w:rFonts w:ascii="宋体"/>
          <w:b/>
          <w:color w:val="auto"/>
          <w:sz w:val="24"/>
          <w:szCs w:val="18"/>
        </w:rPr>
      </w:pPr>
      <w:r>
        <w:rPr>
          <w:rFonts w:ascii="宋体" w:hAnsi="宋体"/>
          <w:b/>
          <w:color w:val="auto"/>
          <w:sz w:val="24"/>
          <w:szCs w:val="18"/>
        </w:rPr>
        <w:t xml:space="preserve">20.4   </w:t>
      </w:r>
    </w:p>
    <w:p w14:paraId="616A4FDF">
      <w:pPr>
        <w:tabs>
          <w:tab w:val="left" w:pos="4970"/>
        </w:tabs>
        <w:spacing w:line="360" w:lineRule="auto"/>
        <w:ind w:left="1619" w:leftChars="771"/>
        <w:rPr>
          <w:rFonts w:ascii="宋体"/>
          <w:color w:val="auto"/>
          <w:sz w:val="24"/>
          <w:szCs w:val="18"/>
        </w:rPr>
      </w:pPr>
      <w:r>
        <w:rPr>
          <w:color w:val="auto"/>
        </w:rPr>
        <mc:AlternateContent>
          <mc:Choice Requires="wps">
            <w:drawing>
              <wp:anchor distT="0" distB="0" distL="114300" distR="114300" simplePos="0" relativeHeight="251719680" behindDoc="0" locked="0" layoutInCell="1" allowOverlap="1">
                <wp:simplePos x="0" y="0"/>
                <wp:positionH relativeFrom="column">
                  <wp:posOffset>-114300</wp:posOffset>
                </wp:positionH>
                <wp:positionV relativeFrom="paragraph">
                  <wp:posOffset>22860</wp:posOffset>
                </wp:positionV>
                <wp:extent cx="914400" cy="1003935"/>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914400" cy="1003935"/>
                        </a:xfrm>
                        <a:prstGeom prst="rect">
                          <a:avLst/>
                        </a:prstGeom>
                        <a:noFill/>
                        <a:ln>
                          <a:noFill/>
                        </a:ln>
                        <a:effectLst/>
                      </wps:spPr>
                      <wps:txbx>
                        <w:txbxContent>
                          <w:p w14:paraId="6DBD1158">
                            <w:pPr>
                              <w:rPr>
                                <w:rFonts w:ascii="楷体_GB2312" w:hAnsi="宋体" w:eastAsia="楷体_GB2312"/>
                                <w:b/>
                                <w:color w:val="000000"/>
                                <w:sz w:val="18"/>
                                <w:szCs w:val="18"/>
                              </w:rPr>
                            </w:pPr>
                            <w:r>
                              <w:rPr>
                                <w:rFonts w:hint="eastAsia" w:ascii="楷体_GB2312" w:hAnsi="宋体" w:eastAsia="楷体_GB2312"/>
                                <w:b/>
                                <w:color w:val="000000"/>
                                <w:sz w:val="18"/>
                                <w:szCs w:val="18"/>
                              </w:rPr>
                              <w:t>承包人实施施工组织设计和工作安排</w:t>
                            </w:r>
                          </w:p>
                        </w:txbxContent>
                      </wps:txbx>
                      <wps:bodyPr upright="1"/>
                    </wps:wsp>
                  </a:graphicData>
                </a:graphic>
              </wp:anchor>
            </w:drawing>
          </mc:Choice>
          <mc:Fallback>
            <w:pict>
              <v:shape id="_x0000_s1026" o:spid="_x0000_s1026" o:spt="202" type="#_x0000_t202" style="position:absolute;left:0pt;margin-left:-9pt;margin-top:1.8pt;height:79.05pt;width:72pt;z-index:251719680;mso-width-relative:page;mso-height-relative:page;" filled="f" stroked="f" coordsize="21600,21600" o:gfxdata="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mr+B&#10;CdYAAAAJAQAADwAAAAAAAAABACAAAAAiAAAAZHJzL2Rvd25yZXYueG1sUEsBAhQAFAAAAAgAh07i&#10;QLDaEf2yAQAAXgMAAA4AAAAAAAAAAQAgAAAAJQEAAGRycy9lMm9Eb2MueG1sUEsFBgAAAAAGAAYA&#10;WQEAAEkFAAAAAA==&#10;">
                <v:fill on="f" focussize="0,0"/>
                <v:stroke on="f"/>
                <v:imagedata o:title=""/>
                <o:lock v:ext="edit" aspectratio="f"/>
                <v:textbox>
                  <w:txbxContent>
                    <w:p w14:paraId="6DBD1158">
                      <w:pPr>
                        <w:rPr>
                          <w:rFonts w:ascii="楷体_GB2312" w:hAnsi="宋体" w:eastAsia="楷体_GB2312"/>
                          <w:b/>
                          <w:color w:val="000000"/>
                          <w:sz w:val="18"/>
                          <w:szCs w:val="18"/>
                        </w:rPr>
                      </w:pPr>
                      <w:r>
                        <w:rPr>
                          <w:rFonts w:hint="eastAsia" w:ascii="楷体_GB2312" w:hAnsi="宋体" w:eastAsia="楷体_GB2312"/>
                          <w:b/>
                          <w:color w:val="000000"/>
                          <w:sz w:val="18"/>
                          <w:szCs w:val="18"/>
                        </w:rPr>
                        <w:t>承包人实施施工组织设计和工作安排</w:t>
                      </w:r>
                    </w:p>
                  </w:txbxContent>
                </v:textbox>
              </v:shape>
            </w:pict>
          </mc:Fallback>
        </mc:AlternateContent>
      </w:r>
      <w:r>
        <w:rPr>
          <w:rFonts w:hint="eastAsia" w:ascii="宋体" w:hAnsi="宋体"/>
          <w:color w:val="auto"/>
          <w:sz w:val="24"/>
          <w:szCs w:val="18"/>
        </w:rPr>
        <w:t>承包人对所有现场作业和施工方法的完备性、稳定性和安全性负责，并应按照合同约定的工作内容和施工进度要求，向监理工程师提交合同工程拟采用的施工组织设计和工作安排的详细说明。如承包人对施工组织设计和工作安排作出重大修改，应事先征得监理工程师同意。</w:t>
      </w:r>
    </w:p>
    <w:p w14:paraId="34A7F3B7">
      <w:pPr>
        <w:tabs>
          <w:tab w:val="left" w:pos="4970"/>
        </w:tabs>
        <w:spacing w:line="360" w:lineRule="auto"/>
        <w:rPr>
          <w:rFonts w:ascii="宋体"/>
          <w:color w:val="auto"/>
          <w:sz w:val="24"/>
          <w:szCs w:val="18"/>
        </w:rPr>
      </w:pPr>
      <w:r>
        <w:rPr>
          <w:rFonts w:ascii="宋体" w:hAnsi="宋体"/>
          <w:b/>
          <w:color w:val="auto"/>
          <w:sz w:val="24"/>
          <w:szCs w:val="18"/>
        </w:rPr>
        <w:t xml:space="preserve">20.5 </w:t>
      </w:r>
    </w:p>
    <w:p w14:paraId="6B52A9F1">
      <w:pPr>
        <w:pStyle w:val="12"/>
        <w:tabs>
          <w:tab w:val="left" w:pos="4970"/>
        </w:tabs>
        <w:ind w:left="1619" w:leftChars="771"/>
        <w:rPr>
          <w:rFonts w:ascii="宋体"/>
          <w:color w:val="auto"/>
          <w:szCs w:val="18"/>
        </w:rPr>
      </w:pPr>
      <w:r>
        <w:rPr>
          <w:color w:val="auto"/>
        </w:rPr>
        <mc:AlternateContent>
          <mc:Choice Requires="wps">
            <w:drawing>
              <wp:anchor distT="0" distB="0" distL="114300" distR="114300" simplePos="0" relativeHeight="251720704" behindDoc="0" locked="0" layoutInCell="1" allowOverlap="1">
                <wp:simplePos x="0" y="0"/>
                <wp:positionH relativeFrom="column">
                  <wp:posOffset>-114300</wp:posOffset>
                </wp:positionH>
                <wp:positionV relativeFrom="paragraph">
                  <wp:posOffset>15240</wp:posOffset>
                </wp:positionV>
                <wp:extent cx="914400" cy="65786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914400" cy="657860"/>
                        </a:xfrm>
                        <a:prstGeom prst="rect">
                          <a:avLst/>
                        </a:prstGeom>
                        <a:noFill/>
                        <a:ln>
                          <a:noFill/>
                        </a:ln>
                        <a:effectLst/>
                      </wps:spPr>
                      <wps:txbx>
                        <w:txbxContent>
                          <w:p w14:paraId="051B6CEB">
                            <w:pPr>
                              <w:spacing w:line="240" w:lineRule="exact"/>
                              <w:rPr>
                                <w:rFonts w:ascii="楷体_GB2312" w:hAnsi="宋体" w:eastAsia="楷体_GB2312"/>
                                <w:sz w:val="18"/>
                                <w:szCs w:val="18"/>
                              </w:rPr>
                            </w:pPr>
                            <w:r>
                              <w:rPr>
                                <w:rFonts w:hint="eastAsia" w:ascii="楷体_GB2312" w:eastAsia="楷体_GB2312"/>
                                <w:b/>
                                <w:color w:val="000000"/>
                                <w:sz w:val="18"/>
                                <w:szCs w:val="18"/>
                              </w:rPr>
                              <w:t>承包人为发包人的人员提供配合</w:t>
                            </w:r>
                          </w:p>
                        </w:txbxContent>
                      </wps:txbx>
                      <wps:bodyPr upright="1"/>
                    </wps:wsp>
                  </a:graphicData>
                </a:graphic>
              </wp:anchor>
            </w:drawing>
          </mc:Choice>
          <mc:Fallback>
            <w:pict>
              <v:shape id="_x0000_s1026" o:spid="_x0000_s1026" o:spt="202" type="#_x0000_t202" style="position:absolute;left:0pt;margin-left:-9pt;margin-top:1.2pt;height:51.8pt;width:72pt;z-index:251720704;mso-width-relative:page;mso-height-relative:page;" filled="f" stroked="f" coordsize="21600,21600" o:gfxdata="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ZQt8D&#10;1AAAAAkBAAAPAAAAAAAAAAEAIAAAACIAAABkcnMvZG93bnJldi54bWxQSwECFAAUAAAACACHTuJA&#10;8oFnrbMBAABdAwAADgAAAAAAAAABACAAAAAjAQAAZHJzL2Uyb0RvYy54bWxQSwUGAAAAAAYABgBZ&#10;AQAASAUAAAAA&#10;">
                <v:fill on="f" focussize="0,0"/>
                <v:stroke on="f"/>
                <v:imagedata o:title=""/>
                <o:lock v:ext="edit" aspectratio="f"/>
                <v:textbox>
                  <w:txbxContent>
                    <w:p w14:paraId="051B6CEB">
                      <w:pPr>
                        <w:spacing w:line="240" w:lineRule="exact"/>
                        <w:rPr>
                          <w:rFonts w:ascii="楷体_GB2312" w:hAnsi="宋体" w:eastAsia="楷体_GB2312"/>
                          <w:sz w:val="18"/>
                          <w:szCs w:val="18"/>
                        </w:rPr>
                      </w:pPr>
                      <w:r>
                        <w:rPr>
                          <w:rFonts w:hint="eastAsia" w:ascii="楷体_GB2312" w:eastAsia="楷体_GB2312"/>
                          <w:b/>
                          <w:color w:val="000000"/>
                          <w:sz w:val="18"/>
                          <w:szCs w:val="18"/>
                        </w:rPr>
                        <w:t>承包人为发包人的人员提供配合</w:t>
                      </w:r>
                    </w:p>
                  </w:txbxContent>
                </v:textbox>
              </v:shape>
            </w:pict>
          </mc:Fallback>
        </mc:AlternateContent>
      </w:r>
      <w:r>
        <w:rPr>
          <w:rFonts w:hint="eastAsia" w:ascii="宋体"/>
          <w:color w:val="auto"/>
          <w:szCs w:val="18"/>
        </w:rPr>
        <w:t>承包人应按照合同约定或监理工程师的指令，配合和协助下述人员在施工场地及其附近实施与合同工程有关的各项工作：</w:t>
      </w:r>
    </w:p>
    <w:p w14:paraId="60DF17B8">
      <w:pPr>
        <w:tabs>
          <w:tab w:val="left" w:pos="1980"/>
          <w:tab w:val="left" w:pos="4970"/>
        </w:tabs>
        <w:spacing w:line="360" w:lineRule="auto"/>
        <w:ind w:left="1619"/>
        <w:rPr>
          <w:rFonts w:ascii="宋体"/>
          <w:color w:val="auto"/>
          <w:sz w:val="24"/>
          <w:szCs w:val="18"/>
        </w:rPr>
      </w:pPr>
      <w:r>
        <w:rPr>
          <w:rFonts w:hint="eastAsia" w:ascii="宋体" w:hAnsi="宋体"/>
          <w:color w:val="auto"/>
          <w:sz w:val="24"/>
          <w:szCs w:val="18"/>
        </w:rPr>
        <w:t>（</w:t>
      </w:r>
      <w:r>
        <w:rPr>
          <w:rFonts w:ascii="宋体" w:hAnsi="宋体"/>
          <w:color w:val="auto"/>
          <w:sz w:val="24"/>
          <w:szCs w:val="18"/>
        </w:rPr>
        <w:t>1</w:t>
      </w:r>
      <w:r>
        <w:rPr>
          <w:rFonts w:hint="eastAsia" w:ascii="宋体" w:hAnsi="宋体"/>
          <w:color w:val="auto"/>
          <w:sz w:val="24"/>
          <w:szCs w:val="18"/>
        </w:rPr>
        <w:t>）发包人的工作人员；</w:t>
      </w:r>
    </w:p>
    <w:p w14:paraId="722715A6">
      <w:pPr>
        <w:tabs>
          <w:tab w:val="left" w:pos="1980"/>
          <w:tab w:val="left" w:pos="4970"/>
        </w:tabs>
        <w:spacing w:line="360" w:lineRule="auto"/>
        <w:ind w:left="1619"/>
        <w:rPr>
          <w:rFonts w:ascii="宋体"/>
          <w:color w:val="auto"/>
          <w:sz w:val="24"/>
          <w:szCs w:val="18"/>
        </w:rPr>
      </w:pPr>
      <w:r>
        <w:rPr>
          <w:rFonts w:hint="eastAsia" w:ascii="宋体" w:hAnsi="宋体"/>
          <w:color w:val="auto"/>
          <w:sz w:val="24"/>
          <w:szCs w:val="18"/>
        </w:rPr>
        <w:t>（</w:t>
      </w:r>
      <w:r>
        <w:rPr>
          <w:rFonts w:ascii="宋体" w:hAnsi="宋体"/>
          <w:color w:val="auto"/>
          <w:sz w:val="24"/>
          <w:szCs w:val="18"/>
        </w:rPr>
        <w:t>2</w:t>
      </w:r>
      <w:r>
        <w:rPr>
          <w:rFonts w:hint="eastAsia" w:ascii="宋体" w:hAnsi="宋体"/>
          <w:color w:val="auto"/>
          <w:sz w:val="24"/>
          <w:szCs w:val="18"/>
        </w:rPr>
        <w:t>）发包人的雇员；</w:t>
      </w:r>
    </w:p>
    <w:p w14:paraId="1C3766EA">
      <w:pPr>
        <w:tabs>
          <w:tab w:val="left" w:pos="1980"/>
          <w:tab w:val="left" w:pos="4970"/>
        </w:tabs>
        <w:spacing w:line="360" w:lineRule="auto"/>
        <w:ind w:left="1619"/>
        <w:rPr>
          <w:rFonts w:ascii="宋体"/>
          <w:color w:val="auto"/>
          <w:sz w:val="24"/>
          <w:szCs w:val="18"/>
        </w:rPr>
      </w:pPr>
      <w:r>
        <w:rPr>
          <w:rFonts w:hint="eastAsia" w:ascii="宋体" w:hAnsi="宋体"/>
          <w:color w:val="auto"/>
          <w:sz w:val="24"/>
          <w:szCs w:val="18"/>
        </w:rPr>
        <w:t>（</w:t>
      </w:r>
      <w:r>
        <w:rPr>
          <w:rFonts w:ascii="宋体" w:hAnsi="宋体"/>
          <w:color w:val="auto"/>
          <w:sz w:val="24"/>
          <w:szCs w:val="18"/>
        </w:rPr>
        <w:t>3</w:t>
      </w:r>
      <w:r>
        <w:rPr>
          <w:rFonts w:hint="eastAsia" w:ascii="宋体" w:hAnsi="宋体"/>
          <w:color w:val="auto"/>
          <w:sz w:val="24"/>
          <w:szCs w:val="18"/>
        </w:rPr>
        <w:t>）任何监督管理机构的执法人员。</w:t>
      </w:r>
    </w:p>
    <w:p w14:paraId="78B974A8">
      <w:pPr>
        <w:pStyle w:val="8"/>
        <w:tabs>
          <w:tab w:val="left" w:pos="2520"/>
        </w:tabs>
        <w:ind w:left="1619" w:leftChars="771" w:firstLine="0" w:firstLineChars="0"/>
        <w:rPr>
          <w:color w:val="auto"/>
        </w:rPr>
      </w:pPr>
      <w:r>
        <w:rPr>
          <w:rFonts w:hint="eastAsia" w:ascii="宋体" w:hAnsi="宋体"/>
          <w:color w:val="auto"/>
          <w:szCs w:val="18"/>
        </w:rPr>
        <w:t>此类指令若增加了承包人的工作或支出，包括使用了承包人的设备、临时工程或通行道路等，则视为工程变更，按照第</w:t>
      </w:r>
      <w:r>
        <w:rPr>
          <w:rFonts w:ascii="宋体" w:hAnsi="宋体"/>
          <w:color w:val="auto"/>
          <w:szCs w:val="18"/>
        </w:rPr>
        <w:t>72</w:t>
      </w:r>
      <w:r>
        <w:rPr>
          <w:rFonts w:hint="eastAsia" w:ascii="宋体" w:hAnsi="宋体"/>
          <w:color w:val="auto"/>
          <w:szCs w:val="18"/>
        </w:rPr>
        <w:t>条规定调整合同价款。</w:t>
      </w:r>
    </w:p>
    <w:p w14:paraId="5F606C2A">
      <w:pPr>
        <w:tabs>
          <w:tab w:val="left" w:pos="4970"/>
        </w:tabs>
        <w:spacing w:line="360" w:lineRule="auto"/>
        <w:rPr>
          <w:rFonts w:ascii="宋体"/>
          <w:b/>
          <w:color w:val="auto"/>
          <w:sz w:val="24"/>
          <w:szCs w:val="18"/>
        </w:rPr>
      </w:pPr>
      <w:r>
        <w:rPr>
          <w:rFonts w:ascii="宋体" w:hAnsi="宋体"/>
          <w:b/>
          <w:color w:val="auto"/>
          <w:sz w:val="24"/>
          <w:szCs w:val="18"/>
        </w:rPr>
        <w:t xml:space="preserve">20.6  </w:t>
      </w:r>
    </w:p>
    <w:p w14:paraId="1C837CF4">
      <w:pPr>
        <w:tabs>
          <w:tab w:val="left" w:pos="4970"/>
        </w:tabs>
        <w:spacing w:line="360" w:lineRule="auto"/>
        <w:ind w:left="1619" w:leftChars="771"/>
        <w:rPr>
          <w:rFonts w:ascii="宋体"/>
          <w:color w:val="auto"/>
          <w:sz w:val="24"/>
          <w:szCs w:val="18"/>
        </w:rPr>
      </w:pPr>
      <w:r>
        <w:rPr>
          <w:color w:val="auto"/>
        </w:rPr>
        <mc:AlternateContent>
          <mc:Choice Requires="wps">
            <w:drawing>
              <wp:anchor distT="0" distB="0" distL="114300" distR="114300" simplePos="0" relativeHeight="251721728"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a:effectLst/>
                      </wps:spPr>
                      <wps:txbx>
                        <w:txbxContent>
                          <w:p w14:paraId="407F8B03">
                            <w:pPr>
                              <w:rPr>
                                <w:rFonts w:ascii="楷体_GB2312" w:hAnsi="宋体" w:eastAsia="楷体_GB2312"/>
                                <w:sz w:val="18"/>
                                <w:szCs w:val="18"/>
                              </w:rPr>
                            </w:pPr>
                            <w:r>
                              <w:rPr>
                                <w:rFonts w:hint="eastAsia" w:ascii="楷体_GB2312" w:hAnsi="宋体" w:eastAsia="楷体_GB2312"/>
                                <w:b/>
                                <w:color w:val="000000"/>
                                <w:sz w:val="18"/>
                                <w:szCs w:val="18"/>
                              </w:rPr>
                              <w:t>承包人避免施工损害他人利益</w:t>
                            </w:r>
                          </w:p>
                        </w:txbxContent>
                      </wps:txbx>
                      <wps:bodyPr upright="1"/>
                    </wps:wsp>
                  </a:graphicData>
                </a:graphic>
              </wp:anchor>
            </w:drawing>
          </mc:Choice>
          <mc:Fallback>
            <w:pict>
              <v:shape id="_x0000_s1026" o:spid="_x0000_s1026" o:spt="202" type="#_x0000_t202" style="position:absolute;left:0pt;margin-left:-9pt;margin-top:0pt;height:62.4pt;width:72pt;z-index:251721728;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Kk2V&#10;HNUAAAAIAQAADwAAAAAAAAABACAAAAAiAAAAZHJzL2Rvd25yZXYueG1sUEsBAhQAFAAAAAgAh07i&#10;QBl2H+SzAQAAXQMAAA4AAAAAAAAAAQAgAAAAJAEAAGRycy9lMm9Eb2MueG1sUEsFBgAAAAAGAAYA&#10;WQEAAEkFAAAAAA==&#10;">
                <v:fill on="f" focussize="0,0"/>
                <v:stroke on="f"/>
                <v:imagedata o:title=""/>
                <o:lock v:ext="edit" aspectratio="f"/>
                <v:textbox>
                  <w:txbxContent>
                    <w:p w14:paraId="407F8B03">
                      <w:pPr>
                        <w:rPr>
                          <w:rFonts w:ascii="楷体_GB2312" w:hAnsi="宋体" w:eastAsia="楷体_GB2312"/>
                          <w:sz w:val="18"/>
                          <w:szCs w:val="18"/>
                        </w:rPr>
                      </w:pPr>
                      <w:r>
                        <w:rPr>
                          <w:rFonts w:hint="eastAsia" w:ascii="楷体_GB2312" w:hAnsi="宋体" w:eastAsia="楷体_GB2312"/>
                          <w:b/>
                          <w:color w:val="000000"/>
                          <w:sz w:val="18"/>
                          <w:szCs w:val="18"/>
                        </w:rPr>
                        <w:t>承包人避免施工损害他人利益</w:t>
                      </w:r>
                    </w:p>
                  </w:txbxContent>
                </v:textbox>
              </v:shape>
            </w:pict>
          </mc:Fallback>
        </mc:AlternateContent>
      </w:r>
      <w:r>
        <w:rPr>
          <w:rFonts w:hint="eastAsia" w:ascii="宋体" w:hAnsi="宋体"/>
          <w:color w:val="auto"/>
          <w:sz w:val="24"/>
          <w:szCs w:val="18"/>
        </w:rPr>
        <w:t>承包人在施工过程中，不得侵害发包人与他人使用公用道路、水源、市政管网等公共设施的权利，避免对邻近的公共设施产生干扰。承包人占用或使用他人的施工场地，影响他人作业或生活的，应承担相应责任。</w:t>
      </w:r>
    </w:p>
    <w:p w14:paraId="352747AF">
      <w:pPr>
        <w:tabs>
          <w:tab w:val="left" w:pos="4970"/>
        </w:tabs>
        <w:spacing w:line="360" w:lineRule="auto"/>
        <w:rPr>
          <w:rFonts w:ascii="宋体"/>
          <w:b/>
          <w:color w:val="auto"/>
          <w:sz w:val="24"/>
          <w:szCs w:val="18"/>
        </w:rPr>
      </w:pPr>
      <w:r>
        <w:rPr>
          <w:rFonts w:ascii="宋体" w:hAnsi="宋体"/>
          <w:b/>
          <w:color w:val="auto"/>
          <w:sz w:val="24"/>
          <w:szCs w:val="18"/>
        </w:rPr>
        <w:t xml:space="preserve">20.7  </w:t>
      </w:r>
    </w:p>
    <w:p w14:paraId="1A8F5068">
      <w:pPr>
        <w:tabs>
          <w:tab w:val="left" w:pos="4970"/>
        </w:tabs>
        <w:spacing w:line="360" w:lineRule="auto"/>
        <w:ind w:left="1619" w:leftChars="771"/>
        <w:rPr>
          <w:rFonts w:ascii="宋体"/>
          <w:color w:val="auto"/>
          <w:sz w:val="24"/>
          <w:szCs w:val="18"/>
        </w:rPr>
      </w:pPr>
      <w:r>
        <w:rPr>
          <w:color w:val="auto"/>
        </w:rPr>
        <mc:AlternateContent>
          <mc:Choice Requires="wps">
            <w:drawing>
              <wp:anchor distT="0" distB="0" distL="114300" distR="114300" simplePos="0" relativeHeight="251722752" behindDoc="0" locked="0" layoutInCell="1" allowOverlap="1">
                <wp:simplePos x="0" y="0"/>
                <wp:positionH relativeFrom="column">
                  <wp:posOffset>-114300</wp:posOffset>
                </wp:positionH>
                <wp:positionV relativeFrom="paragraph">
                  <wp:posOffset>0</wp:posOffset>
                </wp:positionV>
                <wp:extent cx="914400" cy="4953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a:effectLst/>
                      </wps:spPr>
                      <wps:txbx>
                        <w:txbxContent>
                          <w:p w14:paraId="5CC02438">
                            <w:pPr>
                              <w:rPr>
                                <w:rFonts w:ascii="楷体_GB2312" w:hAnsi="宋体" w:eastAsia="楷体_GB2312"/>
                                <w:sz w:val="18"/>
                                <w:szCs w:val="18"/>
                              </w:rPr>
                            </w:pPr>
                            <w:r>
                              <w:rPr>
                                <w:rFonts w:hint="eastAsia" w:ascii="楷体_GB2312" w:hAnsi="宋体" w:eastAsia="楷体_GB2312"/>
                                <w:b/>
                                <w:color w:val="000000"/>
                                <w:sz w:val="18"/>
                                <w:szCs w:val="18"/>
                              </w:rPr>
                              <w:t>承包人未尽义务的责任</w:t>
                            </w:r>
                          </w:p>
                        </w:txbxContent>
                      </wps:txbx>
                      <wps:bodyPr upright="1"/>
                    </wps:wsp>
                  </a:graphicData>
                </a:graphic>
              </wp:anchor>
            </w:drawing>
          </mc:Choice>
          <mc:Fallback>
            <w:pict>
              <v:shape id="_x0000_s1026" o:spid="_x0000_s1026" o:spt="202" type="#_x0000_t202" style="position:absolute;left:0pt;margin-left:-9pt;margin-top:0pt;height:39pt;width:72pt;z-index:251722752;mso-width-relative:page;mso-height-relative:page;" filled="f" stroked="f" coordsize="21600,21600" o:gfxdata="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C7iE7U&#10;AAAABwEAAA8AAAAAAAAAAQAgAAAAIgAAAGRycy9kb3ducmV2LnhtbFBLAQIUABQAAAAIAIdO4kAy&#10;gRN0sgEAAF0DAAAOAAAAAAAAAAEAIAAAACMBAABkcnMvZTJvRG9jLnhtbFBLBQYAAAAABgAGAFkB&#10;AABHBQAAAAA=&#10;">
                <v:fill on="f" focussize="0,0"/>
                <v:stroke on="f"/>
                <v:imagedata o:title=""/>
                <o:lock v:ext="edit" aspectratio="f"/>
                <v:textbox>
                  <w:txbxContent>
                    <w:p w14:paraId="5CC02438">
                      <w:pPr>
                        <w:rPr>
                          <w:rFonts w:ascii="楷体_GB2312" w:hAnsi="宋体" w:eastAsia="楷体_GB2312"/>
                          <w:sz w:val="18"/>
                          <w:szCs w:val="18"/>
                        </w:rPr>
                      </w:pPr>
                      <w:r>
                        <w:rPr>
                          <w:rFonts w:hint="eastAsia" w:ascii="楷体_GB2312" w:hAnsi="宋体" w:eastAsia="楷体_GB2312"/>
                          <w:b/>
                          <w:color w:val="000000"/>
                          <w:sz w:val="18"/>
                          <w:szCs w:val="18"/>
                        </w:rPr>
                        <w:t>承包人未尽义务的责任</w:t>
                      </w:r>
                    </w:p>
                  </w:txbxContent>
                </v:textbox>
              </v:shape>
            </w:pict>
          </mc:Fallback>
        </mc:AlternateContent>
      </w:r>
      <w:r>
        <w:rPr>
          <w:rFonts w:hint="eastAsia" w:ascii="宋体" w:hAnsi="宋体"/>
          <w:color w:val="auto"/>
          <w:sz w:val="24"/>
          <w:szCs w:val="18"/>
        </w:rPr>
        <w:t>承包人未能正确完成本合同约定的全部义务，导致费用的增加和（或）延误的工期，由承包人承担；给发包人造成损失的，承包人应予赔偿。</w:t>
      </w:r>
    </w:p>
    <w:p w14:paraId="23AEA345">
      <w:pPr>
        <w:pStyle w:val="2"/>
        <w:adjustRightInd w:val="0"/>
        <w:snapToGrid w:val="0"/>
        <w:spacing w:line="360" w:lineRule="auto"/>
        <w:ind w:right="-238"/>
        <w:rPr>
          <w:rFonts w:hAnsi="宋体"/>
          <w:b/>
          <w:color w:val="auto"/>
          <w:sz w:val="24"/>
          <w:szCs w:val="18"/>
        </w:rPr>
      </w:pPr>
      <w:r>
        <w:rPr>
          <w:rFonts w:hAnsi="宋体"/>
          <w:b/>
          <w:color w:val="auto"/>
          <w:sz w:val="30"/>
          <w:szCs w:val="24"/>
        </w:rPr>
        <w:t xml:space="preserve">21  </w:t>
      </w:r>
      <w:r>
        <w:rPr>
          <w:rFonts w:hint="eastAsia" w:hAnsi="宋体"/>
          <w:b/>
          <w:color w:val="auto"/>
          <w:sz w:val="30"/>
          <w:szCs w:val="24"/>
        </w:rPr>
        <w:t>现场管理人员任命和更换</w:t>
      </w:r>
    </w:p>
    <w:p w14:paraId="0153E8F2">
      <w:pPr>
        <w:pStyle w:val="2"/>
        <w:tabs>
          <w:tab w:val="left" w:pos="1320"/>
        </w:tabs>
        <w:adjustRightInd w:val="0"/>
        <w:snapToGrid w:val="0"/>
        <w:spacing w:line="360" w:lineRule="auto"/>
        <w:ind w:right="-240"/>
        <w:rPr>
          <w:rFonts w:hAnsi="宋体"/>
          <w:b/>
          <w:color w:val="auto"/>
          <w:sz w:val="24"/>
          <w:szCs w:val="18"/>
        </w:rPr>
      </w:pPr>
      <w:r>
        <w:rPr>
          <w:rFonts w:hAnsi="宋体"/>
          <w:b/>
          <w:color w:val="auto"/>
          <w:sz w:val="24"/>
          <w:szCs w:val="18"/>
        </w:rPr>
        <w:t>21.1</w:t>
      </w:r>
    </w:p>
    <w:p w14:paraId="25BDC61F">
      <w:pPr>
        <w:pStyle w:val="2"/>
        <w:adjustRightInd w:val="0"/>
        <w:snapToGrid w:val="0"/>
        <w:spacing w:line="360" w:lineRule="auto"/>
        <w:ind w:left="1619" w:leftChars="771" w:right="-238" w:firstLine="2"/>
        <w:rPr>
          <w:rFonts w:hAnsi="宋体"/>
          <w:color w:val="auto"/>
          <w:sz w:val="24"/>
          <w:szCs w:val="18"/>
        </w:rPr>
      </w:pPr>
      <w:r>
        <w:rPr>
          <w:color w:val="auto"/>
        </w:rPr>
        <mc:AlternateContent>
          <mc:Choice Requires="wps">
            <w:drawing>
              <wp:anchor distT="0" distB="0" distL="114300" distR="114300" simplePos="0" relativeHeight="251723776" behindDoc="0" locked="0" layoutInCell="1" allowOverlap="1">
                <wp:simplePos x="0" y="0"/>
                <wp:positionH relativeFrom="column">
                  <wp:posOffset>-114300</wp:posOffset>
                </wp:positionH>
                <wp:positionV relativeFrom="paragraph">
                  <wp:posOffset>7620</wp:posOffset>
                </wp:positionV>
                <wp:extent cx="914400" cy="602615"/>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914400" cy="602615"/>
                        </a:xfrm>
                        <a:prstGeom prst="rect">
                          <a:avLst/>
                        </a:prstGeom>
                        <a:noFill/>
                        <a:ln>
                          <a:noFill/>
                        </a:ln>
                        <a:effectLst/>
                      </wps:spPr>
                      <wps:txbx>
                        <w:txbxContent>
                          <w:p w14:paraId="7585C76C">
                            <w:pPr>
                              <w:spacing w:line="240" w:lineRule="exact"/>
                              <w:rPr>
                                <w:rFonts w:ascii="楷体_GB2312" w:hAnsi="宋体" w:eastAsia="楷体_GB2312"/>
                                <w:sz w:val="18"/>
                                <w:szCs w:val="18"/>
                              </w:rPr>
                            </w:pPr>
                            <w:r>
                              <w:rPr>
                                <w:rFonts w:hint="eastAsia" w:ascii="楷体_GB2312" w:hAnsi="宋体" w:eastAsia="楷体_GB2312"/>
                                <w:b/>
                                <w:color w:val="000000"/>
                                <w:sz w:val="18"/>
                                <w:szCs w:val="18"/>
                              </w:rPr>
                              <w:t>发包人现场管理人员任命和更换</w:t>
                            </w:r>
                          </w:p>
                        </w:txbxContent>
                      </wps:txbx>
                      <wps:bodyPr upright="1"/>
                    </wps:wsp>
                  </a:graphicData>
                </a:graphic>
              </wp:anchor>
            </w:drawing>
          </mc:Choice>
          <mc:Fallback>
            <w:pict>
              <v:shape id="_x0000_s1026" o:spid="_x0000_s1026" o:spt="202" type="#_x0000_t202" style="position:absolute;left:0pt;margin-left:-9pt;margin-top:0.6pt;height:47.45pt;width:72pt;z-index:251723776;mso-width-relative:page;mso-height-relative:page;" filled="f" stroked="f" coordsize="21600,21600" o:gfxdata="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ITdb+dQA&#10;AAAIAQAADwAAAAAAAAABACAAAAAiAAAAZHJzL2Rvd25yZXYueG1sUEsBAhQAFAAAAAgAh07iQIUn&#10;PfaxAQAAXQMAAA4AAAAAAAAAAQAgAAAAIwEAAGRycy9lMm9Eb2MueG1sUEsFBgAAAAAGAAYAWQEA&#10;AEYFAAAAAA==&#10;">
                <v:fill on="f" focussize="0,0"/>
                <v:stroke on="f"/>
                <v:imagedata o:title=""/>
                <o:lock v:ext="edit" aspectratio="f"/>
                <v:textbox>
                  <w:txbxContent>
                    <w:p w14:paraId="7585C76C">
                      <w:pPr>
                        <w:spacing w:line="240" w:lineRule="exact"/>
                        <w:rPr>
                          <w:rFonts w:ascii="楷体_GB2312" w:hAnsi="宋体" w:eastAsia="楷体_GB2312"/>
                          <w:sz w:val="18"/>
                          <w:szCs w:val="18"/>
                        </w:rPr>
                      </w:pPr>
                      <w:r>
                        <w:rPr>
                          <w:rFonts w:hint="eastAsia" w:ascii="楷体_GB2312" w:hAnsi="宋体" w:eastAsia="楷体_GB2312"/>
                          <w:b/>
                          <w:color w:val="000000"/>
                          <w:sz w:val="18"/>
                          <w:szCs w:val="18"/>
                        </w:rPr>
                        <w:t>发包人现场管理人员任命和更换</w:t>
                      </w:r>
                    </w:p>
                  </w:txbxContent>
                </v:textbox>
              </v:shape>
            </w:pict>
          </mc:Fallback>
        </mc:AlternateContent>
      </w:r>
      <w:r>
        <w:rPr>
          <w:rFonts w:hint="eastAsia" w:hAnsi="宋体"/>
          <w:color w:val="auto"/>
          <w:sz w:val="24"/>
          <w:szCs w:val="18"/>
        </w:rPr>
        <w:t>发包人应任命代表发包人工作的现场管理人员，并在开工前将该任命书以书面形式通知承包人。该类管理人员可包括发包人代表、监理工程师、造价工程师等。国家、省规定发包人可不委托监理人和（或）工程造价咨询人，发包人因而没有任命监理工程师和（或）造价工程师的，本合同规定的监理工程师和（或）造价工程师及其代表的工作，由发包人代表担任。</w:t>
      </w:r>
    </w:p>
    <w:p w14:paraId="28EB6858">
      <w:pPr>
        <w:pStyle w:val="2"/>
        <w:adjustRightInd w:val="0"/>
        <w:snapToGrid w:val="0"/>
        <w:spacing w:line="360" w:lineRule="auto"/>
        <w:ind w:left="1619" w:leftChars="771" w:right="-238" w:firstLine="2"/>
        <w:rPr>
          <w:rFonts w:hAnsi="宋体"/>
          <w:color w:val="auto"/>
          <w:sz w:val="24"/>
          <w:szCs w:val="18"/>
        </w:rPr>
      </w:pPr>
      <w:r>
        <w:rPr>
          <w:rFonts w:hint="eastAsia" w:hAnsi="宋体"/>
          <w:color w:val="auto"/>
          <w:sz w:val="24"/>
          <w:szCs w:val="18"/>
        </w:rPr>
        <w:t>发包人如需更换现场管理人员，应至少提前</w:t>
      </w:r>
      <w:r>
        <w:rPr>
          <w:rFonts w:hAnsi="宋体"/>
          <w:color w:val="auto"/>
          <w:sz w:val="24"/>
          <w:szCs w:val="18"/>
        </w:rPr>
        <w:t>7</w:t>
      </w:r>
      <w:r>
        <w:rPr>
          <w:rFonts w:hint="eastAsia" w:hAnsi="宋体"/>
          <w:color w:val="auto"/>
          <w:sz w:val="24"/>
          <w:szCs w:val="18"/>
        </w:rPr>
        <w:t>天以书面形式通知承包人，否则该项更换无效。承包人应在收到通知后</w:t>
      </w:r>
      <w:r>
        <w:rPr>
          <w:rFonts w:hAnsi="宋体"/>
          <w:color w:val="auto"/>
          <w:sz w:val="24"/>
          <w:szCs w:val="18"/>
        </w:rPr>
        <w:t>7</w:t>
      </w:r>
      <w:r>
        <w:rPr>
          <w:rFonts w:hint="eastAsia" w:hAnsi="宋体"/>
          <w:color w:val="auto"/>
          <w:sz w:val="24"/>
          <w:szCs w:val="18"/>
        </w:rPr>
        <w:t>天内予以回复，否则视为已收到通知。后任现场管理人员应继续行使合同规定的前任现场管理人员的职权和履行相应的义务。</w:t>
      </w:r>
    </w:p>
    <w:p w14:paraId="1331CC3B">
      <w:pPr>
        <w:pStyle w:val="2"/>
        <w:tabs>
          <w:tab w:val="left" w:pos="1320"/>
          <w:tab w:val="left" w:pos="1620"/>
        </w:tabs>
        <w:adjustRightInd w:val="0"/>
        <w:snapToGrid w:val="0"/>
        <w:spacing w:line="360" w:lineRule="auto"/>
        <w:ind w:right="-238"/>
        <w:rPr>
          <w:rFonts w:hAnsi="宋体"/>
          <w:b/>
          <w:color w:val="auto"/>
          <w:sz w:val="24"/>
          <w:szCs w:val="18"/>
        </w:rPr>
      </w:pPr>
      <w:r>
        <w:rPr>
          <w:rFonts w:hAnsi="宋体"/>
          <w:b/>
          <w:color w:val="auto"/>
          <w:sz w:val="24"/>
          <w:szCs w:val="18"/>
        </w:rPr>
        <w:t xml:space="preserve">21.2  </w:t>
      </w:r>
    </w:p>
    <w:p w14:paraId="23E69353">
      <w:pPr>
        <w:pStyle w:val="2"/>
        <w:adjustRightInd w:val="0"/>
        <w:snapToGrid w:val="0"/>
        <w:spacing w:line="360" w:lineRule="auto"/>
        <w:ind w:left="1619" w:leftChars="771" w:right="-36"/>
        <w:rPr>
          <w:rFonts w:hAnsi="宋体"/>
          <w:color w:val="auto"/>
          <w:sz w:val="24"/>
          <w:szCs w:val="18"/>
        </w:rPr>
      </w:pPr>
      <w:r>
        <w:rPr>
          <w:color w:val="auto"/>
        </w:rPr>
        <mc:AlternateContent>
          <mc:Choice Requires="wps">
            <w:drawing>
              <wp:anchor distT="0" distB="0" distL="114300" distR="114300" simplePos="0" relativeHeight="251724800" behindDoc="0" locked="0" layoutInCell="1" allowOverlap="1">
                <wp:simplePos x="0" y="0"/>
                <wp:positionH relativeFrom="column">
                  <wp:posOffset>-114300</wp:posOffset>
                </wp:positionH>
                <wp:positionV relativeFrom="paragraph">
                  <wp:posOffset>84455</wp:posOffset>
                </wp:positionV>
                <wp:extent cx="914400" cy="4572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914400" cy="457200"/>
                        </a:xfrm>
                        <a:prstGeom prst="rect">
                          <a:avLst/>
                        </a:prstGeom>
                        <a:noFill/>
                        <a:ln>
                          <a:noFill/>
                        </a:ln>
                        <a:effectLst/>
                      </wps:spPr>
                      <wps:txbx>
                        <w:txbxContent>
                          <w:p w14:paraId="2CAAFE51">
                            <w:pPr>
                              <w:spacing w:line="240" w:lineRule="exact"/>
                              <w:rPr>
                                <w:rFonts w:ascii="楷体_GB2312" w:hAnsi="宋体" w:eastAsia="楷体_GB2312"/>
                                <w:sz w:val="18"/>
                                <w:szCs w:val="18"/>
                              </w:rPr>
                            </w:pPr>
                            <w:r>
                              <w:rPr>
                                <w:rFonts w:hint="eastAsia" w:ascii="楷体_GB2312" w:hAnsi="宋体" w:eastAsia="楷体_GB2312"/>
                                <w:b/>
                                <w:color w:val="000000"/>
                                <w:sz w:val="18"/>
                                <w:szCs w:val="18"/>
                              </w:rPr>
                              <w:t>承包人代表任命和更换</w:t>
                            </w:r>
                          </w:p>
                        </w:txbxContent>
                      </wps:txbx>
                      <wps:bodyPr upright="1"/>
                    </wps:wsp>
                  </a:graphicData>
                </a:graphic>
              </wp:anchor>
            </w:drawing>
          </mc:Choice>
          <mc:Fallback>
            <w:pict>
              <v:shape id="_x0000_s1026" o:spid="_x0000_s1026" o:spt="202" type="#_x0000_t202" style="position:absolute;left:0pt;margin-left:-9pt;margin-top:6.65pt;height:36pt;width:72pt;z-index:251724800;mso-width-relative:page;mso-height-relative:page;" filled="f" stroked="f" coordsize="21600,21600" o:gfxdata="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xMCfp&#10;1gAAAAkBAAAPAAAAAAAAAAEAIAAAACIAAABkcnMvZG93bnJldi54bWxQSwECFAAUAAAACACHTuJA&#10;n/dehbEBAABdAwAADgAAAAAAAAABACAAAAAlAQAAZHJzL2Uyb0RvYy54bWxQSwUGAAAAAAYABgBZ&#10;AQAASAUAAAAA&#10;">
                <v:fill on="f" focussize="0,0"/>
                <v:stroke on="f"/>
                <v:imagedata o:title=""/>
                <o:lock v:ext="edit" aspectratio="f"/>
                <v:textbox>
                  <w:txbxContent>
                    <w:p w14:paraId="2CAAFE51">
                      <w:pPr>
                        <w:spacing w:line="240" w:lineRule="exact"/>
                        <w:rPr>
                          <w:rFonts w:ascii="楷体_GB2312" w:hAnsi="宋体" w:eastAsia="楷体_GB2312"/>
                          <w:sz w:val="18"/>
                          <w:szCs w:val="18"/>
                        </w:rPr>
                      </w:pPr>
                      <w:r>
                        <w:rPr>
                          <w:rFonts w:hint="eastAsia" w:ascii="楷体_GB2312" w:hAnsi="宋体" w:eastAsia="楷体_GB2312"/>
                          <w:b/>
                          <w:color w:val="000000"/>
                          <w:sz w:val="18"/>
                          <w:szCs w:val="18"/>
                        </w:rPr>
                        <w:t>承包人代表任命和更换</w:t>
                      </w:r>
                    </w:p>
                  </w:txbxContent>
                </v:textbox>
              </v:shape>
            </w:pict>
          </mc:Fallback>
        </mc:AlternateContent>
      </w:r>
      <w:r>
        <w:rPr>
          <w:rFonts w:hint="eastAsia" w:hAnsi="宋体"/>
          <w:color w:val="auto"/>
          <w:sz w:val="24"/>
          <w:szCs w:val="18"/>
        </w:rPr>
        <w:t>承包人应任命代表承包人工作的承包人代表，该代表的人选应具有注册建造师执业资格，由承包人在开工前依法向发包人提出，经发包人同意后在专用条款中写明。建设行政主管部门有规定的，应遵守其规定；招标工程的承包人代表，应为投标文件所载明的人选。</w:t>
      </w:r>
    </w:p>
    <w:p w14:paraId="7F4F1A35">
      <w:pPr>
        <w:pStyle w:val="2"/>
        <w:adjustRightInd w:val="0"/>
        <w:snapToGrid w:val="0"/>
        <w:spacing w:line="360" w:lineRule="auto"/>
        <w:ind w:left="1619" w:leftChars="771" w:right="-238"/>
        <w:rPr>
          <w:rFonts w:hAnsi="宋体"/>
          <w:color w:val="auto"/>
          <w:sz w:val="24"/>
          <w:szCs w:val="18"/>
        </w:rPr>
      </w:pPr>
      <w:r>
        <w:rPr>
          <w:rFonts w:hint="eastAsia" w:hAnsi="宋体"/>
          <w:color w:val="auto"/>
          <w:sz w:val="24"/>
          <w:szCs w:val="18"/>
        </w:rPr>
        <w:t>承包人如需更换承包人代表，应取得发包人的同意和遵守建设行政主管部门的规定，并至少提前</w:t>
      </w:r>
      <w:r>
        <w:rPr>
          <w:rFonts w:hAnsi="宋体"/>
          <w:color w:val="auto"/>
          <w:sz w:val="24"/>
          <w:szCs w:val="18"/>
        </w:rPr>
        <w:t>7</w:t>
      </w:r>
      <w:r>
        <w:rPr>
          <w:rFonts w:hint="eastAsia" w:hAnsi="宋体"/>
          <w:color w:val="auto"/>
          <w:sz w:val="24"/>
          <w:szCs w:val="18"/>
        </w:rPr>
        <w:t>天以书面形式通知发包人，否则该项更换无效。发包人应在收到通知后的</w:t>
      </w:r>
      <w:r>
        <w:rPr>
          <w:rFonts w:hAnsi="宋体"/>
          <w:color w:val="auto"/>
          <w:sz w:val="24"/>
          <w:szCs w:val="18"/>
        </w:rPr>
        <w:t>7</w:t>
      </w:r>
      <w:r>
        <w:rPr>
          <w:rFonts w:hint="eastAsia" w:hAnsi="宋体"/>
          <w:color w:val="auto"/>
          <w:sz w:val="24"/>
          <w:szCs w:val="18"/>
        </w:rPr>
        <w:t>天内予以答复，否则视为同意。后任承包人代表应继续行使合同规定的前任承包人代表的职权和履行相应的义务。</w:t>
      </w:r>
    </w:p>
    <w:p w14:paraId="0AE5B67F">
      <w:pPr>
        <w:pStyle w:val="2"/>
        <w:tabs>
          <w:tab w:val="left" w:pos="1320"/>
        </w:tabs>
        <w:adjustRightInd w:val="0"/>
        <w:snapToGrid w:val="0"/>
        <w:spacing w:line="360" w:lineRule="auto"/>
        <w:ind w:right="-238"/>
        <w:rPr>
          <w:rFonts w:hAnsi="宋体"/>
          <w:b/>
          <w:color w:val="auto"/>
          <w:sz w:val="24"/>
          <w:szCs w:val="18"/>
        </w:rPr>
      </w:pPr>
      <w:r>
        <w:rPr>
          <w:rFonts w:hAnsi="宋体"/>
          <w:b/>
          <w:color w:val="auto"/>
          <w:sz w:val="24"/>
          <w:szCs w:val="18"/>
        </w:rPr>
        <w:t xml:space="preserve">21.3  </w:t>
      </w:r>
    </w:p>
    <w:p w14:paraId="63DACB55">
      <w:pPr>
        <w:pStyle w:val="2"/>
        <w:adjustRightInd w:val="0"/>
        <w:snapToGrid w:val="0"/>
        <w:spacing w:line="360" w:lineRule="auto"/>
        <w:ind w:left="1619" w:leftChars="771" w:right="-36"/>
        <w:rPr>
          <w:rFonts w:hAnsi="宋体"/>
          <w:b/>
          <w:color w:val="auto"/>
          <w:sz w:val="24"/>
          <w:szCs w:val="18"/>
        </w:rPr>
      </w:pPr>
      <w:r>
        <w:rPr>
          <w:color w:val="auto"/>
        </w:rPr>
        <mc:AlternateContent>
          <mc:Choice Requires="wps">
            <w:drawing>
              <wp:anchor distT="0" distB="0" distL="114300" distR="114300" simplePos="0" relativeHeight="251725824" behindDoc="0" locked="0" layoutInCell="1" allowOverlap="1">
                <wp:simplePos x="0" y="0"/>
                <wp:positionH relativeFrom="column">
                  <wp:posOffset>-83820</wp:posOffset>
                </wp:positionH>
                <wp:positionV relativeFrom="paragraph">
                  <wp:posOffset>46355</wp:posOffset>
                </wp:positionV>
                <wp:extent cx="1231900" cy="720725"/>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231900" cy="720725"/>
                        </a:xfrm>
                        <a:prstGeom prst="rect">
                          <a:avLst/>
                        </a:prstGeom>
                        <a:noFill/>
                        <a:ln>
                          <a:noFill/>
                        </a:ln>
                        <a:effectLst/>
                      </wps:spPr>
                      <wps:txbx>
                        <w:txbxContent>
                          <w:p w14:paraId="1B001F4E">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监理工程师、</w:t>
                            </w:r>
                          </w:p>
                          <w:p w14:paraId="5E59A93F">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造价工程师代</w:t>
                            </w:r>
                          </w:p>
                          <w:p w14:paraId="7A33136F">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表任命和撤回</w:t>
                            </w:r>
                          </w:p>
                        </w:txbxContent>
                      </wps:txbx>
                      <wps:bodyPr upright="1"/>
                    </wps:wsp>
                  </a:graphicData>
                </a:graphic>
              </wp:anchor>
            </w:drawing>
          </mc:Choice>
          <mc:Fallback>
            <w:pict>
              <v:shape id="_x0000_s1026" o:spid="_x0000_s1026" o:spt="202" type="#_x0000_t202" style="position:absolute;left:0pt;margin-left:-6.6pt;margin-top:3.65pt;height:56.75pt;width:97pt;z-index:251725824;mso-width-relative:page;mso-height-relative:page;" filled="f" stroked="f" coordsize="21600,21600" o:gfxdata="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UFZcj&#10;1QAAAAkBAAAPAAAAAAAAAAEAIAAAACIAAABkcnMvZG93bnJldi54bWxQSwECFAAUAAAACACHTuJA&#10;Ime14rIBAABeAwAADgAAAAAAAAABACAAAAAkAQAAZHJzL2Uyb0RvYy54bWxQSwUGAAAAAAYABgBZ&#10;AQAASAUAAAAA&#10;">
                <v:fill on="f" focussize="0,0"/>
                <v:stroke on="f"/>
                <v:imagedata o:title=""/>
                <o:lock v:ext="edit" aspectratio="f"/>
                <v:textbox>
                  <w:txbxContent>
                    <w:p w14:paraId="1B001F4E">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监理工程师、</w:t>
                      </w:r>
                    </w:p>
                    <w:p w14:paraId="5E59A93F">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造价工程师代</w:t>
                      </w:r>
                    </w:p>
                    <w:p w14:paraId="7A33136F">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表任命和撤回</w:t>
                      </w:r>
                    </w:p>
                  </w:txbxContent>
                </v:textbox>
              </v:shape>
            </w:pict>
          </mc:Fallback>
        </mc:AlternateContent>
      </w:r>
      <w:r>
        <w:rPr>
          <w:rFonts w:hint="eastAsia" w:hAnsi="宋体"/>
          <w:color w:val="auto"/>
          <w:sz w:val="24"/>
          <w:szCs w:val="18"/>
        </w:rPr>
        <w:t>除合同约定或依法应由监理工程师、造价工程师行使的职权外，监理工程师、造价工程师可将其职权以书面形式授予其任命的监理工程师、造价工程师代表，亦可将其授权撤回。任何此类任命或撤回，均应至少提前</w:t>
      </w:r>
      <w:r>
        <w:rPr>
          <w:rFonts w:hAnsi="宋体"/>
          <w:color w:val="auto"/>
          <w:sz w:val="24"/>
          <w:szCs w:val="18"/>
        </w:rPr>
        <w:t>7</w:t>
      </w:r>
      <w:r>
        <w:rPr>
          <w:rFonts w:hint="eastAsia" w:hAnsi="宋体"/>
          <w:color w:val="auto"/>
          <w:sz w:val="24"/>
          <w:szCs w:val="18"/>
        </w:rPr>
        <w:t>天以书面形式通知承包人。未将有关文件送交承包人之前，任何此类任命或撤回均为无效。</w:t>
      </w:r>
    </w:p>
    <w:p w14:paraId="16CB74A2">
      <w:pPr>
        <w:pStyle w:val="2"/>
        <w:tabs>
          <w:tab w:val="left" w:pos="1320"/>
        </w:tabs>
        <w:adjustRightInd w:val="0"/>
        <w:snapToGrid w:val="0"/>
        <w:spacing w:line="360" w:lineRule="auto"/>
        <w:ind w:right="-238"/>
        <w:rPr>
          <w:rFonts w:hAnsi="宋体"/>
          <w:color w:val="auto"/>
          <w:sz w:val="24"/>
          <w:szCs w:val="18"/>
        </w:rPr>
      </w:pPr>
      <w:r>
        <w:rPr>
          <w:rFonts w:hAnsi="宋体"/>
          <w:b/>
          <w:color w:val="auto"/>
          <w:sz w:val="24"/>
          <w:szCs w:val="18"/>
        </w:rPr>
        <w:t xml:space="preserve">21.4  </w:t>
      </w:r>
    </w:p>
    <w:p w14:paraId="2A57BE7F">
      <w:pPr>
        <w:pStyle w:val="2"/>
        <w:adjustRightInd w:val="0"/>
        <w:snapToGrid w:val="0"/>
        <w:spacing w:line="360" w:lineRule="auto"/>
        <w:ind w:left="1619" w:leftChars="771" w:right="-238"/>
        <w:rPr>
          <w:rFonts w:hAnsi="宋体"/>
          <w:color w:val="auto"/>
          <w:sz w:val="24"/>
          <w:szCs w:val="18"/>
        </w:rPr>
      </w:pPr>
      <w:r>
        <w:rPr>
          <w:color w:val="auto"/>
        </w:rPr>
        <mc:AlternateContent>
          <mc:Choice Requires="wps">
            <w:drawing>
              <wp:anchor distT="0" distB="0" distL="114300" distR="114300" simplePos="0" relativeHeight="251726848" behindDoc="0" locked="0" layoutInCell="1" allowOverlap="1">
                <wp:simplePos x="0" y="0"/>
                <wp:positionH relativeFrom="column">
                  <wp:posOffset>-114300</wp:posOffset>
                </wp:positionH>
                <wp:positionV relativeFrom="paragraph">
                  <wp:posOffset>35560</wp:posOffset>
                </wp:positionV>
                <wp:extent cx="914400" cy="559435"/>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914400" cy="559435"/>
                        </a:xfrm>
                        <a:prstGeom prst="rect">
                          <a:avLst/>
                        </a:prstGeom>
                        <a:noFill/>
                        <a:ln>
                          <a:noFill/>
                        </a:ln>
                        <a:effectLst/>
                      </wps:spPr>
                      <wps:txbx>
                        <w:txbxContent>
                          <w:p w14:paraId="63A7FBC1">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承包人代表授权人选任命和撤回</w:t>
                            </w:r>
                          </w:p>
                        </w:txbxContent>
                      </wps:txbx>
                      <wps:bodyPr upright="1"/>
                    </wps:wsp>
                  </a:graphicData>
                </a:graphic>
              </wp:anchor>
            </w:drawing>
          </mc:Choice>
          <mc:Fallback>
            <w:pict>
              <v:shape id="_x0000_s1026" o:spid="_x0000_s1026" o:spt="202" type="#_x0000_t202" style="position:absolute;left:0pt;margin-left:-9pt;margin-top:2.8pt;height:44.05pt;width:72pt;z-index:251726848;mso-width-relative:page;mso-height-relative:page;" filled="f" stroked="f" coordsize="21600,21600" o:gfxdata="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BeIO&#10;GdYAAAAIAQAADwAAAAAAAAABACAAAAAiAAAAZHJzL2Rvd25yZXYueG1sUEsBAhQAFAAAAAgAh07i&#10;QM4ylpWyAQAAXQMAAA4AAAAAAAAAAQAgAAAAJQEAAGRycy9lMm9Eb2MueG1sUEsFBgAAAAAGAAYA&#10;WQEAAEkFAAAAAA==&#10;">
                <v:fill on="f" focussize="0,0"/>
                <v:stroke on="f"/>
                <v:imagedata o:title=""/>
                <o:lock v:ext="edit" aspectratio="f"/>
                <v:textbox>
                  <w:txbxContent>
                    <w:p w14:paraId="63A7FBC1">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承包人代表授权人选任命和撤回</w:t>
                      </w:r>
                    </w:p>
                  </w:txbxContent>
                </v:textbox>
              </v:shape>
            </w:pict>
          </mc:Fallback>
        </mc:AlternateContent>
      </w:r>
      <w:r>
        <w:rPr>
          <w:rFonts w:hint="eastAsia" w:hAnsi="宋体"/>
          <w:color w:val="auto"/>
          <w:sz w:val="24"/>
          <w:szCs w:val="18"/>
        </w:rPr>
        <w:t>除合同约定或依法应由承包人代表行使的职权外，承包人代表可将其职权以书</w:t>
      </w:r>
    </w:p>
    <w:p w14:paraId="144E1FE1">
      <w:pPr>
        <w:pStyle w:val="2"/>
        <w:adjustRightInd w:val="0"/>
        <w:snapToGrid w:val="0"/>
        <w:spacing w:line="360" w:lineRule="auto"/>
        <w:ind w:left="1619" w:leftChars="771" w:right="-238"/>
        <w:rPr>
          <w:rFonts w:hAnsi="宋体"/>
          <w:color w:val="auto"/>
          <w:sz w:val="24"/>
          <w:szCs w:val="18"/>
        </w:rPr>
      </w:pPr>
      <w:r>
        <w:rPr>
          <w:rFonts w:hint="eastAsia" w:hAnsi="宋体"/>
          <w:color w:val="auto"/>
          <w:sz w:val="24"/>
          <w:szCs w:val="18"/>
        </w:rPr>
        <w:t>面形式授予其任命的合格人选，亦可将其授权撤回。任何此类任命或撤回，均应至少提前</w:t>
      </w:r>
      <w:r>
        <w:rPr>
          <w:rFonts w:hAnsi="宋体"/>
          <w:color w:val="auto"/>
          <w:sz w:val="24"/>
          <w:szCs w:val="18"/>
        </w:rPr>
        <w:t>7</w:t>
      </w:r>
      <w:r>
        <w:rPr>
          <w:rFonts w:hint="eastAsia" w:hAnsi="宋体"/>
          <w:color w:val="auto"/>
          <w:sz w:val="24"/>
          <w:szCs w:val="18"/>
        </w:rPr>
        <w:t>天以书面形式通知发包人和监理工程师、造价工程师。未将有关文件提交发包人和监理工程师、造价工程师之前，任何此类任命或撤回均为无效。</w:t>
      </w:r>
    </w:p>
    <w:p w14:paraId="7F004793">
      <w:pPr>
        <w:spacing w:line="360" w:lineRule="auto"/>
        <w:rPr>
          <w:rFonts w:ascii="宋体"/>
          <w:b/>
          <w:color w:val="auto"/>
          <w:sz w:val="24"/>
          <w:szCs w:val="18"/>
        </w:rPr>
      </w:pPr>
    </w:p>
    <w:p w14:paraId="42E72014">
      <w:pPr>
        <w:spacing w:before="240" w:beforeLines="100" w:line="360" w:lineRule="auto"/>
        <w:rPr>
          <w:rFonts w:ascii="宋体"/>
          <w:b/>
          <w:bCs/>
          <w:color w:val="auto"/>
          <w:sz w:val="30"/>
        </w:rPr>
      </w:pPr>
      <w:r>
        <w:rPr>
          <w:rFonts w:ascii="宋体" w:hAnsi="宋体"/>
          <w:b/>
          <w:bCs/>
          <w:color w:val="auto"/>
          <w:sz w:val="30"/>
        </w:rPr>
        <w:t xml:space="preserve">22  </w:t>
      </w:r>
      <w:r>
        <w:rPr>
          <w:rFonts w:hint="eastAsia" w:ascii="宋体" w:hAnsi="宋体"/>
          <w:b/>
          <w:bCs/>
          <w:color w:val="auto"/>
          <w:sz w:val="30"/>
        </w:rPr>
        <w:t>发包人代表</w:t>
      </w:r>
    </w:p>
    <w:p w14:paraId="1976BBC0">
      <w:pPr>
        <w:spacing w:line="360" w:lineRule="auto"/>
        <w:rPr>
          <w:rFonts w:ascii="宋体"/>
          <w:b/>
          <w:color w:val="auto"/>
          <w:sz w:val="24"/>
          <w:szCs w:val="18"/>
        </w:rPr>
      </w:pPr>
      <w:r>
        <w:rPr>
          <w:rFonts w:ascii="宋体" w:hAnsi="宋体"/>
          <w:b/>
          <w:color w:val="auto"/>
          <w:sz w:val="24"/>
          <w:szCs w:val="18"/>
        </w:rPr>
        <w:t xml:space="preserve">22.1                           </w:t>
      </w:r>
    </w:p>
    <w:p w14:paraId="3582CFB1">
      <w:pPr>
        <w:pStyle w:val="12"/>
        <w:ind w:left="1619" w:leftChars="771"/>
        <w:rPr>
          <w:rFonts w:ascii="宋体"/>
          <w:color w:val="auto"/>
          <w:szCs w:val="18"/>
        </w:rPr>
      </w:pPr>
      <w:r>
        <w:rPr>
          <w:color w:val="auto"/>
        </w:rPr>
        <mc:AlternateContent>
          <mc:Choice Requires="wps">
            <w:drawing>
              <wp:anchor distT="0" distB="0" distL="114300" distR="114300" simplePos="0" relativeHeight="251727872" behindDoc="0" locked="0" layoutInCell="1" allowOverlap="1">
                <wp:simplePos x="0" y="0"/>
                <wp:positionH relativeFrom="column">
                  <wp:posOffset>-114300</wp:posOffset>
                </wp:positionH>
                <wp:positionV relativeFrom="paragraph">
                  <wp:posOffset>53340</wp:posOffset>
                </wp:positionV>
                <wp:extent cx="914400" cy="44323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914400" cy="443230"/>
                        </a:xfrm>
                        <a:prstGeom prst="rect">
                          <a:avLst/>
                        </a:prstGeom>
                        <a:noFill/>
                        <a:ln>
                          <a:noFill/>
                        </a:ln>
                        <a:effectLst/>
                      </wps:spPr>
                      <wps:txbx>
                        <w:txbxContent>
                          <w:p w14:paraId="55DBF4BD">
                            <w:pPr>
                              <w:spacing w:line="240" w:lineRule="exact"/>
                              <w:rPr>
                                <w:rFonts w:ascii="楷体_GB2312" w:hAnsi="宋体" w:eastAsia="楷体_GB2312"/>
                                <w:b/>
                                <w:color w:val="000000"/>
                                <w:sz w:val="18"/>
                                <w:szCs w:val="18"/>
                              </w:rPr>
                            </w:pPr>
                            <w:r>
                              <w:rPr>
                                <w:rFonts w:hint="eastAsia" w:ascii="楷体_GB2312" w:eastAsia="楷体_GB2312"/>
                                <w:b/>
                                <w:color w:val="000000"/>
                                <w:sz w:val="18"/>
                                <w:szCs w:val="18"/>
                              </w:rPr>
                              <w:t>发包人对其代表授权</w:t>
                            </w:r>
                          </w:p>
                        </w:txbxContent>
                      </wps:txbx>
                      <wps:bodyPr upright="1"/>
                    </wps:wsp>
                  </a:graphicData>
                </a:graphic>
              </wp:anchor>
            </w:drawing>
          </mc:Choice>
          <mc:Fallback>
            <w:pict>
              <v:shape id="_x0000_s1026" o:spid="_x0000_s1026" o:spt="202" type="#_x0000_t202" style="position:absolute;left:0pt;margin-left:-9pt;margin-top:4.2pt;height:34.9pt;width:72pt;z-index:251727872;mso-width-relative:page;mso-height-relative:page;" filled="f" stroked="f" coordsize="21600,21600" o:gfxdata="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Cu6wF&#10;1QAAAAgBAAAPAAAAAAAAAAEAIAAAACIAAABkcnMvZG93bnJldi54bWxQSwECFAAUAAAACACHTuJA&#10;yvQKvbIBAABdAwAADgAAAAAAAAABACAAAAAkAQAAZHJzL2Uyb0RvYy54bWxQSwUGAAAAAAYABgBZ&#10;AQAASAUAAAAA&#10;">
                <v:fill on="f" focussize="0,0"/>
                <v:stroke on="f"/>
                <v:imagedata o:title=""/>
                <o:lock v:ext="edit" aspectratio="f"/>
                <v:textbox>
                  <w:txbxContent>
                    <w:p w14:paraId="55DBF4BD">
                      <w:pPr>
                        <w:spacing w:line="240" w:lineRule="exact"/>
                        <w:rPr>
                          <w:rFonts w:ascii="楷体_GB2312" w:hAnsi="宋体" w:eastAsia="楷体_GB2312"/>
                          <w:b/>
                          <w:color w:val="000000"/>
                          <w:sz w:val="18"/>
                          <w:szCs w:val="18"/>
                        </w:rPr>
                      </w:pPr>
                      <w:r>
                        <w:rPr>
                          <w:rFonts w:hint="eastAsia" w:ascii="楷体_GB2312" w:eastAsia="楷体_GB2312"/>
                          <w:b/>
                          <w:color w:val="000000"/>
                          <w:sz w:val="18"/>
                          <w:szCs w:val="18"/>
                        </w:rPr>
                        <w:t>发包人对其代表授权</w:t>
                      </w:r>
                    </w:p>
                  </w:txbxContent>
                </v:textbox>
              </v:shape>
            </w:pict>
          </mc:Fallback>
        </mc:AlternateContent>
      </w:r>
      <w:r>
        <w:rPr>
          <w:rFonts w:hint="eastAsia" w:ascii="宋体"/>
          <w:color w:val="auto"/>
          <w:szCs w:val="18"/>
        </w:rPr>
        <w:t>发包人应在专用条款中写明发包人代表具体人选，并在开工前将发包人代表任命书以书面形式通知承包人，授予其代表发包人履行合同规定职责所需的一切权力。除专用条款另有约定外，发包人不应对发包人代表的权力另有限制。</w:t>
      </w:r>
    </w:p>
    <w:p w14:paraId="5BB8252F">
      <w:pPr>
        <w:spacing w:line="360" w:lineRule="auto"/>
        <w:rPr>
          <w:rFonts w:ascii="宋体"/>
          <w:b/>
          <w:color w:val="auto"/>
          <w:sz w:val="24"/>
          <w:szCs w:val="18"/>
        </w:rPr>
      </w:pPr>
      <w:r>
        <w:rPr>
          <w:rFonts w:ascii="宋体" w:hAnsi="宋体"/>
          <w:b/>
          <w:color w:val="auto"/>
          <w:sz w:val="24"/>
          <w:szCs w:val="18"/>
        </w:rPr>
        <w:t xml:space="preserve">22.2   </w:t>
      </w:r>
    </w:p>
    <w:p w14:paraId="7355EC89">
      <w:pPr>
        <w:pStyle w:val="12"/>
        <w:ind w:left="1619" w:leftChars="771"/>
        <w:rPr>
          <w:rFonts w:ascii="宋体"/>
          <w:color w:val="auto"/>
          <w:szCs w:val="18"/>
        </w:rPr>
      </w:pPr>
      <w:r>
        <w:rPr>
          <w:color w:val="auto"/>
        </w:rPr>
        <mc:AlternateContent>
          <mc:Choice Requires="wps">
            <w:drawing>
              <wp:anchor distT="0" distB="0" distL="114300" distR="114300" simplePos="0" relativeHeight="251728896" behindDoc="0" locked="0" layoutInCell="1" allowOverlap="1">
                <wp:simplePos x="0" y="0"/>
                <wp:positionH relativeFrom="column">
                  <wp:posOffset>-114300</wp:posOffset>
                </wp:positionH>
                <wp:positionV relativeFrom="paragraph">
                  <wp:posOffset>76200</wp:posOffset>
                </wp:positionV>
                <wp:extent cx="914400" cy="39624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4A8441BF">
                            <w:pPr>
                              <w:spacing w:line="240" w:lineRule="exact"/>
                              <w:rPr>
                                <w:rFonts w:ascii="楷体_GB2312" w:hAnsi="宋体" w:eastAsia="楷体_GB2312"/>
                                <w:b/>
                                <w:color w:val="000000"/>
                                <w:sz w:val="18"/>
                                <w:szCs w:val="18"/>
                              </w:rPr>
                            </w:pPr>
                            <w:r>
                              <w:rPr>
                                <w:rFonts w:hint="eastAsia" w:ascii="楷体_GB2312" w:eastAsia="楷体_GB2312"/>
                                <w:b/>
                                <w:color w:val="000000"/>
                                <w:sz w:val="18"/>
                                <w:szCs w:val="18"/>
                              </w:rPr>
                              <w:t>发包人代表职权</w:t>
                            </w:r>
                          </w:p>
                        </w:txbxContent>
                      </wps:txbx>
                      <wps:bodyPr upright="1"/>
                    </wps:wsp>
                  </a:graphicData>
                </a:graphic>
              </wp:anchor>
            </w:drawing>
          </mc:Choice>
          <mc:Fallback>
            <w:pict>
              <v:shape id="_x0000_s1026" o:spid="_x0000_s1026" o:spt="202" type="#_x0000_t202" style="position:absolute;left:0pt;margin-left:-9pt;margin-top:6pt;height:31.2pt;width:72pt;z-index:251728896;mso-width-relative:page;mso-height-relative:page;" filled="f" stroked="f" coordsize="21600,21600" o:gfxdata="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M2N7&#10;btYAAAAJAQAADwAAAAAAAAABACAAAAAiAAAAZHJzL2Rvd25yZXYueG1sUEsBAhQAFAAAAAgAh07i&#10;QCmFQueyAQAAXQMAAA4AAAAAAAAAAQAgAAAAJQEAAGRycy9lMm9Eb2MueG1sUEsFBgAAAAAGAAYA&#10;WQEAAEkFAAAAAA==&#10;">
                <v:fill on="f" focussize="0,0"/>
                <v:stroke on="f"/>
                <v:imagedata o:title=""/>
                <o:lock v:ext="edit" aspectratio="f"/>
                <v:textbox>
                  <w:txbxContent>
                    <w:p w14:paraId="4A8441BF">
                      <w:pPr>
                        <w:spacing w:line="240" w:lineRule="exact"/>
                        <w:rPr>
                          <w:rFonts w:ascii="楷体_GB2312" w:hAnsi="宋体" w:eastAsia="楷体_GB2312"/>
                          <w:b/>
                          <w:color w:val="000000"/>
                          <w:sz w:val="18"/>
                          <w:szCs w:val="18"/>
                        </w:rPr>
                      </w:pPr>
                      <w:r>
                        <w:rPr>
                          <w:rFonts w:hint="eastAsia" w:ascii="楷体_GB2312" w:eastAsia="楷体_GB2312"/>
                          <w:b/>
                          <w:color w:val="000000"/>
                          <w:sz w:val="18"/>
                          <w:szCs w:val="18"/>
                        </w:rPr>
                        <w:t>发包人代表职权</w:t>
                      </w:r>
                    </w:p>
                  </w:txbxContent>
                </v:textbox>
              </v:shape>
            </w:pict>
          </mc:Fallback>
        </mc:AlternateContent>
      </w:r>
      <w:r>
        <w:rPr>
          <w:rFonts w:hint="eastAsia" w:ascii="宋体"/>
          <w:color w:val="auto"/>
          <w:szCs w:val="18"/>
        </w:rPr>
        <w:t>发包人代表应代表发包人履行合同规定的职责、行使合同明文规定和必然隐含的权力，对发包人负责。发包人代表在发包人授予职权范围内工作，发包人应予认可。</w:t>
      </w:r>
    </w:p>
    <w:p w14:paraId="306038E4">
      <w:pPr>
        <w:spacing w:line="360" w:lineRule="auto"/>
        <w:rPr>
          <w:rFonts w:ascii="宋体"/>
          <w:b/>
          <w:color w:val="auto"/>
          <w:sz w:val="24"/>
          <w:szCs w:val="18"/>
        </w:rPr>
      </w:pPr>
    </w:p>
    <w:p w14:paraId="3FC2F055">
      <w:pPr>
        <w:spacing w:before="240" w:beforeLines="100" w:line="360" w:lineRule="auto"/>
        <w:rPr>
          <w:rFonts w:ascii="宋体"/>
          <w:b/>
          <w:color w:val="auto"/>
          <w:sz w:val="30"/>
        </w:rPr>
      </w:pPr>
      <w:r>
        <w:rPr>
          <w:rFonts w:ascii="宋体" w:hAnsi="宋体"/>
          <w:b/>
          <w:color w:val="auto"/>
          <w:sz w:val="30"/>
        </w:rPr>
        <w:t xml:space="preserve">23  </w:t>
      </w:r>
      <w:r>
        <w:rPr>
          <w:rFonts w:hint="eastAsia" w:ascii="宋体" w:hAnsi="宋体"/>
          <w:b/>
          <w:color w:val="auto"/>
          <w:sz w:val="30"/>
        </w:rPr>
        <w:t>监理工程师</w:t>
      </w:r>
    </w:p>
    <w:p w14:paraId="182B7F78">
      <w:pPr>
        <w:spacing w:line="360" w:lineRule="auto"/>
        <w:rPr>
          <w:rFonts w:ascii="宋体"/>
          <w:b/>
          <w:color w:val="auto"/>
          <w:sz w:val="24"/>
          <w:szCs w:val="18"/>
        </w:rPr>
      </w:pPr>
      <w:r>
        <w:rPr>
          <w:rFonts w:ascii="宋体" w:hAnsi="宋体"/>
          <w:b/>
          <w:color w:val="auto"/>
          <w:sz w:val="24"/>
          <w:szCs w:val="18"/>
        </w:rPr>
        <w:t xml:space="preserve">23.1  </w:t>
      </w:r>
    </w:p>
    <w:p w14:paraId="1F971EF1">
      <w:pPr>
        <w:pStyle w:val="12"/>
        <w:ind w:left="1619" w:leftChars="771"/>
        <w:rPr>
          <w:rFonts w:ascii="宋体"/>
          <w:color w:val="auto"/>
          <w:szCs w:val="18"/>
        </w:rPr>
      </w:pPr>
      <w:r>
        <w:rPr>
          <w:color w:val="auto"/>
        </w:rPr>
        <mc:AlternateContent>
          <mc:Choice Requires="wps">
            <w:drawing>
              <wp:anchor distT="0" distB="0" distL="114300" distR="114300" simplePos="0" relativeHeight="251729920" behindDoc="0" locked="0" layoutInCell="1" allowOverlap="1">
                <wp:simplePos x="0" y="0"/>
                <wp:positionH relativeFrom="column">
                  <wp:posOffset>-114300</wp:posOffset>
                </wp:positionH>
                <wp:positionV relativeFrom="paragraph">
                  <wp:posOffset>53340</wp:posOffset>
                </wp:positionV>
                <wp:extent cx="914400" cy="38989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914400" cy="389890"/>
                        </a:xfrm>
                        <a:prstGeom prst="rect">
                          <a:avLst/>
                        </a:prstGeom>
                        <a:noFill/>
                        <a:ln>
                          <a:noFill/>
                        </a:ln>
                        <a:effectLst/>
                      </wps:spPr>
                      <wps:txbx>
                        <w:txbxContent>
                          <w:p w14:paraId="1FA1D8C5">
                            <w:pPr>
                              <w:spacing w:line="240" w:lineRule="exact"/>
                              <w:rPr>
                                <w:rFonts w:ascii="楷体_GB2312" w:hAnsi="宋体" w:eastAsia="楷体_GB2312"/>
                                <w:b/>
                                <w:color w:val="000000"/>
                                <w:sz w:val="18"/>
                                <w:szCs w:val="18"/>
                              </w:rPr>
                            </w:pPr>
                            <w:r>
                              <w:rPr>
                                <w:rFonts w:hint="eastAsia" w:ascii="楷体_GB2312" w:eastAsia="楷体_GB2312"/>
                                <w:b/>
                                <w:color w:val="000000"/>
                                <w:sz w:val="18"/>
                                <w:szCs w:val="18"/>
                              </w:rPr>
                              <w:t>发包人对监理工程师授权</w:t>
                            </w:r>
                          </w:p>
                        </w:txbxContent>
                      </wps:txbx>
                      <wps:bodyPr upright="1"/>
                    </wps:wsp>
                  </a:graphicData>
                </a:graphic>
              </wp:anchor>
            </w:drawing>
          </mc:Choice>
          <mc:Fallback>
            <w:pict>
              <v:shape id="_x0000_s1026" o:spid="_x0000_s1026" o:spt="202" type="#_x0000_t202" style="position:absolute;left:0pt;margin-left:-9pt;margin-top:4.2pt;height:30.7pt;width:72pt;z-index:251729920;mso-width-relative:page;mso-height-relative:page;" filled="f" stroked="f" coordsize="21600,21600" o:gfxdata="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uGASC&#10;1QAAAAgBAAAPAAAAAAAAAAEAIAAAACIAAABkcnMvZG93bnJldi54bWxQSwECFAAUAAAACACHTuJA&#10;MlVkvLIBAABdAwAADgAAAAAAAAABACAAAAAkAQAAZHJzL2Uyb0RvYy54bWxQSwUGAAAAAAYABgBZ&#10;AQAASAUAAAAA&#10;">
                <v:fill on="f" focussize="0,0"/>
                <v:stroke on="f"/>
                <v:imagedata o:title=""/>
                <o:lock v:ext="edit" aspectratio="f"/>
                <v:textbox>
                  <w:txbxContent>
                    <w:p w14:paraId="1FA1D8C5">
                      <w:pPr>
                        <w:spacing w:line="240" w:lineRule="exact"/>
                        <w:rPr>
                          <w:rFonts w:ascii="楷体_GB2312" w:hAnsi="宋体" w:eastAsia="楷体_GB2312"/>
                          <w:b/>
                          <w:color w:val="000000"/>
                          <w:sz w:val="18"/>
                          <w:szCs w:val="18"/>
                        </w:rPr>
                      </w:pPr>
                      <w:r>
                        <w:rPr>
                          <w:rFonts w:hint="eastAsia" w:ascii="楷体_GB2312" w:eastAsia="楷体_GB2312"/>
                          <w:b/>
                          <w:color w:val="000000"/>
                          <w:sz w:val="18"/>
                          <w:szCs w:val="18"/>
                        </w:rPr>
                        <w:t>发包人对监理工程师授权</w:t>
                      </w:r>
                    </w:p>
                  </w:txbxContent>
                </v:textbox>
              </v:shape>
            </w:pict>
          </mc:Fallback>
        </mc:AlternateContent>
      </w:r>
      <w:r>
        <w:rPr>
          <w:rFonts w:hint="eastAsia" w:ascii="宋体"/>
          <w:color w:val="auto"/>
          <w:szCs w:val="18"/>
        </w:rPr>
        <w:t>发包人应在专用条款中写明负责合同工程工程监理专业技术的监理人名称和监理工程师具体人选，并在开工前将监理工程师任命书以书面形式通知承包人，授予其代表发包人履行合同规定职责所需的权力。</w:t>
      </w:r>
    </w:p>
    <w:p w14:paraId="52EFD5E7">
      <w:pPr>
        <w:spacing w:line="360" w:lineRule="auto"/>
        <w:rPr>
          <w:rFonts w:ascii="宋体"/>
          <w:b/>
          <w:color w:val="auto"/>
          <w:sz w:val="24"/>
          <w:szCs w:val="18"/>
        </w:rPr>
      </w:pPr>
      <w:r>
        <w:rPr>
          <w:rFonts w:ascii="宋体" w:hAnsi="宋体"/>
          <w:b/>
          <w:color w:val="auto"/>
          <w:sz w:val="24"/>
          <w:szCs w:val="18"/>
        </w:rPr>
        <w:t xml:space="preserve">23.2  </w:t>
      </w:r>
    </w:p>
    <w:p w14:paraId="4942C62F">
      <w:pPr>
        <w:spacing w:line="360" w:lineRule="auto"/>
        <w:ind w:left="1619" w:leftChars="771"/>
        <w:rPr>
          <w:rFonts w:ascii="宋体"/>
          <w:color w:val="auto"/>
          <w:sz w:val="24"/>
          <w:szCs w:val="18"/>
        </w:rPr>
      </w:pPr>
      <w:r>
        <w:rPr>
          <w:color w:val="auto"/>
        </w:rPr>
        <mc:AlternateContent>
          <mc:Choice Requires="wps">
            <w:drawing>
              <wp:anchor distT="0" distB="0" distL="114300" distR="114300" simplePos="0" relativeHeight="251730944" behindDoc="0" locked="0" layoutInCell="1" allowOverlap="1">
                <wp:simplePos x="0" y="0"/>
                <wp:positionH relativeFrom="column">
                  <wp:posOffset>-114300</wp:posOffset>
                </wp:positionH>
                <wp:positionV relativeFrom="paragraph">
                  <wp:posOffset>38100</wp:posOffset>
                </wp:positionV>
                <wp:extent cx="914400" cy="48387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914400" cy="483870"/>
                        </a:xfrm>
                        <a:prstGeom prst="rect">
                          <a:avLst/>
                        </a:prstGeom>
                        <a:noFill/>
                        <a:ln>
                          <a:noFill/>
                        </a:ln>
                        <a:effectLst/>
                      </wps:spPr>
                      <wps:txbx>
                        <w:txbxContent>
                          <w:p w14:paraId="1611AAFB">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监理工程师职权</w:t>
                            </w:r>
                          </w:p>
                        </w:txbxContent>
                      </wps:txbx>
                      <wps:bodyPr upright="1"/>
                    </wps:wsp>
                  </a:graphicData>
                </a:graphic>
              </wp:anchor>
            </w:drawing>
          </mc:Choice>
          <mc:Fallback>
            <w:pict>
              <v:shape id="_x0000_s1026" o:spid="_x0000_s1026" o:spt="202" type="#_x0000_t202" style="position:absolute;left:0pt;margin-left:-9pt;margin-top:3pt;height:38.1pt;width:72pt;z-index:251730944;mso-width-relative:page;mso-height-relative:page;" filled="f" stroked="f" coordsize="21600,21600" o:gfxdata="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x+Y&#10;TtUAAAAIAQAADwAAAAAAAAABACAAAAAiAAAAZHJzL2Rvd25yZXYueG1sUEsBAhQAFAAAAAgAh07i&#10;QFpn2qGzAQAAXQMAAA4AAAAAAAAAAQAgAAAAJAEAAGRycy9lMm9Eb2MueG1sUEsFBgAAAAAGAAYA&#10;WQEAAEkFAAAAAA==&#10;">
                <v:fill on="f" focussize="0,0"/>
                <v:stroke on="f"/>
                <v:imagedata o:title=""/>
                <o:lock v:ext="edit" aspectratio="f"/>
                <v:textbox>
                  <w:txbxContent>
                    <w:p w14:paraId="1611AAFB">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监理工程师职权</w:t>
                      </w:r>
                    </w:p>
                  </w:txbxContent>
                </v:textbox>
              </v:shape>
            </w:pict>
          </mc:Fallback>
        </mc:AlternateContent>
      </w:r>
      <w:r>
        <w:rPr>
          <w:rFonts w:hint="eastAsia" w:ascii="宋体" w:hAnsi="宋体"/>
          <w:color w:val="auto"/>
          <w:sz w:val="24"/>
          <w:szCs w:val="18"/>
        </w:rPr>
        <w:t>监理工程师行使合同明文规定和必然隐含的职权，代表发包人负责监督、检查合同工程的进度、质量和安全，试验和检验承包人使用的与合同工程有关的材料、工程设备、施工设备和施工工艺，及时向承包人提供工作所需的批准、确认和通知等指令。监理工程师无权免除或变更合同规定的合同任何一方当事人在合同履行期间的权力、义务和责任。</w:t>
      </w:r>
    </w:p>
    <w:p w14:paraId="43B9EF93">
      <w:pPr>
        <w:spacing w:line="360" w:lineRule="auto"/>
        <w:rPr>
          <w:rFonts w:ascii="宋体"/>
          <w:b/>
          <w:color w:val="auto"/>
          <w:sz w:val="24"/>
          <w:szCs w:val="18"/>
        </w:rPr>
      </w:pPr>
      <w:r>
        <w:rPr>
          <w:rFonts w:ascii="宋体" w:hAnsi="宋体"/>
          <w:b/>
          <w:color w:val="auto"/>
          <w:sz w:val="24"/>
          <w:szCs w:val="18"/>
        </w:rPr>
        <w:t xml:space="preserve">23.3  </w:t>
      </w:r>
    </w:p>
    <w:p w14:paraId="7DBB59C5">
      <w:pPr>
        <w:spacing w:line="360" w:lineRule="auto"/>
        <w:ind w:left="1619" w:leftChars="771" w:firstLine="1"/>
        <w:rPr>
          <w:rFonts w:ascii="宋体"/>
          <w:color w:val="auto"/>
          <w:sz w:val="24"/>
          <w:szCs w:val="18"/>
        </w:rPr>
      </w:pPr>
      <w:r>
        <w:rPr>
          <w:color w:val="auto"/>
        </w:rPr>
        <mc:AlternateContent>
          <mc:Choice Requires="wps">
            <w:drawing>
              <wp:anchor distT="0" distB="0" distL="114300" distR="114300" simplePos="0" relativeHeight="251731968" behindDoc="0" locked="0" layoutInCell="1" allowOverlap="1">
                <wp:simplePos x="0" y="0"/>
                <wp:positionH relativeFrom="column">
                  <wp:posOffset>-114300</wp:posOffset>
                </wp:positionH>
                <wp:positionV relativeFrom="paragraph">
                  <wp:posOffset>68580</wp:posOffset>
                </wp:positionV>
                <wp:extent cx="914400" cy="41021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914400" cy="410210"/>
                        </a:xfrm>
                        <a:prstGeom prst="rect">
                          <a:avLst/>
                        </a:prstGeom>
                        <a:noFill/>
                        <a:ln>
                          <a:noFill/>
                        </a:ln>
                        <a:effectLst/>
                      </wps:spPr>
                      <wps:txbx>
                        <w:txbxContent>
                          <w:p w14:paraId="1955568F">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监理工程师职权限制</w:t>
                            </w:r>
                          </w:p>
                        </w:txbxContent>
                      </wps:txbx>
                      <wps:bodyPr upright="1"/>
                    </wps:wsp>
                  </a:graphicData>
                </a:graphic>
              </wp:anchor>
            </w:drawing>
          </mc:Choice>
          <mc:Fallback>
            <w:pict>
              <v:shape id="_x0000_s1026" o:spid="_x0000_s1026" o:spt="202" type="#_x0000_t202" style="position:absolute;left:0pt;margin-left:-9pt;margin-top:5.4pt;height:32.3pt;width:72pt;z-index:251731968;mso-width-relative:page;mso-height-relative:page;" filled="f" stroked="f" coordsize="21600,21600" o:gfxdata="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kwS2h&#10;1QAAAAkBAAAPAAAAAAAAAAEAIAAAACIAAABkcnMvZG93bnJldi54bWxQSwECFAAUAAAACACHTuJA&#10;Us64gbIBAABdAwAADgAAAAAAAAABACAAAAAkAQAAZHJzL2Uyb0RvYy54bWxQSwUGAAAAAAYABgBZ&#10;AQAASAUAAAAA&#10;">
                <v:fill on="f" focussize="0,0"/>
                <v:stroke on="f"/>
                <v:imagedata o:title=""/>
                <o:lock v:ext="edit" aspectratio="f"/>
                <v:textbox>
                  <w:txbxContent>
                    <w:p w14:paraId="1955568F">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监理工程师职权限制</w:t>
                      </w:r>
                    </w:p>
                  </w:txbxContent>
                </v:textbox>
              </v:shape>
            </w:pict>
          </mc:Fallback>
        </mc:AlternateContent>
      </w:r>
      <w:r>
        <w:rPr>
          <w:rFonts w:hint="eastAsia" w:ascii="宋体" w:hAnsi="宋体"/>
          <w:color w:val="auto"/>
          <w:sz w:val="24"/>
          <w:szCs w:val="18"/>
        </w:rPr>
        <w:t>除属于第</w:t>
      </w:r>
      <w:r>
        <w:rPr>
          <w:rFonts w:ascii="宋体" w:hAnsi="宋体"/>
          <w:color w:val="auto"/>
          <w:sz w:val="24"/>
          <w:szCs w:val="18"/>
        </w:rPr>
        <w:t>86</w:t>
      </w:r>
      <w:r>
        <w:rPr>
          <w:rFonts w:hint="eastAsia" w:ascii="宋体" w:hAnsi="宋体"/>
          <w:color w:val="auto"/>
          <w:sz w:val="24"/>
          <w:szCs w:val="18"/>
        </w:rPr>
        <w:t>条规定的争议外，监理工程师在职权范围内的工作，发包人应予认可，但下列事件应事先取得发包人的专项批准：</w:t>
      </w:r>
    </w:p>
    <w:p w14:paraId="636C4ACA">
      <w:pPr>
        <w:numPr>
          <w:ilvl w:val="0"/>
          <w:numId w:val="11"/>
        </w:numPr>
        <w:spacing w:line="360" w:lineRule="auto"/>
        <w:ind w:left="1619" w:leftChars="771" w:firstLine="1"/>
        <w:rPr>
          <w:rFonts w:ascii="宋体"/>
          <w:color w:val="auto"/>
          <w:sz w:val="24"/>
          <w:szCs w:val="18"/>
        </w:rPr>
      </w:pPr>
      <w:r>
        <w:rPr>
          <w:rFonts w:hint="eastAsia" w:ascii="宋体" w:hAnsi="宋体"/>
          <w:color w:val="auto"/>
          <w:sz w:val="24"/>
          <w:szCs w:val="18"/>
        </w:rPr>
        <w:t>根据第</w:t>
      </w:r>
      <w:r>
        <w:rPr>
          <w:rFonts w:ascii="宋体" w:hAnsi="宋体"/>
          <w:color w:val="auto"/>
          <w:sz w:val="24"/>
          <w:szCs w:val="18"/>
        </w:rPr>
        <w:t>5.2</w:t>
      </w:r>
      <w:r>
        <w:rPr>
          <w:rFonts w:hint="eastAsia" w:ascii="宋体" w:hAnsi="宋体"/>
          <w:color w:val="auto"/>
          <w:sz w:val="24"/>
          <w:szCs w:val="18"/>
        </w:rPr>
        <w:t>款规定批准承包人提供的配合施工设计图纸；</w:t>
      </w:r>
    </w:p>
    <w:p w14:paraId="5C7C616E">
      <w:pPr>
        <w:numPr>
          <w:ilvl w:val="0"/>
          <w:numId w:val="11"/>
        </w:numPr>
        <w:spacing w:line="360" w:lineRule="auto"/>
        <w:ind w:left="1619" w:leftChars="771" w:firstLine="1"/>
        <w:rPr>
          <w:rFonts w:ascii="宋体"/>
          <w:color w:val="auto"/>
          <w:sz w:val="24"/>
          <w:szCs w:val="18"/>
        </w:rPr>
      </w:pPr>
      <w:r>
        <w:rPr>
          <w:rFonts w:hint="eastAsia" w:ascii="宋体" w:hAnsi="宋体"/>
          <w:color w:val="auto"/>
          <w:sz w:val="24"/>
          <w:szCs w:val="18"/>
        </w:rPr>
        <w:t>根据第</w:t>
      </w:r>
      <w:r>
        <w:rPr>
          <w:rFonts w:ascii="宋体" w:hAnsi="宋体"/>
          <w:color w:val="auto"/>
          <w:sz w:val="24"/>
          <w:szCs w:val="18"/>
        </w:rPr>
        <w:t>7.2</w:t>
      </w:r>
      <w:r>
        <w:rPr>
          <w:rFonts w:hint="eastAsia" w:ascii="宋体" w:hAnsi="宋体"/>
          <w:color w:val="auto"/>
          <w:sz w:val="24"/>
          <w:szCs w:val="18"/>
        </w:rPr>
        <w:t>款规定同意承包人分包工程；</w:t>
      </w:r>
    </w:p>
    <w:p w14:paraId="2B716BCF">
      <w:pPr>
        <w:numPr>
          <w:ilvl w:val="0"/>
          <w:numId w:val="11"/>
        </w:numPr>
        <w:spacing w:line="360" w:lineRule="auto"/>
        <w:ind w:left="1619" w:leftChars="771" w:firstLine="1"/>
        <w:rPr>
          <w:rFonts w:ascii="宋体"/>
          <w:color w:val="auto"/>
          <w:sz w:val="24"/>
          <w:szCs w:val="18"/>
        </w:rPr>
      </w:pPr>
      <w:r>
        <w:rPr>
          <w:rFonts w:hint="eastAsia" w:ascii="宋体" w:hAnsi="宋体"/>
          <w:color w:val="auto"/>
          <w:sz w:val="24"/>
          <w:szCs w:val="18"/>
        </w:rPr>
        <w:t>根据第</w:t>
      </w:r>
      <w:r>
        <w:rPr>
          <w:rFonts w:ascii="宋体" w:hAnsi="宋体"/>
          <w:color w:val="auto"/>
          <w:sz w:val="24"/>
          <w:szCs w:val="18"/>
        </w:rPr>
        <w:t>18.1</w:t>
      </w:r>
      <w:r>
        <w:rPr>
          <w:rFonts w:hint="eastAsia" w:ascii="宋体" w:hAnsi="宋体"/>
          <w:color w:val="auto"/>
          <w:sz w:val="24"/>
          <w:szCs w:val="18"/>
        </w:rPr>
        <w:t>款规定批准承包人将材料和工程设备、施工设备移出施工场地；</w:t>
      </w:r>
    </w:p>
    <w:p w14:paraId="43BE9A90">
      <w:pPr>
        <w:numPr>
          <w:ilvl w:val="0"/>
          <w:numId w:val="11"/>
        </w:numPr>
        <w:spacing w:line="360" w:lineRule="auto"/>
        <w:ind w:left="1619" w:leftChars="771" w:firstLine="1"/>
        <w:rPr>
          <w:rFonts w:ascii="宋体"/>
          <w:color w:val="auto"/>
          <w:sz w:val="24"/>
          <w:szCs w:val="18"/>
        </w:rPr>
      </w:pPr>
      <w:r>
        <w:rPr>
          <w:rFonts w:hint="eastAsia" w:ascii="宋体" w:hAnsi="宋体"/>
          <w:color w:val="auto"/>
          <w:sz w:val="24"/>
          <w:szCs w:val="18"/>
        </w:rPr>
        <w:t>根据第</w:t>
      </w:r>
      <w:r>
        <w:rPr>
          <w:rFonts w:ascii="宋体" w:hAnsi="宋体"/>
          <w:color w:val="auto"/>
          <w:sz w:val="24"/>
          <w:szCs w:val="18"/>
        </w:rPr>
        <w:t>33</w:t>
      </w:r>
      <w:r>
        <w:rPr>
          <w:rFonts w:hint="eastAsia" w:ascii="宋体" w:hAnsi="宋体"/>
          <w:color w:val="auto"/>
          <w:sz w:val="24"/>
          <w:szCs w:val="18"/>
        </w:rPr>
        <w:t>条规定批准承包人的施工组织设计和工程进度计划；</w:t>
      </w:r>
    </w:p>
    <w:p w14:paraId="584FBC02">
      <w:pPr>
        <w:numPr>
          <w:ilvl w:val="0"/>
          <w:numId w:val="11"/>
        </w:numPr>
        <w:spacing w:line="360" w:lineRule="auto"/>
        <w:ind w:left="1619" w:leftChars="771" w:firstLine="1"/>
        <w:rPr>
          <w:rFonts w:ascii="宋体"/>
          <w:color w:val="auto"/>
          <w:sz w:val="24"/>
          <w:szCs w:val="18"/>
        </w:rPr>
      </w:pPr>
      <w:r>
        <w:rPr>
          <w:rFonts w:hint="eastAsia" w:ascii="宋体" w:hAnsi="宋体"/>
          <w:color w:val="auto"/>
          <w:sz w:val="24"/>
          <w:szCs w:val="18"/>
        </w:rPr>
        <w:t>根据第</w:t>
      </w:r>
      <w:r>
        <w:rPr>
          <w:rFonts w:ascii="宋体" w:hAnsi="宋体"/>
          <w:color w:val="auto"/>
          <w:sz w:val="24"/>
          <w:szCs w:val="18"/>
        </w:rPr>
        <w:t>34.2</w:t>
      </w:r>
      <w:r>
        <w:rPr>
          <w:rFonts w:hint="eastAsia" w:ascii="宋体" w:hAnsi="宋体"/>
          <w:color w:val="auto"/>
          <w:sz w:val="24"/>
          <w:szCs w:val="18"/>
        </w:rPr>
        <w:t>款规定发出的工程开工令；</w:t>
      </w:r>
    </w:p>
    <w:p w14:paraId="21384458">
      <w:pPr>
        <w:numPr>
          <w:ilvl w:val="0"/>
          <w:numId w:val="11"/>
        </w:numPr>
        <w:spacing w:line="360" w:lineRule="auto"/>
        <w:ind w:left="1619" w:leftChars="771" w:firstLine="1"/>
        <w:rPr>
          <w:rFonts w:ascii="宋体"/>
          <w:color w:val="auto"/>
          <w:sz w:val="24"/>
          <w:szCs w:val="18"/>
        </w:rPr>
      </w:pPr>
      <w:r>
        <w:rPr>
          <w:rFonts w:hint="eastAsia" w:ascii="宋体" w:hAnsi="宋体"/>
          <w:color w:val="auto"/>
          <w:sz w:val="24"/>
          <w:szCs w:val="18"/>
        </w:rPr>
        <w:t>根据第</w:t>
      </w:r>
      <w:r>
        <w:rPr>
          <w:rFonts w:ascii="宋体" w:hAnsi="宋体"/>
          <w:color w:val="auto"/>
          <w:sz w:val="24"/>
          <w:szCs w:val="18"/>
        </w:rPr>
        <w:t>37.2</w:t>
      </w:r>
      <w:r>
        <w:rPr>
          <w:rFonts w:hint="eastAsia" w:ascii="宋体" w:hAnsi="宋体"/>
          <w:color w:val="auto"/>
          <w:sz w:val="24"/>
          <w:szCs w:val="18"/>
        </w:rPr>
        <w:t>款规定发出加快进度的变更指令；</w:t>
      </w:r>
    </w:p>
    <w:p w14:paraId="2DC11743">
      <w:pPr>
        <w:numPr>
          <w:ilvl w:val="0"/>
          <w:numId w:val="11"/>
        </w:numPr>
        <w:spacing w:line="360" w:lineRule="auto"/>
        <w:ind w:left="1619" w:leftChars="771" w:firstLine="1"/>
        <w:rPr>
          <w:rFonts w:ascii="宋体"/>
          <w:color w:val="auto"/>
          <w:sz w:val="24"/>
          <w:szCs w:val="18"/>
        </w:rPr>
      </w:pPr>
      <w:r>
        <w:rPr>
          <w:rFonts w:hint="eastAsia" w:ascii="宋体" w:hAnsi="宋体"/>
          <w:color w:val="auto"/>
          <w:sz w:val="24"/>
          <w:szCs w:val="18"/>
        </w:rPr>
        <w:t>根据第</w:t>
      </w:r>
      <w:r>
        <w:rPr>
          <w:rFonts w:ascii="宋体" w:hAnsi="宋体"/>
          <w:color w:val="auto"/>
          <w:sz w:val="24"/>
          <w:szCs w:val="18"/>
        </w:rPr>
        <w:t>49.6</w:t>
      </w:r>
      <w:r>
        <w:rPr>
          <w:rFonts w:hint="eastAsia" w:ascii="宋体" w:hAnsi="宋体"/>
          <w:color w:val="auto"/>
          <w:sz w:val="24"/>
          <w:szCs w:val="18"/>
        </w:rPr>
        <w:t>款规定使用替换材料；</w:t>
      </w:r>
    </w:p>
    <w:p w14:paraId="5D8D87F6">
      <w:pPr>
        <w:numPr>
          <w:ilvl w:val="0"/>
          <w:numId w:val="11"/>
        </w:numPr>
        <w:spacing w:line="360" w:lineRule="auto"/>
        <w:ind w:left="1619" w:leftChars="771" w:firstLine="1"/>
        <w:rPr>
          <w:rFonts w:ascii="宋体"/>
          <w:color w:val="auto"/>
          <w:sz w:val="24"/>
          <w:szCs w:val="18"/>
        </w:rPr>
      </w:pPr>
      <w:r>
        <w:rPr>
          <w:rFonts w:hint="eastAsia" w:ascii="宋体" w:hAnsi="宋体"/>
          <w:color w:val="auto"/>
          <w:sz w:val="24"/>
          <w:szCs w:val="18"/>
        </w:rPr>
        <w:t>根据第</w:t>
      </w:r>
      <w:r>
        <w:rPr>
          <w:rFonts w:ascii="宋体" w:hAnsi="宋体"/>
          <w:color w:val="auto"/>
          <w:sz w:val="24"/>
          <w:szCs w:val="18"/>
        </w:rPr>
        <w:t>63</w:t>
      </w:r>
      <w:r>
        <w:rPr>
          <w:rFonts w:hint="eastAsia" w:ascii="宋体" w:hAnsi="宋体"/>
          <w:color w:val="auto"/>
          <w:sz w:val="24"/>
          <w:szCs w:val="18"/>
        </w:rPr>
        <w:t>条规定发出使用暂列金额的工作指令；</w:t>
      </w:r>
    </w:p>
    <w:p w14:paraId="2F3E2FF8">
      <w:pPr>
        <w:numPr>
          <w:ilvl w:val="0"/>
          <w:numId w:val="11"/>
        </w:numPr>
        <w:spacing w:line="360" w:lineRule="auto"/>
        <w:ind w:left="1619" w:leftChars="771" w:firstLine="1"/>
        <w:rPr>
          <w:rFonts w:ascii="宋体"/>
          <w:color w:val="auto"/>
          <w:sz w:val="24"/>
          <w:szCs w:val="18"/>
        </w:rPr>
      </w:pPr>
      <w:r>
        <w:rPr>
          <w:rFonts w:hint="eastAsia" w:ascii="宋体" w:hAnsi="宋体"/>
          <w:color w:val="auto"/>
          <w:sz w:val="24"/>
          <w:szCs w:val="18"/>
        </w:rPr>
        <w:t>根据第</w:t>
      </w:r>
      <w:r>
        <w:rPr>
          <w:rFonts w:ascii="宋体" w:hAnsi="宋体"/>
          <w:color w:val="auto"/>
          <w:sz w:val="24"/>
          <w:szCs w:val="18"/>
        </w:rPr>
        <w:t>64</w:t>
      </w:r>
      <w:r>
        <w:rPr>
          <w:rFonts w:hint="eastAsia" w:ascii="宋体" w:hAnsi="宋体"/>
          <w:color w:val="auto"/>
          <w:sz w:val="24"/>
          <w:szCs w:val="18"/>
        </w:rPr>
        <w:t>条规定发出使用计日工的工作指令；</w:t>
      </w:r>
    </w:p>
    <w:p w14:paraId="1724729A">
      <w:pPr>
        <w:numPr>
          <w:ilvl w:val="0"/>
          <w:numId w:val="11"/>
        </w:numPr>
        <w:spacing w:line="360" w:lineRule="auto"/>
        <w:ind w:left="1619" w:leftChars="771" w:firstLine="1"/>
        <w:rPr>
          <w:rFonts w:ascii="宋体"/>
          <w:color w:val="auto"/>
          <w:sz w:val="24"/>
          <w:szCs w:val="18"/>
        </w:rPr>
      </w:pPr>
      <w:r>
        <w:rPr>
          <w:rFonts w:hint="eastAsia" w:ascii="宋体" w:hAnsi="宋体"/>
          <w:color w:val="auto"/>
          <w:sz w:val="24"/>
          <w:szCs w:val="18"/>
        </w:rPr>
        <w:t>根据第</w:t>
      </w:r>
      <w:r>
        <w:rPr>
          <w:rFonts w:ascii="宋体" w:hAnsi="宋体"/>
          <w:color w:val="auto"/>
          <w:sz w:val="24"/>
          <w:szCs w:val="18"/>
        </w:rPr>
        <w:t>56</w:t>
      </w:r>
      <w:r>
        <w:rPr>
          <w:rFonts w:hint="eastAsia" w:ascii="宋体" w:hAnsi="宋体"/>
          <w:color w:val="auto"/>
          <w:sz w:val="24"/>
          <w:szCs w:val="18"/>
        </w:rPr>
        <w:t>条规定指令或批准的工程变更；</w:t>
      </w:r>
    </w:p>
    <w:p w14:paraId="045A420A">
      <w:pPr>
        <w:numPr>
          <w:ilvl w:val="0"/>
          <w:numId w:val="11"/>
        </w:numPr>
        <w:spacing w:line="360" w:lineRule="auto"/>
        <w:ind w:left="1619" w:leftChars="771" w:firstLine="1"/>
        <w:rPr>
          <w:rFonts w:ascii="宋体"/>
          <w:color w:val="auto"/>
          <w:sz w:val="24"/>
          <w:szCs w:val="18"/>
        </w:rPr>
      </w:pPr>
      <w:r>
        <w:rPr>
          <w:rFonts w:hint="eastAsia" w:ascii="宋体" w:hAnsi="宋体"/>
          <w:color w:val="auto"/>
          <w:sz w:val="24"/>
          <w:szCs w:val="18"/>
        </w:rPr>
        <w:t>根据第</w:t>
      </w:r>
      <w:r>
        <w:rPr>
          <w:rFonts w:ascii="宋体" w:hAnsi="宋体"/>
          <w:color w:val="auto"/>
          <w:sz w:val="24"/>
          <w:szCs w:val="18"/>
        </w:rPr>
        <w:t>75</w:t>
      </w:r>
      <w:r>
        <w:rPr>
          <w:rFonts w:hint="eastAsia" w:ascii="宋体" w:hAnsi="宋体"/>
          <w:color w:val="auto"/>
          <w:sz w:val="24"/>
          <w:szCs w:val="18"/>
        </w:rPr>
        <w:t>条规定指令或确认的现场签证；</w:t>
      </w:r>
    </w:p>
    <w:p w14:paraId="5C013FB9">
      <w:pPr>
        <w:numPr>
          <w:ilvl w:val="0"/>
          <w:numId w:val="11"/>
        </w:numPr>
        <w:spacing w:line="360" w:lineRule="auto"/>
        <w:ind w:left="1619" w:leftChars="771" w:firstLine="1"/>
        <w:rPr>
          <w:rFonts w:ascii="宋体"/>
          <w:color w:val="auto"/>
          <w:sz w:val="24"/>
          <w:szCs w:val="18"/>
        </w:rPr>
      </w:pPr>
      <w:r>
        <w:rPr>
          <w:rFonts w:hint="eastAsia" w:ascii="宋体" w:hAnsi="宋体"/>
          <w:color w:val="auto"/>
          <w:sz w:val="24"/>
          <w:szCs w:val="18"/>
        </w:rPr>
        <w:t>专用条款约定需要发包人批准的其他事项。</w:t>
      </w:r>
    </w:p>
    <w:p w14:paraId="55D6AFFF">
      <w:pPr>
        <w:spacing w:line="360" w:lineRule="auto"/>
        <w:rPr>
          <w:rFonts w:ascii="宋体"/>
          <w:b/>
          <w:color w:val="auto"/>
          <w:sz w:val="24"/>
          <w:szCs w:val="18"/>
        </w:rPr>
      </w:pPr>
      <w:r>
        <w:rPr>
          <w:color w:val="auto"/>
        </w:rPr>
        <mc:AlternateContent>
          <mc:Choice Requires="wps">
            <w:drawing>
              <wp:anchor distT="0" distB="0" distL="114300" distR="114300" simplePos="0" relativeHeight="251732992" behindDoc="0" locked="0" layoutInCell="1" allowOverlap="1">
                <wp:simplePos x="0" y="0"/>
                <wp:positionH relativeFrom="column">
                  <wp:posOffset>-114300</wp:posOffset>
                </wp:positionH>
                <wp:positionV relativeFrom="paragraph">
                  <wp:posOffset>278130</wp:posOffset>
                </wp:positionV>
                <wp:extent cx="1028700" cy="4572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028700" cy="457200"/>
                        </a:xfrm>
                        <a:prstGeom prst="rect">
                          <a:avLst/>
                        </a:prstGeom>
                        <a:noFill/>
                        <a:ln>
                          <a:noFill/>
                        </a:ln>
                        <a:effectLst/>
                      </wps:spPr>
                      <wps:txbx>
                        <w:txbxContent>
                          <w:p w14:paraId="559AC027">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监理工程师指</w:t>
                            </w:r>
                          </w:p>
                          <w:p w14:paraId="3754DE77">
                            <w:pPr>
                              <w:spacing w:line="240" w:lineRule="exact"/>
                              <w:rPr>
                                <w:rFonts w:ascii="宋体"/>
                                <w:sz w:val="18"/>
                                <w:szCs w:val="18"/>
                              </w:rPr>
                            </w:pPr>
                            <w:r>
                              <w:rPr>
                                <w:rFonts w:hint="eastAsia" w:ascii="楷体_GB2312" w:hAnsi="宋体" w:eastAsia="楷体_GB2312"/>
                                <w:b/>
                                <w:color w:val="000000"/>
                                <w:sz w:val="18"/>
                                <w:szCs w:val="18"/>
                              </w:rPr>
                              <w:t>令</w:t>
                            </w:r>
                          </w:p>
                        </w:txbxContent>
                      </wps:txbx>
                      <wps:bodyPr upright="1"/>
                    </wps:wsp>
                  </a:graphicData>
                </a:graphic>
              </wp:anchor>
            </w:drawing>
          </mc:Choice>
          <mc:Fallback>
            <w:pict>
              <v:shape id="_x0000_s1026" o:spid="_x0000_s1026" o:spt="202" type="#_x0000_t202" style="position:absolute;left:0pt;margin-left:-9pt;margin-top:21.9pt;height:36pt;width:81pt;z-index:251732992;mso-width-relative:page;mso-height-relative:page;" filled="f" stroked="f" coordsize="21600,21600" o:gfxdata="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OZhK&#10;hdcAAAAKAQAADwAAAAAAAAABACAAAAAiAAAAZHJzL2Rvd25yZXYueG1sUEsBAhQAFAAAAAgAh07i&#10;QJZrasqxAQAAXgMAAA4AAAAAAAAAAQAgAAAAJgEAAGRycy9lMm9Eb2MueG1sUEsFBgAAAAAGAAYA&#10;WQEAAEkFAAAAAA==&#10;">
                <v:fill on="f" focussize="0,0"/>
                <v:stroke on="f"/>
                <v:imagedata o:title=""/>
                <o:lock v:ext="edit" aspectratio="f"/>
                <v:textbox>
                  <w:txbxContent>
                    <w:p w14:paraId="559AC027">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监理工程师指</w:t>
                      </w:r>
                    </w:p>
                    <w:p w14:paraId="3754DE77">
                      <w:pPr>
                        <w:spacing w:line="240" w:lineRule="exact"/>
                        <w:rPr>
                          <w:rFonts w:ascii="宋体"/>
                          <w:sz w:val="18"/>
                          <w:szCs w:val="18"/>
                        </w:rPr>
                      </w:pPr>
                      <w:r>
                        <w:rPr>
                          <w:rFonts w:hint="eastAsia" w:ascii="楷体_GB2312" w:hAnsi="宋体" w:eastAsia="楷体_GB2312"/>
                          <w:b/>
                          <w:color w:val="000000"/>
                          <w:sz w:val="18"/>
                          <w:szCs w:val="18"/>
                        </w:rPr>
                        <w:t>令</w:t>
                      </w:r>
                    </w:p>
                  </w:txbxContent>
                </v:textbox>
              </v:shape>
            </w:pict>
          </mc:Fallback>
        </mc:AlternateContent>
      </w:r>
      <w:r>
        <w:rPr>
          <w:rFonts w:ascii="宋体" w:hAnsi="宋体"/>
          <w:b/>
          <w:color w:val="auto"/>
          <w:sz w:val="24"/>
          <w:szCs w:val="18"/>
        </w:rPr>
        <w:t xml:space="preserve">23.4  </w:t>
      </w:r>
    </w:p>
    <w:p w14:paraId="52E6CDE6">
      <w:pPr>
        <w:spacing w:line="360" w:lineRule="auto"/>
        <w:ind w:left="1619" w:leftChars="771"/>
        <w:rPr>
          <w:rFonts w:ascii="宋体"/>
          <w:color w:val="auto"/>
          <w:sz w:val="24"/>
          <w:szCs w:val="18"/>
        </w:rPr>
      </w:pPr>
      <w:r>
        <w:rPr>
          <w:rFonts w:hint="eastAsia" w:ascii="宋体" w:hAnsi="宋体"/>
          <w:color w:val="auto"/>
          <w:sz w:val="24"/>
          <w:szCs w:val="18"/>
        </w:rPr>
        <w:t>监理工程师应按照合同约定时间向承包人提供实施合同工程的进度、质量和安全工作所需的批准、确认和通知等指令。</w:t>
      </w:r>
    </w:p>
    <w:p w14:paraId="7C511772">
      <w:pPr>
        <w:tabs>
          <w:tab w:val="left" w:pos="1260"/>
        </w:tabs>
        <w:spacing w:line="360" w:lineRule="auto"/>
        <w:ind w:left="1619" w:leftChars="771"/>
        <w:rPr>
          <w:rFonts w:ascii="宋体"/>
          <w:b/>
          <w:color w:val="auto"/>
          <w:sz w:val="24"/>
          <w:szCs w:val="18"/>
        </w:rPr>
      </w:pPr>
      <w:r>
        <w:rPr>
          <w:rFonts w:hint="eastAsia" w:ascii="宋体" w:hAnsi="宋体"/>
          <w:color w:val="auto"/>
          <w:sz w:val="24"/>
          <w:szCs w:val="18"/>
        </w:rPr>
        <w:t>监理工程师提供的指令，均应采用书面形式。在紧急情况下，监理工程师可发出口头指令，但应在</w:t>
      </w:r>
      <w:r>
        <w:rPr>
          <w:rFonts w:ascii="宋体" w:hAnsi="宋体"/>
          <w:color w:val="auto"/>
          <w:sz w:val="24"/>
          <w:szCs w:val="18"/>
        </w:rPr>
        <w:t>48</w:t>
      </w:r>
      <w:r>
        <w:rPr>
          <w:rFonts w:hint="eastAsia" w:ascii="宋体" w:hAnsi="宋体"/>
          <w:color w:val="auto"/>
          <w:sz w:val="24"/>
          <w:szCs w:val="18"/>
        </w:rPr>
        <w:t>小时内给予书面确认。对监理工程师的口头指令，承包人应予执行。如果承包人在监理工程师发出口头指令</w:t>
      </w:r>
      <w:r>
        <w:rPr>
          <w:rFonts w:ascii="宋体" w:hAnsi="宋体"/>
          <w:color w:val="auto"/>
          <w:sz w:val="24"/>
          <w:szCs w:val="18"/>
        </w:rPr>
        <w:t>48</w:t>
      </w:r>
      <w:r>
        <w:rPr>
          <w:rFonts w:hint="eastAsia" w:ascii="宋体" w:hAnsi="宋体"/>
          <w:color w:val="auto"/>
          <w:sz w:val="24"/>
          <w:szCs w:val="18"/>
        </w:rPr>
        <w:t>小时后未收到书面确认，则应在接到口头指令后的</w:t>
      </w:r>
      <w:r>
        <w:rPr>
          <w:rFonts w:ascii="宋体" w:hAnsi="宋体"/>
          <w:color w:val="auto"/>
          <w:sz w:val="24"/>
          <w:szCs w:val="18"/>
        </w:rPr>
        <w:t>7</w:t>
      </w:r>
      <w:r>
        <w:rPr>
          <w:rFonts w:hint="eastAsia" w:ascii="宋体" w:hAnsi="宋体"/>
          <w:color w:val="auto"/>
          <w:sz w:val="24"/>
          <w:szCs w:val="18"/>
        </w:rPr>
        <w:t>天内向监理工程师发出书面确认函。监理工程师应在承包人发出书面确认函后</w:t>
      </w:r>
      <w:r>
        <w:rPr>
          <w:rFonts w:ascii="宋体" w:hAnsi="宋体"/>
          <w:color w:val="auto"/>
          <w:sz w:val="24"/>
          <w:szCs w:val="18"/>
        </w:rPr>
        <w:t>48</w:t>
      </w:r>
      <w:r>
        <w:rPr>
          <w:rFonts w:hint="eastAsia" w:ascii="宋体" w:hAnsi="宋体"/>
          <w:color w:val="auto"/>
          <w:sz w:val="24"/>
          <w:szCs w:val="18"/>
        </w:rPr>
        <w:t>小时内给予答复；逾期未予答复的，视为承包人的书面确认函已被认可。</w:t>
      </w:r>
    </w:p>
    <w:p w14:paraId="7E0A4EB3">
      <w:pPr>
        <w:spacing w:line="360" w:lineRule="auto"/>
        <w:rPr>
          <w:rFonts w:ascii="宋体"/>
          <w:b/>
          <w:color w:val="auto"/>
          <w:sz w:val="24"/>
          <w:szCs w:val="18"/>
        </w:rPr>
      </w:pPr>
      <w:r>
        <w:rPr>
          <w:rFonts w:ascii="宋体" w:hAnsi="宋体"/>
          <w:b/>
          <w:color w:val="auto"/>
          <w:sz w:val="24"/>
          <w:szCs w:val="18"/>
        </w:rPr>
        <w:t xml:space="preserve">23.5  </w:t>
      </w:r>
    </w:p>
    <w:p w14:paraId="76F5976B">
      <w:pPr>
        <w:spacing w:line="360" w:lineRule="auto"/>
        <w:ind w:left="1619" w:leftChars="771"/>
        <w:rPr>
          <w:rFonts w:ascii="宋体"/>
          <w:color w:val="auto"/>
          <w:sz w:val="24"/>
          <w:szCs w:val="18"/>
        </w:rPr>
      </w:pPr>
      <w:r>
        <w:rPr>
          <w:color w:val="auto"/>
        </w:rPr>
        <mc:AlternateContent>
          <mc:Choice Requires="wps">
            <w:drawing>
              <wp:anchor distT="0" distB="0" distL="114300" distR="114300" simplePos="0" relativeHeight="251734016" behindDoc="0" locked="0" layoutInCell="1" allowOverlap="1">
                <wp:simplePos x="0" y="0"/>
                <wp:positionH relativeFrom="column">
                  <wp:posOffset>-114300</wp:posOffset>
                </wp:positionH>
                <wp:positionV relativeFrom="paragraph">
                  <wp:posOffset>49530</wp:posOffset>
                </wp:positionV>
                <wp:extent cx="914400" cy="43053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914400" cy="430530"/>
                        </a:xfrm>
                        <a:prstGeom prst="rect">
                          <a:avLst/>
                        </a:prstGeom>
                        <a:noFill/>
                        <a:ln>
                          <a:noFill/>
                        </a:ln>
                        <a:effectLst/>
                      </wps:spPr>
                      <wps:txbx>
                        <w:txbxContent>
                          <w:p w14:paraId="2101F5C0">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承包人执行监理工程师指令</w:t>
                            </w:r>
                          </w:p>
                        </w:txbxContent>
                      </wps:txbx>
                      <wps:bodyPr upright="1"/>
                    </wps:wsp>
                  </a:graphicData>
                </a:graphic>
              </wp:anchor>
            </w:drawing>
          </mc:Choice>
          <mc:Fallback>
            <w:pict>
              <v:shape id="_x0000_s1026" o:spid="_x0000_s1026" o:spt="202" type="#_x0000_t202" style="position:absolute;left:0pt;margin-left:-9pt;margin-top:3.9pt;height:33.9pt;width:72pt;z-index:251734016;mso-width-relative:page;mso-height-relative:page;" filled="f" stroked="f" coordsize="21600,21600" o:gfxdata="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VnfH6&#10;1AAAAAgBAAAPAAAAAAAAAAEAIAAAACIAAABkcnMvZG93bnJldi54bWxQSwECFAAUAAAACACHTuJA&#10;0ScL1rMBAABdAwAADgAAAAAAAAABACAAAAAjAQAAZHJzL2Uyb0RvYy54bWxQSwUGAAAAAAYABgBZ&#10;AQAASAUAAAAA&#10;">
                <v:fill on="f" focussize="0,0"/>
                <v:stroke on="f"/>
                <v:imagedata o:title=""/>
                <o:lock v:ext="edit" aspectratio="f"/>
                <v:textbox>
                  <w:txbxContent>
                    <w:p w14:paraId="2101F5C0">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承包人执行监理工程师指令</w:t>
                      </w:r>
                    </w:p>
                  </w:txbxContent>
                </v:textbox>
              </v:shape>
            </w:pict>
          </mc:Fallback>
        </mc:AlternateContent>
      </w:r>
      <w:r>
        <w:rPr>
          <w:rFonts w:hint="eastAsia" w:ascii="宋体" w:hAnsi="宋体"/>
          <w:color w:val="auto"/>
          <w:sz w:val="24"/>
          <w:szCs w:val="18"/>
        </w:rPr>
        <w:t>如果承包人认为监理工程师的指令不合理，应在收到指令后</w:t>
      </w:r>
      <w:r>
        <w:rPr>
          <w:rFonts w:ascii="宋体" w:hAnsi="宋体"/>
          <w:color w:val="auto"/>
          <w:sz w:val="24"/>
          <w:szCs w:val="18"/>
        </w:rPr>
        <w:t>24</w:t>
      </w:r>
      <w:r>
        <w:rPr>
          <w:rFonts w:hint="eastAsia" w:ascii="宋体" w:hAnsi="宋体"/>
          <w:color w:val="auto"/>
          <w:sz w:val="24"/>
          <w:szCs w:val="18"/>
        </w:rPr>
        <w:t>小时内向监理工程师提出书面报告，监理工程师应在收到承包人报告后</w:t>
      </w:r>
      <w:r>
        <w:rPr>
          <w:rFonts w:ascii="宋体" w:hAnsi="宋体"/>
          <w:color w:val="auto"/>
          <w:sz w:val="24"/>
          <w:szCs w:val="18"/>
        </w:rPr>
        <w:t>24</w:t>
      </w:r>
      <w:r>
        <w:rPr>
          <w:rFonts w:hint="eastAsia" w:ascii="宋体" w:hAnsi="宋体"/>
          <w:color w:val="auto"/>
          <w:sz w:val="24"/>
          <w:szCs w:val="18"/>
        </w:rPr>
        <w:t>小时内做出修改指令或继续执行原指令的决定，并书面通知承包人。逾期不做出决定的，承包人可不执行监理工程师的指令。</w:t>
      </w:r>
    </w:p>
    <w:p w14:paraId="638D7909">
      <w:pPr>
        <w:spacing w:line="360" w:lineRule="auto"/>
        <w:rPr>
          <w:rFonts w:ascii="宋体"/>
          <w:color w:val="auto"/>
          <w:sz w:val="24"/>
          <w:szCs w:val="18"/>
        </w:rPr>
      </w:pPr>
      <w:r>
        <w:rPr>
          <w:rFonts w:ascii="宋体" w:hAnsi="宋体"/>
          <w:b/>
          <w:color w:val="auto"/>
          <w:sz w:val="24"/>
          <w:szCs w:val="18"/>
        </w:rPr>
        <w:t>23.6</w:t>
      </w:r>
    </w:p>
    <w:p w14:paraId="52EEE54D">
      <w:pPr>
        <w:spacing w:line="360" w:lineRule="auto"/>
        <w:ind w:left="1619" w:leftChars="771"/>
        <w:rPr>
          <w:rFonts w:ascii="宋体"/>
          <w:color w:val="auto"/>
          <w:sz w:val="24"/>
          <w:szCs w:val="18"/>
        </w:rPr>
      </w:pPr>
      <w:r>
        <w:rPr>
          <w:color w:val="auto"/>
        </w:rPr>
        <mc:AlternateContent>
          <mc:Choice Requires="wps">
            <w:drawing>
              <wp:anchor distT="0" distB="0" distL="114300" distR="114300" simplePos="0" relativeHeight="251735040" behindDoc="0" locked="0" layoutInCell="1" allowOverlap="1">
                <wp:simplePos x="0" y="0"/>
                <wp:positionH relativeFrom="column">
                  <wp:posOffset>-114300</wp:posOffset>
                </wp:positionH>
                <wp:positionV relativeFrom="paragraph">
                  <wp:posOffset>21590</wp:posOffset>
                </wp:positionV>
                <wp:extent cx="914400" cy="44323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914400" cy="443230"/>
                        </a:xfrm>
                        <a:prstGeom prst="rect">
                          <a:avLst/>
                        </a:prstGeom>
                        <a:noFill/>
                        <a:ln>
                          <a:noFill/>
                        </a:ln>
                        <a:effectLst/>
                      </wps:spPr>
                      <wps:txbx>
                        <w:txbxContent>
                          <w:p w14:paraId="3F46FA88">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监理工程师职权委托</w:t>
                            </w:r>
                          </w:p>
                        </w:txbxContent>
                      </wps:txbx>
                      <wps:bodyPr upright="1"/>
                    </wps:wsp>
                  </a:graphicData>
                </a:graphic>
              </wp:anchor>
            </w:drawing>
          </mc:Choice>
          <mc:Fallback>
            <w:pict>
              <v:shape id="_x0000_s1026" o:spid="_x0000_s1026" o:spt="202" type="#_x0000_t202" style="position:absolute;left:0pt;margin-left:-9pt;margin-top:1.7pt;height:34.9pt;width:72pt;z-index:251735040;mso-width-relative:page;mso-height-relative:page;" filled="f" stroked="f" coordsize="21600,21600" o:gfxdata="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KSy&#10;GbHWAAAACAEAAA8AAAAAAAAAAQAgAAAAIgAAAGRycy9kb3ducmV2LnhtbFBLAQIUABQAAAAIAIdO&#10;4kDW7OC+swEAAF0DAAAOAAAAAAAAAAEAIAAAACUBAABkcnMvZTJvRG9jLnhtbFBLBQYAAAAABgAG&#10;AFkBAABKBQAAAAA=&#10;">
                <v:fill on="f" focussize="0,0"/>
                <v:stroke on="f"/>
                <v:imagedata o:title=""/>
                <o:lock v:ext="edit" aspectratio="f"/>
                <v:textbox>
                  <w:txbxContent>
                    <w:p w14:paraId="3F46FA88">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监理工程师职权委托</w:t>
                      </w:r>
                    </w:p>
                  </w:txbxContent>
                </v:textbox>
              </v:shape>
            </w:pict>
          </mc:Fallback>
        </mc:AlternateContent>
      </w:r>
      <w:r>
        <w:rPr>
          <w:rFonts w:hint="eastAsia" w:ascii="宋体" w:hAnsi="宋体"/>
          <w:color w:val="auto"/>
          <w:sz w:val="24"/>
          <w:szCs w:val="18"/>
        </w:rPr>
        <w:t>监理工程师可按照第</w:t>
      </w:r>
      <w:r>
        <w:rPr>
          <w:rFonts w:ascii="宋体" w:hAnsi="宋体"/>
          <w:color w:val="auto"/>
          <w:sz w:val="24"/>
          <w:szCs w:val="18"/>
        </w:rPr>
        <w:t>21.3</w:t>
      </w:r>
      <w:r>
        <w:rPr>
          <w:rFonts w:hint="eastAsia" w:ascii="宋体" w:hAnsi="宋体"/>
          <w:color w:val="auto"/>
          <w:sz w:val="24"/>
          <w:szCs w:val="18"/>
        </w:rPr>
        <w:t>款规定授权给其任命的监理工程师代表，亦可将其授权撤回。监理工程师代表行使监理工程师授予的职权，对监理工程师负责。监理工程师代表在监理工程师授予职权范围内工作，监理工程师应予认可，但监理工程师保留因监理工程师代表未反对合同工程的工程质量检查、材料和工程设备使用等工作的错误而否定该类工作，并发出纠正指令的权力。未按照第</w:t>
      </w:r>
      <w:r>
        <w:rPr>
          <w:rFonts w:ascii="宋体" w:hAnsi="宋体"/>
          <w:color w:val="auto"/>
          <w:sz w:val="24"/>
          <w:szCs w:val="18"/>
        </w:rPr>
        <w:t>21.3</w:t>
      </w:r>
      <w:r>
        <w:rPr>
          <w:rFonts w:hint="eastAsia" w:ascii="宋体" w:hAnsi="宋体"/>
          <w:color w:val="auto"/>
          <w:sz w:val="24"/>
          <w:szCs w:val="18"/>
        </w:rPr>
        <w:t>款规定，任何此类任命或撤回均为无效。</w:t>
      </w:r>
    </w:p>
    <w:p w14:paraId="7F528818">
      <w:pPr>
        <w:spacing w:line="360" w:lineRule="auto"/>
        <w:rPr>
          <w:rFonts w:ascii="宋体"/>
          <w:b/>
          <w:color w:val="auto"/>
          <w:sz w:val="24"/>
          <w:szCs w:val="18"/>
        </w:rPr>
      </w:pPr>
      <w:r>
        <w:rPr>
          <w:rFonts w:ascii="宋体" w:hAnsi="宋体"/>
          <w:b/>
          <w:color w:val="auto"/>
          <w:sz w:val="24"/>
          <w:szCs w:val="18"/>
        </w:rPr>
        <w:t xml:space="preserve">23.7  </w:t>
      </w:r>
    </w:p>
    <w:p w14:paraId="460F6F74">
      <w:pPr>
        <w:spacing w:line="360" w:lineRule="auto"/>
        <w:ind w:left="1619" w:leftChars="771"/>
        <w:rPr>
          <w:rFonts w:ascii="宋体"/>
          <w:color w:val="auto"/>
          <w:sz w:val="24"/>
          <w:szCs w:val="18"/>
        </w:rPr>
      </w:pPr>
      <w:r>
        <w:rPr>
          <w:color w:val="auto"/>
        </w:rPr>
        <mc:AlternateContent>
          <mc:Choice Requires="wps">
            <w:drawing>
              <wp:anchor distT="0" distB="0" distL="114300" distR="114300" simplePos="0" relativeHeight="251736064" behindDoc="0" locked="0" layoutInCell="1" allowOverlap="1">
                <wp:simplePos x="0" y="0"/>
                <wp:positionH relativeFrom="column">
                  <wp:posOffset>-114300</wp:posOffset>
                </wp:positionH>
                <wp:positionV relativeFrom="paragraph">
                  <wp:posOffset>29210</wp:posOffset>
                </wp:positionV>
                <wp:extent cx="914400" cy="61087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914400" cy="610870"/>
                        </a:xfrm>
                        <a:prstGeom prst="rect">
                          <a:avLst/>
                        </a:prstGeom>
                        <a:noFill/>
                        <a:ln>
                          <a:noFill/>
                        </a:ln>
                        <a:effectLst/>
                      </wps:spPr>
                      <wps:txbx>
                        <w:txbxContent>
                          <w:p w14:paraId="09682F53">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监理工程师未尽义务或失误的责任</w:t>
                            </w:r>
                          </w:p>
                        </w:txbxContent>
                      </wps:txbx>
                      <wps:bodyPr upright="1"/>
                    </wps:wsp>
                  </a:graphicData>
                </a:graphic>
              </wp:anchor>
            </w:drawing>
          </mc:Choice>
          <mc:Fallback>
            <w:pict>
              <v:shape id="_x0000_s1026" o:spid="_x0000_s1026" o:spt="202" type="#_x0000_t202" style="position:absolute;left:0pt;margin-left:-9pt;margin-top:2.3pt;height:48.1pt;width:72pt;z-index:251736064;mso-width-relative:page;mso-height-relative:page;" filled="f" stroked="f" coordsize="21600,21600" o:gfxdata="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Ooc&#10;z9YAAAAJAQAADwAAAAAAAAABACAAAAAiAAAAZHJzL2Rvd25yZXYueG1sUEsBAhQAFAAAAAgAh07i&#10;QD+4gamyAQAAXQMAAA4AAAAAAAAAAQAgAAAAJQEAAGRycy9lMm9Eb2MueG1sUEsFBgAAAAAGAAYA&#10;WQEAAEkFAAAAAA==&#10;">
                <v:fill on="f" focussize="0,0"/>
                <v:stroke on="f"/>
                <v:imagedata o:title=""/>
                <o:lock v:ext="edit" aspectratio="f"/>
                <v:textbox>
                  <w:txbxContent>
                    <w:p w14:paraId="09682F53">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监理工程师未尽义务或失误的责任</w:t>
                      </w:r>
                    </w:p>
                  </w:txbxContent>
                </v:textbox>
              </v:shape>
            </w:pict>
          </mc:Fallback>
        </mc:AlternateContent>
      </w:r>
      <w:r>
        <w:rPr>
          <w:rFonts w:hint="eastAsia" w:ascii="宋体" w:hAnsi="宋体"/>
          <w:color w:val="auto"/>
          <w:sz w:val="24"/>
          <w:szCs w:val="18"/>
        </w:rPr>
        <w:t>监理工程师（含其代表）未能正确完成本合同约定的全部义务，或工作出现失误，导致费用的增加和（或）延误的工期，由发包人承担；给承包人造成损失的，发包人应予赔偿。</w:t>
      </w:r>
    </w:p>
    <w:p w14:paraId="213C0BC2">
      <w:pPr>
        <w:tabs>
          <w:tab w:val="left" w:pos="1260"/>
        </w:tabs>
        <w:spacing w:line="360" w:lineRule="auto"/>
        <w:rPr>
          <w:rFonts w:ascii="宋体"/>
          <w:b/>
          <w:color w:val="auto"/>
          <w:sz w:val="24"/>
          <w:szCs w:val="18"/>
        </w:rPr>
      </w:pPr>
    </w:p>
    <w:p w14:paraId="76FC1C80">
      <w:pPr>
        <w:tabs>
          <w:tab w:val="left" w:pos="1260"/>
        </w:tabs>
        <w:spacing w:before="240" w:beforeLines="100" w:line="360" w:lineRule="auto"/>
        <w:rPr>
          <w:rFonts w:ascii="宋体"/>
          <w:b/>
          <w:color w:val="auto"/>
          <w:sz w:val="30"/>
        </w:rPr>
      </w:pPr>
      <w:r>
        <w:rPr>
          <w:rFonts w:ascii="宋体" w:hAnsi="宋体"/>
          <w:b/>
          <w:color w:val="auto"/>
          <w:sz w:val="30"/>
        </w:rPr>
        <w:t xml:space="preserve">24  </w:t>
      </w:r>
      <w:r>
        <w:rPr>
          <w:rFonts w:hint="eastAsia" w:ascii="宋体" w:hAnsi="宋体"/>
          <w:b/>
          <w:color w:val="auto"/>
          <w:sz w:val="30"/>
        </w:rPr>
        <w:t>造价工程师</w:t>
      </w:r>
    </w:p>
    <w:p w14:paraId="5D40E718">
      <w:pPr>
        <w:tabs>
          <w:tab w:val="left" w:pos="1260"/>
        </w:tabs>
        <w:spacing w:line="360" w:lineRule="auto"/>
        <w:rPr>
          <w:rFonts w:ascii="宋体"/>
          <w:b/>
          <w:color w:val="auto"/>
          <w:sz w:val="24"/>
          <w:szCs w:val="18"/>
        </w:rPr>
      </w:pPr>
      <w:r>
        <w:rPr>
          <w:rFonts w:ascii="宋体" w:hAnsi="宋体"/>
          <w:b/>
          <w:color w:val="auto"/>
          <w:sz w:val="24"/>
          <w:szCs w:val="18"/>
        </w:rPr>
        <w:t>24.1</w:t>
      </w:r>
    </w:p>
    <w:p w14:paraId="5394208D">
      <w:pPr>
        <w:pStyle w:val="12"/>
        <w:tabs>
          <w:tab w:val="left" w:pos="1260"/>
          <w:tab w:val="left" w:pos="1620"/>
        </w:tabs>
        <w:ind w:left="1619" w:leftChars="771"/>
        <w:rPr>
          <w:rFonts w:ascii="宋体"/>
          <w:color w:val="auto"/>
          <w:szCs w:val="18"/>
        </w:rPr>
      </w:pPr>
      <w:r>
        <w:rPr>
          <w:color w:val="auto"/>
        </w:rPr>
        <mc:AlternateContent>
          <mc:Choice Requires="wps">
            <w:drawing>
              <wp:anchor distT="0" distB="0" distL="114300" distR="114300" simplePos="0" relativeHeight="251737088" behindDoc="0" locked="0" layoutInCell="1" allowOverlap="1">
                <wp:simplePos x="0" y="0"/>
                <wp:positionH relativeFrom="column">
                  <wp:posOffset>-114300</wp:posOffset>
                </wp:positionH>
                <wp:positionV relativeFrom="paragraph">
                  <wp:posOffset>45720</wp:posOffset>
                </wp:positionV>
                <wp:extent cx="914400" cy="44958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914400" cy="449580"/>
                        </a:xfrm>
                        <a:prstGeom prst="rect">
                          <a:avLst/>
                        </a:prstGeom>
                        <a:noFill/>
                        <a:ln>
                          <a:noFill/>
                        </a:ln>
                        <a:effectLst/>
                      </wps:spPr>
                      <wps:txbx>
                        <w:txbxContent>
                          <w:p w14:paraId="55106D9B">
                            <w:pPr>
                              <w:spacing w:line="240" w:lineRule="exact"/>
                              <w:rPr>
                                <w:rFonts w:ascii="楷体_GB2312" w:hAnsi="宋体" w:eastAsia="楷体_GB2312"/>
                                <w:b/>
                                <w:color w:val="000000"/>
                                <w:sz w:val="18"/>
                                <w:szCs w:val="18"/>
                              </w:rPr>
                            </w:pPr>
                            <w:r>
                              <w:rPr>
                                <w:rFonts w:hint="eastAsia" w:ascii="楷体_GB2312" w:eastAsia="楷体_GB2312"/>
                                <w:b/>
                                <w:color w:val="000000"/>
                                <w:sz w:val="18"/>
                                <w:szCs w:val="18"/>
                              </w:rPr>
                              <w:t>发包人对造价工程师授权</w:t>
                            </w:r>
                          </w:p>
                        </w:txbxContent>
                      </wps:txbx>
                      <wps:bodyPr upright="1"/>
                    </wps:wsp>
                  </a:graphicData>
                </a:graphic>
              </wp:anchor>
            </w:drawing>
          </mc:Choice>
          <mc:Fallback>
            <w:pict>
              <v:shape id="_x0000_s1026" o:spid="_x0000_s1026" o:spt="202" type="#_x0000_t202" style="position:absolute;left:0pt;margin-left:-9pt;margin-top:3.6pt;height:35.4pt;width:72pt;z-index:251737088;mso-width-relative:page;mso-height-relative:page;" filled="f" stroked="f" coordsize="21600,21600" o:gfxdata="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o5MUNMA&#10;AAAIAQAADwAAAAAAAAABACAAAAAiAAAAZHJzL2Rvd25yZXYueG1sUEsBAhQAFAAAAAgAh07iQHPj&#10;KIuyAQAAXQMAAA4AAAAAAAAAAQAgAAAAIgEAAGRycy9lMm9Eb2MueG1sUEsFBgAAAAAGAAYAWQEA&#10;AEYFAAAAAA==&#10;">
                <v:fill on="f" focussize="0,0"/>
                <v:stroke on="f"/>
                <v:imagedata o:title=""/>
                <o:lock v:ext="edit" aspectratio="f"/>
                <v:textbox>
                  <w:txbxContent>
                    <w:p w14:paraId="55106D9B">
                      <w:pPr>
                        <w:spacing w:line="240" w:lineRule="exact"/>
                        <w:rPr>
                          <w:rFonts w:ascii="楷体_GB2312" w:hAnsi="宋体" w:eastAsia="楷体_GB2312"/>
                          <w:b/>
                          <w:color w:val="000000"/>
                          <w:sz w:val="18"/>
                          <w:szCs w:val="18"/>
                        </w:rPr>
                      </w:pPr>
                      <w:r>
                        <w:rPr>
                          <w:rFonts w:hint="eastAsia" w:ascii="楷体_GB2312" w:eastAsia="楷体_GB2312"/>
                          <w:b/>
                          <w:color w:val="000000"/>
                          <w:sz w:val="18"/>
                          <w:szCs w:val="18"/>
                        </w:rPr>
                        <w:t>发包人对造价工程师授权</w:t>
                      </w:r>
                    </w:p>
                  </w:txbxContent>
                </v:textbox>
              </v:shape>
            </w:pict>
          </mc:Fallback>
        </mc:AlternateContent>
      </w:r>
      <w:r>
        <w:rPr>
          <w:rFonts w:hint="eastAsia" w:ascii="宋体"/>
          <w:color w:val="auto"/>
          <w:szCs w:val="18"/>
        </w:rPr>
        <w:t>发包人应在专用条款中写明负责合同工程工程造价专业技术的工程造价咨询人名称和造价工程师具体人选，并在开工前将造价工程师任命书以书面形式通知承包人，授予其代表发包人履行合同规定职责所需的权力。</w:t>
      </w:r>
    </w:p>
    <w:p w14:paraId="16965E11">
      <w:pPr>
        <w:tabs>
          <w:tab w:val="left" w:pos="1260"/>
        </w:tabs>
        <w:spacing w:line="360" w:lineRule="auto"/>
        <w:rPr>
          <w:rFonts w:ascii="宋体"/>
          <w:b/>
          <w:color w:val="auto"/>
          <w:sz w:val="24"/>
          <w:szCs w:val="18"/>
        </w:rPr>
      </w:pPr>
      <w:r>
        <w:rPr>
          <w:rFonts w:ascii="宋体" w:hAnsi="宋体"/>
          <w:b/>
          <w:color w:val="auto"/>
          <w:sz w:val="24"/>
          <w:szCs w:val="18"/>
        </w:rPr>
        <w:t xml:space="preserve">24.2  </w:t>
      </w:r>
    </w:p>
    <w:p w14:paraId="49ADB5C6">
      <w:pPr>
        <w:tabs>
          <w:tab w:val="left" w:pos="1260"/>
        </w:tabs>
        <w:spacing w:line="360" w:lineRule="auto"/>
        <w:ind w:left="1619" w:leftChars="771"/>
        <w:rPr>
          <w:rFonts w:ascii="宋体"/>
          <w:color w:val="auto"/>
          <w:sz w:val="24"/>
          <w:szCs w:val="18"/>
        </w:rPr>
      </w:pPr>
      <w:r>
        <w:rPr>
          <w:color w:val="auto"/>
        </w:rPr>
        <mc:AlternateContent>
          <mc:Choice Requires="wps">
            <w:drawing>
              <wp:anchor distT="0" distB="0" distL="114300" distR="114300" simplePos="0" relativeHeight="251738112" behindDoc="0" locked="0" layoutInCell="1" allowOverlap="1">
                <wp:simplePos x="0" y="0"/>
                <wp:positionH relativeFrom="column">
                  <wp:posOffset>-114300</wp:posOffset>
                </wp:positionH>
                <wp:positionV relativeFrom="paragraph">
                  <wp:posOffset>-1270</wp:posOffset>
                </wp:positionV>
                <wp:extent cx="914400" cy="42799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914400" cy="427990"/>
                        </a:xfrm>
                        <a:prstGeom prst="rect">
                          <a:avLst/>
                        </a:prstGeom>
                        <a:noFill/>
                        <a:ln>
                          <a:noFill/>
                        </a:ln>
                        <a:effectLst/>
                      </wps:spPr>
                      <wps:txbx>
                        <w:txbxContent>
                          <w:p w14:paraId="3E17E4EB">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造价工程师职权</w:t>
                            </w:r>
                          </w:p>
                        </w:txbxContent>
                      </wps:txbx>
                      <wps:bodyPr upright="1"/>
                    </wps:wsp>
                  </a:graphicData>
                </a:graphic>
              </wp:anchor>
            </w:drawing>
          </mc:Choice>
          <mc:Fallback>
            <w:pict>
              <v:shape id="_x0000_s1026" o:spid="_x0000_s1026" o:spt="202" type="#_x0000_t202" style="position:absolute;left:0pt;margin-left:-9pt;margin-top:-0.1pt;height:33.7pt;width:72pt;z-index:251738112;mso-width-relative:page;mso-height-relative:page;" filled="f" stroked="f" coordsize="21600,21600" o:gfxdata="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coraj&#10;1QAAAAgBAAAPAAAAAAAAAAEAIAAAACIAAABkcnMvZG93bnJldi54bWxQSwECFAAUAAAACACHTuJA&#10;5b5uc7IBAABdAwAADgAAAAAAAAABACAAAAAkAQAAZHJzL2Uyb0RvYy54bWxQSwUGAAAAAAYABgBZ&#10;AQAASAUAAAAA&#10;">
                <v:fill on="f" focussize="0,0"/>
                <v:stroke on="f"/>
                <v:imagedata o:title=""/>
                <o:lock v:ext="edit" aspectratio="f"/>
                <v:textbox>
                  <w:txbxContent>
                    <w:p w14:paraId="3E17E4EB">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造价工程师职权</w:t>
                      </w:r>
                    </w:p>
                  </w:txbxContent>
                </v:textbox>
              </v:shape>
            </w:pict>
          </mc:Fallback>
        </mc:AlternateContent>
      </w:r>
      <w:r>
        <w:rPr>
          <w:rFonts w:hint="eastAsia" w:ascii="宋体" w:hAnsi="宋体"/>
          <w:color w:val="auto"/>
          <w:sz w:val="24"/>
          <w:szCs w:val="18"/>
        </w:rPr>
        <w:t>造价工程师行使合同明文规定和必然隐含的职权，代表发包人负责工程计量和计价，工程进度款的调整和核实，结算价款的编制、调整和复核，签发支付证书，及时向承包人提供合同价款的核实、调整和通知等指令。造价工程师无权免除或变更合同规定的合同任何一方当事人在合同履行期间的权力、义务和责任。</w:t>
      </w:r>
    </w:p>
    <w:p w14:paraId="070DF815">
      <w:pPr>
        <w:tabs>
          <w:tab w:val="left" w:pos="1260"/>
        </w:tabs>
        <w:spacing w:line="360" w:lineRule="auto"/>
        <w:rPr>
          <w:rFonts w:ascii="宋体"/>
          <w:b/>
          <w:color w:val="auto"/>
          <w:sz w:val="24"/>
          <w:szCs w:val="18"/>
        </w:rPr>
      </w:pPr>
      <w:r>
        <w:rPr>
          <w:rFonts w:ascii="宋体" w:hAnsi="宋体"/>
          <w:b/>
          <w:color w:val="auto"/>
          <w:sz w:val="24"/>
          <w:szCs w:val="18"/>
        </w:rPr>
        <w:t xml:space="preserve">24.3  </w:t>
      </w:r>
    </w:p>
    <w:p w14:paraId="3A57D272">
      <w:pPr>
        <w:tabs>
          <w:tab w:val="left" w:pos="1260"/>
        </w:tabs>
        <w:spacing w:line="360" w:lineRule="auto"/>
        <w:ind w:left="1619" w:leftChars="771"/>
        <w:rPr>
          <w:rFonts w:ascii="宋体"/>
          <w:color w:val="auto"/>
          <w:sz w:val="24"/>
          <w:szCs w:val="18"/>
        </w:rPr>
      </w:pPr>
      <w:r>
        <w:rPr>
          <w:color w:val="auto"/>
        </w:rPr>
        <mc:AlternateContent>
          <mc:Choice Requires="wps">
            <w:drawing>
              <wp:anchor distT="0" distB="0" distL="114300" distR="114300" simplePos="0" relativeHeight="251739136" behindDoc="0" locked="0" layoutInCell="1" allowOverlap="1">
                <wp:simplePos x="0" y="0"/>
                <wp:positionH relativeFrom="column">
                  <wp:posOffset>-114300</wp:posOffset>
                </wp:positionH>
                <wp:positionV relativeFrom="paragraph">
                  <wp:posOffset>0</wp:posOffset>
                </wp:positionV>
                <wp:extent cx="914400" cy="51054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a:effectLst/>
                      </wps:spPr>
                      <wps:txbx>
                        <w:txbxContent>
                          <w:p w14:paraId="7B940E1D">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造价工程师职权限制</w:t>
                            </w:r>
                          </w:p>
                        </w:txbxContent>
                      </wps:txbx>
                      <wps:bodyPr upright="1"/>
                    </wps:wsp>
                  </a:graphicData>
                </a:graphic>
              </wp:anchor>
            </w:drawing>
          </mc:Choice>
          <mc:Fallback>
            <w:pict>
              <v:shape id="_x0000_s1026" o:spid="_x0000_s1026" o:spt="202" type="#_x0000_t202" style="position:absolute;left:0pt;margin-left:-9pt;margin-top:0pt;height:40.2pt;width:72pt;z-index:251739136;mso-width-relative:page;mso-height-relative:page;" filled="f" stroked="f" coordsize="21600,21600" o:gfxdata="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7vLnbU&#10;AAAABwEAAA8AAAAAAAAAAQAgAAAAIgAAAGRycy9kb3ducmV2LnhtbFBLAQIUABQAAAAIAIdO4kAr&#10;C0N3sgEAAF0DAAAOAAAAAAAAAAEAIAAAACMBAABkcnMvZTJvRG9jLnhtbFBLBQYAAAAABgAGAFkB&#10;AABHBQAAAAA=&#10;">
                <v:fill on="f" focussize="0,0"/>
                <v:stroke on="f"/>
                <v:imagedata o:title=""/>
                <o:lock v:ext="edit" aspectratio="f"/>
                <v:textbox>
                  <w:txbxContent>
                    <w:p w14:paraId="7B940E1D">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造价工程师职权限制</w:t>
                      </w:r>
                    </w:p>
                  </w:txbxContent>
                </v:textbox>
              </v:shape>
            </w:pict>
          </mc:Fallback>
        </mc:AlternateContent>
      </w:r>
      <w:r>
        <w:rPr>
          <w:rFonts w:hint="eastAsia" w:ascii="宋体" w:hAnsi="宋体"/>
          <w:color w:val="auto"/>
          <w:sz w:val="24"/>
          <w:szCs w:val="18"/>
        </w:rPr>
        <w:t>除属于第</w:t>
      </w:r>
      <w:r>
        <w:rPr>
          <w:rFonts w:ascii="宋体" w:hAnsi="宋体"/>
          <w:color w:val="auto"/>
          <w:sz w:val="24"/>
          <w:szCs w:val="18"/>
        </w:rPr>
        <w:t>86</w:t>
      </w:r>
      <w:r>
        <w:rPr>
          <w:rFonts w:hint="eastAsia" w:ascii="宋体" w:hAnsi="宋体"/>
          <w:color w:val="auto"/>
          <w:sz w:val="24"/>
          <w:szCs w:val="18"/>
        </w:rPr>
        <w:t>条规定的争议外，造价工程师在职权范围内的工作，发包人应予认可，但下列事件应事先取得发包人的专项批准：</w:t>
      </w:r>
    </w:p>
    <w:p w14:paraId="301122A8">
      <w:pPr>
        <w:numPr>
          <w:ilvl w:val="0"/>
          <w:numId w:val="12"/>
        </w:numPr>
        <w:tabs>
          <w:tab w:val="left" w:pos="2160"/>
        </w:tabs>
        <w:spacing w:line="360" w:lineRule="auto"/>
        <w:ind w:left="1619" w:leftChars="771"/>
        <w:rPr>
          <w:rFonts w:ascii="宋体"/>
          <w:color w:val="auto"/>
          <w:sz w:val="24"/>
          <w:szCs w:val="18"/>
        </w:rPr>
      </w:pPr>
      <w:r>
        <w:rPr>
          <w:rFonts w:hint="eastAsia" w:ascii="宋体" w:hAnsi="宋体"/>
          <w:color w:val="auto"/>
          <w:sz w:val="24"/>
          <w:szCs w:val="18"/>
        </w:rPr>
        <w:t xml:space="preserve">  根据第</w:t>
      </w:r>
      <w:r>
        <w:rPr>
          <w:rFonts w:ascii="宋体" w:hAnsi="宋体"/>
          <w:color w:val="auto"/>
          <w:sz w:val="24"/>
          <w:szCs w:val="18"/>
        </w:rPr>
        <w:t>63</w:t>
      </w:r>
      <w:r>
        <w:rPr>
          <w:rFonts w:hint="eastAsia" w:ascii="宋体" w:hAnsi="宋体"/>
          <w:color w:val="auto"/>
          <w:sz w:val="24"/>
          <w:szCs w:val="18"/>
        </w:rPr>
        <w:t>条规定使用暂列金额；</w:t>
      </w:r>
    </w:p>
    <w:p w14:paraId="19588FEF">
      <w:pPr>
        <w:numPr>
          <w:ilvl w:val="0"/>
          <w:numId w:val="12"/>
        </w:numPr>
        <w:tabs>
          <w:tab w:val="left" w:pos="2160"/>
        </w:tabs>
        <w:spacing w:line="360" w:lineRule="auto"/>
        <w:ind w:left="1619" w:leftChars="771"/>
        <w:rPr>
          <w:rFonts w:ascii="宋体"/>
          <w:color w:val="auto"/>
          <w:sz w:val="24"/>
          <w:szCs w:val="18"/>
        </w:rPr>
      </w:pPr>
      <w:r>
        <w:rPr>
          <w:rFonts w:hint="eastAsia" w:ascii="宋体" w:hAnsi="宋体"/>
          <w:color w:val="auto"/>
          <w:sz w:val="24"/>
          <w:szCs w:val="18"/>
        </w:rPr>
        <w:t xml:space="preserve">  根据第</w:t>
      </w:r>
      <w:r>
        <w:rPr>
          <w:rFonts w:ascii="宋体" w:hAnsi="宋体"/>
          <w:color w:val="auto"/>
          <w:sz w:val="24"/>
          <w:szCs w:val="18"/>
        </w:rPr>
        <w:t>64</w:t>
      </w:r>
      <w:r>
        <w:rPr>
          <w:rFonts w:hint="eastAsia" w:ascii="宋体" w:hAnsi="宋体"/>
          <w:color w:val="auto"/>
          <w:sz w:val="24"/>
          <w:szCs w:val="18"/>
        </w:rPr>
        <w:t>条规定使用计日工；</w:t>
      </w:r>
    </w:p>
    <w:p w14:paraId="6A1CA483">
      <w:pPr>
        <w:numPr>
          <w:ilvl w:val="0"/>
          <w:numId w:val="12"/>
        </w:numPr>
        <w:tabs>
          <w:tab w:val="left" w:pos="2160"/>
        </w:tabs>
        <w:spacing w:line="360" w:lineRule="auto"/>
        <w:ind w:left="1619" w:leftChars="771"/>
        <w:rPr>
          <w:rFonts w:ascii="宋体"/>
          <w:color w:val="auto"/>
          <w:sz w:val="24"/>
          <w:szCs w:val="18"/>
        </w:rPr>
      </w:pPr>
      <w:r>
        <w:rPr>
          <w:rFonts w:hint="eastAsia" w:ascii="宋体" w:hAnsi="宋体"/>
          <w:color w:val="auto"/>
          <w:sz w:val="24"/>
          <w:szCs w:val="18"/>
        </w:rPr>
        <w:t xml:space="preserve">  根据第</w:t>
      </w:r>
      <w:r>
        <w:rPr>
          <w:rFonts w:ascii="宋体" w:hAnsi="宋体"/>
          <w:color w:val="auto"/>
          <w:sz w:val="24"/>
          <w:szCs w:val="18"/>
        </w:rPr>
        <w:t>65</w:t>
      </w:r>
      <w:r>
        <w:rPr>
          <w:rFonts w:hint="eastAsia" w:ascii="宋体" w:hAnsi="宋体"/>
          <w:color w:val="auto"/>
          <w:sz w:val="24"/>
          <w:szCs w:val="18"/>
        </w:rPr>
        <w:t>条规定使用暂估价；</w:t>
      </w:r>
    </w:p>
    <w:p w14:paraId="39D599F7">
      <w:pPr>
        <w:numPr>
          <w:ilvl w:val="0"/>
          <w:numId w:val="12"/>
        </w:numPr>
        <w:tabs>
          <w:tab w:val="left" w:pos="2160"/>
        </w:tabs>
        <w:spacing w:line="360" w:lineRule="auto"/>
        <w:ind w:left="1619" w:leftChars="771"/>
        <w:rPr>
          <w:rFonts w:ascii="宋体"/>
          <w:color w:val="auto"/>
          <w:sz w:val="24"/>
          <w:szCs w:val="18"/>
        </w:rPr>
      </w:pPr>
      <w:r>
        <w:rPr>
          <w:rFonts w:hint="eastAsia" w:ascii="宋体" w:hAnsi="宋体"/>
          <w:color w:val="auto"/>
          <w:sz w:val="24"/>
          <w:szCs w:val="18"/>
        </w:rPr>
        <w:t xml:space="preserve">  根据第</w:t>
      </w:r>
      <w:r>
        <w:rPr>
          <w:rFonts w:ascii="宋体" w:hAnsi="宋体"/>
          <w:color w:val="auto"/>
          <w:sz w:val="24"/>
          <w:szCs w:val="18"/>
        </w:rPr>
        <w:t>66</w:t>
      </w:r>
      <w:r>
        <w:rPr>
          <w:rFonts w:hint="eastAsia" w:ascii="宋体" w:hAnsi="宋体"/>
          <w:color w:val="auto"/>
          <w:sz w:val="24"/>
          <w:szCs w:val="18"/>
        </w:rPr>
        <w:t>条确定的提前竣工奖与误期赔偿费；</w:t>
      </w:r>
    </w:p>
    <w:p w14:paraId="02456B29">
      <w:pPr>
        <w:numPr>
          <w:ilvl w:val="0"/>
          <w:numId w:val="12"/>
        </w:numPr>
        <w:tabs>
          <w:tab w:val="left" w:pos="2160"/>
        </w:tabs>
        <w:spacing w:line="360" w:lineRule="auto"/>
        <w:ind w:left="1619" w:leftChars="771"/>
        <w:rPr>
          <w:rFonts w:ascii="宋体"/>
          <w:color w:val="auto"/>
          <w:sz w:val="24"/>
          <w:szCs w:val="18"/>
        </w:rPr>
      </w:pPr>
      <w:r>
        <w:rPr>
          <w:rFonts w:hint="eastAsia" w:ascii="宋体" w:hAnsi="宋体"/>
          <w:color w:val="auto"/>
          <w:sz w:val="24"/>
          <w:szCs w:val="18"/>
        </w:rPr>
        <w:t xml:space="preserve">  根据第</w:t>
      </w:r>
      <w:r>
        <w:rPr>
          <w:rFonts w:ascii="宋体" w:hAnsi="宋体"/>
          <w:color w:val="auto"/>
          <w:sz w:val="24"/>
          <w:szCs w:val="18"/>
        </w:rPr>
        <w:t>67</w:t>
      </w:r>
      <w:r>
        <w:rPr>
          <w:rFonts w:hint="eastAsia" w:ascii="宋体" w:hAnsi="宋体"/>
          <w:color w:val="auto"/>
          <w:sz w:val="24"/>
          <w:szCs w:val="18"/>
        </w:rPr>
        <w:t>条确定的工程优质费；</w:t>
      </w:r>
    </w:p>
    <w:p w14:paraId="05781C9A">
      <w:pPr>
        <w:numPr>
          <w:ilvl w:val="0"/>
          <w:numId w:val="12"/>
        </w:numPr>
        <w:tabs>
          <w:tab w:val="left" w:pos="2160"/>
        </w:tabs>
        <w:spacing w:line="360" w:lineRule="auto"/>
        <w:ind w:left="1619" w:leftChars="771"/>
        <w:rPr>
          <w:rFonts w:ascii="宋体"/>
          <w:color w:val="auto"/>
          <w:sz w:val="24"/>
          <w:szCs w:val="18"/>
        </w:rPr>
      </w:pPr>
      <w:r>
        <w:rPr>
          <w:rFonts w:hint="eastAsia" w:ascii="宋体" w:hAnsi="宋体"/>
          <w:color w:val="auto"/>
          <w:sz w:val="24"/>
          <w:szCs w:val="18"/>
        </w:rPr>
        <w:t xml:space="preserve">  根据第</w:t>
      </w:r>
      <w:r>
        <w:rPr>
          <w:rFonts w:ascii="宋体" w:hAnsi="宋体"/>
          <w:color w:val="auto"/>
          <w:sz w:val="24"/>
          <w:szCs w:val="18"/>
        </w:rPr>
        <w:t>68.2</w:t>
      </w:r>
      <w:r>
        <w:rPr>
          <w:rFonts w:hint="eastAsia" w:ascii="宋体" w:hAnsi="宋体"/>
          <w:color w:val="auto"/>
          <w:sz w:val="24"/>
          <w:szCs w:val="18"/>
        </w:rPr>
        <w:t>款规定事件调整的合同价款；</w:t>
      </w:r>
    </w:p>
    <w:p w14:paraId="04B99322">
      <w:pPr>
        <w:numPr>
          <w:ilvl w:val="0"/>
          <w:numId w:val="12"/>
        </w:numPr>
        <w:tabs>
          <w:tab w:val="left" w:pos="2160"/>
        </w:tabs>
        <w:spacing w:line="360" w:lineRule="auto"/>
        <w:ind w:left="1619" w:leftChars="771"/>
        <w:rPr>
          <w:rFonts w:ascii="宋体"/>
          <w:color w:val="auto"/>
          <w:sz w:val="24"/>
          <w:szCs w:val="18"/>
        </w:rPr>
      </w:pPr>
      <w:r>
        <w:rPr>
          <w:rFonts w:hint="eastAsia" w:ascii="宋体" w:hAnsi="宋体"/>
          <w:color w:val="auto"/>
          <w:sz w:val="24"/>
          <w:szCs w:val="18"/>
        </w:rPr>
        <w:t xml:space="preserve">  专用条款约定需要发包人批准的其他事项。</w:t>
      </w:r>
    </w:p>
    <w:p w14:paraId="73366E4A">
      <w:pPr>
        <w:spacing w:line="360" w:lineRule="auto"/>
        <w:rPr>
          <w:rFonts w:ascii="宋体"/>
          <w:b/>
          <w:color w:val="auto"/>
          <w:sz w:val="24"/>
          <w:szCs w:val="18"/>
        </w:rPr>
      </w:pPr>
      <w:r>
        <w:rPr>
          <w:rFonts w:ascii="宋体" w:hAnsi="宋体"/>
          <w:b/>
          <w:color w:val="auto"/>
          <w:sz w:val="24"/>
          <w:szCs w:val="18"/>
        </w:rPr>
        <w:t xml:space="preserve">24.4  </w:t>
      </w:r>
    </w:p>
    <w:p w14:paraId="21A50D7D">
      <w:pPr>
        <w:spacing w:line="360" w:lineRule="auto"/>
        <w:ind w:left="1619" w:leftChars="771"/>
        <w:rPr>
          <w:rFonts w:ascii="宋体"/>
          <w:color w:val="auto"/>
          <w:sz w:val="24"/>
          <w:szCs w:val="18"/>
        </w:rPr>
      </w:pPr>
      <w:r>
        <w:rPr>
          <w:color w:val="auto"/>
        </w:rPr>
        <mc:AlternateContent>
          <mc:Choice Requires="wps">
            <w:drawing>
              <wp:anchor distT="0" distB="0" distL="114300" distR="114300" simplePos="0" relativeHeight="251740160" behindDoc="0" locked="0" layoutInCell="1" allowOverlap="1">
                <wp:simplePos x="0" y="0"/>
                <wp:positionH relativeFrom="column">
                  <wp:posOffset>-114300</wp:posOffset>
                </wp:positionH>
                <wp:positionV relativeFrom="paragraph">
                  <wp:posOffset>0</wp:posOffset>
                </wp:positionV>
                <wp:extent cx="1092200" cy="43434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092200" cy="434340"/>
                        </a:xfrm>
                        <a:prstGeom prst="rect">
                          <a:avLst/>
                        </a:prstGeom>
                        <a:noFill/>
                        <a:ln>
                          <a:noFill/>
                        </a:ln>
                        <a:effectLst/>
                      </wps:spPr>
                      <wps:txbx>
                        <w:txbxContent>
                          <w:p w14:paraId="418C0721">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造价工程师指</w:t>
                            </w:r>
                          </w:p>
                          <w:p w14:paraId="07BF56A4">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令</w:t>
                            </w:r>
                          </w:p>
                        </w:txbxContent>
                      </wps:txbx>
                      <wps:bodyPr upright="1"/>
                    </wps:wsp>
                  </a:graphicData>
                </a:graphic>
              </wp:anchor>
            </w:drawing>
          </mc:Choice>
          <mc:Fallback>
            <w:pict>
              <v:shape id="_x0000_s1026" o:spid="_x0000_s1026" o:spt="202" type="#_x0000_t202" style="position:absolute;left:0pt;margin-left:-9pt;margin-top:0pt;height:34.2pt;width:86pt;z-index:251740160;mso-width-relative:page;mso-height-relative:page;" filled="f" stroked="f" coordsize="21600,21600" o:gfxdata="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vGN8nV&#10;AAAABwEAAA8AAAAAAAAAAQAgAAAAIgAAAGRycy9kb3ducmV2LnhtbFBLAQIUABQAAAAIAIdO4kCr&#10;IbrfsQEAAF4DAAAOAAAAAAAAAAEAIAAAACQBAABkcnMvZTJvRG9jLnhtbFBLBQYAAAAABgAGAFkB&#10;AABHBQAAAAA=&#10;">
                <v:fill on="f" focussize="0,0"/>
                <v:stroke on="f"/>
                <v:imagedata o:title=""/>
                <o:lock v:ext="edit" aspectratio="f"/>
                <v:textbox>
                  <w:txbxContent>
                    <w:p w14:paraId="418C0721">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造价工程师指</w:t>
                      </w:r>
                    </w:p>
                    <w:p w14:paraId="07BF56A4">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令</w:t>
                      </w:r>
                    </w:p>
                  </w:txbxContent>
                </v:textbox>
              </v:shape>
            </w:pict>
          </mc:Fallback>
        </mc:AlternateContent>
      </w:r>
      <w:r>
        <w:rPr>
          <w:rFonts w:hint="eastAsia" w:ascii="宋体" w:hAnsi="宋体"/>
          <w:color w:val="auto"/>
          <w:sz w:val="24"/>
          <w:szCs w:val="18"/>
        </w:rPr>
        <w:t>造价工程师应按照合同约定时间向承包人提供实施合同工程的工程造价工作所需的核实、调整和通知等指令。</w:t>
      </w:r>
    </w:p>
    <w:p w14:paraId="04C8E3F1">
      <w:pPr>
        <w:tabs>
          <w:tab w:val="left" w:pos="1260"/>
        </w:tabs>
        <w:spacing w:line="360" w:lineRule="auto"/>
        <w:ind w:left="1619" w:leftChars="771"/>
        <w:rPr>
          <w:rFonts w:ascii="宋体"/>
          <w:color w:val="auto"/>
          <w:sz w:val="24"/>
          <w:szCs w:val="18"/>
        </w:rPr>
      </w:pPr>
      <w:r>
        <w:rPr>
          <w:rFonts w:hint="eastAsia" w:ascii="宋体" w:hAnsi="宋体"/>
          <w:color w:val="auto"/>
          <w:sz w:val="24"/>
          <w:szCs w:val="18"/>
        </w:rPr>
        <w:t>造价工程师提供的指令，均应采用书面形式。在紧急情况下，造价工程师可发出口头指令，但应在</w:t>
      </w:r>
      <w:r>
        <w:rPr>
          <w:rFonts w:ascii="宋体" w:hAnsi="宋体"/>
          <w:color w:val="auto"/>
          <w:sz w:val="24"/>
          <w:szCs w:val="18"/>
        </w:rPr>
        <w:t>48</w:t>
      </w:r>
      <w:r>
        <w:rPr>
          <w:rFonts w:hint="eastAsia" w:ascii="宋体" w:hAnsi="宋体"/>
          <w:color w:val="auto"/>
          <w:sz w:val="24"/>
          <w:szCs w:val="18"/>
        </w:rPr>
        <w:t>小时内给予书面确认。对造价工程师的口头指令，承包人应予执行。如果承包人在造价工程师发出的口头指令</w:t>
      </w:r>
      <w:r>
        <w:rPr>
          <w:rFonts w:ascii="宋体" w:hAnsi="宋体"/>
          <w:color w:val="auto"/>
          <w:sz w:val="24"/>
          <w:szCs w:val="18"/>
        </w:rPr>
        <w:t>48</w:t>
      </w:r>
      <w:r>
        <w:rPr>
          <w:rFonts w:hint="eastAsia" w:ascii="宋体" w:hAnsi="宋体"/>
          <w:color w:val="auto"/>
          <w:sz w:val="24"/>
          <w:szCs w:val="18"/>
        </w:rPr>
        <w:t>小时后未收到书面确认，则应在接到口头指令后的</w:t>
      </w:r>
      <w:r>
        <w:rPr>
          <w:rFonts w:ascii="宋体" w:hAnsi="宋体"/>
          <w:color w:val="auto"/>
          <w:sz w:val="24"/>
          <w:szCs w:val="18"/>
        </w:rPr>
        <w:t>7</w:t>
      </w:r>
      <w:r>
        <w:rPr>
          <w:rFonts w:hint="eastAsia" w:ascii="宋体" w:hAnsi="宋体"/>
          <w:color w:val="auto"/>
          <w:sz w:val="24"/>
          <w:szCs w:val="18"/>
        </w:rPr>
        <w:t>天内向造价工程师发出书面确认函。造价工程师应在承包人发出书面确认函后</w:t>
      </w:r>
      <w:r>
        <w:rPr>
          <w:rFonts w:ascii="宋体" w:hAnsi="宋体"/>
          <w:color w:val="auto"/>
          <w:sz w:val="24"/>
          <w:szCs w:val="18"/>
        </w:rPr>
        <w:t>48</w:t>
      </w:r>
      <w:r>
        <w:rPr>
          <w:rFonts w:hint="eastAsia" w:ascii="宋体" w:hAnsi="宋体"/>
          <w:color w:val="auto"/>
          <w:sz w:val="24"/>
          <w:szCs w:val="18"/>
        </w:rPr>
        <w:t>小时内给予答复；逾期未予答复的，视为承包人的书面确认函已被认可。</w:t>
      </w:r>
    </w:p>
    <w:p w14:paraId="1D278F9E">
      <w:pPr>
        <w:tabs>
          <w:tab w:val="left" w:pos="1260"/>
        </w:tabs>
        <w:spacing w:line="360" w:lineRule="auto"/>
        <w:rPr>
          <w:rFonts w:ascii="宋体"/>
          <w:b/>
          <w:color w:val="auto"/>
          <w:sz w:val="24"/>
          <w:szCs w:val="18"/>
        </w:rPr>
      </w:pPr>
      <w:r>
        <w:rPr>
          <w:rFonts w:ascii="宋体" w:hAnsi="宋体"/>
          <w:b/>
          <w:color w:val="auto"/>
          <w:sz w:val="24"/>
          <w:szCs w:val="18"/>
        </w:rPr>
        <w:t xml:space="preserve">24.5  </w:t>
      </w:r>
    </w:p>
    <w:p w14:paraId="332F87A7">
      <w:pPr>
        <w:tabs>
          <w:tab w:val="left" w:pos="1260"/>
        </w:tabs>
        <w:spacing w:line="360" w:lineRule="auto"/>
        <w:ind w:left="1619" w:leftChars="771"/>
        <w:rPr>
          <w:rFonts w:ascii="宋体"/>
          <w:color w:val="auto"/>
          <w:sz w:val="24"/>
          <w:szCs w:val="18"/>
        </w:rPr>
      </w:pPr>
      <w:r>
        <w:rPr>
          <w:color w:val="auto"/>
        </w:rPr>
        <mc:AlternateContent>
          <mc:Choice Requires="wps">
            <w:drawing>
              <wp:anchor distT="0" distB="0" distL="114300" distR="114300" simplePos="0" relativeHeight="251741184" behindDoc="0" locked="0" layoutInCell="1" allowOverlap="1">
                <wp:simplePos x="0" y="0"/>
                <wp:positionH relativeFrom="column">
                  <wp:posOffset>-114300</wp:posOffset>
                </wp:positionH>
                <wp:positionV relativeFrom="paragraph">
                  <wp:posOffset>15240</wp:posOffset>
                </wp:positionV>
                <wp:extent cx="914400" cy="44831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914400" cy="448310"/>
                        </a:xfrm>
                        <a:prstGeom prst="rect">
                          <a:avLst/>
                        </a:prstGeom>
                        <a:noFill/>
                        <a:ln>
                          <a:noFill/>
                        </a:ln>
                        <a:effectLst/>
                      </wps:spPr>
                      <wps:txbx>
                        <w:txbxContent>
                          <w:p w14:paraId="2F4EEB86">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承包人执行造价工程师指令</w:t>
                            </w:r>
                          </w:p>
                        </w:txbxContent>
                      </wps:txbx>
                      <wps:bodyPr upright="1"/>
                    </wps:wsp>
                  </a:graphicData>
                </a:graphic>
              </wp:anchor>
            </w:drawing>
          </mc:Choice>
          <mc:Fallback>
            <w:pict>
              <v:shape id="_x0000_s1026" o:spid="_x0000_s1026" o:spt="202" type="#_x0000_t202" style="position:absolute;left:0pt;margin-left:-9pt;margin-top:1.2pt;height:35.3pt;width:72pt;z-index:251741184;mso-width-relative:page;mso-height-relative:page;" filled="f" stroked="f" coordsize="21600,21600" o:gfxdata="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Ko11F&#10;1QAAAAgBAAAPAAAAAAAAAAEAIAAAACIAAABkcnMvZG93bnJldi54bWxQSwECFAAUAAAACACHTuJA&#10;1K74BrIBAABdAwAADgAAAAAAAAABACAAAAAkAQAAZHJzL2Uyb0RvYy54bWxQSwUGAAAAAAYABgBZ&#10;AQAASAUAAAAA&#10;">
                <v:fill on="f" focussize="0,0"/>
                <v:stroke on="f"/>
                <v:imagedata o:title=""/>
                <o:lock v:ext="edit" aspectratio="f"/>
                <v:textbox>
                  <w:txbxContent>
                    <w:p w14:paraId="2F4EEB86">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承包人执行造价工程师指令</w:t>
                      </w:r>
                    </w:p>
                  </w:txbxContent>
                </v:textbox>
              </v:shape>
            </w:pict>
          </mc:Fallback>
        </mc:AlternateContent>
      </w:r>
      <w:r>
        <w:rPr>
          <w:rFonts w:hint="eastAsia" w:ascii="宋体" w:hAnsi="宋体"/>
          <w:color w:val="auto"/>
          <w:sz w:val="24"/>
          <w:szCs w:val="18"/>
        </w:rPr>
        <w:t>如果承包人认为造价工程师的指令不合理，应在收到指令后</w:t>
      </w:r>
      <w:r>
        <w:rPr>
          <w:rFonts w:ascii="宋体" w:hAnsi="宋体"/>
          <w:color w:val="auto"/>
          <w:sz w:val="24"/>
          <w:szCs w:val="18"/>
        </w:rPr>
        <w:t>24</w:t>
      </w:r>
      <w:r>
        <w:rPr>
          <w:rFonts w:hint="eastAsia" w:ascii="宋体" w:hAnsi="宋体"/>
          <w:color w:val="auto"/>
          <w:sz w:val="24"/>
          <w:szCs w:val="18"/>
        </w:rPr>
        <w:t>小时内向造价工程师提出书面报告，造价工程师应在收到承包人报告后</w:t>
      </w:r>
      <w:r>
        <w:rPr>
          <w:rFonts w:ascii="宋体" w:hAnsi="宋体"/>
          <w:color w:val="auto"/>
          <w:sz w:val="24"/>
          <w:szCs w:val="18"/>
        </w:rPr>
        <w:t>24</w:t>
      </w:r>
      <w:r>
        <w:rPr>
          <w:rFonts w:hint="eastAsia" w:ascii="宋体" w:hAnsi="宋体"/>
          <w:color w:val="auto"/>
          <w:sz w:val="24"/>
          <w:szCs w:val="18"/>
        </w:rPr>
        <w:t>小时内做出修改指令或继续执行原指令的决定，并书面通知承包人。逾期不做出决定的，承包人可不执行造价工程师的指令。</w:t>
      </w:r>
    </w:p>
    <w:p w14:paraId="25CB0DDE">
      <w:pPr>
        <w:tabs>
          <w:tab w:val="left" w:pos="1260"/>
        </w:tabs>
        <w:spacing w:line="360" w:lineRule="auto"/>
        <w:rPr>
          <w:rFonts w:ascii="宋体"/>
          <w:b/>
          <w:color w:val="auto"/>
          <w:sz w:val="24"/>
          <w:szCs w:val="18"/>
        </w:rPr>
      </w:pPr>
      <w:r>
        <w:rPr>
          <w:rFonts w:ascii="宋体" w:hAnsi="宋体"/>
          <w:b/>
          <w:color w:val="auto"/>
          <w:sz w:val="24"/>
          <w:szCs w:val="18"/>
        </w:rPr>
        <w:t xml:space="preserve">24.6  </w:t>
      </w:r>
    </w:p>
    <w:p w14:paraId="6C7F3EBD">
      <w:pPr>
        <w:tabs>
          <w:tab w:val="left" w:pos="1260"/>
        </w:tabs>
        <w:spacing w:line="360" w:lineRule="auto"/>
        <w:ind w:left="1619" w:leftChars="771"/>
        <w:rPr>
          <w:rFonts w:ascii="宋体"/>
          <w:color w:val="auto"/>
          <w:sz w:val="24"/>
          <w:szCs w:val="18"/>
        </w:rPr>
      </w:pPr>
      <w:r>
        <w:rPr>
          <w:color w:val="auto"/>
        </w:rPr>
        <mc:AlternateContent>
          <mc:Choice Requires="wps">
            <w:drawing>
              <wp:anchor distT="0" distB="0" distL="114300" distR="114300" simplePos="0" relativeHeight="251742208"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a:effectLst/>
                      </wps:spPr>
                      <wps:txbx>
                        <w:txbxContent>
                          <w:p w14:paraId="242EBF60">
                            <w:pPr>
                              <w:spacing w:line="240" w:lineRule="exact"/>
                              <w:rPr>
                                <w:rFonts w:ascii="宋体"/>
                                <w:sz w:val="18"/>
                                <w:szCs w:val="18"/>
                              </w:rPr>
                            </w:pPr>
                            <w:r>
                              <w:rPr>
                                <w:rFonts w:hint="eastAsia" w:ascii="楷体_GB2312" w:hAnsi="宋体" w:eastAsia="楷体_GB2312"/>
                                <w:b/>
                                <w:color w:val="000000"/>
                                <w:sz w:val="18"/>
                                <w:szCs w:val="18"/>
                              </w:rPr>
                              <w:t>造价工程师职权委托</w:t>
                            </w:r>
                          </w:p>
                        </w:txbxContent>
                      </wps:txbx>
                      <wps:bodyPr upright="1"/>
                    </wps:wsp>
                  </a:graphicData>
                </a:graphic>
              </wp:anchor>
            </w:drawing>
          </mc:Choice>
          <mc:Fallback>
            <w:pict>
              <v:shape id="_x0000_s1026" o:spid="_x0000_s1026" o:spt="202" type="#_x0000_t202" style="position:absolute;left:0pt;margin-left:-9pt;margin-top:0pt;height:46.8pt;width:72pt;z-index:251742208;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Syfp&#10;MtUAAAAHAQAADwAAAAAAAAABACAAAAAiAAAAZHJzL2Rvd25yZXYueG1sUEsBAhQAFAAAAAgAh07i&#10;QHDGSuezAQAAXQMAAA4AAAAAAAAAAQAgAAAAJAEAAGRycy9lMm9Eb2MueG1sUEsFBgAAAAAGAAYA&#10;WQEAAEkFAAAAAA==&#10;">
                <v:fill on="f" focussize="0,0"/>
                <v:stroke on="f"/>
                <v:imagedata o:title=""/>
                <o:lock v:ext="edit" aspectratio="f"/>
                <v:textbox>
                  <w:txbxContent>
                    <w:p w14:paraId="242EBF60">
                      <w:pPr>
                        <w:spacing w:line="240" w:lineRule="exact"/>
                        <w:rPr>
                          <w:rFonts w:ascii="宋体"/>
                          <w:sz w:val="18"/>
                          <w:szCs w:val="18"/>
                        </w:rPr>
                      </w:pPr>
                      <w:r>
                        <w:rPr>
                          <w:rFonts w:hint="eastAsia" w:ascii="楷体_GB2312" w:hAnsi="宋体" w:eastAsia="楷体_GB2312"/>
                          <w:b/>
                          <w:color w:val="000000"/>
                          <w:sz w:val="18"/>
                          <w:szCs w:val="18"/>
                        </w:rPr>
                        <w:t>造价工程师职权委托</w:t>
                      </w:r>
                    </w:p>
                  </w:txbxContent>
                </v:textbox>
              </v:shape>
            </w:pict>
          </mc:Fallback>
        </mc:AlternateContent>
      </w:r>
      <w:r>
        <w:rPr>
          <w:rFonts w:hint="eastAsia" w:ascii="宋体" w:hAnsi="宋体"/>
          <w:color w:val="auto"/>
          <w:sz w:val="24"/>
          <w:szCs w:val="18"/>
        </w:rPr>
        <w:t>造价工程师可按照第</w:t>
      </w:r>
      <w:r>
        <w:rPr>
          <w:rFonts w:ascii="宋体" w:hAnsi="宋体"/>
          <w:color w:val="auto"/>
          <w:sz w:val="24"/>
          <w:szCs w:val="18"/>
        </w:rPr>
        <w:t>21.3</w:t>
      </w:r>
      <w:r>
        <w:rPr>
          <w:rFonts w:hint="eastAsia" w:ascii="宋体" w:hAnsi="宋体"/>
          <w:color w:val="auto"/>
          <w:sz w:val="24"/>
          <w:szCs w:val="18"/>
        </w:rPr>
        <w:t>款规定授权给其任命的造价工程师代表，亦可将其授权撤回，造价工程师代表行使造价工程师授予的职权，对造价工程师负责。造价工程师代表在造价工程师授予职权范围内工作，造价工程师应予认可，但造价工程师保留因造价工程师代表未反对合同工程的工程计量和计价工作的错误而否定该工作，并发出纠正指令的权力。未按照第</w:t>
      </w:r>
      <w:r>
        <w:rPr>
          <w:rFonts w:ascii="宋体" w:hAnsi="宋体"/>
          <w:color w:val="auto"/>
          <w:sz w:val="24"/>
          <w:szCs w:val="18"/>
        </w:rPr>
        <w:t>21.3</w:t>
      </w:r>
      <w:r>
        <w:rPr>
          <w:rFonts w:hint="eastAsia" w:ascii="宋体" w:hAnsi="宋体"/>
          <w:color w:val="auto"/>
          <w:sz w:val="24"/>
          <w:szCs w:val="18"/>
        </w:rPr>
        <w:t>款规定，任何此类任命或撤回均为无效。</w:t>
      </w:r>
    </w:p>
    <w:p w14:paraId="7F196CF0">
      <w:pPr>
        <w:tabs>
          <w:tab w:val="left" w:pos="1260"/>
        </w:tabs>
        <w:spacing w:line="360" w:lineRule="auto"/>
        <w:rPr>
          <w:rFonts w:ascii="宋体"/>
          <w:color w:val="auto"/>
          <w:sz w:val="24"/>
          <w:szCs w:val="18"/>
        </w:rPr>
      </w:pPr>
      <w:r>
        <w:rPr>
          <w:rFonts w:ascii="宋体" w:hAnsi="宋体"/>
          <w:b/>
          <w:color w:val="auto"/>
          <w:sz w:val="24"/>
          <w:szCs w:val="18"/>
        </w:rPr>
        <w:t>24.7</w:t>
      </w:r>
    </w:p>
    <w:p w14:paraId="06448FE2">
      <w:pPr>
        <w:tabs>
          <w:tab w:val="left" w:pos="1260"/>
        </w:tabs>
        <w:spacing w:line="360" w:lineRule="auto"/>
        <w:ind w:left="1619" w:leftChars="771"/>
        <w:rPr>
          <w:rFonts w:ascii="宋体"/>
          <w:color w:val="auto"/>
          <w:sz w:val="24"/>
          <w:szCs w:val="18"/>
        </w:rPr>
      </w:pPr>
      <w:r>
        <w:rPr>
          <w:color w:val="auto"/>
        </w:rPr>
        <mc:AlternateContent>
          <mc:Choice Requires="wps">
            <w:drawing>
              <wp:anchor distT="0" distB="0" distL="114300" distR="114300" simplePos="0" relativeHeight="251743232"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a:effectLst/>
                      </wps:spPr>
                      <wps:txbx>
                        <w:txbxContent>
                          <w:p w14:paraId="1DA767DB">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造价工程师未尽义务或失误的责任</w:t>
                            </w:r>
                          </w:p>
                        </w:txbxContent>
                      </wps:txbx>
                      <wps:bodyPr upright="1"/>
                    </wps:wsp>
                  </a:graphicData>
                </a:graphic>
              </wp:anchor>
            </w:drawing>
          </mc:Choice>
          <mc:Fallback>
            <w:pict>
              <v:shape id="_x0000_s1026" o:spid="_x0000_s1026" o:spt="202" type="#_x0000_t202" style="position:absolute;left:0pt;margin-left:-9pt;margin-top:0pt;height:46.8pt;width:72pt;z-index:251743232;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Syfp&#10;MtUAAAAHAQAADwAAAAAAAAABACAAAAAiAAAAZHJzL2Rvd25yZXYueG1sUEsBAhQAFAAAAAgAh07i&#10;QOANcoyzAQAAXQMAAA4AAAAAAAAAAQAgAAAAJAEAAGRycy9lMm9Eb2MueG1sUEsFBgAAAAAGAAYA&#10;WQEAAEkFAAAAAA==&#10;">
                <v:fill on="f" focussize="0,0"/>
                <v:stroke on="f"/>
                <v:imagedata o:title=""/>
                <o:lock v:ext="edit" aspectratio="f"/>
                <v:textbox>
                  <w:txbxContent>
                    <w:p w14:paraId="1DA767DB">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造价工程师未尽义务或失误的责任</w:t>
                      </w:r>
                    </w:p>
                  </w:txbxContent>
                </v:textbox>
              </v:shape>
            </w:pict>
          </mc:Fallback>
        </mc:AlternateContent>
      </w:r>
      <w:r>
        <w:rPr>
          <w:rFonts w:hint="eastAsia" w:ascii="宋体" w:hAnsi="宋体"/>
          <w:color w:val="auto"/>
          <w:sz w:val="24"/>
          <w:szCs w:val="18"/>
        </w:rPr>
        <w:t>造价工程师（含其代表）未能正确完成本合同约定的全部义务，或工作出现失误，导致费用的增加和（或）延误的工期，由发包人承担；给承包人造成损失的，发包人应予赔偿。</w:t>
      </w:r>
    </w:p>
    <w:p w14:paraId="772959CB">
      <w:pPr>
        <w:tabs>
          <w:tab w:val="left" w:pos="540"/>
          <w:tab w:val="left" w:pos="720"/>
        </w:tabs>
        <w:spacing w:line="360" w:lineRule="auto"/>
        <w:rPr>
          <w:rFonts w:ascii="宋体"/>
          <w:color w:val="auto"/>
          <w:sz w:val="24"/>
          <w:szCs w:val="18"/>
        </w:rPr>
      </w:pPr>
    </w:p>
    <w:p w14:paraId="7A490EB7">
      <w:pPr>
        <w:tabs>
          <w:tab w:val="left" w:pos="540"/>
          <w:tab w:val="left" w:pos="720"/>
        </w:tabs>
        <w:spacing w:line="360" w:lineRule="auto"/>
        <w:rPr>
          <w:rFonts w:ascii="宋体"/>
          <w:b/>
          <w:color w:val="auto"/>
          <w:sz w:val="30"/>
        </w:rPr>
      </w:pPr>
      <w:r>
        <w:rPr>
          <w:rFonts w:ascii="宋体" w:hAnsi="宋体"/>
          <w:b/>
          <w:color w:val="auto"/>
          <w:sz w:val="30"/>
        </w:rPr>
        <w:t xml:space="preserve">25  </w:t>
      </w:r>
      <w:r>
        <w:rPr>
          <w:rFonts w:hint="eastAsia" w:ascii="宋体" w:hAnsi="宋体"/>
          <w:b/>
          <w:color w:val="auto"/>
          <w:sz w:val="30"/>
        </w:rPr>
        <w:t>承包人代表</w:t>
      </w:r>
    </w:p>
    <w:p w14:paraId="0E1899C6">
      <w:pPr>
        <w:tabs>
          <w:tab w:val="left" w:pos="540"/>
          <w:tab w:val="left" w:pos="720"/>
        </w:tabs>
        <w:spacing w:line="360" w:lineRule="auto"/>
        <w:rPr>
          <w:rFonts w:ascii="宋体"/>
          <w:b/>
          <w:color w:val="auto"/>
          <w:sz w:val="24"/>
          <w:szCs w:val="18"/>
        </w:rPr>
      </w:pPr>
      <w:r>
        <w:rPr>
          <w:rFonts w:ascii="宋体" w:hAnsi="宋体"/>
          <w:b/>
          <w:color w:val="auto"/>
          <w:sz w:val="24"/>
          <w:szCs w:val="18"/>
        </w:rPr>
        <w:t xml:space="preserve">25.1                                 </w:t>
      </w:r>
    </w:p>
    <w:p w14:paraId="472EC8AA">
      <w:pPr>
        <w:pStyle w:val="12"/>
        <w:tabs>
          <w:tab w:val="left" w:pos="540"/>
          <w:tab w:val="left" w:pos="720"/>
        </w:tabs>
        <w:ind w:left="1619" w:leftChars="771"/>
        <w:rPr>
          <w:rFonts w:ascii="宋体"/>
          <w:color w:val="auto"/>
          <w:szCs w:val="18"/>
        </w:rPr>
      </w:pPr>
      <w:r>
        <w:rPr>
          <w:color w:val="auto"/>
        </w:rPr>
        <mc:AlternateContent>
          <mc:Choice Requires="wps">
            <w:drawing>
              <wp:anchor distT="0" distB="0" distL="114300" distR="114300" simplePos="0" relativeHeight="251744256" behindDoc="0" locked="0" layoutInCell="1" allowOverlap="1">
                <wp:simplePos x="0" y="0"/>
                <wp:positionH relativeFrom="column">
                  <wp:posOffset>-114300</wp:posOffset>
                </wp:positionH>
                <wp:positionV relativeFrom="paragraph">
                  <wp:posOffset>0</wp:posOffset>
                </wp:positionV>
                <wp:extent cx="914400" cy="4191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a:noFill/>
                        </a:ln>
                        <a:effectLst/>
                      </wps:spPr>
                      <wps:txbx>
                        <w:txbxContent>
                          <w:p w14:paraId="31C0DB3A">
                            <w:pPr>
                              <w:spacing w:line="240" w:lineRule="exact"/>
                              <w:rPr>
                                <w:rFonts w:ascii="楷体_GB2312" w:hAnsi="宋体" w:eastAsia="楷体_GB2312"/>
                                <w:b/>
                                <w:color w:val="000000"/>
                                <w:sz w:val="18"/>
                                <w:szCs w:val="18"/>
                              </w:rPr>
                            </w:pPr>
                            <w:r>
                              <w:rPr>
                                <w:rFonts w:hint="eastAsia" w:ascii="楷体_GB2312" w:eastAsia="楷体_GB2312"/>
                                <w:b/>
                                <w:color w:val="000000"/>
                                <w:sz w:val="18"/>
                                <w:szCs w:val="18"/>
                              </w:rPr>
                              <w:t>承包人对其代表授权</w:t>
                            </w:r>
                          </w:p>
                        </w:txbxContent>
                      </wps:txbx>
                      <wps:bodyPr upright="1"/>
                    </wps:wsp>
                  </a:graphicData>
                </a:graphic>
              </wp:anchor>
            </w:drawing>
          </mc:Choice>
          <mc:Fallback>
            <w:pict>
              <v:shape id="_x0000_s1026" o:spid="_x0000_s1026" o:spt="202" type="#_x0000_t202" style="position:absolute;left:0pt;margin-left:-9pt;margin-top:0pt;height:33pt;width:72pt;z-index:251744256;mso-width-relative:page;mso-height-relative:page;" filled="f" stroked="f" coordsize="21600,21600" o:gfxdata="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XOqyNQA&#10;AAAHAQAADwAAAAAAAAABACAAAAAiAAAAZHJzL2Rvd25yZXYueG1sUEsBAhQAFAAAAAgAh07iQPBA&#10;816xAQAAXQMAAA4AAAAAAAAAAQAgAAAAIwEAAGRycy9lMm9Eb2MueG1sUEsFBgAAAAAGAAYAWQEA&#10;AEYFAAAAAA==&#10;">
                <v:fill on="f" focussize="0,0"/>
                <v:stroke on="f"/>
                <v:imagedata o:title=""/>
                <o:lock v:ext="edit" aspectratio="f"/>
                <v:textbox>
                  <w:txbxContent>
                    <w:p w14:paraId="31C0DB3A">
                      <w:pPr>
                        <w:spacing w:line="240" w:lineRule="exact"/>
                        <w:rPr>
                          <w:rFonts w:ascii="楷体_GB2312" w:hAnsi="宋体" w:eastAsia="楷体_GB2312"/>
                          <w:b/>
                          <w:color w:val="000000"/>
                          <w:sz w:val="18"/>
                          <w:szCs w:val="18"/>
                        </w:rPr>
                      </w:pPr>
                      <w:r>
                        <w:rPr>
                          <w:rFonts w:hint="eastAsia" w:ascii="楷体_GB2312" w:eastAsia="楷体_GB2312"/>
                          <w:b/>
                          <w:color w:val="000000"/>
                          <w:sz w:val="18"/>
                          <w:szCs w:val="18"/>
                        </w:rPr>
                        <w:t>承包人对其代表授权</w:t>
                      </w:r>
                    </w:p>
                  </w:txbxContent>
                </v:textbox>
              </v:shape>
            </w:pict>
          </mc:Fallback>
        </mc:AlternateContent>
      </w:r>
      <w:r>
        <w:rPr>
          <w:rFonts w:hint="eastAsia" w:ascii="宋体"/>
          <w:color w:val="auto"/>
          <w:szCs w:val="18"/>
        </w:rPr>
        <w:t>承包人应依据第</w:t>
      </w:r>
      <w:r>
        <w:rPr>
          <w:rFonts w:ascii="宋体"/>
          <w:color w:val="auto"/>
          <w:szCs w:val="18"/>
        </w:rPr>
        <w:t>21.2</w:t>
      </w:r>
      <w:r>
        <w:rPr>
          <w:rFonts w:hint="eastAsia" w:ascii="宋体"/>
          <w:color w:val="auto"/>
          <w:szCs w:val="18"/>
        </w:rPr>
        <w:t>款规定在专用条款中写明承包人代表具体人选，同时在开工前将承包人代表任命书以书面形式通知发包人，授予其代表承包人履行合同规定职责所需的一切权力。</w:t>
      </w:r>
    </w:p>
    <w:p w14:paraId="187CDF50">
      <w:pPr>
        <w:tabs>
          <w:tab w:val="left" w:pos="540"/>
          <w:tab w:val="left" w:pos="720"/>
          <w:tab w:val="left" w:pos="1260"/>
          <w:tab w:val="left" w:pos="1440"/>
        </w:tabs>
        <w:spacing w:line="360" w:lineRule="auto"/>
        <w:rPr>
          <w:rFonts w:ascii="宋体"/>
          <w:b/>
          <w:color w:val="auto"/>
          <w:sz w:val="24"/>
          <w:szCs w:val="18"/>
        </w:rPr>
      </w:pPr>
      <w:r>
        <w:rPr>
          <w:rFonts w:ascii="宋体" w:hAnsi="宋体"/>
          <w:b/>
          <w:color w:val="auto"/>
          <w:sz w:val="24"/>
          <w:szCs w:val="18"/>
        </w:rPr>
        <w:t xml:space="preserve">25.2  </w:t>
      </w:r>
    </w:p>
    <w:p w14:paraId="17A20F8E">
      <w:pPr>
        <w:tabs>
          <w:tab w:val="left" w:pos="540"/>
          <w:tab w:val="left" w:pos="720"/>
          <w:tab w:val="left" w:pos="1260"/>
          <w:tab w:val="left" w:pos="1440"/>
        </w:tabs>
        <w:spacing w:line="360" w:lineRule="auto"/>
        <w:ind w:left="1619" w:leftChars="771" w:firstLine="2"/>
        <w:rPr>
          <w:rFonts w:ascii="宋体"/>
          <w:color w:val="auto"/>
          <w:sz w:val="24"/>
          <w:szCs w:val="18"/>
        </w:rPr>
      </w:pPr>
      <w:r>
        <w:rPr>
          <w:color w:val="auto"/>
        </w:rPr>
        <mc:AlternateContent>
          <mc:Choice Requires="wps">
            <w:drawing>
              <wp:anchor distT="0" distB="0" distL="114300" distR="114300" simplePos="0" relativeHeight="251745280" behindDoc="0" locked="0" layoutInCell="1" allowOverlap="1">
                <wp:simplePos x="0" y="0"/>
                <wp:positionH relativeFrom="column">
                  <wp:posOffset>-114300</wp:posOffset>
                </wp:positionH>
                <wp:positionV relativeFrom="paragraph">
                  <wp:posOffset>7620</wp:posOffset>
                </wp:positionV>
                <wp:extent cx="1028700" cy="39624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028700" cy="396240"/>
                        </a:xfrm>
                        <a:prstGeom prst="rect">
                          <a:avLst/>
                        </a:prstGeom>
                        <a:noFill/>
                        <a:ln>
                          <a:noFill/>
                        </a:ln>
                        <a:effectLst/>
                      </wps:spPr>
                      <wps:txbx>
                        <w:txbxContent>
                          <w:p w14:paraId="686F759D">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承包人代表职</w:t>
                            </w:r>
                          </w:p>
                          <w:p w14:paraId="069A40B1">
                            <w:pPr>
                              <w:spacing w:line="240" w:lineRule="exact"/>
                              <w:rPr>
                                <w:rFonts w:ascii="宋体"/>
                                <w:sz w:val="18"/>
                                <w:szCs w:val="18"/>
                              </w:rPr>
                            </w:pPr>
                            <w:r>
                              <w:rPr>
                                <w:rFonts w:hint="eastAsia" w:ascii="楷体_GB2312" w:hAnsi="宋体" w:eastAsia="楷体_GB2312"/>
                                <w:b/>
                                <w:color w:val="000000"/>
                                <w:sz w:val="18"/>
                                <w:szCs w:val="18"/>
                              </w:rPr>
                              <w:t>权</w:t>
                            </w:r>
                          </w:p>
                        </w:txbxContent>
                      </wps:txbx>
                      <wps:bodyPr upright="1"/>
                    </wps:wsp>
                  </a:graphicData>
                </a:graphic>
              </wp:anchor>
            </w:drawing>
          </mc:Choice>
          <mc:Fallback>
            <w:pict>
              <v:shape id="_x0000_s1026" o:spid="_x0000_s1026" o:spt="202" type="#_x0000_t202" style="position:absolute;left:0pt;margin-left:-9pt;margin-top:0.6pt;height:31.2pt;width:81pt;z-index:251745280;mso-width-relative:page;mso-height-relative:page;" filled="f" stroked="f" coordsize="21600,21600" o:gfxdata="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Mnw&#10;RtUAAAAIAQAADwAAAAAAAAABACAAAAAiAAAAZHJzL2Rvd25yZXYueG1sUEsBAhQAFAAAAAgAh07i&#10;QJeu44+zAQAAXgMAAA4AAAAAAAAAAQAgAAAAJAEAAGRycy9lMm9Eb2MueG1sUEsFBgAAAAAGAAYA&#10;WQEAAEkFAAAAAA==&#10;">
                <v:fill on="f" focussize="0,0"/>
                <v:stroke on="f"/>
                <v:imagedata o:title=""/>
                <o:lock v:ext="edit" aspectratio="f"/>
                <v:textbox>
                  <w:txbxContent>
                    <w:p w14:paraId="686F759D">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承包人代表职</w:t>
                      </w:r>
                    </w:p>
                    <w:p w14:paraId="069A40B1">
                      <w:pPr>
                        <w:spacing w:line="240" w:lineRule="exact"/>
                        <w:rPr>
                          <w:rFonts w:ascii="宋体"/>
                          <w:sz w:val="18"/>
                          <w:szCs w:val="18"/>
                        </w:rPr>
                      </w:pPr>
                      <w:r>
                        <w:rPr>
                          <w:rFonts w:hint="eastAsia" w:ascii="楷体_GB2312" w:hAnsi="宋体" w:eastAsia="楷体_GB2312"/>
                          <w:b/>
                          <w:color w:val="000000"/>
                          <w:sz w:val="18"/>
                          <w:szCs w:val="18"/>
                        </w:rPr>
                        <w:t>权</w:t>
                      </w:r>
                    </w:p>
                  </w:txbxContent>
                </v:textbox>
              </v:shape>
            </w:pict>
          </mc:Fallback>
        </mc:AlternateContent>
      </w:r>
      <w:r>
        <w:rPr>
          <w:rFonts w:hint="eastAsia" w:ascii="宋体" w:hAnsi="宋体"/>
          <w:color w:val="auto"/>
          <w:sz w:val="24"/>
          <w:szCs w:val="18"/>
        </w:rPr>
        <w:t>承包人代表应代表承包人履行合同规定的职责、行使合同明文约定或必然隐含的权力，对承包人负责。承包人代表在承包人授予职权范围内的工作，承包人应予认可。</w:t>
      </w:r>
    </w:p>
    <w:p w14:paraId="4DBFD0E3">
      <w:pPr>
        <w:spacing w:line="360" w:lineRule="auto"/>
        <w:rPr>
          <w:rFonts w:ascii="宋体"/>
          <w:b/>
          <w:color w:val="auto"/>
          <w:sz w:val="24"/>
          <w:szCs w:val="18"/>
        </w:rPr>
      </w:pPr>
      <w:r>
        <w:rPr>
          <w:rFonts w:ascii="宋体" w:hAnsi="宋体"/>
          <w:b/>
          <w:color w:val="auto"/>
          <w:sz w:val="24"/>
          <w:szCs w:val="18"/>
        </w:rPr>
        <w:t xml:space="preserve">25.3  </w:t>
      </w:r>
    </w:p>
    <w:p w14:paraId="07C5602A">
      <w:pPr>
        <w:spacing w:line="360" w:lineRule="auto"/>
        <w:ind w:left="1619" w:leftChars="771"/>
        <w:rPr>
          <w:rFonts w:ascii="宋体"/>
          <w:color w:val="auto"/>
          <w:sz w:val="24"/>
          <w:szCs w:val="18"/>
        </w:rPr>
      </w:pPr>
      <w:r>
        <w:rPr>
          <w:color w:val="auto"/>
        </w:rPr>
        <mc:AlternateContent>
          <mc:Choice Requires="wps">
            <w:drawing>
              <wp:anchor distT="0" distB="0" distL="114300" distR="114300" simplePos="0" relativeHeight="251746304" behindDoc="0" locked="0" layoutInCell="1" allowOverlap="1">
                <wp:simplePos x="0" y="0"/>
                <wp:positionH relativeFrom="column">
                  <wp:posOffset>-114300</wp:posOffset>
                </wp:positionH>
                <wp:positionV relativeFrom="paragraph">
                  <wp:posOffset>0</wp:posOffset>
                </wp:positionV>
                <wp:extent cx="914400" cy="48768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914400" cy="487680"/>
                        </a:xfrm>
                        <a:prstGeom prst="rect">
                          <a:avLst/>
                        </a:prstGeom>
                        <a:noFill/>
                        <a:ln>
                          <a:noFill/>
                        </a:ln>
                        <a:effectLst/>
                      </wps:spPr>
                      <wps:txbx>
                        <w:txbxContent>
                          <w:p w14:paraId="5EFD9D36">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承包人代表临时任命人职权</w:t>
                            </w:r>
                          </w:p>
                        </w:txbxContent>
                      </wps:txbx>
                      <wps:bodyPr upright="1"/>
                    </wps:wsp>
                  </a:graphicData>
                </a:graphic>
              </wp:anchor>
            </w:drawing>
          </mc:Choice>
          <mc:Fallback>
            <w:pict>
              <v:shape id="_x0000_s1026" o:spid="_x0000_s1026" o:spt="202" type="#_x0000_t202" style="position:absolute;left:0pt;margin-left:-9pt;margin-top:0pt;height:38.4pt;width:72pt;z-index:251746304;mso-width-relative:page;mso-height-relative:page;" filled="f" stroked="f" coordsize="21600,21600" o:gfxdata="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y7dFe&#10;1QAAAAcBAAAPAAAAAAAAAAEAIAAAACIAAABkcnMvZG93bnJldi54bWxQSwECFAAUAAAACACHTuJA&#10;hdnIxrIBAABdAwAADgAAAAAAAAABACAAAAAkAQAAZHJzL2Uyb0RvYy54bWxQSwUGAAAAAAYABgBZ&#10;AQAASAUAAAAA&#10;">
                <v:fill on="f" focussize="0,0"/>
                <v:stroke on="f"/>
                <v:imagedata o:title=""/>
                <o:lock v:ext="edit" aspectratio="f"/>
                <v:textbox>
                  <w:txbxContent>
                    <w:p w14:paraId="5EFD9D36">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承包人代表临时任命人职权</w:t>
                      </w:r>
                    </w:p>
                  </w:txbxContent>
                </v:textbox>
              </v:shape>
            </w:pict>
          </mc:Fallback>
        </mc:AlternateContent>
      </w:r>
      <w:r>
        <w:rPr>
          <w:rFonts w:hint="eastAsia" w:ascii="宋体" w:hAnsi="宋体"/>
          <w:color w:val="auto"/>
          <w:sz w:val="24"/>
          <w:szCs w:val="18"/>
        </w:rPr>
        <w:t>如果承包人代表在合同履行期间确需暂离现场，则应在监理工程师同意下，按照第</w:t>
      </w:r>
      <w:r>
        <w:rPr>
          <w:rFonts w:ascii="宋体" w:hAnsi="宋体"/>
          <w:color w:val="auto"/>
          <w:sz w:val="24"/>
          <w:szCs w:val="18"/>
        </w:rPr>
        <w:t>21.4</w:t>
      </w:r>
      <w:r>
        <w:rPr>
          <w:rFonts w:hint="eastAsia" w:ascii="宋体" w:hAnsi="宋体"/>
          <w:color w:val="auto"/>
          <w:sz w:val="24"/>
          <w:szCs w:val="18"/>
        </w:rPr>
        <w:t>款规定授权给其任命的合格人选，亦可将其授权撤回。任命的人选行使承包人代表授予的职权，对承包人代表负责。该人选在承包人代表授予职权范围内的工作，承包人代表应予认可，但承包人代表保留因该人选未曾对实施、完成合同工程工作错误加以反对的失误而否定该工作，并发出纠正通知的权力。未按照第</w:t>
      </w:r>
      <w:r>
        <w:rPr>
          <w:rFonts w:ascii="宋体" w:hAnsi="宋体"/>
          <w:color w:val="auto"/>
          <w:sz w:val="24"/>
          <w:szCs w:val="18"/>
        </w:rPr>
        <w:t>21.4</w:t>
      </w:r>
      <w:r>
        <w:rPr>
          <w:rFonts w:hint="eastAsia" w:ascii="宋体" w:hAnsi="宋体"/>
          <w:color w:val="auto"/>
          <w:sz w:val="24"/>
          <w:szCs w:val="18"/>
        </w:rPr>
        <w:t>款规定，任何此类任命或撤回均为无效。</w:t>
      </w:r>
    </w:p>
    <w:p w14:paraId="04809F82">
      <w:pPr>
        <w:spacing w:line="360" w:lineRule="auto"/>
        <w:rPr>
          <w:rFonts w:ascii="宋体"/>
          <w:b/>
          <w:color w:val="auto"/>
          <w:sz w:val="24"/>
          <w:szCs w:val="18"/>
        </w:rPr>
      </w:pPr>
      <w:r>
        <w:rPr>
          <w:rFonts w:ascii="宋体" w:hAnsi="宋体"/>
          <w:b/>
          <w:color w:val="auto"/>
          <w:sz w:val="24"/>
          <w:szCs w:val="18"/>
        </w:rPr>
        <w:t xml:space="preserve">25.4  </w:t>
      </w:r>
    </w:p>
    <w:p w14:paraId="30025824">
      <w:pPr>
        <w:spacing w:line="360" w:lineRule="auto"/>
        <w:ind w:left="1619" w:leftChars="771"/>
        <w:rPr>
          <w:rFonts w:ascii="宋体"/>
          <w:color w:val="auto"/>
          <w:sz w:val="24"/>
          <w:szCs w:val="18"/>
        </w:rPr>
      </w:pPr>
      <w:r>
        <w:rPr>
          <w:color w:val="auto"/>
        </w:rPr>
        <mc:AlternateContent>
          <mc:Choice Requires="wps">
            <w:drawing>
              <wp:anchor distT="0" distB="0" distL="114300" distR="114300" simplePos="0" relativeHeight="251747328" behindDoc="0" locked="0" layoutInCell="1" allowOverlap="1">
                <wp:simplePos x="0" y="0"/>
                <wp:positionH relativeFrom="column">
                  <wp:posOffset>-114300</wp:posOffset>
                </wp:positionH>
                <wp:positionV relativeFrom="paragraph">
                  <wp:posOffset>0</wp:posOffset>
                </wp:positionV>
                <wp:extent cx="914400" cy="7620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914400" cy="762000"/>
                        </a:xfrm>
                        <a:prstGeom prst="rect">
                          <a:avLst/>
                        </a:prstGeom>
                        <a:noFill/>
                        <a:ln>
                          <a:noFill/>
                        </a:ln>
                        <a:effectLst/>
                      </wps:spPr>
                      <wps:txbx>
                        <w:txbxContent>
                          <w:p w14:paraId="0141C989">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紧急情况时承包人代表采取措施及双方责任</w:t>
                            </w:r>
                          </w:p>
                        </w:txbxContent>
                      </wps:txbx>
                      <wps:bodyPr upright="1"/>
                    </wps:wsp>
                  </a:graphicData>
                </a:graphic>
              </wp:anchor>
            </w:drawing>
          </mc:Choice>
          <mc:Fallback>
            <w:pict>
              <v:shape id="_x0000_s1026" o:spid="_x0000_s1026" o:spt="202" type="#_x0000_t202" style="position:absolute;left:0pt;margin-left:-9pt;margin-top:0pt;height:60pt;width:72pt;z-index:251747328;mso-width-relative:page;mso-height-relative:page;" filled="f" stroked="f" coordsize="21600,21600" o:gfxdata="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a72VvU&#10;AAAACAEAAA8AAAAAAAAAAQAgAAAAIgAAAGRycy9kb3ducmV2LnhtbFBLAQIUABQAAAAIAIdO4kCH&#10;LVjysgEAAF0DAAAOAAAAAAAAAAEAIAAAACMBAABkcnMvZTJvRG9jLnhtbFBLBQYAAAAABgAGAFkB&#10;AABHBQAAAAA=&#10;">
                <v:fill on="f" focussize="0,0"/>
                <v:stroke on="f"/>
                <v:imagedata o:title=""/>
                <o:lock v:ext="edit" aspectratio="f"/>
                <v:textbox>
                  <w:txbxContent>
                    <w:p w14:paraId="0141C989">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紧急情况时承包人代表采取措施及双方责任</w:t>
                      </w:r>
                    </w:p>
                  </w:txbxContent>
                </v:textbox>
              </v:shape>
            </w:pict>
          </mc:Fallback>
        </mc:AlternateContent>
      </w:r>
      <w:r>
        <w:rPr>
          <w:rFonts w:hint="eastAsia" w:ascii="宋体" w:hAnsi="宋体"/>
          <w:color w:val="auto"/>
          <w:sz w:val="24"/>
          <w:szCs w:val="18"/>
        </w:rPr>
        <w:t>承包人代表按照经发包人认可的施工组织设计和监理工程师发出的指令组织施工。在紧急情况下，且无法与监理工程师取得联系时，承包人代表应立即采取保证人员生命和工程、财产安全的有效措施，并在采取措施后</w:t>
      </w:r>
      <w:r>
        <w:rPr>
          <w:rFonts w:ascii="宋体" w:hAnsi="宋体"/>
          <w:color w:val="auto"/>
          <w:sz w:val="24"/>
          <w:szCs w:val="18"/>
        </w:rPr>
        <w:t>48</w:t>
      </w:r>
      <w:r>
        <w:rPr>
          <w:rFonts w:hint="eastAsia" w:ascii="宋体" w:hAnsi="宋体"/>
          <w:color w:val="auto"/>
          <w:sz w:val="24"/>
          <w:szCs w:val="18"/>
        </w:rPr>
        <w:t>小时内向监理工程师提交书面报告，通知发包人。属于发包人或第三方责任的，其发生的费用和（或）延误的工期由发包人承担，并支付承包人合理利润；属于承包人责任的，其发生的费用和（或）延误的工期由承包人承担。</w:t>
      </w:r>
    </w:p>
    <w:p w14:paraId="09A0F87D">
      <w:pPr>
        <w:pStyle w:val="2"/>
        <w:tabs>
          <w:tab w:val="left" w:pos="540"/>
        </w:tabs>
        <w:adjustRightInd w:val="0"/>
        <w:snapToGrid w:val="0"/>
        <w:spacing w:line="360" w:lineRule="auto"/>
        <w:ind w:right="-240"/>
        <w:rPr>
          <w:rFonts w:hAnsi="宋体"/>
          <w:b/>
          <w:color w:val="auto"/>
          <w:sz w:val="30"/>
          <w:szCs w:val="24"/>
        </w:rPr>
      </w:pPr>
      <w:bookmarkStart w:id="22" w:name="_Toc468936969"/>
    </w:p>
    <w:p w14:paraId="653A4DA4">
      <w:pPr>
        <w:pStyle w:val="2"/>
        <w:tabs>
          <w:tab w:val="left" w:pos="540"/>
        </w:tabs>
        <w:adjustRightInd w:val="0"/>
        <w:snapToGrid w:val="0"/>
        <w:spacing w:line="360" w:lineRule="auto"/>
        <w:ind w:right="-240"/>
        <w:rPr>
          <w:rFonts w:hAnsi="宋体"/>
          <w:b/>
          <w:color w:val="auto"/>
          <w:sz w:val="30"/>
          <w:szCs w:val="24"/>
        </w:rPr>
      </w:pPr>
      <w:r>
        <w:rPr>
          <w:rFonts w:hAnsi="宋体"/>
          <w:b/>
          <w:color w:val="auto"/>
          <w:sz w:val="30"/>
          <w:szCs w:val="24"/>
        </w:rPr>
        <w:t xml:space="preserve">26  </w:t>
      </w:r>
      <w:r>
        <w:rPr>
          <w:rFonts w:hint="eastAsia" w:hAnsi="宋体"/>
          <w:b/>
          <w:color w:val="auto"/>
          <w:sz w:val="30"/>
          <w:szCs w:val="24"/>
        </w:rPr>
        <w:t>指定分包</w:t>
      </w:r>
      <w:bookmarkEnd w:id="22"/>
      <w:r>
        <w:rPr>
          <w:rFonts w:hint="eastAsia" w:hAnsi="宋体"/>
          <w:b/>
          <w:color w:val="auto"/>
          <w:sz w:val="30"/>
          <w:szCs w:val="24"/>
        </w:rPr>
        <w:t>人</w:t>
      </w:r>
    </w:p>
    <w:p w14:paraId="37E7573F">
      <w:pPr>
        <w:spacing w:line="360" w:lineRule="auto"/>
        <w:rPr>
          <w:rFonts w:ascii="宋体"/>
          <w:b/>
          <w:color w:val="auto"/>
          <w:sz w:val="24"/>
          <w:szCs w:val="18"/>
        </w:rPr>
      </w:pPr>
      <w:r>
        <w:rPr>
          <w:rFonts w:ascii="宋体" w:hAnsi="宋体"/>
          <w:b/>
          <w:color w:val="auto"/>
          <w:sz w:val="24"/>
          <w:szCs w:val="18"/>
        </w:rPr>
        <w:t xml:space="preserve">26.1 </w:t>
      </w:r>
    </w:p>
    <w:p w14:paraId="04AD43E8">
      <w:pPr>
        <w:pStyle w:val="2"/>
        <w:adjustRightInd w:val="0"/>
        <w:snapToGrid w:val="0"/>
        <w:spacing w:line="360" w:lineRule="auto"/>
        <w:ind w:left="1978" w:leftChars="942"/>
        <w:rPr>
          <w:rFonts w:hAnsi="宋体"/>
          <w:color w:val="auto"/>
          <w:sz w:val="24"/>
          <w:szCs w:val="18"/>
        </w:rPr>
      </w:pPr>
      <w:r>
        <w:rPr>
          <w:color w:val="auto"/>
        </w:rPr>
        <mc:AlternateContent>
          <mc:Choice Requires="wps">
            <w:drawing>
              <wp:anchor distT="0" distB="0" distL="114300" distR="114300" simplePos="0" relativeHeight="251748352" behindDoc="0" locked="0" layoutInCell="1" allowOverlap="1">
                <wp:simplePos x="0" y="0"/>
                <wp:positionH relativeFrom="column">
                  <wp:posOffset>-114300</wp:posOffset>
                </wp:positionH>
                <wp:positionV relativeFrom="paragraph">
                  <wp:posOffset>60325</wp:posOffset>
                </wp:positionV>
                <wp:extent cx="914400" cy="69342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a:effectLst/>
                      </wps:spPr>
                      <wps:txbx>
                        <w:txbxContent>
                          <w:p w14:paraId="20F65F88">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指定分包人工作</w:t>
                            </w:r>
                          </w:p>
                        </w:txbxContent>
                      </wps:txbx>
                      <wps:bodyPr upright="1"/>
                    </wps:wsp>
                  </a:graphicData>
                </a:graphic>
              </wp:anchor>
            </w:drawing>
          </mc:Choice>
          <mc:Fallback>
            <w:pict>
              <v:shape id="_x0000_s1026" o:spid="_x0000_s1026" o:spt="202" type="#_x0000_t202" style="position:absolute;left:0pt;margin-left:-9pt;margin-top:4.75pt;height:54.6pt;width:72pt;z-index:251748352;mso-width-relative:page;mso-height-relative:page;" filled="f" stroked="f" coordsize="21600,21600" o:gfxdata="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Rey6&#10;tdYAAAAJAQAADwAAAAAAAAABACAAAAAiAAAAZHJzL2Rvd25yZXYueG1sUEsBAhQAFAAAAAgAh07i&#10;QMzYjNGyAQAAXQMAAA4AAAAAAAAAAQAgAAAAJQEAAGRycy9lMm9Eb2MueG1sUEsFBgAAAAAGAAYA&#10;WQEAAEkFAAAAAA==&#10;">
                <v:fill on="f" focussize="0,0"/>
                <v:stroke on="f"/>
                <v:imagedata o:title=""/>
                <o:lock v:ext="edit" aspectratio="f"/>
                <v:textbox>
                  <w:txbxContent>
                    <w:p w14:paraId="20F65F88">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指定分包人工作</w:t>
                      </w:r>
                    </w:p>
                  </w:txbxContent>
                </v:textbox>
              </v:shape>
            </w:pict>
          </mc:Fallback>
        </mc:AlternateContent>
      </w:r>
      <w:r>
        <w:rPr>
          <w:rFonts w:hint="eastAsia" w:hAnsi="宋体"/>
          <w:color w:val="auto"/>
          <w:sz w:val="24"/>
          <w:szCs w:val="18"/>
        </w:rPr>
        <w:t>指定分包人是指发包人事先指定的从事下列工作之一的分包人：</w:t>
      </w:r>
    </w:p>
    <w:p w14:paraId="34598418">
      <w:pPr>
        <w:pStyle w:val="2"/>
        <w:widowControl/>
        <w:adjustRightInd w:val="0"/>
        <w:snapToGrid w:val="0"/>
        <w:spacing w:line="360" w:lineRule="auto"/>
        <w:ind w:left="1978"/>
        <w:jc w:val="left"/>
        <w:rPr>
          <w:rFonts w:hAnsi="宋体"/>
          <w:color w:val="auto"/>
          <w:sz w:val="24"/>
          <w:szCs w:val="18"/>
        </w:rPr>
      </w:pPr>
      <w:r>
        <w:rPr>
          <w:rFonts w:hint="eastAsia" w:hAnsi="宋体"/>
          <w:color w:val="auto"/>
          <w:sz w:val="24"/>
          <w:szCs w:val="18"/>
        </w:rPr>
        <w:t>（</w:t>
      </w:r>
      <w:r>
        <w:rPr>
          <w:rFonts w:hAnsi="宋体"/>
          <w:color w:val="auto"/>
          <w:sz w:val="24"/>
          <w:szCs w:val="18"/>
        </w:rPr>
        <w:t>1</w:t>
      </w:r>
      <w:r>
        <w:rPr>
          <w:rFonts w:hint="eastAsia" w:hAnsi="宋体"/>
          <w:color w:val="auto"/>
          <w:sz w:val="24"/>
          <w:szCs w:val="18"/>
        </w:rPr>
        <w:t>）根据专用条款的约定，发包人依法事先指定的实施、完成部分永久工程的分包人；</w:t>
      </w:r>
    </w:p>
    <w:p w14:paraId="2B91CCDD">
      <w:pPr>
        <w:pStyle w:val="2"/>
        <w:widowControl/>
        <w:adjustRightInd w:val="0"/>
        <w:snapToGrid w:val="0"/>
        <w:spacing w:line="360" w:lineRule="auto"/>
        <w:ind w:left="1978" w:leftChars="942" w:firstLine="16" w:firstLineChars="7"/>
        <w:jc w:val="left"/>
        <w:rPr>
          <w:rFonts w:hAnsi="宋体"/>
          <w:color w:val="auto"/>
          <w:sz w:val="24"/>
          <w:szCs w:val="18"/>
        </w:rPr>
      </w:pPr>
      <w:r>
        <w:rPr>
          <w:rFonts w:hint="eastAsia" w:hAnsi="宋体"/>
          <w:color w:val="auto"/>
          <w:sz w:val="24"/>
          <w:szCs w:val="18"/>
        </w:rPr>
        <w:t>（</w:t>
      </w:r>
      <w:r>
        <w:rPr>
          <w:rFonts w:hAnsi="宋体"/>
          <w:color w:val="auto"/>
          <w:sz w:val="24"/>
          <w:szCs w:val="18"/>
        </w:rPr>
        <w:t>2</w:t>
      </w:r>
      <w:r>
        <w:rPr>
          <w:rFonts w:hint="eastAsia" w:hAnsi="宋体"/>
          <w:color w:val="auto"/>
          <w:sz w:val="24"/>
          <w:szCs w:val="18"/>
        </w:rPr>
        <w:t>）根据专用条款的约定，发包人选定的提供合同工程材料、工程设备和服务的分包人。</w:t>
      </w:r>
    </w:p>
    <w:p w14:paraId="0FD2D2B5">
      <w:pPr>
        <w:spacing w:line="360" w:lineRule="auto"/>
        <w:rPr>
          <w:rFonts w:ascii="宋体"/>
          <w:b/>
          <w:color w:val="auto"/>
          <w:sz w:val="24"/>
          <w:szCs w:val="18"/>
        </w:rPr>
      </w:pPr>
      <w:r>
        <w:rPr>
          <w:rFonts w:ascii="宋体" w:hAnsi="宋体"/>
          <w:b/>
          <w:color w:val="auto"/>
          <w:sz w:val="24"/>
          <w:szCs w:val="18"/>
        </w:rPr>
        <w:t xml:space="preserve">26.2  </w:t>
      </w:r>
    </w:p>
    <w:p w14:paraId="6121C154">
      <w:pPr>
        <w:pStyle w:val="2"/>
        <w:widowControl/>
        <w:adjustRightInd w:val="0"/>
        <w:snapToGrid w:val="0"/>
        <w:spacing w:line="360" w:lineRule="auto"/>
        <w:ind w:left="1978" w:leftChars="942" w:firstLine="2" w:firstLineChars="1"/>
        <w:jc w:val="left"/>
        <w:rPr>
          <w:rFonts w:hAnsi="宋体"/>
          <w:color w:val="auto"/>
          <w:szCs w:val="24"/>
        </w:rPr>
      </w:pPr>
      <w:r>
        <w:rPr>
          <w:color w:val="auto"/>
        </w:rPr>
        <mc:AlternateContent>
          <mc:Choice Requires="wps">
            <w:drawing>
              <wp:anchor distT="0" distB="0" distL="114300" distR="114300" simplePos="0" relativeHeight="251749376" behindDoc="0" locked="0" layoutInCell="1" allowOverlap="1">
                <wp:simplePos x="0" y="0"/>
                <wp:positionH relativeFrom="column">
                  <wp:posOffset>-114300</wp:posOffset>
                </wp:positionH>
                <wp:positionV relativeFrom="paragraph">
                  <wp:posOffset>0</wp:posOffset>
                </wp:positionV>
                <wp:extent cx="1028700" cy="62738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028700" cy="627380"/>
                        </a:xfrm>
                        <a:prstGeom prst="rect">
                          <a:avLst/>
                        </a:prstGeom>
                        <a:noFill/>
                        <a:ln>
                          <a:noFill/>
                        </a:ln>
                        <a:effectLst/>
                      </wps:spPr>
                      <wps:txbx>
                        <w:txbxContent>
                          <w:p w14:paraId="23D1B8D2">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承包人对指定分包人的接受</w:t>
                            </w:r>
                          </w:p>
                        </w:txbxContent>
                      </wps:txbx>
                      <wps:bodyPr upright="1"/>
                    </wps:wsp>
                  </a:graphicData>
                </a:graphic>
              </wp:anchor>
            </w:drawing>
          </mc:Choice>
          <mc:Fallback>
            <w:pict>
              <v:shape id="_x0000_s1026" o:spid="_x0000_s1026" o:spt="202" type="#_x0000_t202" style="position:absolute;left:0pt;margin-left:-9pt;margin-top:0pt;height:49.4pt;width:81pt;z-index:251749376;mso-width-relative:page;mso-height-relative:page;" filled="f" stroked="f" coordsize="21600,21600" o:gfxdata="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aA7AbU&#10;AAAABwEAAA8AAAAAAAAAAQAgAAAAIgAAAGRycy9kb3ducmV2LnhtbFBLAQIUABQAAAAIAIdO4kDQ&#10;qMFesgEAAF4DAAAOAAAAAAAAAAEAIAAAACMBAABkcnMvZTJvRG9jLnhtbFBLBQYAAAAABgAGAFkB&#10;AABHBQAAAAA=&#10;">
                <v:fill on="f" focussize="0,0"/>
                <v:stroke on="f"/>
                <v:imagedata o:title=""/>
                <o:lock v:ext="edit" aspectratio="f"/>
                <v:textbox>
                  <w:txbxContent>
                    <w:p w14:paraId="23D1B8D2">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承包人对指定分包人的接受</w:t>
                      </w:r>
                    </w:p>
                  </w:txbxContent>
                </v:textbox>
              </v:shape>
            </w:pict>
          </mc:Fallback>
        </mc:AlternateContent>
      </w:r>
      <w:r>
        <w:rPr>
          <w:rFonts w:hint="eastAsia" w:hAnsi="宋体"/>
          <w:color w:val="auto"/>
          <w:sz w:val="24"/>
          <w:szCs w:val="18"/>
        </w:rPr>
        <w:t>指定分包人属于承包人的分包人，发包人不应要求承包人有义务接受承包人有理由反对的任何指定分包人。</w:t>
      </w:r>
    </w:p>
    <w:p w14:paraId="539EC683">
      <w:pPr>
        <w:spacing w:line="360" w:lineRule="auto"/>
        <w:rPr>
          <w:rFonts w:ascii="宋体"/>
          <w:b/>
          <w:color w:val="auto"/>
          <w:u w:val="dotted"/>
        </w:rPr>
      </w:pPr>
      <w:r>
        <w:rPr>
          <w:color w:val="auto"/>
        </w:rPr>
        <mc:AlternateContent>
          <mc:Choice Requires="wps">
            <w:drawing>
              <wp:anchor distT="0" distB="0" distL="114300" distR="114300" simplePos="0" relativeHeight="251750400" behindDoc="0" locked="0" layoutInCell="1" allowOverlap="1">
                <wp:simplePos x="0" y="0"/>
                <wp:positionH relativeFrom="column">
                  <wp:posOffset>-114300</wp:posOffset>
                </wp:positionH>
                <wp:positionV relativeFrom="paragraph">
                  <wp:posOffset>237490</wp:posOffset>
                </wp:positionV>
                <wp:extent cx="1028700" cy="699135"/>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028700" cy="699135"/>
                        </a:xfrm>
                        <a:prstGeom prst="rect">
                          <a:avLst/>
                        </a:prstGeom>
                        <a:noFill/>
                        <a:ln>
                          <a:noFill/>
                        </a:ln>
                        <a:effectLst/>
                      </wps:spPr>
                      <wps:txbx>
                        <w:txbxContent>
                          <w:p w14:paraId="1DFD19B1">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指定分包工程款结算与支付</w:t>
                            </w:r>
                          </w:p>
                        </w:txbxContent>
                      </wps:txbx>
                      <wps:bodyPr upright="1"/>
                    </wps:wsp>
                  </a:graphicData>
                </a:graphic>
              </wp:anchor>
            </w:drawing>
          </mc:Choice>
          <mc:Fallback>
            <w:pict>
              <v:shape id="_x0000_s1026" o:spid="_x0000_s1026" o:spt="202" type="#_x0000_t202" style="position:absolute;left:0pt;margin-left:-9pt;margin-top:18.7pt;height:55.05pt;width:81pt;z-index:251750400;mso-width-relative:page;mso-height-relative:page;" filled="f" stroked="f" coordsize="21600,21600" o:gfxdata="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DvL&#10;By7YAAAACgEAAA8AAAAAAAAAAQAgAAAAIgAAAGRycy9kb3ducmV2LnhtbFBLAQIUABQAAAAIAIdO&#10;4kAnwkbesQEAAF4DAAAOAAAAAAAAAAEAIAAAACcBAABkcnMvZTJvRG9jLnhtbFBLBQYAAAAABgAG&#10;AFkBAABKBQAAAAA=&#10;">
                <v:fill on="f" focussize="0,0"/>
                <v:stroke on="f"/>
                <v:imagedata o:title=""/>
                <o:lock v:ext="edit" aspectratio="f"/>
                <v:textbox>
                  <w:txbxContent>
                    <w:p w14:paraId="1DFD19B1">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指定分包工程款结算与支付</w:t>
                      </w:r>
                    </w:p>
                  </w:txbxContent>
                </v:textbox>
              </v:shape>
            </w:pict>
          </mc:Fallback>
        </mc:AlternateContent>
      </w:r>
      <w:r>
        <w:rPr>
          <w:rFonts w:ascii="宋体" w:hAnsi="宋体"/>
          <w:b/>
          <w:color w:val="auto"/>
          <w:sz w:val="24"/>
          <w:szCs w:val="18"/>
        </w:rPr>
        <w:t xml:space="preserve">26.3  </w:t>
      </w:r>
    </w:p>
    <w:p w14:paraId="2423EAAB">
      <w:pPr>
        <w:pStyle w:val="2"/>
        <w:widowControl/>
        <w:adjustRightInd w:val="0"/>
        <w:snapToGrid w:val="0"/>
        <w:spacing w:line="360" w:lineRule="auto"/>
        <w:ind w:firstLine="1920" w:firstLineChars="800"/>
        <w:jc w:val="left"/>
        <w:rPr>
          <w:rFonts w:hAnsi="宋体"/>
          <w:color w:val="auto"/>
          <w:sz w:val="24"/>
          <w:szCs w:val="18"/>
        </w:rPr>
      </w:pPr>
      <w:r>
        <w:rPr>
          <w:rFonts w:hint="eastAsia" w:hAnsi="宋体"/>
          <w:color w:val="auto"/>
          <w:sz w:val="24"/>
          <w:szCs w:val="18"/>
        </w:rPr>
        <w:t>发包人应按照合同的约定向承包人支付指定分包人的分包工程配合费。</w:t>
      </w:r>
    </w:p>
    <w:p w14:paraId="291BFED6">
      <w:pPr>
        <w:pStyle w:val="2"/>
        <w:widowControl/>
        <w:adjustRightInd w:val="0"/>
        <w:snapToGrid w:val="0"/>
        <w:spacing w:line="360" w:lineRule="auto"/>
        <w:ind w:left="1978"/>
        <w:jc w:val="left"/>
        <w:rPr>
          <w:rFonts w:hAnsi="宋体"/>
          <w:color w:val="auto"/>
          <w:szCs w:val="24"/>
        </w:rPr>
      </w:pPr>
      <w:r>
        <w:rPr>
          <w:rFonts w:hint="eastAsia" w:hAnsi="宋体"/>
          <w:color w:val="auto"/>
          <w:sz w:val="24"/>
          <w:szCs w:val="18"/>
        </w:rPr>
        <w:t>指定分包工程款的结算与支付，按照第</w:t>
      </w:r>
      <w:r>
        <w:rPr>
          <w:rFonts w:hAnsi="宋体"/>
          <w:color w:val="auto"/>
          <w:sz w:val="24"/>
          <w:szCs w:val="18"/>
        </w:rPr>
        <w:t>7.4</w:t>
      </w:r>
      <w:r>
        <w:rPr>
          <w:rFonts w:hint="eastAsia" w:hAnsi="宋体"/>
          <w:color w:val="auto"/>
          <w:sz w:val="24"/>
          <w:szCs w:val="18"/>
        </w:rPr>
        <w:t>款办理。</w:t>
      </w:r>
    </w:p>
    <w:p w14:paraId="526A2C17">
      <w:pPr>
        <w:spacing w:line="360" w:lineRule="auto"/>
        <w:rPr>
          <w:rFonts w:ascii="宋体"/>
          <w:b/>
          <w:color w:val="auto"/>
          <w:u w:val="dotted"/>
        </w:rPr>
      </w:pPr>
      <w:r>
        <w:rPr>
          <w:color w:val="auto"/>
        </w:rPr>
        <mc:AlternateContent>
          <mc:Choice Requires="wps">
            <w:drawing>
              <wp:anchor distT="0" distB="0" distL="114300" distR="114300" simplePos="0" relativeHeight="251751424" behindDoc="0" locked="0" layoutInCell="1" allowOverlap="1">
                <wp:simplePos x="0" y="0"/>
                <wp:positionH relativeFrom="column">
                  <wp:posOffset>-66675</wp:posOffset>
                </wp:positionH>
                <wp:positionV relativeFrom="paragraph">
                  <wp:posOffset>199390</wp:posOffset>
                </wp:positionV>
                <wp:extent cx="1133475" cy="791845"/>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133475" cy="791845"/>
                        </a:xfrm>
                        <a:prstGeom prst="rect">
                          <a:avLst/>
                        </a:prstGeom>
                        <a:noFill/>
                        <a:ln>
                          <a:noFill/>
                        </a:ln>
                        <a:effectLst/>
                      </wps:spPr>
                      <wps:txbx>
                        <w:txbxContent>
                          <w:p w14:paraId="2B564E9B">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承包人对指定</w:t>
                            </w:r>
                          </w:p>
                          <w:p w14:paraId="05E6EA5F">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分包工程的义</w:t>
                            </w:r>
                          </w:p>
                          <w:p w14:paraId="3F4E897D">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务</w:t>
                            </w:r>
                          </w:p>
                          <w:p w14:paraId="7A1ECEA3">
                            <w:pPr>
                              <w:rPr>
                                <w:rFonts w:ascii="楷体_GB2312" w:hAnsi="宋体" w:eastAsia="楷体_GB2312"/>
                                <w:b/>
                                <w:color w:val="000000"/>
                              </w:rPr>
                            </w:pPr>
                          </w:p>
                          <w:p w14:paraId="1F0DF050"/>
                          <w:p w14:paraId="3F26B37B"/>
                        </w:txbxContent>
                      </wps:txbx>
                      <wps:bodyPr upright="1"/>
                    </wps:wsp>
                  </a:graphicData>
                </a:graphic>
              </wp:anchor>
            </w:drawing>
          </mc:Choice>
          <mc:Fallback>
            <w:pict>
              <v:shape id="_x0000_s1026" o:spid="_x0000_s1026" o:spt="202" type="#_x0000_t202" style="position:absolute;left:0pt;margin-left:-5.25pt;margin-top:15.7pt;height:62.35pt;width:89.25pt;z-index:251751424;mso-width-relative:page;mso-height-relative:page;" filled="f" stroked="f" coordsize="21600,21600" o:gfxdata="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J&#10;TIIv1wAAAAoBAAAPAAAAAAAAAAEAIAAAACIAAABkcnMvZG93bnJldi54bWxQSwECFAAUAAAACACH&#10;TuJAtNdf6bMBAABeAwAADgAAAAAAAAABACAAAAAmAQAAZHJzL2Uyb0RvYy54bWxQSwUGAAAAAAYA&#10;BgBZAQAASwUAAAAA&#10;">
                <v:fill on="f" focussize="0,0"/>
                <v:stroke on="f"/>
                <v:imagedata o:title=""/>
                <o:lock v:ext="edit" aspectratio="f"/>
                <v:textbox>
                  <w:txbxContent>
                    <w:p w14:paraId="2B564E9B">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承包人对指定</w:t>
                      </w:r>
                    </w:p>
                    <w:p w14:paraId="05E6EA5F">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分包工程的义</w:t>
                      </w:r>
                    </w:p>
                    <w:p w14:paraId="3F4E897D">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务</w:t>
                      </w:r>
                    </w:p>
                    <w:p w14:paraId="7A1ECEA3">
                      <w:pPr>
                        <w:rPr>
                          <w:rFonts w:ascii="楷体_GB2312" w:hAnsi="宋体" w:eastAsia="楷体_GB2312"/>
                          <w:b/>
                          <w:color w:val="000000"/>
                        </w:rPr>
                      </w:pPr>
                    </w:p>
                    <w:p w14:paraId="1F0DF050"/>
                    <w:p w14:paraId="3F26B37B"/>
                  </w:txbxContent>
                </v:textbox>
              </v:shape>
            </w:pict>
          </mc:Fallback>
        </mc:AlternateContent>
      </w:r>
      <w:r>
        <w:rPr>
          <w:rFonts w:ascii="宋体" w:hAnsi="宋体"/>
          <w:b/>
          <w:color w:val="auto"/>
          <w:sz w:val="24"/>
          <w:szCs w:val="18"/>
        </w:rPr>
        <w:t>26.4</w:t>
      </w:r>
    </w:p>
    <w:p w14:paraId="3990C9C6">
      <w:pPr>
        <w:pStyle w:val="2"/>
        <w:widowControl/>
        <w:tabs>
          <w:tab w:val="left" w:pos="1260"/>
        </w:tabs>
        <w:adjustRightInd w:val="0"/>
        <w:snapToGrid w:val="0"/>
        <w:spacing w:line="360" w:lineRule="auto"/>
        <w:ind w:left="1978" w:leftChars="942" w:firstLine="1"/>
        <w:jc w:val="left"/>
        <w:rPr>
          <w:rFonts w:hAnsi="宋体"/>
          <w:color w:val="auto"/>
          <w:sz w:val="24"/>
          <w:szCs w:val="18"/>
        </w:rPr>
      </w:pPr>
      <w:r>
        <w:rPr>
          <w:rFonts w:hint="eastAsia" w:hAnsi="宋体"/>
          <w:color w:val="auto"/>
          <w:sz w:val="24"/>
          <w:szCs w:val="18"/>
        </w:rPr>
        <w:t>指定分包人应按照分包合同的约定对承包人负责。承包人有义务协助、配合指定分包人实施分包工程。</w:t>
      </w:r>
    </w:p>
    <w:p w14:paraId="6EC75C6C">
      <w:pPr>
        <w:spacing w:line="360" w:lineRule="auto"/>
        <w:rPr>
          <w:rFonts w:ascii="宋体"/>
          <w:b/>
          <w:color w:val="auto"/>
          <w:sz w:val="24"/>
          <w:szCs w:val="18"/>
        </w:rPr>
      </w:pPr>
    </w:p>
    <w:p w14:paraId="124AC2F2">
      <w:pPr>
        <w:pStyle w:val="2"/>
        <w:tabs>
          <w:tab w:val="left" w:pos="540"/>
        </w:tabs>
        <w:adjustRightInd w:val="0"/>
        <w:snapToGrid w:val="0"/>
        <w:spacing w:before="240" w:beforeLines="100" w:line="360" w:lineRule="auto"/>
        <w:ind w:right="-238"/>
        <w:rPr>
          <w:rFonts w:hAnsi="宋体"/>
          <w:b/>
          <w:color w:val="auto"/>
          <w:sz w:val="30"/>
          <w:szCs w:val="24"/>
        </w:rPr>
      </w:pPr>
      <w:r>
        <w:rPr>
          <w:rFonts w:hAnsi="宋体"/>
          <w:b/>
          <w:color w:val="auto"/>
          <w:sz w:val="30"/>
          <w:szCs w:val="24"/>
        </w:rPr>
        <w:t xml:space="preserve">27  </w:t>
      </w:r>
      <w:r>
        <w:rPr>
          <w:rFonts w:hint="eastAsia" w:hAnsi="宋体"/>
          <w:b/>
          <w:color w:val="auto"/>
          <w:sz w:val="30"/>
          <w:szCs w:val="24"/>
        </w:rPr>
        <w:t>承包人劳务</w:t>
      </w:r>
    </w:p>
    <w:p w14:paraId="46004A8C">
      <w:pPr>
        <w:spacing w:line="360" w:lineRule="auto"/>
        <w:rPr>
          <w:rFonts w:ascii="宋体"/>
          <w:b/>
          <w:color w:val="auto"/>
          <w:sz w:val="24"/>
          <w:szCs w:val="18"/>
        </w:rPr>
      </w:pPr>
      <w:r>
        <w:rPr>
          <w:rFonts w:ascii="宋体" w:hAnsi="宋体"/>
          <w:b/>
          <w:color w:val="auto"/>
          <w:sz w:val="24"/>
          <w:szCs w:val="18"/>
        </w:rPr>
        <w:t xml:space="preserve">27.1   </w:t>
      </w:r>
    </w:p>
    <w:p w14:paraId="10597A7C">
      <w:pPr>
        <w:widowControl/>
        <w:spacing w:line="360" w:lineRule="auto"/>
        <w:ind w:left="1619" w:leftChars="771"/>
        <w:rPr>
          <w:rFonts w:ascii="宋体"/>
          <w:color w:val="auto"/>
          <w:sz w:val="24"/>
          <w:szCs w:val="18"/>
        </w:rPr>
      </w:pPr>
      <w:r>
        <w:rPr>
          <w:color w:val="auto"/>
        </w:rPr>
        <mc:AlternateContent>
          <mc:Choice Requires="wps">
            <w:drawing>
              <wp:anchor distT="0" distB="0" distL="114300" distR="114300" simplePos="0" relativeHeight="251752448" behindDoc="0" locked="0" layoutInCell="1" allowOverlap="1">
                <wp:simplePos x="0" y="0"/>
                <wp:positionH relativeFrom="column">
                  <wp:posOffset>-114300</wp:posOffset>
                </wp:positionH>
                <wp:positionV relativeFrom="paragraph">
                  <wp:posOffset>8255</wp:posOffset>
                </wp:positionV>
                <wp:extent cx="914400" cy="69215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a:effectLst/>
                      </wps:spPr>
                      <wps:txbx>
                        <w:txbxContent>
                          <w:p w14:paraId="3A238F26">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承包人提交施工机构安排报告</w:t>
                            </w:r>
                          </w:p>
                        </w:txbxContent>
                      </wps:txbx>
                      <wps:bodyPr upright="1"/>
                    </wps:wsp>
                  </a:graphicData>
                </a:graphic>
              </wp:anchor>
            </w:drawing>
          </mc:Choice>
          <mc:Fallback>
            <w:pict>
              <v:shape id="_x0000_s1026" o:spid="_x0000_s1026" o:spt="202" type="#_x0000_t202" style="position:absolute;left:0pt;margin-left:-9pt;margin-top:0.65pt;height:54.5pt;width:72pt;z-index:251752448;mso-width-relative:page;mso-height-relative:page;" filled="f" stroked="f" coordsize="21600,21600" o:gfxdata="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Q7Oq&#10;wtUAAAAJAQAADwAAAAAAAAABACAAAAAiAAAAZHJzL2Rvd25yZXYueG1sUEsBAhQAFAAAAAgAh07i&#10;QEkMVqmzAQAAXQMAAA4AAAAAAAAAAQAgAAAAJAEAAGRycy9lMm9Eb2MueG1sUEsFBgAAAAAGAAYA&#10;WQEAAEkFAAAAAA==&#10;">
                <v:fill on="f" focussize="0,0"/>
                <v:stroke on="f"/>
                <v:imagedata o:title=""/>
                <o:lock v:ext="edit" aspectratio="f"/>
                <v:textbox>
                  <w:txbxContent>
                    <w:p w14:paraId="3A238F26">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承包人提交施工机构安排报告</w:t>
                      </w:r>
                    </w:p>
                  </w:txbxContent>
                </v:textbox>
              </v:shape>
            </w:pict>
          </mc:Fallback>
        </mc:AlternateContent>
      </w:r>
      <w:r>
        <w:rPr>
          <w:rFonts w:hint="eastAsia" w:ascii="宋体" w:hAnsi="宋体"/>
          <w:color w:val="auto"/>
          <w:sz w:val="24"/>
          <w:szCs w:val="18"/>
        </w:rPr>
        <w:t>承包人应在接到开工令后</w:t>
      </w:r>
      <w:r>
        <w:rPr>
          <w:rFonts w:ascii="宋体" w:hAnsi="宋体"/>
          <w:color w:val="auto"/>
          <w:sz w:val="24"/>
          <w:szCs w:val="18"/>
        </w:rPr>
        <w:t>28</w:t>
      </w:r>
      <w:r>
        <w:rPr>
          <w:rFonts w:hint="eastAsia" w:ascii="宋体" w:hAnsi="宋体"/>
          <w:color w:val="auto"/>
          <w:sz w:val="24"/>
          <w:szCs w:val="18"/>
        </w:rPr>
        <w:t>天内，向监理工程师提交承包人在施工场地的管理机构以及人员安排报告，并附上投标文件中的“主要人员一览表”。报告内容应包括管理机构的设置、各主要岗位的技术和管理人员名单及其资格，以及各工种技术工人的安排情况等。</w:t>
      </w:r>
    </w:p>
    <w:p w14:paraId="676FB9BF">
      <w:pPr>
        <w:spacing w:line="360" w:lineRule="auto"/>
        <w:rPr>
          <w:rFonts w:ascii="宋体"/>
          <w:b/>
          <w:color w:val="auto"/>
          <w:sz w:val="24"/>
          <w:szCs w:val="18"/>
        </w:rPr>
      </w:pPr>
      <w:r>
        <w:rPr>
          <w:rFonts w:ascii="宋体" w:hAnsi="宋体"/>
          <w:b/>
          <w:color w:val="auto"/>
          <w:sz w:val="24"/>
          <w:szCs w:val="18"/>
        </w:rPr>
        <w:t xml:space="preserve">27.2 </w:t>
      </w:r>
    </w:p>
    <w:p w14:paraId="313779CE">
      <w:pPr>
        <w:widowControl/>
        <w:spacing w:line="360" w:lineRule="auto"/>
        <w:ind w:left="1619" w:leftChars="771"/>
        <w:rPr>
          <w:rFonts w:ascii="宋体"/>
          <w:color w:val="auto"/>
          <w:sz w:val="24"/>
          <w:szCs w:val="18"/>
        </w:rPr>
      </w:pPr>
      <w:r>
        <w:rPr>
          <w:color w:val="auto"/>
        </w:rPr>
        <mc:AlternateContent>
          <mc:Choice Requires="wps">
            <w:drawing>
              <wp:anchor distT="0" distB="0" distL="114300" distR="114300" simplePos="0" relativeHeight="251753472"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12C3726C">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承包人人员的雇佣</w:t>
                            </w:r>
                          </w:p>
                        </w:txbxContent>
                      </wps:txbx>
                      <wps:bodyPr upright="1"/>
                    </wps:wsp>
                  </a:graphicData>
                </a:graphic>
              </wp:anchor>
            </w:drawing>
          </mc:Choice>
          <mc:Fallback>
            <w:pict>
              <v:shape id="_x0000_s1026" o:spid="_x0000_s1026" o:spt="202" type="#_x0000_t202" style="position:absolute;left:0pt;margin-left:-9pt;margin-top:0.65pt;height:31.2pt;width:72pt;z-index:251753472;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lrdo&#10;ltUAAAAIAQAADwAAAAAAAAABACAAAAAiAAAAZHJzL2Rvd25yZXYueG1sUEsBAhQAFAAAAAgAh07i&#10;QBlfWoyzAQAAXQMAAA4AAAAAAAAAAQAgAAAAJAEAAGRycy9lMm9Eb2MueG1sUEsFBgAAAAAGAAYA&#10;WQEAAEkFAAAAAA==&#10;">
                <v:fill on="f" focussize="0,0"/>
                <v:stroke on="f"/>
                <v:imagedata o:title=""/>
                <o:lock v:ext="edit" aspectratio="f"/>
                <v:textbox>
                  <w:txbxContent>
                    <w:p w14:paraId="12C3726C">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承包人人员的雇佣</w:t>
                      </w:r>
                    </w:p>
                  </w:txbxContent>
                </v:textbox>
              </v:shape>
            </w:pict>
          </mc:Fallback>
        </mc:AlternateContent>
      </w:r>
      <w:r>
        <w:rPr>
          <w:rFonts w:hint="eastAsia" w:ascii="宋体" w:hAnsi="宋体"/>
          <w:color w:val="auto"/>
          <w:sz w:val="24"/>
          <w:szCs w:val="18"/>
        </w:rPr>
        <w:t>承包人除应雇佣投标文件中“主要人员一览表”中指明的人员外，也可以雇佣经监理工程师批准的其他人员，但不得从发包人或服务于发包人的人员中雇佣人员。</w:t>
      </w:r>
    </w:p>
    <w:p w14:paraId="6EE1F309">
      <w:pPr>
        <w:tabs>
          <w:tab w:val="left" w:pos="1620"/>
        </w:tabs>
        <w:spacing w:line="360" w:lineRule="auto"/>
        <w:rPr>
          <w:rFonts w:ascii="宋体"/>
          <w:b/>
          <w:color w:val="auto"/>
          <w:sz w:val="24"/>
          <w:szCs w:val="18"/>
        </w:rPr>
      </w:pPr>
      <w:r>
        <w:rPr>
          <w:rFonts w:ascii="宋体" w:hAnsi="宋体"/>
          <w:b/>
          <w:color w:val="auto"/>
          <w:sz w:val="24"/>
          <w:szCs w:val="18"/>
        </w:rPr>
        <w:t xml:space="preserve">27.3  </w:t>
      </w:r>
    </w:p>
    <w:p w14:paraId="0CC5916F">
      <w:pPr>
        <w:spacing w:line="360" w:lineRule="auto"/>
        <w:ind w:left="1619" w:leftChars="771"/>
        <w:rPr>
          <w:rFonts w:ascii="宋体"/>
          <w:color w:val="auto"/>
          <w:sz w:val="24"/>
          <w:szCs w:val="18"/>
        </w:rPr>
      </w:pPr>
      <w:r>
        <w:rPr>
          <w:color w:val="auto"/>
        </w:rPr>
        <mc:AlternateContent>
          <mc:Choice Requires="wps">
            <w:drawing>
              <wp:anchor distT="0" distB="0" distL="114300" distR="114300" simplePos="0" relativeHeight="251754496" behindDoc="0" locked="0" layoutInCell="1" allowOverlap="1">
                <wp:simplePos x="0" y="0"/>
                <wp:positionH relativeFrom="column">
                  <wp:posOffset>-114300</wp:posOffset>
                </wp:positionH>
                <wp:positionV relativeFrom="paragraph">
                  <wp:posOffset>59690</wp:posOffset>
                </wp:positionV>
                <wp:extent cx="914400" cy="4953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a:effectLst/>
                      </wps:spPr>
                      <wps:txbx>
                        <w:txbxContent>
                          <w:p w14:paraId="07712693">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承包人对雇员应做的工作</w:t>
                            </w:r>
                          </w:p>
                        </w:txbxContent>
                      </wps:txbx>
                      <wps:bodyPr upright="1"/>
                    </wps:wsp>
                  </a:graphicData>
                </a:graphic>
              </wp:anchor>
            </w:drawing>
          </mc:Choice>
          <mc:Fallback>
            <w:pict>
              <v:shape id="_x0000_s1026" o:spid="_x0000_s1026" o:spt="202" type="#_x0000_t202" style="position:absolute;left:0pt;margin-left:-9pt;margin-top:4.7pt;height:39pt;width:72pt;z-index:251754496;mso-width-relative:page;mso-height-relative:page;" filled="f" stroked="f" coordsize="21600,21600" o:gfxdata="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FYCijV&#10;AAAACAEAAA8AAAAAAAAAAQAgAAAAIgAAAGRycy9kb3ducmV2LnhtbFBLAQIUABQAAAAIAIdO4kCR&#10;6IXssQEAAF0DAAAOAAAAAAAAAAEAIAAAACQBAABkcnMvZTJvRG9jLnhtbFBLBQYAAAAABgAGAFkB&#10;AABHBQAAAAA=&#10;">
                <v:fill on="f" focussize="0,0"/>
                <v:stroke on="f"/>
                <v:imagedata o:title=""/>
                <o:lock v:ext="edit" aspectratio="f"/>
                <v:textbox>
                  <w:txbxContent>
                    <w:p w14:paraId="07712693">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承包人对雇员应做的工作</w:t>
                      </w:r>
                    </w:p>
                  </w:txbxContent>
                </v:textbox>
              </v:shape>
            </w:pict>
          </mc:Fallback>
        </mc:AlternateContent>
      </w:r>
      <w:r>
        <w:rPr>
          <w:rFonts w:hint="eastAsia" w:ascii="宋体" w:hAnsi="宋体"/>
          <w:color w:val="auto"/>
          <w:sz w:val="24"/>
          <w:szCs w:val="18"/>
        </w:rPr>
        <w:t>承包人应完善雇员的劳务注册手续，并与雇员订立劳动合同，明确双方的权利和义务。雇佣期间，承包人应做好下列工作：</w:t>
      </w:r>
    </w:p>
    <w:p w14:paraId="12AA0004">
      <w:pPr>
        <w:tabs>
          <w:tab w:val="left" w:pos="1080"/>
          <w:tab w:val="left" w:pos="2160"/>
        </w:tabs>
        <w:spacing w:line="360" w:lineRule="auto"/>
        <w:ind w:left="1619"/>
        <w:rPr>
          <w:rFonts w:ascii="宋体"/>
          <w:color w:val="auto"/>
          <w:sz w:val="24"/>
          <w:szCs w:val="18"/>
        </w:rPr>
      </w:pPr>
      <w:r>
        <w:rPr>
          <w:rFonts w:ascii="宋体" w:hAnsi="宋体"/>
          <w:color w:val="auto"/>
          <w:sz w:val="24"/>
          <w:szCs w:val="18"/>
        </w:rPr>
        <w:t>(1)</w:t>
      </w:r>
      <w:r>
        <w:rPr>
          <w:rFonts w:hint="eastAsia" w:ascii="宋体" w:hAnsi="宋体"/>
          <w:color w:val="auto"/>
          <w:sz w:val="24"/>
          <w:szCs w:val="18"/>
        </w:rPr>
        <w:t>负责为雇员提供必要的食宿及各种生活设施，采取合理的卫生、劳动保护和安全防护措施，保证雇员的健康和安全；</w:t>
      </w:r>
    </w:p>
    <w:p w14:paraId="6F16F8C5">
      <w:pPr>
        <w:tabs>
          <w:tab w:val="left" w:pos="1080"/>
          <w:tab w:val="left" w:pos="2160"/>
        </w:tabs>
        <w:spacing w:line="360" w:lineRule="auto"/>
        <w:ind w:left="1680" w:leftChars="800"/>
        <w:rPr>
          <w:rFonts w:ascii="宋体"/>
          <w:color w:val="auto"/>
          <w:sz w:val="24"/>
          <w:szCs w:val="18"/>
        </w:rPr>
      </w:pPr>
      <w:r>
        <w:rPr>
          <w:rFonts w:ascii="宋体" w:hAnsi="宋体"/>
          <w:color w:val="auto"/>
          <w:sz w:val="24"/>
          <w:szCs w:val="18"/>
        </w:rPr>
        <w:t>(2)</w:t>
      </w:r>
      <w:r>
        <w:rPr>
          <w:rFonts w:hint="eastAsia" w:ascii="宋体" w:hAnsi="宋体"/>
          <w:color w:val="auto"/>
          <w:sz w:val="24"/>
          <w:szCs w:val="18"/>
        </w:rPr>
        <w:t>保障雇员的合法权利和人身安全，及时采取有效措施抢救和治疗施工中受伤害的雇员；</w:t>
      </w:r>
    </w:p>
    <w:p w14:paraId="7F8A267A">
      <w:pPr>
        <w:tabs>
          <w:tab w:val="left" w:pos="2160"/>
        </w:tabs>
        <w:spacing w:line="360" w:lineRule="auto"/>
        <w:ind w:left="1617"/>
        <w:rPr>
          <w:rFonts w:ascii="宋体"/>
          <w:color w:val="auto"/>
          <w:sz w:val="24"/>
          <w:szCs w:val="18"/>
        </w:rPr>
      </w:pPr>
      <w:r>
        <w:rPr>
          <w:rFonts w:ascii="宋体" w:hAnsi="宋体"/>
          <w:color w:val="auto"/>
          <w:sz w:val="24"/>
          <w:szCs w:val="18"/>
        </w:rPr>
        <w:t>(3)</w:t>
      </w:r>
      <w:r>
        <w:rPr>
          <w:rFonts w:hint="eastAsia" w:ascii="宋体" w:hAnsi="宋体"/>
          <w:color w:val="auto"/>
          <w:sz w:val="24"/>
          <w:szCs w:val="18"/>
        </w:rPr>
        <w:t>充分考虑和保障雇员的休息时间和法定节假日休假时间，尊重雇员的宗教信仰和风俗习惯；</w:t>
      </w:r>
    </w:p>
    <w:p w14:paraId="75436ECC">
      <w:pPr>
        <w:tabs>
          <w:tab w:val="left" w:pos="1080"/>
          <w:tab w:val="left" w:pos="2160"/>
        </w:tabs>
        <w:spacing w:line="360" w:lineRule="auto"/>
        <w:ind w:left="1617"/>
        <w:rPr>
          <w:rFonts w:ascii="宋体"/>
          <w:color w:val="auto"/>
          <w:sz w:val="24"/>
          <w:szCs w:val="18"/>
        </w:rPr>
      </w:pPr>
      <w:r>
        <w:rPr>
          <w:rFonts w:ascii="宋体" w:hAnsi="宋体"/>
          <w:color w:val="auto"/>
          <w:sz w:val="24"/>
          <w:szCs w:val="18"/>
        </w:rPr>
        <w:t>(4)</w:t>
      </w:r>
      <w:r>
        <w:rPr>
          <w:rFonts w:hint="eastAsia" w:ascii="宋体" w:hAnsi="宋体"/>
          <w:color w:val="auto"/>
          <w:sz w:val="24"/>
          <w:szCs w:val="18"/>
        </w:rPr>
        <w:t>在施工现场主要出入口处设榜公布雇员工资发放时间和投诉电话，以及合同工程中标价格、进度款支付情况。</w:t>
      </w:r>
    </w:p>
    <w:p w14:paraId="56B575C9">
      <w:pPr>
        <w:tabs>
          <w:tab w:val="left" w:pos="1080"/>
          <w:tab w:val="left" w:pos="2160"/>
        </w:tabs>
        <w:spacing w:line="360" w:lineRule="auto"/>
        <w:ind w:left="1617"/>
        <w:rPr>
          <w:rFonts w:ascii="宋体"/>
          <w:color w:val="auto"/>
          <w:sz w:val="24"/>
          <w:szCs w:val="18"/>
        </w:rPr>
      </w:pPr>
      <w:r>
        <w:rPr>
          <w:rFonts w:ascii="宋体" w:hAnsi="宋体"/>
          <w:color w:val="auto"/>
          <w:sz w:val="24"/>
          <w:szCs w:val="18"/>
        </w:rPr>
        <w:t>(5)</w:t>
      </w:r>
      <w:r>
        <w:rPr>
          <w:rFonts w:hint="eastAsia" w:ascii="宋体" w:hAnsi="宋体"/>
          <w:color w:val="auto"/>
          <w:sz w:val="24"/>
          <w:szCs w:val="18"/>
        </w:rPr>
        <w:t>督促雇员和发包人现场人员应佩戴由合同双方当事人共同盖章、签发的工作证上岗；</w:t>
      </w:r>
    </w:p>
    <w:p w14:paraId="0E45451A">
      <w:pPr>
        <w:tabs>
          <w:tab w:val="left" w:pos="1080"/>
          <w:tab w:val="left" w:pos="2160"/>
        </w:tabs>
        <w:spacing w:line="360" w:lineRule="auto"/>
        <w:ind w:left="1619"/>
        <w:rPr>
          <w:rFonts w:ascii="宋体"/>
          <w:color w:val="auto"/>
          <w:sz w:val="24"/>
          <w:szCs w:val="18"/>
        </w:rPr>
      </w:pPr>
      <w:r>
        <w:rPr>
          <w:rFonts w:ascii="宋体" w:hAnsi="宋体"/>
          <w:color w:val="auto"/>
          <w:sz w:val="24"/>
          <w:szCs w:val="18"/>
        </w:rPr>
        <w:t>(6)</w:t>
      </w:r>
      <w:r>
        <w:rPr>
          <w:rFonts w:hint="eastAsia" w:ascii="宋体" w:hAnsi="宋体"/>
          <w:color w:val="auto"/>
          <w:sz w:val="24"/>
          <w:szCs w:val="18"/>
        </w:rPr>
        <w:t>办理雇员的意外伤害等一切保险，处理雇员因工伤亡事故的善后事宜。</w:t>
      </w:r>
    </w:p>
    <w:p w14:paraId="7058C1A5">
      <w:pPr>
        <w:spacing w:line="360" w:lineRule="auto"/>
        <w:rPr>
          <w:rFonts w:ascii="宋体"/>
          <w:b/>
          <w:color w:val="auto"/>
          <w:sz w:val="24"/>
          <w:szCs w:val="18"/>
        </w:rPr>
      </w:pPr>
      <w:r>
        <w:rPr>
          <w:rFonts w:ascii="宋体" w:hAnsi="宋体"/>
          <w:b/>
          <w:color w:val="auto"/>
          <w:sz w:val="24"/>
          <w:szCs w:val="18"/>
        </w:rPr>
        <w:t xml:space="preserve">27.4  </w:t>
      </w:r>
    </w:p>
    <w:p w14:paraId="04260CDF">
      <w:pPr>
        <w:pStyle w:val="12"/>
        <w:ind w:left="1619" w:leftChars="771"/>
        <w:rPr>
          <w:rFonts w:ascii="宋体"/>
          <w:color w:val="auto"/>
          <w:szCs w:val="18"/>
        </w:rPr>
      </w:pPr>
      <w:r>
        <w:rPr>
          <w:color w:val="auto"/>
        </w:rPr>
        <mc:AlternateContent>
          <mc:Choice Requires="wps">
            <w:drawing>
              <wp:anchor distT="0" distB="0" distL="114300" distR="114300" simplePos="0" relativeHeight="251755520" behindDoc="0" locked="0" layoutInCell="1" allowOverlap="1">
                <wp:simplePos x="0" y="0"/>
                <wp:positionH relativeFrom="column">
                  <wp:posOffset>-114300</wp:posOffset>
                </wp:positionH>
                <wp:positionV relativeFrom="paragraph">
                  <wp:posOffset>0</wp:posOffset>
                </wp:positionV>
                <wp:extent cx="914400" cy="69342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a:effectLst/>
                      </wps:spPr>
                      <wps:txbx>
                        <w:txbxContent>
                          <w:p w14:paraId="5836B282">
                            <w:pPr>
                              <w:spacing w:line="240" w:lineRule="exact"/>
                              <w:rPr>
                                <w:rFonts w:ascii="楷体_GB2312" w:hAnsi="宋体" w:eastAsia="楷体_GB2312"/>
                                <w:b/>
                                <w:color w:val="000000"/>
                                <w:sz w:val="18"/>
                                <w:szCs w:val="18"/>
                              </w:rPr>
                            </w:pPr>
                            <w:r>
                              <w:rPr>
                                <w:rFonts w:hint="eastAsia" w:ascii="楷体_GB2312" w:eastAsia="楷体_GB2312"/>
                                <w:b/>
                                <w:color w:val="000000"/>
                                <w:sz w:val="18"/>
                                <w:szCs w:val="18"/>
                              </w:rPr>
                              <w:t>承包人特殊时间施工的批准</w:t>
                            </w:r>
                          </w:p>
                        </w:txbxContent>
                      </wps:txbx>
                      <wps:bodyPr upright="1"/>
                    </wps:wsp>
                  </a:graphicData>
                </a:graphic>
              </wp:anchor>
            </w:drawing>
          </mc:Choice>
          <mc:Fallback>
            <w:pict>
              <v:shape id="_x0000_s1026" o:spid="_x0000_s1026" o:spt="202" type="#_x0000_t202" style="position:absolute;left:0pt;margin-left:-9pt;margin-top:0pt;height:54.6pt;width:72pt;z-index:251755520;mso-width-relative:page;mso-height-relative:page;" filled="f" stroked="f" coordsize="21600,21600" o:gfxdata="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OURUz&#10;1AAAAAgBAAAPAAAAAAAAAAEAIAAAACIAAABkcnMvZG93bnJldi54bWxQSwECFAAUAAAACACHTuJA&#10;0MBm0rMBAABdAwAADgAAAAAAAAABACAAAAAjAQAAZHJzL2Uyb0RvYy54bWxQSwUGAAAAAAYABgBZ&#10;AQAASAUAAAAA&#10;">
                <v:fill on="f" focussize="0,0"/>
                <v:stroke on="f"/>
                <v:imagedata o:title=""/>
                <o:lock v:ext="edit" aspectratio="f"/>
                <v:textbox>
                  <w:txbxContent>
                    <w:p w14:paraId="5836B282">
                      <w:pPr>
                        <w:spacing w:line="240" w:lineRule="exact"/>
                        <w:rPr>
                          <w:rFonts w:ascii="楷体_GB2312" w:hAnsi="宋体" w:eastAsia="楷体_GB2312"/>
                          <w:b/>
                          <w:color w:val="000000"/>
                          <w:sz w:val="18"/>
                          <w:szCs w:val="18"/>
                        </w:rPr>
                      </w:pPr>
                      <w:r>
                        <w:rPr>
                          <w:rFonts w:hint="eastAsia" w:ascii="楷体_GB2312" w:eastAsia="楷体_GB2312"/>
                          <w:b/>
                          <w:color w:val="000000"/>
                          <w:sz w:val="18"/>
                          <w:szCs w:val="18"/>
                        </w:rPr>
                        <w:t>承包人特殊时间施工的批准</w:t>
                      </w:r>
                    </w:p>
                  </w:txbxContent>
                </v:textbox>
              </v:shape>
            </w:pict>
          </mc:Fallback>
        </mc:AlternateContent>
      </w:r>
      <w:r>
        <w:rPr>
          <w:rFonts w:hint="eastAsia" w:ascii="宋体"/>
          <w:color w:val="auto"/>
          <w:szCs w:val="18"/>
        </w:rPr>
        <w:t>承包人如需在法定节假日施工，应经监理工程师同意；如需在夜间施工，除应经监理工程师同意外，还应经有关部门批准。此类情况，均不得超过法律规定的限度，并应按照法律规定给予雇员补休或付酬。如无特殊原因，只要在不影响工程质量、施工安全、周围环境的情况下，监理工程师应予同意。但为抢救生命、保护财产，或为工程安全、质量而不可避免的作业，则无需事先经监理工程师同意。</w:t>
      </w:r>
    </w:p>
    <w:p w14:paraId="23429622">
      <w:pPr>
        <w:spacing w:line="360" w:lineRule="auto"/>
        <w:rPr>
          <w:rFonts w:ascii="宋体"/>
          <w:b/>
          <w:color w:val="auto"/>
          <w:sz w:val="24"/>
          <w:szCs w:val="18"/>
        </w:rPr>
      </w:pPr>
      <w:r>
        <w:rPr>
          <w:rFonts w:ascii="宋体" w:hAnsi="宋体"/>
          <w:b/>
          <w:color w:val="auto"/>
          <w:sz w:val="24"/>
          <w:szCs w:val="18"/>
        </w:rPr>
        <w:t xml:space="preserve">27.5  </w:t>
      </w:r>
    </w:p>
    <w:p w14:paraId="4C5853FD">
      <w:pPr>
        <w:pStyle w:val="12"/>
        <w:ind w:left="1619" w:leftChars="771"/>
        <w:rPr>
          <w:rFonts w:ascii="宋体"/>
          <w:color w:val="auto"/>
          <w:szCs w:val="18"/>
        </w:rPr>
      </w:pPr>
      <w:r>
        <w:rPr>
          <w:color w:val="auto"/>
        </w:rPr>
        <mc:AlternateContent>
          <mc:Choice Requires="wps">
            <w:drawing>
              <wp:anchor distT="0" distB="0" distL="114300" distR="114300" simplePos="0" relativeHeight="251756544" behindDoc="0" locked="0" layoutInCell="1" allowOverlap="1">
                <wp:simplePos x="0" y="0"/>
                <wp:positionH relativeFrom="column">
                  <wp:posOffset>-114300</wp:posOffset>
                </wp:positionH>
                <wp:positionV relativeFrom="paragraph">
                  <wp:posOffset>0</wp:posOffset>
                </wp:positionV>
                <wp:extent cx="914400" cy="480695"/>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914400" cy="480695"/>
                        </a:xfrm>
                        <a:prstGeom prst="rect">
                          <a:avLst/>
                        </a:prstGeom>
                        <a:noFill/>
                        <a:ln>
                          <a:noFill/>
                        </a:ln>
                        <a:effectLst/>
                      </wps:spPr>
                      <wps:txbx>
                        <w:txbxContent>
                          <w:p w14:paraId="3677F3BC">
                            <w:pPr>
                              <w:spacing w:line="240" w:lineRule="exact"/>
                              <w:rPr>
                                <w:rFonts w:ascii="楷体_GB2312" w:hAnsi="宋体" w:eastAsia="楷体_GB2312"/>
                                <w:b/>
                                <w:color w:val="000000"/>
                                <w:sz w:val="18"/>
                                <w:szCs w:val="18"/>
                              </w:rPr>
                            </w:pPr>
                            <w:r>
                              <w:rPr>
                                <w:rFonts w:hint="eastAsia" w:ascii="楷体_GB2312" w:eastAsia="楷体_GB2312"/>
                                <w:b/>
                                <w:color w:val="000000"/>
                                <w:sz w:val="18"/>
                                <w:szCs w:val="18"/>
                              </w:rPr>
                              <w:t>承包人向雇员支付劳务工资</w:t>
                            </w:r>
                          </w:p>
                        </w:txbxContent>
                      </wps:txbx>
                      <wps:bodyPr upright="1"/>
                    </wps:wsp>
                  </a:graphicData>
                </a:graphic>
              </wp:anchor>
            </w:drawing>
          </mc:Choice>
          <mc:Fallback>
            <w:pict>
              <v:shape id="_x0000_s1026" o:spid="_x0000_s1026" o:spt="202" type="#_x0000_t202" style="position:absolute;left:0pt;margin-left:-9pt;margin-top:0pt;height:37.85pt;width:72pt;z-index:251756544;mso-width-relative:page;mso-height-relative:page;" filled="f" stroked="f" coordsize="21600,21600" o:gfxdata="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2Nuey&#10;1QAAAAcBAAAPAAAAAAAAAAEAIAAAACIAAABkcnMvZG93bnJldi54bWxQSwECFAAUAAAACACHTuJA&#10;3KMl87IBAABdAwAADgAAAAAAAAABACAAAAAkAQAAZHJzL2Uyb0RvYy54bWxQSwUGAAAAAAYABgBZ&#10;AQAASAUAAAAA&#10;">
                <v:fill on="f" focussize="0,0"/>
                <v:stroke on="f"/>
                <v:imagedata o:title=""/>
                <o:lock v:ext="edit" aspectratio="f"/>
                <v:textbox>
                  <w:txbxContent>
                    <w:p w14:paraId="3677F3BC">
                      <w:pPr>
                        <w:spacing w:line="240" w:lineRule="exact"/>
                        <w:rPr>
                          <w:rFonts w:ascii="楷体_GB2312" w:hAnsi="宋体" w:eastAsia="楷体_GB2312"/>
                          <w:b/>
                          <w:color w:val="000000"/>
                          <w:sz w:val="18"/>
                          <w:szCs w:val="18"/>
                        </w:rPr>
                      </w:pPr>
                      <w:r>
                        <w:rPr>
                          <w:rFonts w:hint="eastAsia" w:ascii="楷体_GB2312" w:eastAsia="楷体_GB2312"/>
                          <w:b/>
                          <w:color w:val="000000"/>
                          <w:sz w:val="18"/>
                          <w:szCs w:val="18"/>
                        </w:rPr>
                        <w:t>承包人向雇员支付劳务工资</w:t>
                      </w:r>
                    </w:p>
                  </w:txbxContent>
                </v:textbox>
              </v:shape>
            </w:pict>
          </mc:Fallback>
        </mc:AlternateContent>
      </w:r>
      <w:r>
        <w:rPr>
          <w:rFonts w:hint="eastAsia" w:ascii="宋体"/>
          <w:color w:val="auto"/>
          <w:szCs w:val="18"/>
        </w:rPr>
        <w:t>承包人应按照时足额向雇员支付劳务工资，并不低于当地最低工资标准。因承包人拖欠其雇员工资而造成群体性示威、游行等一切后果，由承包人承担。对发包人造成损失和（或）导致工期延误的，应赔偿发包人的损失，工期不予顺延。</w:t>
      </w:r>
    </w:p>
    <w:p w14:paraId="49B2205F">
      <w:pPr>
        <w:spacing w:line="360" w:lineRule="auto"/>
        <w:rPr>
          <w:rFonts w:ascii="宋体"/>
          <w:b/>
          <w:color w:val="auto"/>
          <w:sz w:val="24"/>
          <w:szCs w:val="18"/>
        </w:rPr>
      </w:pPr>
      <w:r>
        <w:rPr>
          <w:rFonts w:ascii="宋体" w:hAnsi="宋体"/>
          <w:b/>
          <w:color w:val="auto"/>
          <w:sz w:val="24"/>
          <w:szCs w:val="18"/>
        </w:rPr>
        <w:t xml:space="preserve">27.6  </w:t>
      </w:r>
    </w:p>
    <w:p w14:paraId="4D0BA354">
      <w:pPr>
        <w:spacing w:line="360" w:lineRule="auto"/>
        <w:ind w:left="1619" w:leftChars="771"/>
        <w:rPr>
          <w:rFonts w:ascii="宋体"/>
          <w:color w:val="auto"/>
          <w:sz w:val="24"/>
          <w:szCs w:val="18"/>
        </w:rPr>
      </w:pPr>
      <w:r>
        <w:rPr>
          <w:color w:val="auto"/>
        </w:rPr>
        <mc:AlternateContent>
          <mc:Choice Requires="wps">
            <w:drawing>
              <wp:anchor distT="0" distB="0" distL="114300" distR="114300" simplePos="0" relativeHeight="251757568" behindDoc="0" locked="0" layoutInCell="1" allowOverlap="1">
                <wp:simplePos x="0" y="0"/>
                <wp:positionH relativeFrom="column">
                  <wp:posOffset>-114300</wp:posOffset>
                </wp:positionH>
                <wp:positionV relativeFrom="paragraph">
                  <wp:posOffset>0</wp:posOffset>
                </wp:positionV>
                <wp:extent cx="914400" cy="89154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914400" cy="891540"/>
                        </a:xfrm>
                        <a:prstGeom prst="rect">
                          <a:avLst/>
                        </a:prstGeom>
                        <a:noFill/>
                        <a:ln>
                          <a:noFill/>
                        </a:ln>
                        <a:effectLst/>
                      </wps:spPr>
                      <wps:txbx>
                        <w:txbxContent>
                          <w:p w14:paraId="759F48E8">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承包人向工地派遣雇员的要求</w:t>
                            </w:r>
                          </w:p>
                        </w:txbxContent>
                      </wps:txbx>
                      <wps:bodyPr upright="1"/>
                    </wps:wsp>
                  </a:graphicData>
                </a:graphic>
              </wp:anchor>
            </w:drawing>
          </mc:Choice>
          <mc:Fallback>
            <w:pict>
              <v:shape id="_x0000_s1026" o:spid="_x0000_s1026" o:spt="202" type="#_x0000_t202" style="position:absolute;left:0pt;margin-left:-9pt;margin-top:0pt;height:70.2pt;width:72pt;z-index:251757568;mso-width-relative:page;mso-height-relative:page;" filled="f" stroked="f" coordsize="21600,21600" o:gfxdata="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Ss4xE&#10;1AAAAAgBAAAPAAAAAAAAAAEAIAAAACIAAABkcnMvZG93bnJldi54bWxQSwECFAAUAAAACACHTuJA&#10;Em50U7MBAABdAwAADgAAAAAAAAABACAAAAAjAQAAZHJzL2Uyb0RvYy54bWxQSwUGAAAAAAYABgBZ&#10;AQAASAUAAAAA&#10;">
                <v:fill on="f" focussize="0,0"/>
                <v:stroke on="f"/>
                <v:imagedata o:title=""/>
                <o:lock v:ext="edit" aspectratio="f"/>
                <v:textbox>
                  <w:txbxContent>
                    <w:p w14:paraId="759F48E8">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承包人向工地派遣雇员的要求</w:t>
                      </w:r>
                    </w:p>
                  </w:txbxContent>
                </v:textbox>
              </v:shape>
            </w:pict>
          </mc:Fallback>
        </mc:AlternateContent>
      </w:r>
      <w:r>
        <w:rPr>
          <w:rFonts w:hint="eastAsia" w:ascii="宋体" w:hAnsi="宋体"/>
          <w:color w:val="auto"/>
          <w:sz w:val="24"/>
          <w:szCs w:val="18"/>
        </w:rPr>
        <w:t>承包人的雇员应是在行业或职业内具有相应资格、技能和经验的人员。承包人应向施工场地派遣足够数量的下列雇员：</w:t>
      </w:r>
    </w:p>
    <w:p w14:paraId="616FBC6A">
      <w:pPr>
        <w:numPr>
          <w:ilvl w:val="1"/>
          <w:numId w:val="8"/>
        </w:numPr>
        <w:tabs>
          <w:tab w:val="left" w:pos="2160"/>
          <w:tab w:val="left" w:pos="2340"/>
        </w:tabs>
        <w:spacing w:line="360" w:lineRule="auto"/>
        <w:ind w:left="1619" w:leftChars="771" w:firstLine="0"/>
        <w:rPr>
          <w:rFonts w:ascii="宋体"/>
          <w:color w:val="auto"/>
          <w:sz w:val="24"/>
          <w:szCs w:val="18"/>
        </w:rPr>
      </w:pPr>
      <w:r>
        <w:rPr>
          <w:rFonts w:hint="eastAsia" w:ascii="宋体" w:hAnsi="宋体"/>
          <w:color w:val="auto"/>
          <w:sz w:val="24"/>
          <w:szCs w:val="18"/>
        </w:rPr>
        <w:t>具有相应资格的专业技工和合格的普工；</w:t>
      </w:r>
    </w:p>
    <w:p w14:paraId="3570F5D7">
      <w:pPr>
        <w:numPr>
          <w:ilvl w:val="1"/>
          <w:numId w:val="8"/>
        </w:numPr>
        <w:tabs>
          <w:tab w:val="left" w:pos="2160"/>
          <w:tab w:val="left" w:pos="2340"/>
        </w:tabs>
        <w:spacing w:line="360" w:lineRule="auto"/>
        <w:ind w:left="1619" w:leftChars="771" w:firstLine="0"/>
        <w:rPr>
          <w:rFonts w:ascii="宋体"/>
          <w:color w:val="auto"/>
          <w:sz w:val="24"/>
          <w:szCs w:val="18"/>
        </w:rPr>
      </w:pPr>
      <w:r>
        <w:rPr>
          <w:rFonts w:hint="eastAsia" w:ascii="宋体" w:hAnsi="宋体"/>
          <w:color w:val="auto"/>
          <w:sz w:val="24"/>
          <w:szCs w:val="18"/>
        </w:rPr>
        <w:t>具有相应施工经验的技术人员；</w:t>
      </w:r>
    </w:p>
    <w:p w14:paraId="227CA1D8">
      <w:pPr>
        <w:numPr>
          <w:ilvl w:val="1"/>
          <w:numId w:val="8"/>
        </w:numPr>
        <w:tabs>
          <w:tab w:val="left" w:pos="2160"/>
          <w:tab w:val="left" w:pos="2340"/>
        </w:tabs>
        <w:spacing w:line="360" w:lineRule="auto"/>
        <w:ind w:left="1619" w:leftChars="771" w:firstLine="0"/>
        <w:rPr>
          <w:rFonts w:ascii="宋体"/>
          <w:color w:val="auto"/>
          <w:sz w:val="24"/>
          <w:szCs w:val="18"/>
        </w:rPr>
      </w:pPr>
      <w:r>
        <w:rPr>
          <w:rFonts w:hint="eastAsia" w:ascii="宋体" w:hAnsi="宋体"/>
          <w:color w:val="auto"/>
          <w:sz w:val="24"/>
          <w:szCs w:val="18"/>
        </w:rPr>
        <w:t>具有相应岗位资格的各级管理人员。</w:t>
      </w:r>
    </w:p>
    <w:p w14:paraId="67C3ECD6">
      <w:pPr>
        <w:spacing w:line="360" w:lineRule="auto"/>
        <w:rPr>
          <w:rFonts w:ascii="宋体"/>
          <w:b/>
          <w:color w:val="auto"/>
          <w:sz w:val="24"/>
          <w:szCs w:val="18"/>
        </w:rPr>
      </w:pPr>
      <w:r>
        <w:rPr>
          <w:rFonts w:ascii="宋体" w:hAnsi="宋体"/>
          <w:b/>
          <w:color w:val="auto"/>
          <w:sz w:val="24"/>
          <w:szCs w:val="18"/>
        </w:rPr>
        <w:t xml:space="preserve">27.7  </w:t>
      </w:r>
    </w:p>
    <w:p w14:paraId="0089808D">
      <w:pPr>
        <w:spacing w:line="360" w:lineRule="auto"/>
        <w:ind w:left="1619" w:leftChars="771"/>
        <w:rPr>
          <w:rFonts w:ascii="宋体"/>
          <w:color w:val="auto"/>
          <w:sz w:val="24"/>
          <w:szCs w:val="18"/>
        </w:rPr>
      </w:pPr>
      <w:r>
        <w:rPr>
          <w:color w:val="auto"/>
        </w:rPr>
        <mc:AlternateContent>
          <mc:Choice Requires="wps">
            <w:drawing>
              <wp:anchor distT="0" distB="0" distL="114300" distR="114300" simplePos="0" relativeHeight="251758592" behindDoc="0" locked="0" layoutInCell="1" allowOverlap="1">
                <wp:simplePos x="0" y="0"/>
                <wp:positionH relativeFrom="column">
                  <wp:posOffset>-114300</wp:posOffset>
                </wp:positionH>
                <wp:positionV relativeFrom="paragraph">
                  <wp:posOffset>0</wp:posOffset>
                </wp:positionV>
                <wp:extent cx="914400" cy="511175"/>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914400" cy="511175"/>
                        </a:xfrm>
                        <a:prstGeom prst="rect">
                          <a:avLst/>
                        </a:prstGeom>
                        <a:noFill/>
                        <a:ln>
                          <a:noFill/>
                        </a:ln>
                        <a:effectLst/>
                      </wps:spPr>
                      <wps:txbx>
                        <w:txbxContent>
                          <w:p w14:paraId="10CCFCE8">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承包人雇员安排和撤换</w:t>
                            </w:r>
                          </w:p>
                        </w:txbxContent>
                      </wps:txbx>
                      <wps:bodyPr upright="1"/>
                    </wps:wsp>
                  </a:graphicData>
                </a:graphic>
              </wp:anchor>
            </w:drawing>
          </mc:Choice>
          <mc:Fallback>
            <w:pict>
              <v:shape id="_x0000_s1026" o:spid="_x0000_s1026" o:spt="202" type="#_x0000_t202" style="position:absolute;left:0pt;margin-left:-9pt;margin-top:0pt;height:40.25pt;width:72pt;z-index:251758592;mso-width-relative:page;mso-height-relative:page;" filled="f" stroked="f" coordsize="21600,21600" o:gfxdata="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ZvzKHU&#10;AAAABwEAAA8AAAAAAAAAAQAgAAAAIgAAAGRycy9kb3ducmV2LnhtbFBLAQIUABQAAAAIAIdO4kBE&#10;vgx3sgEAAF0DAAAOAAAAAAAAAAEAIAAAACMBAABkcnMvZTJvRG9jLnhtbFBLBQYAAAAABgAGAFkB&#10;AABHBQAAAAA=&#10;">
                <v:fill on="f" focussize="0,0"/>
                <v:stroke on="f"/>
                <v:imagedata o:title=""/>
                <o:lock v:ext="edit" aspectratio="f"/>
                <v:textbox>
                  <w:txbxContent>
                    <w:p w14:paraId="10CCFCE8">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承包人雇员安排和撤换</w:t>
                      </w:r>
                    </w:p>
                  </w:txbxContent>
                </v:textbox>
              </v:shape>
            </w:pict>
          </mc:Fallback>
        </mc:AlternateContent>
      </w:r>
      <w:r>
        <w:rPr>
          <w:rFonts w:hint="eastAsia" w:ascii="宋体" w:hAnsi="宋体"/>
          <w:color w:val="auto"/>
          <w:sz w:val="24"/>
          <w:szCs w:val="18"/>
        </w:rPr>
        <w:t>承包人安排在施工场地的雇员应保持相对稳定，但有下列行为的任何承包人雇员，监理工程师可要求承包人将其撤换：</w:t>
      </w:r>
    </w:p>
    <w:p w14:paraId="5BEBF576">
      <w:pPr>
        <w:numPr>
          <w:ilvl w:val="0"/>
          <w:numId w:val="13"/>
        </w:numPr>
        <w:tabs>
          <w:tab w:val="left" w:pos="2160"/>
        </w:tabs>
        <w:spacing w:line="360" w:lineRule="auto"/>
        <w:rPr>
          <w:rFonts w:ascii="宋体"/>
          <w:color w:val="auto"/>
          <w:sz w:val="24"/>
          <w:szCs w:val="18"/>
        </w:rPr>
      </w:pPr>
      <w:r>
        <w:rPr>
          <w:rFonts w:hint="eastAsia" w:ascii="宋体" w:hAnsi="宋体"/>
          <w:color w:val="auto"/>
          <w:sz w:val="24"/>
          <w:szCs w:val="18"/>
        </w:rPr>
        <w:t>经常行为不当，或工作漫不经心；</w:t>
      </w:r>
    </w:p>
    <w:p w14:paraId="3E814C69">
      <w:pPr>
        <w:numPr>
          <w:ilvl w:val="0"/>
          <w:numId w:val="13"/>
        </w:numPr>
        <w:tabs>
          <w:tab w:val="left" w:pos="2160"/>
        </w:tabs>
        <w:spacing w:line="360" w:lineRule="auto"/>
        <w:rPr>
          <w:rFonts w:ascii="宋体"/>
          <w:color w:val="auto"/>
          <w:sz w:val="24"/>
          <w:szCs w:val="18"/>
        </w:rPr>
      </w:pPr>
      <w:r>
        <w:rPr>
          <w:rFonts w:hint="eastAsia" w:ascii="宋体" w:hAnsi="宋体"/>
          <w:color w:val="auto"/>
          <w:sz w:val="24"/>
          <w:szCs w:val="18"/>
        </w:rPr>
        <w:t>无能力履行义务或玩忽职守；</w:t>
      </w:r>
    </w:p>
    <w:p w14:paraId="27463A38">
      <w:pPr>
        <w:numPr>
          <w:ilvl w:val="0"/>
          <w:numId w:val="13"/>
        </w:numPr>
        <w:tabs>
          <w:tab w:val="left" w:pos="2160"/>
        </w:tabs>
        <w:spacing w:line="360" w:lineRule="auto"/>
        <w:rPr>
          <w:rFonts w:ascii="宋体"/>
          <w:color w:val="auto"/>
          <w:sz w:val="24"/>
          <w:szCs w:val="18"/>
        </w:rPr>
      </w:pPr>
      <w:r>
        <w:rPr>
          <w:rFonts w:hint="eastAsia" w:ascii="宋体" w:hAnsi="宋体"/>
          <w:color w:val="auto"/>
          <w:sz w:val="24"/>
          <w:szCs w:val="18"/>
        </w:rPr>
        <w:t>不遵守合同的约定；</w:t>
      </w:r>
    </w:p>
    <w:p w14:paraId="65319BA6">
      <w:pPr>
        <w:numPr>
          <w:ilvl w:val="0"/>
          <w:numId w:val="13"/>
        </w:numPr>
        <w:tabs>
          <w:tab w:val="left" w:pos="2160"/>
        </w:tabs>
        <w:spacing w:line="360" w:lineRule="auto"/>
        <w:rPr>
          <w:rFonts w:ascii="宋体"/>
          <w:color w:val="auto"/>
          <w:sz w:val="24"/>
          <w:szCs w:val="18"/>
        </w:rPr>
      </w:pPr>
      <w:r>
        <w:rPr>
          <w:rFonts w:hint="eastAsia" w:ascii="宋体" w:hAnsi="宋体"/>
          <w:color w:val="auto"/>
          <w:sz w:val="24"/>
          <w:szCs w:val="18"/>
        </w:rPr>
        <w:t>有损安全、健康和不利于环境保护的行为。</w:t>
      </w:r>
    </w:p>
    <w:p w14:paraId="7E389484">
      <w:pPr>
        <w:spacing w:line="360" w:lineRule="auto"/>
        <w:rPr>
          <w:rFonts w:ascii="宋体"/>
          <w:b/>
          <w:color w:val="auto"/>
          <w:sz w:val="24"/>
          <w:szCs w:val="18"/>
        </w:rPr>
      </w:pPr>
      <w:r>
        <w:rPr>
          <w:rFonts w:ascii="宋体" w:hAnsi="宋体"/>
          <w:b/>
          <w:color w:val="auto"/>
          <w:sz w:val="24"/>
          <w:szCs w:val="18"/>
        </w:rPr>
        <w:t xml:space="preserve">27.8  </w:t>
      </w:r>
    </w:p>
    <w:p w14:paraId="6CFE79AE">
      <w:pPr>
        <w:pStyle w:val="12"/>
        <w:ind w:left="1619" w:leftChars="771"/>
        <w:rPr>
          <w:rFonts w:ascii="宋体"/>
          <w:color w:val="auto"/>
          <w:szCs w:val="18"/>
        </w:rPr>
      </w:pPr>
      <w:r>
        <w:rPr>
          <w:color w:val="auto"/>
        </w:rPr>
        <mc:AlternateContent>
          <mc:Choice Requires="wps">
            <w:drawing>
              <wp:anchor distT="0" distB="0" distL="114300" distR="114300" simplePos="0" relativeHeight="251759616" behindDoc="0" locked="0" layoutInCell="1" allowOverlap="1">
                <wp:simplePos x="0" y="0"/>
                <wp:positionH relativeFrom="column">
                  <wp:posOffset>-114300</wp:posOffset>
                </wp:positionH>
                <wp:positionV relativeFrom="paragraph">
                  <wp:posOffset>0</wp:posOffset>
                </wp:positionV>
                <wp:extent cx="914400" cy="434975"/>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914400" cy="434975"/>
                        </a:xfrm>
                        <a:prstGeom prst="rect">
                          <a:avLst/>
                        </a:prstGeom>
                        <a:noFill/>
                        <a:ln>
                          <a:noFill/>
                        </a:ln>
                        <a:effectLst/>
                      </wps:spPr>
                      <wps:txbx>
                        <w:txbxContent>
                          <w:p w14:paraId="6CD26078">
                            <w:pPr>
                              <w:spacing w:line="240" w:lineRule="exact"/>
                              <w:rPr>
                                <w:rFonts w:ascii="楷体_GB2312" w:hAnsi="宋体" w:eastAsia="楷体_GB2312"/>
                                <w:b/>
                                <w:color w:val="000000"/>
                                <w:sz w:val="18"/>
                                <w:szCs w:val="18"/>
                              </w:rPr>
                            </w:pPr>
                            <w:r>
                              <w:rPr>
                                <w:rFonts w:hint="eastAsia" w:ascii="楷体_GB2312" w:eastAsia="楷体_GB2312"/>
                                <w:b/>
                                <w:color w:val="000000"/>
                                <w:sz w:val="18"/>
                                <w:szCs w:val="18"/>
                              </w:rPr>
                              <w:t>承包人对雇员的保护</w:t>
                            </w:r>
                          </w:p>
                        </w:txbxContent>
                      </wps:txbx>
                      <wps:bodyPr upright="1"/>
                    </wps:wsp>
                  </a:graphicData>
                </a:graphic>
              </wp:anchor>
            </w:drawing>
          </mc:Choice>
          <mc:Fallback>
            <w:pict>
              <v:shape id="_x0000_s1026" o:spid="_x0000_s1026" o:spt="202" type="#_x0000_t202" style="position:absolute;left:0pt;margin-left:-9pt;margin-top:0pt;height:34.25pt;width:72pt;z-index:251759616;mso-width-relative:page;mso-height-relative:page;" filled="f" stroked="f" coordsize="21600,21600" o:gfxdata="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0tdjv&#10;1QAAAAcBAAAPAAAAAAAAAAEAIAAAACIAAABkcnMvZG93bnJldi54bWxQSwECFAAUAAAACACHTuJA&#10;3UeLQLIBAABdAwAADgAAAAAAAAABACAAAAAkAQAAZHJzL2Uyb0RvYy54bWxQSwUGAAAAAAYABgBZ&#10;AQAASAUAAAAA&#10;">
                <v:fill on="f" focussize="0,0"/>
                <v:stroke on="f"/>
                <v:imagedata o:title=""/>
                <o:lock v:ext="edit" aspectratio="f"/>
                <v:textbox>
                  <w:txbxContent>
                    <w:p w14:paraId="6CD26078">
                      <w:pPr>
                        <w:spacing w:line="240" w:lineRule="exact"/>
                        <w:rPr>
                          <w:rFonts w:ascii="楷体_GB2312" w:hAnsi="宋体" w:eastAsia="楷体_GB2312"/>
                          <w:b/>
                          <w:color w:val="000000"/>
                          <w:sz w:val="18"/>
                          <w:szCs w:val="18"/>
                        </w:rPr>
                      </w:pPr>
                      <w:r>
                        <w:rPr>
                          <w:rFonts w:hint="eastAsia" w:ascii="楷体_GB2312" w:eastAsia="楷体_GB2312"/>
                          <w:b/>
                          <w:color w:val="000000"/>
                          <w:sz w:val="18"/>
                          <w:szCs w:val="18"/>
                        </w:rPr>
                        <w:t>承包人对雇员的保护</w:t>
                      </w:r>
                    </w:p>
                  </w:txbxContent>
                </v:textbox>
              </v:shape>
            </w:pict>
          </mc:Fallback>
        </mc:AlternateContent>
      </w:r>
      <w:r>
        <w:rPr>
          <w:rFonts w:hint="eastAsia" w:ascii="宋体"/>
          <w:color w:val="auto"/>
          <w:szCs w:val="18"/>
        </w:rPr>
        <w:t>承包人应自始至终采取各种合理的预防措施，防止雇员内部发生打斗和任何无序、非法的不良行为，以确保现场安定和保护现场及邻近人员的生命、财产安全。</w:t>
      </w:r>
    </w:p>
    <w:p w14:paraId="5F24A88D">
      <w:pPr>
        <w:spacing w:line="360" w:lineRule="auto"/>
        <w:rPr>
          <w:color w:val="auto"/>
        </w:rPr>
      </w:pPr>
    </w:p>
    <w:p w14:paraId="334555A6">
      <w:pPr>
        <w:pStyle w:val="2"/>
        <w:adjustRightInd w:val="0"/>
        <w:snapToGrid w:val="0"/>
        <w:spacing w:line="360" w:lineRule="auto"/>
        <w:ind w:right="-238"/>
        <w:jc w:val="center"/>
        <w:outlineLvl w:val="1"/>
        <w:rPr>
          <w:rFonts w:hAnsi="宋体"/>
          <w:b/>
          <w:color w:val="auto"/>
          <w:sz w:val="32"/>
          <w:szCs w:val="28"/>
        </w:rPr>
      </w:pPr>
      <w:r>
        <w:rPr>
          <w:rFonts w:hint="eastAsia" w:hAnsi="宋体"/>
          <w:b/>
          <w:color w:val="auto"/>
          <w:sz w:val="32"/>
          <w:szCs w:val="28"/>
        </w:rPr>
        <w:t>三、担保、保险与风险</w:t>
      </w:r>
    </w:p>
    <w:p w14:paraId="62D09993">
      <w:pPr>
        <w:pStyle w:val="2"/>
        <w:tabs>
          <w:tab w:val="left" w:pos="540"/>
        </w:tabs>
        <w:adjustRightInd w:val="0"/>
        <w:snapToGrid w:val="0"/>
        <w:spacing w:before="240" w:beforeLines="100" w:line="360" w:lineRule="auto"/>
        <w:ind w:right="-238"/>
        <w:rPr>
          <w:rFonts w:hAnsi="宋体"/>
          <w:b/>
          <w:color w:val="auto"/>
          <w:sz w:val="30"/>
          <w:szCs w:val="24"/>
        </w:rPr>
      </w:pPr>
      <w:r>
        <w:rPr>
          <w:rFonts w:hAnsi="宋体"/>
          <w:b/>
          <w:color w:val="auto"/>
          <w:sz w:val="30"/>
          <w:szCs w:val="24"/>
        </w:rPr>
        <w:t xml:space="preserve">28  </w:t>
      </w:r>
      <w:r>
        <w:rPr>
          <w:rFonts w:hint="eastAsia" w:hAnsi="宋体"/>
          <w:b/>
          <w:color w:val="auto"/>
          <w:sz w:val="30"/>
          <w:szCs w:val="24"/>
        </w:rPr>
        <w:t>工程担保</w:t>
      </w:r>
    </w:p>
    <w:p w14:paraId="3790A12B">
      <w:pPr>
        <w:pStyle w:val="2"/>
        <w:tabs>
          <w:tab w:val="left" w:pos="1320"/>
        </w:tabs>
        <w:adjustRightInd w:val="0"/>
        <w:snapToGrid w:val="0"/>
        <w:spacing w:line="360" w:lineRule="auto"/>
        <w:ind w:right="-240"/>
        <w:rPr>
          <w:rFonts w:hAnsi="宋体"/>
          <w:b/>
          <w:color w:val="auto"/>
          <w:sz w:val="24"/>
          <w:szCs w:val="18"/>
        </w:rPr>
      </w:pPr>
      <w:r>
        <w:rPr>
          <w:color w:val="auto"/>
        </w:rPr>
        <mc:AlternateContent>
          <mc:Choice Requires="wps">
            <w:drawing>
              <wp:anchor distT="0" distB="0" distL="114300" distR="114300" simplePos="0" relativeHeight="251760640" behindDoc="0" locked="0" layoutInCell="1" allowOverlap="1">
                <wp:simplePos x="0" y="0"/>
                <wp:positionH relativeFrom="column">
                  <wp:posOffset>-114300</wp:posOffset>
                </wp:positionH>
                <wp:positionV relativeFrom="paragraph">
                  <wp:posOffset>243840</wp:posOffset>
                </wp:positionV>
                <wp:extent cx="914400" cy="39624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17A6AEF4">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承包人提供履约担保</w:t>
                            </w:r>
                          </w:p>
                        </w:txbxContent>
                      </wps:txbx>
                      <wps:bodyPr upright="1"/>
                    </wps:wsp>
                  </a:graphicData>
                </a:graphic>
              </wp:anchor>
            </w:drawing>
          </mc:Choice>
          <mc:Fallback>
            <w:pict>
              <v:shape id="_x0000_s1026" o:spid="_x0000_s1026" o:spt="202" type="#_x0000_t202" style="position:absolute;left:0pt;margin-left:-9pt;margin-top:19.2pt;height:31.2pt;width:72pt;z-index:251760640;mso-width-relative:page;mso-height-relative:page;" filled="f" stroked="f" coordsize="21600,21600" o:gfxdata="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7gbl&#10;BNcAAAAKAQAADwAAAAAAAAABACAAAAAiAAAAZHJzL2Rvd25yZXYueG1sUEsBAhQAFAAAAAgAh07i&#10;QKQfG7KxAQAAXwMAAA4AAAAAAAAAAQAgAAAAJgEAAGRycy9lMm9Eb2MueG1sUEsFBgAAAAAGAAYA&#10;WQEAAEkFAAAAAA==&#10;">
                <v:fill on="f" focussize="0,0"/>
                <v:stroke on="f"/>
                <v:imagedata o:title=""/>
                <o:lock v:ext="edit" aspectratio="f"/>
                <v:textbox>
                  <w:txbxContent>
                    <w:p w14:paraId="17A6AEF4">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承包人提供履约担保</w:t>
                      </w:r>
                    </w:p>
                  </w:txbxContent>
                </v:textbox>
              </v:shape>
            </w:pict>
          </mc:Fallback>
        </mc:AlternateContent>
      </w:r>
      <w:r>
        <w:rPr>
          <w:rFonts w:hAnsi="宋体"/>
          <w:b/>
          <w:color w:val="auto"/>
          <w:sz w:val="24"/>
          <w:szCs w:val="18"/>
        </w:rPr>
        <w:t xml:space="preserve">28.1       </w:t>
      </w:r>
    </w:p>
    <w:p w14:paraId="00B779EA">
      <w:pPr>
        <w:pStyle w:val="2"/>
        <w:adjustRightInd w:val="0"/>
        <w:snapToGrid w:val="0"/>
        <w:spacing w:line="360" w:lineRule="auto"/>
        <w:ind w:left="1619" w:leftChars="771" w:right="-238"/>
        <w:rPr>
          <w:rFonts w:hAnsi="宋体"/>
          <w:color w:val="auto"/>
          <w:sz w:val="24"/>
          <w:szCs w:val="18"/>
        </w:rPr>
      </w:pPr>
      <w:r>
        <w:rPr>
          <w:rFonts w:hint="eastAsia" w:hAnsi="宋体"/>
          <w:color w:val="auto"/>
          <w:sz w:val="24"/>
          <w:szCs w:val="18"/>
        </w:rPr>
        <w:t>为正确履行本合同，发包人应在招标文件中或在签订合同前明确履约担保的有关要求，承包人应按照合同约定时间向发包人提供履约担保。履约担保采用银行保函的形式，提供履约保函所发生的费用由承包人承担。</w:t>
      </w:r>
    </w:p>
    <w:p w14:paraId="2C6A4295">
      <w:pPr>
        <w:pStyle w:val="2"/>
        <w:tabs>
          <w:tab w:val="left" w:pos="1320"/>
        </w:tabs>
        <w:adjustRightInd w:val="0"/>
        <w:snapToGrid w:val="0"/>
        <w:spacing w:line="360" w:lineRule="auto"/>
        <w:ind w:right="-240"/>
        <w:rPr>
          <w:rFonts w:hAnsi="宋体"/>
          <w:b/>
          <w:color w:val="auto"/>
          <w:sz w:val="24"/>
          <w:szCs w:val="18"/>
        </w:rPr>
      </w:pPr>
      <w:r>
        <w:rPr>
          <w:color w:val="auto"/>
        </w:rPr>
        <mc:AlternateContent>
          <mc:Choice Requires="wps">
            <w:drawing>
              <wp:anchor distT="0" distB="0" distL="114300" distR="114300" simplePos="0" relativeHeight="251761664" behindDoc="0" locked="0" layoutInCell="1" allowOverlap="1">
                <wp:simplePos x="0" y="0"/>
                <wp:positionH relativeFrom="column">
                  <wp:posOffset>-114300</wp:posOffset>
                </wp:positionH>
                <wp:positionV relativeFrom="paragraph">
                  <wp:posOffset>255905</wp:posOffset>
                </wp:positionV>
                <wp:extent cx="914400" cy="39497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914400" cy="394970"/>
                        </a:xfrm>
                        <a:prstGeom prst="rect">
                          <a:avLst/>
                        </a:prstGeom>
                        <a:noFill/>
                        <a:ln>
                          <a:noFill/>
                        </a:ln>
                        <a:effectLst/>
                      </wps:spPr>
                      <wps:txbx>
                        <w:txbxContent>
                          <w:p w14:paraId="0A2A29EC">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履约担保期限和退还</w:t>
                            </w:r>
                          </w:p>
                        </w:txbxContent>
                      </wps:txbx>
                      <wps:bodyPr upright="1"/>
                    </wps:wsp>
                  </a:graphicData>
                </a:graphic>
              </wp:anchor>
            </w:drawing>
          </mc:Choice>
          <mc:Fallback>
            <w:pict>
              <v:shape id="_x0000_s1026" o:spid="_x0000_s1026" o:spt="202" type="#_x0000_t202" style="position:absolute;left:0pt;margin-left:-9pt;margin-top:20.15pt;height:31.1pt;width:72pt;z-index:251761664;mso-width-relative:page;mso-height-relative:page;" filled="f" stroked="f" coordsize="21600,21600" o:gfxdata="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K&#10;R51I1wAAAAoBAAAPAAAAAAAAAAEAIAAAACIAAABkcnMvZG93bnJldi54bWxQSwECFAAUAAAACACH&#10;TuJAAJa+OLMBAABfAwAADgAAAAAAAAABACAAAAAmAQAAZHJzL2Uyb0RvYy54bWxQSwUGAAAAAAYA&#10;BgBZAQAASwUAAAAA&#10;">
                <v:fill on="f" focussize="0,0"/>
                <v:stroke on="f"/>
                <v:imagedata o:title=""/>
                <o:lock v:ext="edit" aspectratio="f"/>
                <v:textbox>
                  <w:txbxContent>
                    <w:p w14:paraId="0A2A29EC">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履约担保期限和退还</w:t>
                      </w:r>
                    </w:p>
                  </w:txbxContent>
                </v:textbox>
              </v:shape>
            </w:pict>
          </mc:Fallback>
        </mc:AlternateContent>
      </w:r>
      <w:r>
        <w:rPr>
          <w:rFonts w:hAnsi="宋体"/>
          <w:b/>
          <w:color w:val="auto"/>
          <w:sz w:val="24"/>
          <w:szCs w:val="18"/>
        </w:rPr>
        <w:t xml:space="preserve">28.2  </w:t>
      </w:r>
    </w:p>
    <w:p w14:paraId="267941D0">
      <w:pPr>
        <w:pStyle w:val="2"/>
        <w:adjustRightInd w:val="0"/>
        <w:snapToGrid w:val="0"/>
        <w:spacing w:line="360" w:lineRule="auto"/>
        <w:ind w:left="1619" w:leftChars="771" w:right="-238"/>
        <w:rPr>
          <w:rFonts w:hAnsi="宋体"/>
          <w:color w:val="auto"/>
          <w:sz w:val="24"/>
          <w:szCs w:val="18"/>
        </w:rPr>
      </w:pPr>
      <w:r>
        <w:rPr>
          <w:rFonts w:hint="eastAsia" w:hAnsi="宋体"/>
          <w:color w:val="auto"/>
          <w:sz w:val="24"/>
          <w:szCs w:val="18"/>
        </w:rPr>
        <w:t>履约担保的有效期，是从提供履约担保之日起至合同工程竣工验收合格之日止。发包人应在担保有效期满后的</w:t>
      </w:r>
      <w:r>
        <w:rPr>
          <w:rFonts w:hAnsi="宋体"/>
          <w:color w:val="auto"/>
          <w:sz w:val="24"/>
          <w:szCs w:val="18"/>
        </w:rPr>
        <w:t xml:space="preserve">14 </w:t>
      </w:r>
      <w:r>
        <w:rPr>
          <w:rFonts w:hint="eastAsia" w:hAnsi="宋体"/>
          <w:color w:val="auto"/>
          <w:sz w:val="24"/>
          <w:szCs w:val="18"/>
        </w:rPr>
        <w:t>天内将此担保退还给承包人。</w:t>
      </w:r>
    </w:p>
    <w:p w14:paraId="04B18A11">
      <w:pPr>
        <w:pStyle w:val="2"/>
        <w:tabs>
          <w:tab w:val="left" w:pos="1320"/>
        </w:tabs>
        <w:adjustRightInd w:val="0"/>
        <w:snapToGrid w:val="0"/>
        <w:spacing w:line="360" w:lineRule="auto"/>
        <w:ind w:right="-238"/>
        <w:rPr>
          <w:rFonts w:hAnsi="宋体"/>
          <w:b/>
          <w:color w:val="auto"/>
          <w:sz w:val="24"/>
          <w:szCs w:val="18"/>
        </w:rPr>
      </w:pPr>
      <w:r>
        <w:rPr>
          <w:color w:val="auto"/>
        </w:rPr>
        <mc:AlternateContent>
          <mc:Choice Requires="wps">
            <w:drawing>
              <wp:anchor distT="0" distB="0" distL="114300" distR="114300" simplePos="0" relativeHeight="251762688" behindDoc="0" locked="0" layoutInCell="1" allowOverlap="1">
                <wp:simplePos x="0" y="0"/>
                <wp:positionH relativeFrom="column">
                  <wp:posOffset>-114300</wp:posOffset>
                </wp:positionH>
                <wp:positionV relativeFrom="paragraph">
                  <wp:posOffset>248920</wp:posOffset>
                </wp:positionV>
                <wp:extent cx="914400" cy="4953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a:effectLst/>
                      </wps:spPr>
                      <wps:txbx>
                        <w:txbxContent>
                          <w:p w14:paraId="643619D2">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向发包人支付索赔款项</w:t>
                            </w:r>
                          </w:p>
                        </w:txbxContent>
                      </wps:txbx>
                      <wps:bodyPr upright="1"/>
                    </wps:wsp>
                  </a:graphicData>
                </a:graphic>
              </wp:anchor>
            </w:drawing>
          </mc:Choice>
          <mc:Fallback>
            <w:pict>
              <v:shape id="_x0000_s1026" o:spid="_x0000_s1026" o:spt="202" type="#_x0000_t202" style="position:absolute;left:0pt;margin-left:-9pt;margin-top:19.6pt;height:39pt;width:72pt;z-index:251762688;mso-width-relative:page;mso-height-relative:page;" filled="f" stroked="f" coordsize="21600,21600" o:gfxdata="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1&#10;uyQ+2AAAAAoBAAAPAAAAAAAAAAEAIAAAACIAAABkcnMvZG93bnJldi54bWxQSwECFAAUAAAACACH&#10;TuJA4tX4lrIBAABfAwAADgAAAAAAAAABACAAAAAnAQAAZHJzL2Uyb0RvYy54bWxQSwUGAAAAAAYA&#10;BgBZAQAASwUAAAAA&#10;">
                <v:fill on="f" focussize="0,0"/>
                <v:stroke on="f"/>
                <v:imagedata o:title=""/>
                <o:lock v:ext="edit" aspectratio="f"/>
                <v:textbox>
                  <w:txbxContent>
                    <w:p w14:paraId="643619D2">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向发包人支付索赔款项</w:t>
                      </w:r>
                    </w:p>
                  </w:txbxContent>
                </v:textbox>
              </v:shape>
            </w:pict>
          </mc:Fallback>
        </mc:AlternateContent>
      </w:r>
      <w:r>
        <w:rPr>
          <w:rFonts w:hAnsi="宋体"/>
          <w:b/>
          <w:color w:val="auto"/>
          <w:sz w:val="24"/>
          <w:szCs w:val="18"/>
        </w:rPr>
        <w:t xml:space="preserve">28.3  </w:t>
      </w:r>
    </w:p>
    <w:p w14:paraId="2E163894">
      <w:pPr>
        <w:pStyle w:val="2"/>
        <w:adjustRightInd w:val="0"/>
        <w:snapToGrid w:val="0"/>
        <w:spacing w:line="360" w:lineRule="auto"/>
        <w:ind w:left="1619" w:leftChars="771" w:right="-238"/>
        <w:rPr>
          <w:rFonts w:hAnsi="宋体"/>
          <w:b/>
          <w:color w:val="auto"/>
          <w:sz w:val="24"/>
          <w:szCs w:val="18"/>
        </w:rPr>
      </w:pPr>
      <w:r>
        <w:rPr>
          <w:rFonts w:hint="eastAsia" w:hAnsi="宋体"/>
          <w:color w:val="auto"/>
          <w:sz w:val="24"/>
          <w:szCs w:val="18"/>
        </w:rPr>
        <w:t>发包人在对履约担保提出索赔要求之前，应书面通知承包人，说明导致此项索赔的原因，并及时向担保人提出索赔文件。担保人根据担保合同的约定在担保范围内承担担保责任，并无须征得承包人的同意，直接向发包人支付索赔价款。</w:t>
      </w:r>
    </w:p>
    <w:p w14:paraId="3F64BEDA">
      <w:pPr>
        <w:pStyle w:val="2"/>
        <w:tabs>
          <w:tab w:val="left" w:pos="540"/>
          <w:tab w:val="left" w:pos="720"/>
        </w:tabs>
        <w:adjustRightInd w:val="0"/>
        <w:snapToGrid w:val="0"/>
        <w:spacing w:line="360" w:lineRule="auto"/>
        <w:ind w:right="-238"/>
        <w:rPr>
          <w:rFonts w:hAnsi="宋体"/>
          <w:b/>
          <w:color w:val="auto"/>
          <w:sz w:val="24"/>
          <w:szCs w:val="18"/>
        </w:rPr>
      </w:pPr>
      <w:r>
        <w:rPr>
          <w:color w:val="auto"/>
        </w:rPr>
        <mc:AlternateContent>
          <mc:Choice Requires="wps">
            <w:drawing>
              <wp:anchor distT="0" distB="0" distL="114300" distR="114300" simplePos="0" relativeHeight="251763712" behindDoc="0" locked="0" layoutInCell="1" allowOverlap="1">
                <wp:simplePos x="0" y="0"/>
                <wp:positionH relativeFrom="column">
                  <wp:posOffset>-114300</wp:posOffset>
                </wp:positionH>
                <wp:positionV relativeFrom="paragraph">
                  <wp:posOffset>251460</wp:posOffset>
                </wp:positionV>
                <wp:extent cx="914400" cy="41783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914400" cy="417830"/>
                        </a:xfrm>
                        <a:prstGeom prst="rect">
                          <a:avLst/>
                        </a:prstGeom>
                        <a:noFill/>
                        <a:ln>
                          <a:noFill/>
                        </a:ln>
                        <a:effectLst/>
                      </wps:spPr>
                      <wps:txbx>
                        <w:txbxContent>
                          <w:p w14:paraId="1D273B44">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发包人提供支付担保</w:t>
                            </w:r>
                          </w:p>
                        </w:txbxContent>
                      </wps:txbx>
                      <wps:bodyPr upright="1"/>
                    </wps:wsp>
                  </a:graphicData>
                </a:graphic>
              </wp:anchor>
            </w:drawing>
          </mc:Choice>
          <mc:Fallback>
            <w:pict>
              <v:shape id="_x0000_s1026" o:spid="_x0000_s1026" o:spt="202" type="#_x0000_t202" style="position:absolute;left:0pt;margin-left:-9pt;margin-top:19.8pt;height:32.9pt;width:72pt;z-index:251763712;mso-width-relative:page;mso-height-relative:page;" filled="f" stroked="f" coordsize="21600,21600" o:gfxdata="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CxO/mNgAAAAKAQAADwAAAAAAAAABACAAAAAiAAAAZHJzL2Rvd25yZXYueG1sUEsBAhQAFAAAAAgA&#10;h07iQFB6dHqzAQAAXwMAAA4AAAAAAAAAAQAgAAAAJwEAAGRycy9lMm9Eb2MueG1sUEsFBgAAAAAG&#10;AAYAWQEAAEwFAAAAAA==&#10;">
                <v:fill on="f" focussize="0,0"/>
                <v:stroke on="f"/>
                <v:imagedata o:title=""/>
                <o:lock v:ext="edit" aspectratio="f"/>
                <v:textbox>
                  <w:txbxContent>
                    <w:p w14:paraId="1D273B44">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发包人提供支付担保</w:t>
                      </w:r>
                    </w:p>
                  </w:txbxContent>
                </v:textbox>
              </v:shape>
            </w:pict>
          </mc:Fallback>
        </mc:AlternateContent>
      </w:r>
      <w:r>
        <w:rPr>
          <w:rFonts w:hAnsi="宋体"/>
          <w:b/>
          <w:color w:val="auto"/>
          <w:sz w:val="24"/>
          <w:szCs w:val="18"/>
        </w:rPr>
        <w:t xml:space="preserve">28.4  </w:t>
      </w:r>
    </w:p>
    <w:p w14:paraId="6F743059">
      <w:pPr>
        <w:pStyle w:val="2"/>
        <w:adjustRightInd w:val="0"/>
        <w:snapToGrid w:val="0"/>
        <w:spacing w:line="360" w:lineRule="auto"/>
        <w:ind w:left="1619" w:leftChars="771" w:right="-238"/>
        <w:rPr>
          <w:rFonts w:hAnsi="宋体"/>
          <w:color w:val="auto"/>
          <w:sz w:val="24"/>
          <w:szCs w:val="18"/>
        </w:rPr>
      </w:pPr>
      <w:r>
        <w:rPr>
          <w:rFonts w:hint="eastAsia" w:hAnsi="宋体"/>
          <w:color w:val="auto"/>
          <w:sz w:val="24"/>
          <w:szCs w:val="18"/>
        </w:rPr>
        <w:t>承包人按照第</w:t>
      </w:r>
      <w:r>
        <w:rPr>
          <w:rFonts w:hAnsi="宋体"/>
          <w:color w:val="auto"/>
          <w:sz w:val="24"/>
          <w:szCs w:val="18"/>
        </w:rPr>
        <w:t>28.1</w:t>
      </w:r>
      <w:r>
        <w:rPr>
          <w:rFonts w:hint="eastAsia" w:hAnsi="宋体"/>
          <w:color w:val="auto"/>
          <w:sz w:val="24"/>
          <w:szCs w:val="18"/>
        </w:rPr>
        <w:t>款的要求提交了履约担保，发包人应按照合同约定时间向承包人提交与履约担保等值的支付担保。支付担保采用银行保函的形式，提供支付保函所发生的费用由发包人承担。</w:t>
      </w:r>
    </w:p>
    <w:p w14:paraId="24795411">
      <w:pPr>
        <w:pStyle w:val="2"/>
        <w:tabs>
          <w:tab w:val="left" w:pos="1320"/>
        </w:tabs>
        <w:adjustRightInd w:val="0"/>
        <w:snapToGrid w:val="0"/>
        <w:spacing w:line="360" w:lineRule="auto"/>
        <w:ind w:right="-238"/>
        <w:rPr>
          <w:rFonts w:hAnsi="宋体"/>
          <w:b/>
          <w:color w:val="auto"/>
          <w:sz w:val="24"/>
          <w:szCs w:val="18"/>
        </w:rPr>
      </w:pPr>
      <w:r>
        <w:rPr>
          <w:color w:val="auto"/>
        </w:rPr>
        <mc:AlternateContent>
          <mc:Choice Requires="wps">
            <w:drawing>
              <wp:anchor distT="0" distB="0" distL="114300" distR="114300" simplePos="0" relativeHeight="251764736" behindDoc="0" locked="0" layoutInCell="1" allowOverlap="1">
                <wp:simplePos x="0" y="0"/>
                <wp:positionH relativeFrom="column">
                  <wp:posOffset>-114300</wp:posOffset>
                </wp:positionH>
                <wp:positionV relativeFrom="paragraph">
                  <wp:posOffset>238125</wp:posOffset>
                </wp:positionV>
                <wp:extent cx="914400" cy="41275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914400" cy="412750"/>
                        </a:xfrm>
                        <a:prstGeom prst="rect">
                          <a:avLst/>
                        </a:prstGeom>
                        <a:noFill/>
                        <a:ln>
                          <a:noFill/>
                        </a:ln>
                        <a:effectLst/>
                      </wps:spPr>
                      <wps:txbx>
                        <w:txbxContent>
                          <w:p w14:paraId="6EDA6879">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支付担保期限和退还</w:t>
                            </w:r>
                          </w:p>
                        </w:txbxContent>
                      </wps:txbx>
                      <wps:bodyPr upright="1"/>
                    </wps:wsp>
                  </a:graphicData>
                </a:graphic>
              </wp:anchor>
            </w:drawing>
          </mc:Choice>
          <mc:Fallback>
            <w:pict>
              <v:shape id="_x0000_s1026" o:spid="_x0000_s1026" o:spt="202" type="#_x0000_t202" style="position:absolute;left:0pt;margin-left:-9pt;margin-top:18.75pt;height:32.5pt;width:72pt;z-index:251764736;mso-width-relative:page;mso-height-relative:page;" filled="f" stroked="f" coordsize="21600,21600" o:gfxdata="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PDJ2NgAAAAKAQAADwAAAAAAAAABACAAAAAiAAAAZHJzL2Rvd25yZXYueG1sUEsBAhQAFAAAAAgA&#10;h07iQLHpCd+zAQAAXwMAAA4AAAAAAAAAAQAgAAAAJwEAAGRycy9lMm9Eb2MueG1sUEsFBgAAAAAG&#10;AAYAWQEAAEwFAAAAAA==&#10;">
                <v:fill on="f" focussize="0,0"/>
                <v:stroke on="f"/>
                <v:imagedata o:title=""/>
                <o:lock v:ext="edit" aspectratio="f"/>
                <v:textbox>
                  <w:txbxContent>
                    <w:p w14:paraId="6EDA6879">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支付担保期限和退还</w:t>
                      </w:r>
                    </w:p>
                  </w:txbxContent>
                </v:textbox>
              </v:shape>
            </w:pict>
          </mc:Fallback>
        </mc:AlternateContent>
      </w:r>
      <w:r>
        <w:rPr>
          <w:rFonts w:hAnsi="宋体"/>
          <w:b/>
          <w:color w:val="auto"/>
          <w:sz w:val="24"/>
          <w:szCs w:val="18"/>
        </w:rPr>
        <w:t xml:space="preserve">28.5  </w:t>
      </w:r>
    </w:p>
    <w:p w14:paraId="74828F67">
      <w:pPr>
        <w:pStyle w:val="2"/>
        <w:adjustRightInd w:val="0"/>
        <w:snapToGrid w:val="0"/>
        <w:spacing w:line="360" w:lineRule="auto"/>
        <w:ind w:left="1619" w:leftChars="771" w:right="-238"/>
        <w:rPr>
          <w:rFonts w:hAnsi="宋体"/>
          <w:color w:val="auto"/>
          <w:sz w:val="24"/>
          <w:szCs w:val="18"/>
        </w:rPr>
      </w:pPr>
      <w:r>
        <w:rPr>
          <w:rFonts w:hint="eastAsia" w:hAnsi="宋体"/>
          <w:color w:val="auto"/>
          <w:sz w:val="24"/>
          <w:szCs w:val="18"/>
        </w:rPr>
        <w:t>支付担保的有效期，是从提供支付担保之日起至发包人根据本合同约定支付完除质量保证金以外的全部款项之日止。承包人应在担保有效期满后的</w:t>
      </w:r>
      <w:r>
        <w:rPr>
          <w:rFonts w:hAnsi="宋体"/>
          <w:color w:val="auto"/>
          <w:sz w:val="24"/>
          <w:szCs w:val="18"/>
        </w:rPr>
        <w:t>14</w:t>
      </w:r>
      <w:r>
        <w:rPr>
          <w:rFonts w:hint="eastAsia" w:hAnsi="宋体"/>
          <w:color w:val="auto"/>
          <w:sz w:val="24"/>
          <w:szCs w:val="18"/>
        </w:rPr>
        <w:t>天内将此担保退还给发包人。</w:t>
      </w:r>
    </w:p>
    <w:p w14:paraId="3891B1B7">
      <w:pPr>
        <w:pStyle w:val="2"/>
        <w:tabs>
          <w:tab w:val="left" w:pos="1320"/>
        </w:tabs>
        <w:adjustRightInd w:val="0"/>
        <w:snapToGrid w:val="0"/>
        <w:spacing w:line="360" w:lineRule="auto"/>
        <w:ind w:right="-238"/>
        <w:rPr>
          <w:rFonts w:hAnsi="宋体"/>
          <w:b/>
          <w:color w:val="auto"/>
          <w:sz w:val="24"/>
          <w:szCs w:val="18"/>
        </w:rPr>
      </w:pPr>
      <w:r>
        <w:rPr>
          <w:color w:val="auto"/>
        </w:rPr>
        <mc:AlternateContent>
          <mc:Choice Requires="wps">
            <w:drawing>
              <wp:anchor distT="0" distB="0" distL="114300" distR="114300" simplePos="0" relativeHeight="251765760" behindDoc="0" locked="0" layoutInCell="1" allowOverlap="1">
                <wp:simplePos x="0" y="0"/>
                <wp:positionH relativeFrom="column">
                  <wp:posOffset>-114300</wp:posOffset>
                </wp:positionH>
                <wp:positionV relativeFrom="paragraph">
                  <wp:posOffset>247650</wp:posOffset>
                </wp:positionV>
                <wp:extent cx="914400" cy="39624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527D8015">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向承包人支付索赔款项</w:t>
                            </w:r>
                          </w:p>
                        </w:txbxContent>
                      </wps:txbx>
                      <wps:bodyPr upright="1"/>
                    </wps:wsp>
                  </a:graphicData>
                </a:graphic>
              </wp:anchor>
            </w:drawing>
          </mc:Choice>
          <mc:Fallback>
            <w:pict>
              <v:shape id="_x0000_s1026" o:spid="_x0000_s1026" o:spt="202" type="#_x0000_t202" style="position:absolute;left:0pt;margin-left:-9pt;margin-top:19.5pt;height:31.2pt;width:72pt;z-index:251765760;mso-width-relative:page;mso-height-relative:page;" filled="f" stroked="f" coordsize="21600,21600" o:gfxdata="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JKG&#10;kGLWAAAACgEAAA8AAAAAAAAAAQAgAAAAIgAAAGRycy9kb3ducmV2LnhtbFBLAQIUABQAAAAIAIdO&#10;4kCEDG/eswEAAF8DAAAOAAAAAAAAAAEAIAAAACUBAABkcnMvZTJvRG9jLnhtbFBLBQYAAAAABgAG&#10;AFkBAABKBQAAAAA=&#10;">
                <v:fill on="f" focussize="0,0"/>
                <v:stroke on="f"/>
                <v:imagedata o:title=""/>
                <o:lock v:ext="edit" aspectratio="f"/>
                <v:textbox>
                  <w:txbxContent>
                    <w:p w14:paraId="527D8015">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向承包人支付索赔款项</w:t>
                      </w:r>
                    </w:p>
                  </w:txbxContent>
                </v:textbox>
              </v:shape>
            </w:pict>
          </mc:Fallback>
        </mc:AlternateContent>
      </w:r>
      <w:r>
        <w:rPr>
          <w:rFonts w:hAnsi="宋体"/>
          <w:b/>
          <w:color w:val="auto"/>
          <w:sz w:val="24"/>
          <w:szCs w:val="18"/>
        </w:rPr>
        <w:t xml:space="preserve">28.6  </w:t>
      </w:r>
    </w:p>
    <w:p w14:paraId="45E03FC9">
      <w:pPr>
        <w:pStyle w:val="2"/>
        <w:adjustRightInd w:val="0"/>
        <w:snapToGrid w:val="0"/>
        <w:spacing w:line="360" w:lineRule="auto"/>
        <w:ind w:left="1619" w:leftChars="771" w:right="-238"/>
        <w:rPr>
          <w:rFonts w:hAnsi="宋体"/>
          <w:color w:val="auto"/>
          <w:sz w:val="24"/>
          <w:szCs w:val="18"/>
        </w:rPr>
      </w:pPr>
      <w:r>
        <w:rPr>
          <w:rFonts w:hint="eastAsia" w:hAnsi="宋体"/>
          <w:color w:val="auto"/>
          <w:sz w:val="24"/>
          <w:szCs w:val="18"/>
        </w:rPr>
        <w:t>承包人在对支付担保提出索赔要求之前，应书面通知发包人和造价工程师，说明导致此项索赔的原因，并及时向担保人提出索赔文件。担保人根据担保合同的约定在担保范围内承担担保责任，并无须征得发包人的同意，</w:t>
      </w:r>
      <w:r>
        <w:rPr>
          <w:rFonts w:hint="eastAsia" w:hAnsi="宋体"/>
          <w:color w:val="auto"/>
          <w:sz w:val="24"/>
          <w:szCs w:val="24"/>
        </w:rPr>
        <w:t>直接向承包人支付索赔款额</w:t>
      </w:r>
      <w:r>
        <w:rPr>
          <w:rFonts w:hint="eastAsia" w:hAnsi="宋体"/>
          <w:color w:val="auto"/>
          <w:sz w:val="24"/>
          <w:szCs w:val="18"/>
        </w:rPr>
        <w:t>。</w:t>
      </w:r>
    </w:p>
    <w:p w14:paraId="4E122D04">
      <w:pPr>
        <w:pStyle w:val="2"/>
        <w:tabs>
          <w:tab w:val="left" w:pos="1320"/>
        </w:tabs>
        <w:adjustRightInd w:val="0"/>
        <w:snapToGrid w:val="0"/>
        <w:spacing w:line="360" w:lineRule="auto"/>
        <w:ind w:right="-238"/>
        <w:rPr>
          <w:rFonts w:hAnsi="宋体"/>
          <w:b/>
          <w:color w:val="auto"/>
          <w:sz w:val="24"/>
          <w:szCs w:val="18"/>
        </w:rPr>
      </w:pPr>
      <w:r>
        <w:rPr>
          <w:color w:val="auto"/>
        </w:rPr>
        <mc:AlternateContent>
          <mc:Choice Requires="wps">
            <w:drawing>
              <wp:anchor distT="0" distB="0" distL="114300" distR="114300" simplePos="0" relativeHeight="251766784" behindDoc="0" locked="0" layoutInCell="1" allowOverlap="1">
                <wp:simplePos x="0" y="0"/>
                <wp:positionH relativeFrom="column">
                  <wp:posOffset>-114300</wp:posOffset>
                </wp:positionH>
                <wp:positionV relativeFrom="paragraph">
                  <wp:posOffset>243205</wp:posOffset>
                </wp:positionV>
                <wp:extent cx="685800" cy="42291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685800" cy="422910"/>
                        </a:xfrm>
                        <a:prstGeom prst="rect">
                          <a:avLst/>
                        </a:prstGeom>
                        <a:noFill/>
                        <a:ln>
                          <a:noFill/>
                        </a:ln>
                        <a:effectLst/>
                      </wps:spPr>
                      <wps:txbx>
                        <w:txbxContent>
                          <w:p w14:paraId="3F8E9419">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双方延长</w:t>
                            </w:r>
                          </w:p>
                          <w:p w14:paraId="4CDAB40A">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担保期限</w:t>
                            </w:r>
                          </w:p>
                        </w:txbxContent>
                      </wps:txbx>
                      <wps:bodyPr upright="1"/>
                    </wps:wsp>
                  </a:graphicData>
                </a:graphic>
              </wp:anchor>
            </w:drawing>
          </mc:Choice>
          <mc:Fallback>
            <w:pict>
              <v:shape id="_x0000_s1026" o:spid="_x0000_s1026" o:spt="202" type="#_x0000_t202" style="position:absolute;left:0pt;margin-left:-9pt;margin-top:19.15pt;height:33.3pt;width:54pt;z-index:251766784;mso-width-relative:page;mso-height-relative:page;" filled="f" stroked="f" coordsize="21600,21600" o:gfxdata="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sYv3&#10;idYAAAAJAQAADwAAAAAAAAABACAAAAAiAAAAZHJzL2Rvd25yZXYueG1sUEsBAhQAFAAAAAgAh07i&#10;QG+qnC2yAQAAXwMAAA4AAAAAAAAAAQAgAAAAJQEAAGRycy9lMm9Eb2MueG1sUEsFBgAAAAAGAAYA&#10;WQEAAEkFAAAAAA==&#10;">
                <v:fill on="f" focussize="0,0"/>
                <v:stroke on="f"/>
                <v:imagedata o:title=""/>
                <o:lock v:ext="edit" aspectratio="f"/>
                <v:textbox>
                  <w:txbxContent>
                    <w:p w14:paraId="3F8E9419">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双方延长</w:t>
                      </w:r>
                    </w:p>
                    <w:p w14:paraId="4CDAB40A">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担保期限</w:t>
                      </w:r>
                    </w:p>
                  </w:txbxContent>
                </v:textbox>
              </v:shape>
            </w:pict>
          </mc:Fallback>
        </mc:AlternateContent>
      </w:r>
      <w:r>
        <w:rPr>
          <w:rFonts w:hAnsi="宋体"/>
          <w:b/>
          <w:color w:val="auto"/>
          <w:sz w:val="24"/>
          <w:szCs w:val="18"/>
        </w:rPr>
        <w:t xml:space="preserve">28.7  </w:t>
      </w:r>
    </w:p>
    <w:p w14:paraId="57717484">
      <w:pPr>
        <w:pStyle w:val="2"/>
        <w:adjustRightInd w:val="0"/>
        <w:snapToGrid w:val="0"/>
        <w:spacing w:line="360" w:lineRule="auto"/>
        <w:ind w:left="1619" w:leftChars="771" w:right="-238"/>
        <w:rPr>
          <w:rFonts w:hAnsi="宋体"/>
          <w:color w:val="auto"/>
          <w:sz w:val="24"/>
          <w:szCs w:val="18"/>
        </w:rPr>
      </w:pPr>
      <w:r>
        <w:rPr>
          <w:rFonts w:hint="eastAsia" w:hAnsi="宋体"/>
          <w:color w:val="auto"/>
          <w:sz w:val="24"/>
          <w:szCs w:val="18"/>
        </w:rPr>
        <w:t>合同双方当事人均应确保合同工程担保有效期符合工期合理顺延的要求。若合同一方当事人未能保证延长担保有效期，另一方当事人可向其索赔担保的全部金额。</w:t>
      </w:r>
    </w:p>
    <w:p w14:paraId="7423D398">
      <w:pPr>
        <w:pStyle w:val="2"/>
        <w:tabs>
          <w:tab w:val="left" w:pos="1320"/>
        </w:tabs>
        <w:adjustRightInd w:val="0"/>
        <w:snapToGrid w:val="0"/>
        <w:spacing w:line="360" w:lineRule="auto"/>
        <w:ind w:right="-238"/>
        <w:rPr>
          <w:rFonts w:hAnsi="宋体"/>
          <w:b/>
          <w:color w:val="auto"/>
          <w:sz w:val="24"/>
          <w:szCs w:val="18"/>
        </w:rPr>
      </w:pPr>
      <w:r>
        <w:rPr>
          <w:color w:val="auto"/>
        </w:rPr>
        <mc:AlternateContent>
          <mc:Choice Requires="wps">
            <w:drawing>
              <wp:anchor distT="0" distB="0" distL="114300" distR="114300" simplePos="0" relativeHeight="251767808" behindDoc="0" locked="0" layoutInCell="1" allowOverlap="1">
                <wp:simplePos x="0" y="0"/>
                <wp:positionH relativeFrom="column">
                  <wp:posOffset>-114300</wp:posOffset>
                </wp:positionH>
                <wp:positionV relativeFrom="paragraph">
                  <wp:posOffset>255270</wp:posOffset>
                </wp:positionV>
                <wp:extent cx="685800" cy="33909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685800" cy="339090"/>
                        </a:xfrm>
                        <a:prstGeom prst="rect">
                          <a:avLst/>
                        </a:prstGeom>
                        <a:noFill/>
                        <a:ln>
                          <a:noFill/>
                        </a:ln>
                        <a:effectLst/>
                      </wps:spPr>
                      <wps:txbx>
                        <w:txbxContent>
                          <w:p w14:paraId="7B219D94">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约定担保</w:t>
                            </w:r>
                          </w:p>
                          <w:p w14:paraId="05ED42E6">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事项</w:t>
                            </w:r>
                          </w:p>
                        </w:txbxContent>
                      </wps:txbx>
                      <wps:bodyPr upright="1"/>
                    </wps:wsp>
                  </a:graphicData>
                </a:graphic>
              </wp:anchor>
            </w:drawing>
          </mc:Choice>
          <mc:Fallback>
            <w:pict>
              <v:shape id="_x0000_s1026" o:spid="_x0000_s1026" o:spt="202" type="#_x0000_t202" style="position:absolute;left:0pt;margin-left:-9pt;margin-top:20.1pt;height:26.7pt;width:54pt;z-index:251767808;mso-width-relative:page;mso-height-relative:page;" filled="f" stroked="f" coordsize="21600,21600" o:gfxdata="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cx&#10;9UHWAAAACAEAAA8AAAAAAAAAAQAgAAAAIgAAAGRycy9kb3ducmV2LnhtbFBLAQIUABQAAAAIAIdO&#10;4kB47OgTswEAAF8DAAAOAAAAAAAAAAEAIAAAACUBAABkcnMvZTJvRG9jLnhtbFBLBQYAAAAABgAG&#10;AFkBAABKBQAAAAA=&#10;">
                <v:fill on="f" focussize="0,0"/>
                <v:stroke on="f"/>
                <v:imagedata o:title=""/>
                <o:lock v:ext="edit" aspectratio="f"/>
                <v:textbox>
                  <w:txbxContent>
                    <w:p w14:paraId="7B219D94">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约定担保</w:t>
                      </w:r>
                    </w:p>
                    <w:p w14:paraId="05ED42E6">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事项</w:t>
                      </w:r>
                    </w:p>
                  </w:txbxContent>
                </v:textbox>
              </v:shape>
            </w:pict>
          </mc:Fallback>
        </mc:AlternateContent>
      </w:r>
      <w:r>
        <w:rPr>
          <w:rFonts w:hAnsi="宋体"/>
          <w:b/>
          <w:color w:val="auto"/>
          <w:sz w:val="24"/>
          <w:szCs w:val="18"/>
        </w:rPr>
        <w:t xml:space="preserve">28.8  </w:t>
      </w:r>
    </w:p>
    <w:p w14:paraId="529F0EDE">
      <w:pPr>
        <w:pStyle w:val="2"/>
        <w:adjustRightInd w:val="0"/>
        <w:snapToGrid w:val="0"/>
        <w:spacing w:line="360" w:lineRule="auto"/>
        <w:ind w:left="1619" w:leftChars="771" w:right="-238"/>
        <w:rPr>
          <w:rFonts w:hAnsi="宋体"/>
          <w:color w:val="auto"/>
          <w:sz w:val="24"/>
          <w:szCs w:val="18"/>
        </w:rPr>
      </w:pPr>
      <w:r>
        <w:rPr>
          <w:rFonts w:hint="eastAsia" w:hAnsi="宋体"/>
          <w:color w:val="auto"/>
          <w:sz w:val="24"/>
          <w:szCs w:val="18"/>
        </w:rPr>
        <w:t>合同双方当事人在专用条款中约定担保内容、方式和责任等事项，并签订担保合同，作为本合同附件。</w:t>
      </w:r>
    </w:p>
    <w:p w14:paraId="1B7ACD14">
      <w:pPr>
        <w:pStyle w:val="2"/>
        <w:adjustRightInd w:val="0"/>
        <w:snapToGrid w:val="0"/>
        <w:spacing w:line="360" w:lineRule="auto"/>
        <w:ind w:right="-240"/>
        <w:rPr>
          <w:color w:val="auto"/>
        </w:rPr>
      </w:pPr>
    </w:p>
    <w:p w14:paraId="43E0CAA2">
      <w:pPr>
        <w:pStyle w:val="2"/>
        <w:tabs>
          <w:tab w:val="left" w:pos="540"/>
        </w:tabs>
        <w:adjustRightInd w:val="0"/>
        <w:snapToGrid w:val="0"/>
        <w:spacing w:before="240" w:beforeLines="100" w:line="360" w:lineRule="auto"/>
        <w:ind w:right="-238"/>
        <w:rPr>
          <w:rFonts w:hAnsi="宋体"/>
          <w:b/>
          <w:color w:val="auto"/>
          <w:sz w:val="30"/>
          <w:szCs w:val="24"/>
        </w:rPr>
      </w:pPr>
      <w:r>
        <w:rPr>
          <w:rFonts w:hAnsi="宋体"/>
          <w:b/>
          <w:color w:val="auto"/>
          <w:sz w:val="30"/>
          <w:szCs w:val="24"/>
        </w:rPr>
        <w:t xml:space="preserve">29  </w:t>
      </w:r>
      <w:r>
        <w:rPr>
          <w:rFonts w:hint="eastAsia" w:hAnsi="宋体"/>
          <w:b/>
          <w:color w:val="auto"/>
          <w:sz w:val="30"/>
          <w:szCs w:val="24"/>
        </w:rPr>
        <w:t>发包人风险</w:t>
      </w:r>
    </w:p>
    <w:p w14:paraId="15F5B201">
      <w:pPr>
        <w:pStyle w:val="2"/>
        <w:adjustRightInd w:val="0"/>
        <w:snapToGrid w:val="0"/>
        <w:spacing w:line="360" w:lineRule="auto"/>
        <w:ind w:right="-240"/>
        <w:rPr>
          <w:rFonts w:hAnsi="宋体"/>
          <w:b/>
          <w:color w:val="auto"/>
          <w:sz w:val="24"/>
          <w:szCs w:val="18"/>
        </w:rPr>
      </w:pPr>
      <w:r>
        <w:rPr>
          <w:color w:val="auto"/>
        </w:rPr>
        <mc:AlternateContent>
          <mc:Choice Requires="wps">
            <w:drawing>
              <wp:anchor distT="0" distB="0" distL="114300" distR="114300" simplePos="0" relativeHeight="251768832" behindDoc="0" locked="0" layoutInCell="1" allowOverlap="1">
                <wp:simplePos x="0" y="0"/>
                <wp:positionH relativeFrom="column">
                  <wp:posOffset>-114300</wp:posOffset>
                </wp:positionH>
                <wp:positionV relativeFrom="paragraph">
                  <wp:posOffset>226695</wp:posOffset>
                </wp:positionV>
                <wp:extent cx="914400" cy="39624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0BB0B3FE">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发包人承担风险</w:t>
                            </w:r>
                          </w:p>
                        </w:txbxContent>
                      </wps:txbx>
                      <wps:bodyPr upright="1"/>
                    </wps:wsp>
                  </a:graphicData>
                </a:graphic>
              </wp:anchor>
            </w:drawing>
          </mc:Choice>
          <mc:Fallback>
            <w:pict>
              <v:shape id="_x0000_s1026" o:spid="_x0000_s1026" o:spt="202" type="#_x0000_t202" style="position:absolute;left:0pt;margin-left:-9pt;margin-top:17.85pt;height:31.2pt;width:72pt;z-index:251768832;mso-width-relative:page;mso-height-relative:page;" filled="f" stroked="f" coordsize="21600,21600" o:gfxdata="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Fo&#10;6vjXAAAACQEAAA8AAAAAAAAAAQAgAAAAIgAAAGRycy9kb3ducmV2LnhtbFBLAQIUABQAAAAIAIdO&#10;4kCbMBTksgEAAF8DAAAOAAAAAAAAAAEAIAAAACYBAABkcnMvZTJvRG9jLnhtbFBLBQYAAAAABgAG&#10;AFkBAABKBQAAAAA=&#10;">
                <v:fill on="f" focussize="0,0"/>
                <v:stroke on="f"/>
                <v:imagedata o:title=""/>
                <o:lock v:ext="edit" aspectratio="f"/>
                <v:textbox>
                  <w:txbxContent>
                    <w:p w14:paraId="0BB0B3FE">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发包人承担风险</w:t>
                      </w:r>
                    </w:p>
                  </w:txbxContent>
                </v:textbox>
              </v:shape>
            </w:pict>
          </mc:Fallback>
        </mc:AlternateContent>
      </w:r>
      <w:r>
        <w:rPr>
          <w:rFonts w:hAnsi="宋体"/>
          <w:b/>
          <w:color w:val="auto"/>
          <w:sz w:val="24"/>
          <w:szCs w:val="18"/>
        </w:rPr>
        <w:t xml:space="preserve">29.1     </w:t>
      </w:r>
    </w:p>
    <w:p w14:paraId="35605B85">
      <w:pPr>
        <w:pStyle w:val="2"/>
        <w:adjustRightInd w:val="0"/>
        <w:snapToGrid w:val="0"/>
        <w:spacing w:line="360" w:lineRule="auto"/>
        <w:ind w:left="1619" w:leftChars="771" w:right="-240"/>
        <w:rPr>
          <w:rFonts w:hAnsi="宋体"/>
          <w:color w:val="auto"/>
          <w:sz w:val="24"/>
          <w:szCs w:val="18"/>
        </w:rPr>
      </w:pPr>
      <w:r>
        <w:rPr>
          <w:rFonts w:hint="eastAsia" w:hAnsi="宋体"/>
          <w:color w:val="auto"/>
          <w:sz w:val="24"/>
          <w:szCs w:val="18"/>
        </w:rPr>
        <w:t>发包人应承担本合同中规定应由发包人承担的风险。</w:t>
      </w:r>
    </w:p>
    <w:p w14:paraId="7CE70432">
      <w:pPr>
        <w:pStyle w:val="2"/>
        <w:adjustRightInd w:val="0"/>
        <w:snapToGrid w:val="0"/>
        <w:spacing w:line="360" w:lineRule="auto"/>
        <w:ind w:right="-240"/>
        <w:rPr>
          <w:rFonts w:hAnsi="宋体"/>
          <w:b/>
          <w:color w:val="auto"/>
          <w:sz w:val="24"/>
          <w:szCs w:val="18"/>
        </w:rPr>
      </w:pPr>
      <w:r>
        <w:rPr>
          <w:rFonts w:hAnsi="宋体"/>
          <w:b/>
          <w:color w:val="auto"/>
          <w:sz w:val="24"/>
          <w:szCs w:val="18"/>
        </w:rPr>
        <w:t xml:space="preserve">29.2  </w:t>
      </w:r>
    </w:p>
    <w:p w14:paraId="130CAE2F">
      <w:pPr>
        <w:pStyle w:val="2"/>
        <w:adjustRightInd w:val="0"/>
        <w:snapToGrid w:val="0"/>
        <w:spacing w:line="360" w:lineRule="auto"/>
        <w:ind w:right="-240" w:firstLine="1650" w:firstLineChars="825"/>
        <w:rPr>
          <w:rFonts w:hAnsi="宋体"/>
          <w:color w:val="auto"/>
          <w:sz w:val="24"/>
          <w:szCs w:val="18"/>
        </w:rPr>
      </w:pPr>
      <w:r>
        <w:rPr>
          <w:color w:val="auto"/>
        </w:rPr>
        <mc:AlternateContent>
          <mc:Choice Requires="wps">
            <w:drawing>
              <wp:anchor distT="0" distB="0" distL="114300" distR="114300" simplePos="0" relativeHeight="251769856" behindDoc="0" locked="0" layoutInCell="1" allowOverlap="1">
                <wp:simplePos x="0" y="0"/>
                <wp:positionH relativeFrom="column">
                  <wp:posOffset>-114300</wp:posOffset>
                </wp:positionH>
                <wp:positionV relativeFrom="paragraph">
                  <wp:posOffset>10795</wp:posOffset>
                </wp:positionV>
                <wp:extent cx="914400" cy="356235"/>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914400" cy="356235"/>
                        </a:xfrm>
                        <a:prstGeom prst="rect">
                          <a:avLst/>
                        </a:prstGeom>
                        <a:noFill/>
                        <a:ln>
                          <a:noFill/>
                        </a:ln>
                        <a:effectLst/>
                      </wps:spPr>
                      <wps:txbx>
                        <w:txbxContent>
                          <w:p w14:paraId="6F83DA39">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发包人风险</w:t>
                            </w:r>
                          </w:p>
                        </w:txbxContent>
                      </wps:txbx>
                      <wps:bodyPr upright="1"/>
                    </wps:wsp>
                  </a:graphicData>
                </a:graphic>
              </wp:anchor>
            </w:drawing>
          </mc:Choice>
          <mc:Fallback>
            <w:pict>
              <v:shape id="_x0000_s1026" o:spid="_x0000_s1026" o:spt="202" type="#_x0000_t202" style="position:absolute;left:0pt;margin-left:-9pt;margin-top:0.85pt;height:28.05pt;width:72pt;z-index:251769856;mso-width-relative:page;mso-height-relative:page;" filled="f" stroked="f" coordsize="21600,21600" o:gfxdata="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1EFTY&#10;1QAAAAgBAAAPAAAAAAAAAAEAIAAAACIAAABkcnMvZG93bnJldi54bWxQSwECFAAUAAAACACHTuJA&#10;DcJOy7IBAABfAwAADgAAAAAAAAABACAAAAAkAQAAZHJzL2Uyb0RvYy54bWxQSwUGAAAAAAYABgBZ&#10;AQAASAUAAAAA&#10;">
                <v:fill on="f" focussize="0,0"/>
                <v:stroke on="f"/>
                <v:imagedata o:title=""/>
                <o:lock v:ext="edit" aspectratio="f"/>
                <v:textbox>
                  <w:txbxContent>
                    <w:p w14:paraId="6F83DA39">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发包人风险</w:t>
                      </w:r>
                    </w:p>
                  </w:txbxContent>
                </v:textbox>
              </v:shape>
            </w:pict>
          </mc:Fallback>
        </mc:AlternateContent>
      </w:r>
      <w:r>
        <w:rPr>
          <w:rFonts w:hint="eastAsia" w:hAnsi="宋体"/>
          <w:color w:val="auto"/>
          <w:sz w:val="24"/>
          <w:szCs w:val="18"/>
        </w:rPr>
        <w:t>自开工之日起至颁发工程接收证书之日止，发包人风险包括但不限于：</w:t>
      </w:r>
    </w:p>
    <w:p w14:paraId="2F28EB5C">
      <w:pPr>
        <w:pStyle w:val="2"/>
        <w:numPr>
          <w:ilvl w:val="0"/>
          <w:numId w:val="14"/>
        </w:numPr>
        <w:tabs>
          <w:tab w:val="left" w:pos="1080"/>
        </w:tabs>
        <w:adjustRightInd w:val="0"/>
        <w:snapToGrid w:val="0"/>
        <w:spacing w:line="360" w:lineRule="auto"/>
        <w:ind w:left="1619" w:leftChars="771" w:firstLine="1"/>
        <w:rPr>
          <w:rFonts w:hAnsi="宋体"/>
          <w:color w:val="auto"/>
          <w:sz w:val="24"/>
          <w:szCs w:val="18"/>
        </w:rPr>
      </w:pPr>
      <w:r>
        <w:rPr>
          <w:rFonts w:hint="eastAsia" w:hAnsi="宋体"/>
          <w:color w:val="auto"/>
          <w:sz w:val="24"/>
          <w:szCs w:val="18"/>
        </w:rPr>
        <w:t>由于永久工程本身或施工而不可避免造成的财产（除工程本身、材料和工程设备和施工设备外）损失或损坏；</w:t>
      </w:r>
    </w:p>
    <w:p w14:paraId="7D549315">
      <w:pPr>
        <w:pStyle w:val="2"/>
        <w:numPr>
          <w:ilvl w:val="0"/>
          <w:numId w:val="14"/>
        </w:numPr>
        <w:tabs>
          <w:tab w:val="left" w:pos="1080"/>
        </w:tabs>
        <w:adjustRightInd w:val="0"/>
        <w:snapToGrid w:val="0"/>
        <w:spacing w:line="360" w:lineRule="auto"/>
        <w:ind w:left="1619" w:leftChars="771" w:firstLine="1"/>
        <w:rPr>
          <w:rFonts w:hAnsi="宋体"/>
          <w:color w:val="auto"/>
          <w:sz w:val="24"/>
          <w:szCs w:val="18"/>
        </w:rPr>
      </w:pPr>
      <w:r>
        <w:rPr>
          <w:rFonts w:hint="eastAsia" w:hAnsi="宋体"/>
          <w:color w:val="auto"/>
          <w:sz w:val="24"/>
          <w:szCs w:val="18"/>
        </w:rPr>
        <w:t>由于发包人工作人员及其相关人员（除承包人外）的疏忽或违规造成的人员伤亡、财产损失或损坏；</w:t>
      </w:r>
    </w:p>
    <w:p w14:paraId="535B4BC0">
      <w:pPr>
        <w:pStyle w:val="2"/>
        <w:numPr>
          <w:ilvl w:val="0"/>
          <w:numId w:val="14"/>
        </w:numPr>
        <w:tabs>
          <w:tab w:val="left" w:pos="1080"/>
        </w:tabs>
        <w:adjustRightInd w:val="0"/>
        <w:snapToGrid w:val="0"/>
        <w:spacing w:line="360" w:lineRule="auto"/>
        <w:ind w:left="2096" w:leftChars="772" w:hanging="475" w:hangingChars="198"/>
        <w:rPr>
          <w:rFonts w:hAnsi="宋体"/>
          <w:color w:val="auto"/>
          <w:sz w:val="24"/>
          <w:szCs w:val="18"/>
        </w:rPr>
      </w:pPr>
      <w:r>
        <w:rPr>
          <w:rFonts w:hint="eastAsia" w:hAnsi="宋体"/>
          <w:color w:val="auto"/>
          <w:sz w:val="24"/>
          <w:szCs w:val="18"/>
        </w:rPr>
        <w:t>由于发包人提前使用或占用永久工程或其部分造成的损失或损坏；</w:t>
      </w:r>
    </w:p>
    <w:p w14:paraId="502C9CBB">
      <w:pPr>
        <w:pStyle w:val="2"/>
        <w:numPr>
          <w:ilvl w:val="0"/>
          <w:numId w:val="14"/>
        </w:numPr>
        <w:tabs>
          <w:tab w:val="left" w:pos="1080"/>
        </w:tabs>
        <w:adjustRightInd w:val="0"/>
        <w:snapToGrid w:val="0"/>
        <w:spacing w:line="360" w:lineRule="auto"/>
        <w:ind w:left="1619" w:leftChars="771" w:firstLine="1"/>
        <w:rPr>
          <w:rFonts w:hAnsi="宋体"/>
          <w:color w:val="auto"/>
          <w:sz w:val="24"/>
          <w:szCs w:val="18"/>
        </w:rPr>
      </w:pPr>
      <w:r>
        <w:rPr>
          <w:rFonts w:hint="eastAsia" w:hAnsi="宋体"/>
          <w:color w:val="auto"/>
          <w:sz w:val="24"/>
          <w:szCs w:val="18"/>
        </w:rPr>
        <w:t>由于发包人提供或发包人负责的设计造成的对永久工程、材料和工程设备和施工设备的损失或损害；</w:t>
      </w:r>
    </w:p>
    <w:p w14:paraId="4C550B8A">
      <w:pPr>
        <w:pStyle w:val="2"/>
        <w:numPr>
          <w:ilvl w:val="0"/>
          <w:numId w:val="14"/>
        </w:numPr>
        <w:tabs>
          <w:tab w:val="left" w:pos="1080"/>
        </w:tabs>
        <w:adjustRightInd w:val="0"/>
        <w:snapToGrid w:val="0"/>
        <w:spacing w:line="360" w:lineRule="auto"/>
        <w:ind w:left="1619" w:leftChars="771" w:firstLine="1"/>
        <w:rPr>
          <w:rFonts w:hAnsi="宋体"/>
          <w:color w:val="auto"/>
          <w:sz w:val="24"/>
          <w:szCs w:val="18"/>
        </w:rPr>
      </w:pPr>
      <w:r>
        <w:rPr>
          <w:rFonts w:hint="eastAsia" w:hAnsi="宋体"/>
          <w:color w:val="auto"/>
          <w:sz w:val="24"/>
          <w:szCs w:val="18"/>
        </w:rPr>
        <w:t>由于地质、邻近建筑物、古树名木和物价上涨等非承包人原因造成施工过程中费用的增加。</w:t>
      </w:r>
    </w:p>
    <w:p w14:paraId="04CFCAB2">
      <w:pPr>
        <w:pStyle w:val="2"/>
        <w:adjustRightInd w:val="0"/>
        <w:snapToGrid w:val="0"/>
        <w:spacing w:line="360" w:lineRule="auto"/>
        <w:ind w:right="-240"/>
        <w:rPr>
          <w:rFonts w:hAnsi="宋体"/>
          <w:b/>
          <w:color w:val="auto"/>
          <w:sz w:val="30"/>
          <w:szCs w:val="24"/>
        </w:rPr>
      </w:pPr>
    </w:p>
    <w:p w14:paraId="2038CFBA">
      <w:pPr>
        <w:pStyle w:val="2"/>
        <w:adjustRightInd w:val="0"/>
        <w:snapToGrid w:val="0"/>
        <w:spacing w:line="360" w:lineRule="auto"/>
        <w:ind w:right="-240"/>
        <w:rPr>
          <w:rFonts w:hAnsi="宋体"/>
          <w:b/>
          <w:color w:val="auto"/>
          <w:sz w:val="30"/>
          <w:szCs w:val="24"/>
        </w:rPr>
      </w:pPr>
      <w:r>
        <w:rPr>
          <w:rFonts w:hAnsi="宋体"/>
          <w:b/>
          <w:color w:val="auto"/>
          <w:sz w:val="30"/>
          <w:szCs w:val="24"/>
        </w:rPr>
        <w:t xml:space="preserve">30  </w:t>
      </w:r>
      <w:r>
        <w:rPr>
          <w:rFonts w:hint="eastAsia" w:hAnsi="宋体"/>
          <w:b/>
          <w:color w:val="auto"/>
          <w:sz w:val="30"/>
          <w:szCs w:val="24"/>
        </w:rPr>
        <w:t>承包人风险</w:t>
      </w:r>
    </w:p>
    <w:p w14:paraId="23984F7F">
      <w:pPr>
        <w:pStyle w:val="2"/>
        <w:tabs>
          <w:tab w:val="left" w:pos="1320"/>
          <w:tab w:val="left" w:pos="1440"/>
        </w:tabs>
        <w:adjustRightInd w:val="0"/>
        <w:snapToGrid w:val="0"/>
        <w:spacing w:line="360" w:lineRule="auto"/>
        <w:rPr>
          <w:rFonts w:hAnsi="宋体"/>
          <w:b/>
          <w:color w:val="auto"/>
          <w:sz w:val="24"/>
          <w:szCs w:val="18"/>
        </w:rPr>
      </w:pPr>
      <w:r>
        <w:rPr>
          <w:color w:val="auto"/>
        </w:rPr>
        <mc:AlternateContent>
          <mc:Choice Requires="wps">
            <w:drawing>
              <wp:anchor distT="0" distB="0" distL="114300" distR="114300" simplePos="0" relativeHeight="251770880" behindDoc="0" locked="0" layoutInCell="1" allowOverlap="1">
                <wp:simplePos x="0" y="0"/>
                <wp:positionH relativeFrom="column">
                  <wp:posOffset>-133350</wp:posOffset>
                </wp:positionH>
                <wp:positionV relativeFrom="paragraph">
                  <wp:posOffset>254635</wp:posOffset>
                </wp:positionV>
                <wp:extent cx="1028700" cy="427355"/>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1028700" cy="427355"/>
                        </a:xfrm>
                        <a:prstGeom prst="rect">
                          <a:avLst/>
                        </a:prstGeom>
                        <a:noFill/>
                        <a:ln>
                          <a:noFill/>
                        </a:ln>
                        <a:effectLst/>
                      </wps:spPr>
                      <wps:txbx>
                        <w:txbxContent>
                          <w:p w14:paraId="31644113">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承包人承担风</w:t>
                            </w:r>
                          </w:p>
                          <w:p w14:paraId="6539BED7">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险</w:t>
                            </w:r>
                          </w:p>
                        </w:txbxContent>
                      </wps:txbx>
                      <wps:bodyPr upright="1"/>
                    </wps:wsp>
                  </a:graphicData>
                </a:graphic>
              </wp:anchor>
            </w:drawing>
          </mc:Choice>
          <mc:Fallback>
            <w:pict>
              <v:shape id="_x0000_s1026" o:spid="_x0000_s1026" o:spt="202" type="#_x0000_t202" style="position:absolute;left:0pt;margin-left:-10.5pt;margin-top:20.05pt;height:33.65pt;width:81pt;z-index:251770880;mso-width-relative:page;mso-height-relative:page;" filled="f" stroked="f" coordsize="21600,21600" o:gfxdata="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ZKqyZ&#10;1gAAAAoBAAAPAAAAAAAAAAEAIAAAACIAAABkcnMvZG93bnJldi54bWxQSwECFAAUAAAACACHTuJA&#10;C9CUPrEBAABgAwAADgAAAAAAAAABACAAAAAlAQAAZHJzL2Uyb0RvYy54bWxQSwUGAAAAAAYABgBZ&#10;AQAASAUAAAAA&#10;">
                <v:fill on="f" focussize="0,0"/>
                <v:stroke on="f"/>
                <v:imagedata o:title=""/>
                <o:lock v:ext="edit" aspectratio="f"/>
                <v:textbox>
                  <w:txbxContent>
                    <w:p w14:paraId="31644113">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承包人承担风</w:t>
                      </w:r>
                    </w:p>
                    <w:p w14:paraId="6539BED7">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险</w:t>
                      </w:r>
                    </w:p>
                  </w:txbxContent>
                </v:textbox>
              </v:shape>
            </w:pict>
          </mc:Fallback>
        </mc:AlternateContent>
      </w:r>
      <w:r>
        <w:rPr>
          <w:rFonts w:hAnsi="宋体"/>
          <w:b/>
          <w:color w:val="auto"/>
          <w:sz w:val="24"/>
          <w:szCs w:val="18"/>
        </w:rPr>
        <w:t xml:space="preserve">30.1      </w:t>
      </w:r>
    </w:p>
    <w:p w14:paraId="59C5547D">
      <w:pPr>
        <w:pStyle w:val="2"/>
        <w:tabs>
          <w:tab w:val="left" w:pos="1440"/>
        </w:tabs>
        <w:adjustRightInd w:val="0"/>
        <w:snapToGrid w:val="0"/>
        <w:spacing w:line="360" w:lineRule="auto"/>
        <w:ind w:firstLine="1620" w:firstLineChars="675"/>
        <w:rPr>
          <w:rFonts w:hAnsi="宋体"/>
          <w:color w:val="auto"/>
          <w:sz w:val="24"/>
          <w:szCs w:val="18"/>
        </w:rPr>
      </w:pPr>
      <w:r>
        <w:rPr>
          <w:rFonts w:hint="eastAsia" w:hAnsi="宋体"/>
          <w:color w:val="auto"/>
          <w:sz w:val="24"/>
          <w:szCs w:val="18"/>
        </w:rPr>
        <w:t>承包人应承担本合同中规定应由承包人承担的风险。</w:t>
      </w:r>
    </w:p>
    <w:p w14:paraId="315C1DF1">
      <w:pPr>
        <w:pStyle w:val="2"/>
        <w:tabs>
          <w:tab w:val="left" w:pos="1320"/>
          <w:tab w:val="left" w:pos="1440"/>
        </w:tabs>
        <w:adjustRightInd w:val="0"/>
        <w:snapToGrid w:val="0"/>
        <w:spacing w:line="360" w:lineRule="auto"/>
        <w:rPr>
          <w:rFonts w:hAnsi="宋体"/>
          <w:b/>
          <w:color w:val="auto"/>
          <w:sz w:val="24"/>
          <w:szCs w:val="18"/>
        </w:rPr>
      </w:pPr>
      <w:r>
        <w:rPr>
          <w:color w:val="auto"/>
        </w:rPr>
        <mc:AlternateContent>
          <mc:Choice Requires="wps">
            <w:drawing>
              <wp:anchor distT="0" distB="0" distL="114300" distR="114300" simplePos="0" relativeHeight="251771904" behindDoc="0" locked="0" layoutInCell="1" allowOverlap="1">
                <wp:simplePos x="0" y="0"/>
                <wp:positionH relativeFrom="column">
                  <wp:posOffset>-114300</wp:posOffset>
                </wp:positionH>
                <wp:positionV relativeFrom="paragraph">
                  <wp:posOffset>262255</wp:posOffset>
                </wp:positionV>
                <wp:extent cx="914400" cy="307975"/>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914400" cy="307975"/>
                        </a:xfrm>
                        <a:prstGeom prst="rect">
                          <a:avLst/>
                        </a:prstGeom>
                        <a:noFill/>
                        <a:ln>
                          <a:noFill/>
                        </a:ln>
                        <a:effectLst/>
                      </wps:spPr>
                      <wps:txbx>
                        <w:txbxContent>
                          <w:p w14:paraId="3350ECCC">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承包人风险</w:t>
                            </w:r>
                          </w:p>
                        </w:txbxContent>
                      </wps:txbx>
                      <wps:bodyPr upright="1"/>
                    </wps:wsp>
                  </a:graphicData>
                </a:graphic>
              </wp:anchor>
            </w:drawing>
          </mc:Choice>
          <mc:Fallback>
            <w:pict>
              <v:shape id="_x0000_s1026" o:spid="_x0000_s1026" o:spt="202" type="#_x0000_t202" style="position:absolute;left:0pt;margin-left:-9pt;margin-top:20.65pt;height:24.25pt;width:72pt;z-index:251771904;mso-width-relative:page;mso-height-relative:page;" filled="f" stroked="f" coordsize="21600,21600" o:gfxdata="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C+&#10;T5zXAAAACQEAAA8AAAAAAAAAAQAgAAAAIgAAAGRycy9kb3ducmV2LnhtbFBLAQIUABQAAAAIAIdO&#10;4kCFuaj0sgEAAF8DAAAOAAAAAAAAAAEAIAAAACYBAABkcnMvZTJvRG9jLnhtbFBLBQYAAAAABgAG&#10;AFkBAABKBQAAAAA=&#10;">
                <v:fill on="f" focussize="0,0"/>
                <v:stroke on="f"/>
                <v:imagedata o:title=""/>
                <o:lock v:ext="edit" aspectratio="f"/>
                <v:textbox>
                  <w:txbxContent>
                    <w:p w14:paraId="3350ECCC">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承包人风险</w:t>
                      </w:r>
                    </w:p>
                  </w:txbxContent>
                </v:textbox>
              </v:shape>
            </w:pict>
          </mc:Fallback>
        </mc:AlternateContent>
      </w:r>
      <w:r>
        <w:rPr>
          <w:rFonts w:hAnsi="宋体"/>
          <w:b/>
          <w:color w:val="auto"/>
          <w:sz w:val="24"/>
          <w:szCs w:val="18"/>
        </w:rPr>
        <w:t xml:space="preserve">30.2  </w:t>
      </w:r>
    </w:p>
    <w:p w14:paraId="349BDEB6">
      <w:pPr>
        <w:pStyle w:val="2"/>
        <w:tabs>
          <w:tab w:val="left" w:pos="1440"/>
        </w:tabs>
        <w:adjustRightInd w:val="0"/>
        <w:snapToGrid w:val="0"/>
        <w:spacing w:line="360" w:lineRule="auto"/>
        <w:ind w:left="1619" w:leftChars="771" w:firstLine="2"/>
        <w:rPr>
          <w:rFonts w:hAnsi="宋体"/>
          <w:color w:val="auto"/>
          <w:sz w:val="24"/>
          <w:szCs w:val="18"/>
        </w:rPr>
      </w:pPr>
      <w:r>
        <w:rPr>
          <w:rFonts w:hint="eastAsia" w:hAnsi="宋体"/>
          <w:color w:val="auto"/>
          <w:sz w:val="24"/>
          <w:szCs w:val="18"/>
        </w:rPr>
        <w:t>自开工之日起直到颁发工程接收证书之日止，承包人风险为：除第</w:t>
      </w:r>
      <w:r>
        <w:rPr>
          <w:rFonts w:hAnsi="宋体"/>
          <w:color w:val="auto"/>
          <w:sz w:val="24"/>
          <w:szCs w:val="18"/>
        </w:rPr>
        <w:t>29</w:t>
      </w:r>
      <w:r>
        <w:rPr>
          <w:rFonts w:hint="eastAsia" w:hAnsi="宋体"/>
          <w:color w:val="auto"/>
          <w:sz w:val="24"/>
          <w:szCs w:val="18"/>
        </w:rPr>
        <w:t>条和第</w:t>
      </w:r>
      <w:r>
        <w:rPr>
          <w:rFonts w:hAnsi="宋体"/>
          <w:color w:val="auto"/>
          <w:sz w:val="24"/>
          <w:szCs w:val="18"/>
        </w:rPr>
        <w:t>31</w:t>
      </w:r>
      <w:r>
        <w:rPr>
          <w:rFonts w:hint="eastAsia" w:hAnsi="宋体"/>
          <w:color w:val="auto"/>
          <w:sz w:val="24"/>
          <w:szCs w:val="18"/>
        </w:rPr>
        <w:t>条以外的人员伤亡以及财产（包括但不限于合同工程、材料、工程设备和施工设备）的损失或损坏。</w:t>
      </w:r>
    </w:p>
    <w:p w14:paraId="46AA99E5">
      <w:pPr>
        <w:pStyle w:val="2"/>
        <w:adjustRightInd w:val="0"/>
        <w:snapToGrid w:val="0"/>
        <w:spacing w:line="360" w:lineRule="auto"/>
        <w:ind w:right="-240"/>
        <w:rPr>
          <w:rFonts w:hAnsi="宋体"/>
          <w:color w:val="auto"/>
          <w:sz w:val="24"/>
          <w:szCs w:val="18"/>
          <w:u w:val="single"/>
        </w:rPr>
      </w:pPr>
    </w:p>
    <w:p w14:paraId="56D7A7B8">
      <w:pPr>
        <w:pStyle w:val="2"/>
        <w:adjustRightInd w:val="0"/>
        <w:snapToGrid w:val="0"/>
        <w:spacing w:line="360" w:lineRule="auto"/>
        <w:ind w:right="-240"/>
        <w:rPr>
          <w:rFonts w:hAnsi="宋体"/>
          <w:b/>
          <w:color w:val="auto"/>
          <w:sz w:val="30"/>
          <w:szCs w:val="24"/>
        </w:rPr>
      </w:pPr>
      <w:r>
        <w:rPr>
          <w:rFonts w:hAnsi="宋体"/>
          <w:b/>
          <w:color w:val="auto"/>
          <w:sz w:val="30"/>
          <w:szCs w:val="24"/>
        </w:rPr>
        <w:t xml:space="preserve">31  </w:t>
      </w:r>
      <w:r>
        <w:rPr>
          <w:rFonts w:hint="eastAsia" w:hAnsi="宋体"/>
          <w:b/>
          <w:color w:val="auto"/>
          <w:sz w:val="30"/>
          <w:szCs w:val="24"/>
        </w:rPr>
        <w:t>不可抗力</w:t>
      </w:r>
    </w:p>
    <w:p w14:paraId="73EDFADA">
      <w:pPr>
        <w:pStyle w:val="2"/>
        <w:adjustRightInd w:val="0"/>
        <w:snapToGrid w:val="0"/>
        <w:spacing w:line="360" w:lineRule="auto"/>
        <w:rPr>
          <w:rFonts w:hAnsi="宋体"/>
          <w:b/>
          <w:color w:val="auto"/>
          <w:sz w:val="24"/>
          <w:szCs w:val="18"/>
        </w:rPr>
      </w:pPr>
      <w:r>
        <w:rPr>
          <w:rFonts w:hAnsi="宋体"/>
          <w:b/>
          <w:color w:val="auto"/>
          <w:sz w:val="24"/>
          <w:szCs w:val="18"/>
        </w:rPr>
        <w:t xml:space="preserve">31.1      </w:t>
      </w:r>
    </w:p>
    <w:p w14:paraId="26C91AD6">
      <w:pPr>
        <w:pStyle w:val="2"/>
        <w:tabs>
          <w:tab w:val="left" w:pos="1620"/>
        </w:tabs>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1772928" behindDoc="0" locked="0" layoutInCell="1" allowOverlap="1">
                <wp:simplePos x="0" y="0"/>
                <wp:positionH relativeFrom="column">
                  <wp:posOffset>-114300</wp:posOffset>
                </wp:positionH>
                <wp:positionV relativeFrom="paragraph">
                  <wp:posOffset>0</wp:posOffset>
                </wp:positionV>
                <wp:extent cx="1028700" cy="360680"/>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1028700" cy="360680"/>
                        </a:xfrm>
                        <a:prstGeom prst="rect">
                          <a:avLst/>
                        </a:prstGeom>
                        <a:noFill/>
                        <a:ln>
                          <a:noFill/>
                        </a:ln>
                        <a:effectLst/>
                      </wps:spPr>
                      <wps:txbx>
                        <w:txbxContent>
                          <w:p w14:paraId="25A902E9">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不可抗力因素</w:t>
                            </w:r>
                          </w:p>
                        </w:txbxContent>
                      </wps:txbx>
                      <wps:bodyPr upright="1"/>
                    </wps:wsp>
                  </a:graphicData>
                </a:graphic>
              </wp:anchor>
            </w:drawing>
          </mc:Choice>
          <mc:Fallback>
            <w:pict>
              <v:shape id="_x0000_s1026" o:spid="_x0000_s1026" o:spt="202" type="#_x0000_t202" style="position:absolute;left:0pt;margin-left:-9pt;margin-top:0pt;height:28.4pt;width:81pt;z-index:251772928;mso-width-relative:page;mso-height-relative:page;" filled="f" stroked="f" coordsize="21600,21600" o:gfxdata="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sxh8o&#10;1QAAAAcBAAAPAAAAAAAAAAEAIAAAACIAAABkcnMvZG93bnJldi54bWxQSwECFAAUAAAACACHTuJA&#10;DkMTqbIBAABgAwAADgAAAAAAAAABACAAAAAkAQAAZHJzL2Uyb0RvYy54bWxQSwUGAAAAAAYABgBZ&#10;AQAASAUAAAAA&#10;">
                <v:fill on="f" focussize="0,0"/>
                <v:stroke on="f"/>
                <v:imagedata o:title=""/>
                <o:lock v:ext="edit" aspectratio="f"/>
                <v:textbox>
                  <w:txbxContent>
                    <w:p w14:paraId="25A902E9">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不可抗力因素</w:t>
                      </w:r>
                    </w:p>
                  </w:txbxContent>
                </v:textbox>
              </v:shape>
            </w:pict>
          </mc:Fallback>
        </mc:AlternateContent>
      </w:r>
      <w:r>
        <w:rPr>
          <w:rFonts w:hint="eastAsia" w:hAnsi="宋体"/>
          <w:color w:val="auto"/>
          <w:sz w:val="24"/>
          <w:szCs w:val="18"/>
        </w:rPr>
        <w:t>不可抗力包括因战争、敌对行动（无论是否宣战）、入侵、外敌行为、军事政变、恐怖主义、骚乱、暴动、空中飞行物坠落或其他非合同双方当事人责任或原因造成的罢工、停工、爆炸、火灾等，以及：</w:t>
      </w:r>
    </w:p>
    <w:p w14:paraId="4BA955E9">
      <w:pPr>
        <w:pStyle w:val="2"/>
        <w:numPr>
          <w:ilvl w:val="0"/>
          <w:numId w:val="15"/>
        </w:numPr>
        <w:adjustRightInd w:val="0"/>
        <w:snapToGrid w:val="0"/>
        <w:spacing w:line="360" w:lineRule="auto"/>
        <w:ind w:left="1619" w:leftChars="771" w:firstLine="1"/>
        <w:rPr>
          <w:rFonts w:hAnsi="宋体"/>
          <w:color w:val="auto"/>
          <w:sz w:val="24"/>
          <w:szCs w:val="18"/>
        </w:rPr>
      </w:pPr>
      <w:r>
        <w:rPr>
          <w:rFonts w:hint="eastAsia" w:hAnsi="宋体"/>
          <w:color w:val="auto"/>
          <w:sz w:val="24"/>
          <w:szCs w:val="18"/>
        </w:rPr>
        <w:t>当地气象部门规定的情形；</w:t>
      </w:r>
    </w:p>
    <w:p w14:paraId="3DE838C0">
      <w:pPr>
        <w:pStyle w:val="2"/>
        <w:numPr>
          <w:ilvl w:val="0"/>
          <w:numId w:val="15"/>
        </w:numPr>
        <w:adjustRightInd w:val="0"/>
        <w:snapToGrid w:val="0"/>
        <w:spacing w:line="360" w:lineRule="auto"/>
        <w:ind w:left="1619" w:leftChars="771" w:firstLine="1"/>
        <w:rPr>
          <w:rFonts w:hAnsi="宋体"/>
          <w:color w:val="auto"/>
          <w:sz w:val="24"/>
          <w:szCs w:val="18"/>
        </w:rPr>
      </w:pPr>
      <w:r>
        <w:rPr>
          <w:rFonts w:hint="eastAsia" w:hAnsi="宋体"/>
          <w:color w:val="auto"/>
          <w:sz w:val="24"/>
          <w:szCs w:val="18"/>
        </w:rPr>
        <w:t>当地地震部门规定的情形；</w:t>
      </w:r>
    </w:p>
    <w:p w14:paraId="516A9845">
      <w:pPr>
        <w:pStyle w:val="2"/>
        <w:numPr>
          <w:ilvl w:val="0"/>
          <w:numId w:val="15"/>
        </w:numPr>
        <w:adjustRightInd w:val="0"/>
        <w:snapToGrid w:val="0"/>
        <w:spacing w:line="360" w:lineRule="auto"/>
        <w:ind w:left="1619" w:leftChars="771" w:firstLine="1"/>
        <w:rPr>
          <w:rFonts w:hAnsi="宋体"/>
          <w:color w:val="auto"/>
          <w:sz w:val="24"/>
          <w:szCs w:val="18"/>
        </w:rPr>
      </w:pPr>
      <w:r>
        <w:rPr>
          <w:rFonts w:hint="eastAsia" w:hAnsi="宋体"/>
          <w:color w:val="auto"/>
          <w:sz w:val="24"/>
          <w:szCs w:val="18"/>
        </w:rPr>
        <w:t>当地卫生部门规定的情形；</w:t>
      </w:r>
    </w:p>
    <w:p w14:paraId="1670E9DC">
      <w:pPr>
        <w:pStyle w:val="2"/>
        <w:numPr>
          <w:ilvl w:val="0"/>
          <w:numId w:val="15"/>
        </w:numPr>
        <w:adjustRightInd w:val="0"/>
        <w:snapToGrid w:val="0"/>
        <w:spacing w:line="360" w:lineRule="auto"/>
        <w:ind w:left="1619" w:leftChars="771" w:firstLine="1"/>
        <w:rPr>
          <w:rFonts w:hAnsi="宋体"/>
          <w:b/>
          <w:color w:val="auto"/>
          <w:sz w:val="24"/>
          <w:szCs w:val="18"/>
        </w:rPr>
      </w:pPr>
      <w:r>
        <w:rPr>
          <w:rFonts w:hint="eastAsia" w:hAnsi="宋体"/>
          <w:color w:val="auto"/>
          <w:sz w:val="24"/>
          <w:szCs w:val="18"/>
        </w:rPr>
        <w:t>专用条款约定的其他情形。</w:t>
      </w:r>
    </w:p>
    <w:p w14:paraId="19BCD449">
      <w:pPr>
        <w:pStyle w:val="2"/>
        <w:adjustRightInd w:val="0"/>
        <w:snapToGrid w:val="0"/>
        <w:spacing w:line="360" w:lineRule="auto"/>
        <w:rPr>
          <w:rFonts w:hAnsi="宋体"/>
          <w:b/>
          <w:color w:val="auto"/>
          <w:sz w:val="24"/>
          <w:szCs w:val="18"/>
        </w:rPr>
      </w:pPr>
      <w:r>
        <w:rPr>
          <w:rFonts w:hAnsi="宋体"/>
          <w:b/>
          <w:color w:val="auto"/>
          <w:sz w:val="24"/>
          <w:szCs w:val="18"/>
        </w:rPr>
        <w:t xml:space="preserve">31.2  </w:t>
      </w:r>
    </w:p>
    <w:p w14:paraId="17F20260">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1773952" behindDoc="0" locked="0" layoutInCell="1" allowOverlap="1">
                <wp:simplePos x="0" y="0"/>
                <wp:positionH relativeFrom="column">
                  <wp:posOffset>-114300</wp:posOffset>
                </wp:positionH>
                <wp:positionV relativeFrom="paragraph">
                  <wp:posOffset>7620</wp:posOffset>
                </wp:positionV>
                <wp:extent cx="914400" cy="49276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914400" cy="492760"/>
                        </a:xfrm>
                        <a:prstGeom prst="rect">
                          <a:avLst/>
                        </a:prstGeom>
                        <a:noFill/>
                        <a:ln>
                          <a:noFill/>
                        </a:ln>
                        <a:effectLst/>
                      </wps:spPr>
                      <wps:txbx>
                        <w:txbxContent>
                          <w:p w14:paraId="7DBB49A8">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不可抗力处理程序</w:t>
                            </w:r>
                          </w:p>
                        </w:txbxContent>
                      </wps:txbx>
                      <wps:bodyPr upright="1"/>
                    </wps:wsp>
                  </a:graphicData>
                </a:graphic>
              </wp:anchor>
            </w:drawing>
          </mc:Choice>
          <mc:Fallback>
            <w:pict>
              <v:shape id="_x0000_s1026" o:spid="_x0000_s1026" o:spt="202" type="#_x0000_t202" style="position:absolute;left:0pt;margin-left:-9pt;margin-top:0.6pt;height:38.8pt;width:72pt;z-index:251773952;mso-width-relative:page;mso-height-relative:page;" filled="f" stroked="f" coordsize="21600,21600" o:gfxdata="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K+0v&#10;7dUAAAAIAQAADwAAAAAAAAABACAAAAAiAAAAZHJzL2Rvd25yZXYueG1sUEsBAhQAFAAAAAgAh07i&#10;QPMoXHCzAQAAXwMAAA4AAAAAAAAAAQAgAAAAJAEAAGRycy9lMm9Eb2MueG1sUEsFBgAAAAAGAAYA&#10;WQEAAEkFAAAAAA==&#10;">
                <v:fill on="f" focussize="0,0"/>
                <v:stroke on="f"/>
                <v:imagedata o:title=""/>
                <o:lock v:ext="edit" aspectratio="f"/>
                <v:textbox>
                  <w:txbxContent>
                    <w:p w14:paraId="7DBB49A8">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不可抗力处理程序</w:t>
                      </w:r>
                    </w:p>
                  </w:txbxContent>
                </v:textbox>
              </v:shape>
            </w:pict>
          </mc:Fallback>
        </mc:AlternateContent>
      </w:r>
      <w:r>
        <w:rPr>
          <w:rFonts w:hint="eastAsia" w:hAnsi="宋体"/>
          <w:color w:val="auto"/>
          <w:sz w:val="24"/>
          <w:szCs w:val="18"/>
        </w:rPr>
        <w:t>不可抗力事件发生后，承包人应立即书面通知发包人和监理工程师，并在力所能及的条件下迅速采取措施，尽力减少损失，发包人应协助承包人采取相应措施。监理工程师认为应当暂停施工的，承包人应暂停施工。不可抗力事件结束后的</w:t>
      </w:r>
      <w:r>
        <w:rPr>
          <w:rFonts w:hAnsi="宋体"/>
          <w:color w:val="auto"/>
          <w:sz w:val="24"/>
          <w:szCs w:val="18"/>
        </w:rPr>
        <w:t>7</w:t>
      </w:r>
      <w:r>
        <w:rPr>
          <w:rFonts w:hint="eastAsia" w:hAnsi="宋体"/>
          <w:color w:val="auto"/>
          <w:sz w:val="24"/>
          <w:szCs w:val="18"/>
        </w:rPr>
        <w:t>天内，承包人向监理工程师通报受害情况和损失情况，并预计清理和修复的费用，抄送造价工程师。不可抗力事件持续发生，承包人应每隔</w:t>
      </w:r>
      <w:r>
        <w:rPr>
          <w:rFonts w:hAnsi="宋体"/>
          <w:color w:val="auto"/>
          <w:sz w:val="24"/>
          <w:szCs w:val="18"/>
        </w:rPr>
        <w:t>7</w:t>
      </w:r>
      <w:r>
        <w:rPr>
          <w:rFonts w:hint="eastAsia" w:hAnsi="宋体"/>
          <w:color w:val="auto"/>
          <w:sz w:val="24"/>
          <w:szCs w:val="18"/>
        </w:rPr>
        <w:t>天向监理工程师和造价工程师报告一次受害情况。不可抗力事件结束后的</w:t>
      </w:r>
      <w:r>
        <w:rPr>
          <w:rFonts w:hAnsi="宋体"/>
          <w:color w:val="auto"/>
          <w:sz w:val="24"/>
          <w:szCs w:val="18"/>
        </w:rPr>
        <w:t>28</w:t>
      </w:r>
      <w:r>
        <w:rPr>
          <w:rFonts w:hint="eastAsia" w:hAnsi="宋体"/>
          <w:color w:val="auto"/>
          <w:sz w:val="24"/>
          <w:szCs w:val="18"/>
        </w:rPr>
        <w:t>天内，承包人应分别按照第</w:t>
      </w:r>
      <w:r>
        <w:rPr>
          <w:rFonts w:hAnsi="宋体"/>
          <w:color w:val="auto"/>
          <w:sz w:val="24"/>
          <w:szCs w:val="18"/>
        </w:rPr>
        <w:t>36</w:t>
      </w:r>
      <w:r>
        <w:rPr>
          <w:rFonts w:hint="eastAsia" w:hAnsi="宋体"/>
          <w:color w:val="auto"/>
          <w:sz w:val="24"/>
          <w:szCs w:val="18"/>
        </w:rPr>
        <w:t>条、第</w:t>
      </w:r>
      <w:r>
        <w:rPr>
          <w:rFonts w:hAnsi="宋体"/>
          <w:color w:val="auto"/>
          <w:sz w:val="24"/>
          <w:szCs w:val="18"/>
        </w:rPr>
        <w:t>74</w:t>
      </w:r>
      <w:r>
        <w:rPr>
          <w:rFonts w:hint="eastAsia" w:hAnsi="宋体"/>
          <w:color w:val="auto"/>
          <w:sz w:val="24"/>
          <w:szCs w:val="18"/>
        </w:rPr>
        <w:t>条规定索赔工期、费用。</w:t>
      </w:r>
    </w:p>
    <w:p w14:paraId="4852AE93">
      <w:pPr>
        <w:pStyle w:val="2"/>
        <w:adjustRightInd w:val="0"/>
        <w:snapToGrid w:val="0"/>
        <w:spacing w:line="360" w:lineRule="auto"/>
        <w:rPr>
          <w:rFonts w:hAnsi="宋体"/>
          <w:b/>
          <w:color w:val="auto"/>
          <w:sz w:val="24"/>
          <w:szCs w:val="18"/>
        </w:rPr>
      </w:pPr>
      <w:r>
        <w:rPr>
          <w:rFonts w:hAnsi="宋体"/>
          <w:b/>
          <w:color w:val="auto"/>
          <w:sz w:val="24"/>
          <w:szCs w:val="18"/>
        </w:rPr>
        <w:t xml:space="preserve">31.3  </w:t>
      </w:r>
    </w:p>
    <w:p w14:paraId="76383C13">
      <w:pPr>
        <w:pStyle w:val="2"/>
        <w:adjustRightInd w:val="0"/>
        <w:snapToGrid w:val="0"/>
        <w:spacing w:line="360" w:lineRule="auto"/>
        <w:ind w:left="1619" w:leftChars="771" w:firstLine="1"/>
        <w:rPr>
          <w:rFonts w:hAnsi="宋体"/>
          <w:color w:val="auto"/>
          <w:sz w:val="24"/>
          <w:szCs w:val="18"/>
        </w:rPr>
      </w:pPr>
      <w:r>
        <w:rPr>
          <w:color w:val="auto"/>
        </w:rPr>
        <mc:AlternateContent>
          <mc:Choice Requires="wps">
            <w:drawing>
              <wp:anchor distT="0" distB="0" distL="114300" distR="114300" simplePos="0" relativeHeight="251774976" behindDoc="0" locked="0" layoutInCell="1" allowOverlap="1">
                <wp:simplePos x="0" y="0"/>
                <wp:positionH relativeFrom="column">
                  <wp:posOffset>-114300</wp:posOffset>
                </wp:positionH>
                <wp:positionV relativeFrom="paragraph">
                  <wp:posOffset>22225</wp:posOffset>
                </wp:positionV>
                <wp:extent cx="914400" cy="69342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a:effectLst/>
                      </wps:spPr>
                      <wps:txbx>
                        <w:txbxContent>
                          <w:p w14:paraId="5EA74A6F">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不可抗力引起费用的承担</w:t>
                            </w:r>
                          </w:p>
                        </w:txbxContent>
                      </wps:txbx>
                      <wps:bodyPr upright="1"/>
                    </wps:wsp>
                  </a:graphicData>
                </a:graphic>
              </wp:anchor>
            </w:drawing>
          </mc:Choice>
          <mc:Fallback>
            <w:pict>
              <v:shape id="_x0000_s1026" o:spid="_x0000_s1026" o:spt="202" type="#_x0000_t202" style="position:absolute;left:0pt;margin-left:-9pt;margin-top:1.75pt;height:54.6pt;width:72pt;z-index:251774976;mso-width-relative:page;mso-height-relative:page;" filled="f" stroked="f" coordsize="21600,21600" o:gfxdata="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S66V1wAAAAkBAAAPAAAAAAAAAAEAIAAAACIAAABkcnMvZG93bnJldi54bWxQSwECFAAUAAAACACH&#10;TuJAIW5h67MBAABfAwAADgAAAAAAAAABACAAAAAmAQAAZHJzL2Uyb0RvYy54bWxQSwUGAAAAAAYA&#10;BgBZAQAASwUAAAAA&#10;">
                <v:fill on="f" focussize="0,0"/>
                <v:stroke on="f"/>
                <v:imagedata o:title=""/>
                <o:lock v:ext="edit" aspectratio="f"/>
                <v:textbox>
                  <w:txbxContent>
                    <w:p w14:paraId="5EA74A6F">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不可抗力引起费用的承担</w:t>
                      </w:r>
                    </w:p>
                  </w:txbxContent>
                </v:textbox>
              </v:shape>
            </w:pict>
          </mc:Fallback>
        </mc:AlternateContent>
      </w:r>
      <w:r>
        <w:rPr>
          <w:rFonts w:hint="eastAsia" w:hAnsi="宋体"/>
          <w:color w:val="auto"/>
          <w:sz w:val="24"/>
          <w:szCs w:val="18"/>
        </w:rPr>
        <w:t>因不可抗力事件导致的费用，由合同双方当事人按照下列规定承担，并相应调整合同价款：</w:t>
      </w:r>
    </w:p>
    <w:p w14:paraId="1BB770BB">
      <w:pPr>
        <w:pStyle w:val="2"/>
        <w:numPr>
          <w:ilvl w:val="0"/>
          <w:numId w:val="16"/>
        </w:numPr>
        <w:tabs>
          <w:tab w:val="left" w:pos="1080"/>
        </w:tabs>
        <w:adjustRightInd w:val="0"/>
        <w:snapToGrid w:val="0"/>
        <w:spacing w:line="360" w:lineRule="auto"/>
        <w:ind w:left="1619" w:leftChars="771" w:firstLine="1"/>
        <w:rPr>
          <w:rFonts w:hAnsi="宋体"/>
          <w:color w:val="auto"/>
          <w:sz w:val="24"/>
          <w:szCs w:val="18"/>
        </w:rPr>
      </w:pPr>
      <w:r>
        <w:rPr>
          <w:rFonts w:hint="eastAsia" w:hAnsi="宋体"/>
          <w:color w:val="auto"/>
          <w:sz w:val="24"/>
          <w:szCs w:val="18"/>
        </w:rPr>
        <w:t>永久工程本身的损害、已运至施工场地的材料和工程设备的损害，以及因工程损害导致第三者人员伤亡和财产损失，由发包人承担；</w:t>
      </w:r>
    </w:p>
    <w:p w14:paraId="173344B9">
      <w:pPr>
        <w:pStyle w:val="2"/>
        <w:numPr>
          <w:ilvl w:val="0"/>
          <w:numId w:val="16"/>
        </w:numPr>
        <w:tabs>
          <w:tab w:val="left" w:pos="1080"/>
        </w:tabs>
        <w:adjustRightInd w:val="0"/>
        <w:snapToGrid w:val="0"/>
        <w:spacing w:line="360" w:lineRule="auto"/>
        <w:ind w:left="1619" w:leftChars="771" w:firstLine="1"/>
        <w:rPr>
          <w:rFonts w:hAnsi="宋体"/>
          <w:color w:val="auto"/>
          <w:sz w:val="24"/>
          <w:szCs w:val="18"/>
        </w:rPr>
      </w:pPr>
      <w:r>
        <w:rPr>
          <w:rFonts w:hint="eastAsia" w:hAnsi="宋体"/>
          <w:color w:val="auto"/>
          <w:sz w:val="24"/>
          <w:szCs w:val="18"/>
        </w:rPr>
        <w:t>承包人施工设备和用于合同工程的周转材料损坏以及停工损失，由承包人承担；发包人提供的施工设备损坏，由发包人承担；</w:t>
      </w:r>
    </w:p>
    <w:p w14:paraId="11647951">
      <w:pPr>
        <w:pStyle w:val="2"/>
        <w:numPr>
          <w:ilvl w:val="0"/>
          <w:numId w:val="16"/>
        </w:numPr>
        <w:tabs>
          <w:tab w:val="left" w:pos="1080"/>
        </w:tabs>
        <w:adjustRightInd w:val="0"/>
        <w:snapToGrid w:val="0"/>
        <w:spacing w:line="360" w:lineRule="auto"/>
        <w:ind w:left="1619" w:leftChars="771" w:firstLine="0"/>
        <w:rPr>
          <w:rFonts w:hAnsi="宋体"/>
          <w:color w:val="auto"/>
          <w:sz w:val="24"/>
          <w:szCs w:val="18"/>
        </w:rPr>
      </w:pPr>
      <w:r>
        <w:rPr>
          <w:rFonts w:hint="eastAsia" w:hAnsi="宋体"/>
          <w:color w:val="auto"/>
          <w:sz w:val="24"/>
          <w:szCs w:val="18"/>
        </w:rPr>
        <w:t>施工场地内的人员伤亡和本款第</w:t>
      </w:r>
      <w:r>
        <w:rPr>
          <w:rFonts w:hAnsi="宋体"/>
          <w:color w:val="auto"/>
          <w:sz w:val="24"/>
          <w:szCs w:val="18"/>
        </w:rPr>
        <w:t>(1)</w:t>
      </w:r>
      <w:r>
        <w:rPr>
          <w:rFonts w:hint="eastAsia" w:hAnsi="宋体"/>
          <w:color w:val="auto"/>
          <w:sz w:val="24"/>
          <w:szCs w:val="18"/>
        </w:rPr>
        <w:t>点、第</w:t>
      </w:r>
      <w:r>
        <w:rPr>
          <w:rFonts w:hAnsi="宋体"/>
          <w:color w:val="auto"/>
          <w:sz w:val="24"/>
          <w:szCs w:val="18"/>
        </w:rPr>
        <w:t>(2)</w:t>
      </w:r>
      <w:r>
        <w:rPr>
          <w:rFonts w:hint="eastAsia" w:hAnsi="宋体"/>
          <w:color w:val="auto"/>
          <w:sz w:val="24"/>
          <w:szCs w:val="18"/>
        </w:rPr>
        <w:t>点以外财产损失及其相关费用，由合同双方当事人各自承担；</w:t>
      </w:r>
    </w:p>
    <w:p w14:paraId="21F36C4D">
      <w:pPr>
        <w:pStyle w:val="2"/>
        <w:numPr>
          <w:ilvl w:val="0"/>
          <w:numId w:val="16"/>
        </w:numPr>
        <w:tabs>
          <w:tab w:val="left" w:pos="1080"/>
        </w:tabs>
        <w:adjustRightInd w:val="0"/>
        <w:snapToGrid w:val="0"/>
        <w:spacing w:line="360" w:lineRule="auto"/>
        <w:ind w:left="1619" w:leftChars="771" w:firstLine="1"/>
        <w:rPr>
          <w:rFonts w:hAnsi="宋体"/>
          <w:color w:val="auto"/>
          <w:sz w:val="24"/>
          <w:szCs w:val="18"/>
        </w:rPr>
      </w:pPr>
      <w:r>
        <w:rPr>
          <w:rFonts w:hint="eastAsia" w:hAnsi="宋体"/>
          <w:color w:val="auto"/>
          <w:sz w:val="24"/>
          <w:szCs w:val="18"/>
        </w:rPr>
        <w:t>停工期间，承包人应监理工程师要求照管工程的费用，由发包人承担；</w:t>
      </w:r>
    </w:p>
    <w:p w14:paraId="44C5653E">
      <w:pPr>
        <w:pStyle w:val="2"/>
        <w:numPr>
          <w:ilvl w:val="0"/>
          <w:numId w:val="16"/>
        </w:numPr>
        <w:tabs>
          <w:tab w:val="left" w:pos="1080"/>
        </w:tabs>
        <w:adjustRightInd w:val="0"/>
        <w:snapToGrid w:val="0"/>
        <w:spacing w:line="360" w:lineRule="auto"/>
        <w:ind w:left="2096" w:leftChars="772" w:hanging="475" w:hangingChars="198"/>
        <w:rPr>
          <w:rFonts w:hAnsi="宋体"/>
          <w:color w:val="auto"/>
          <w:sz w:val="24"/>
          <w:szCs w:val="18"/>
        </w:rPr>
      </w:pPr>
      <w:r>
        <w:rPr>
          <w:rFonts w:hint="eastAsia" w:hAnsi="宋体"/>
          <w:color w:val="auto"/>
          <w:sz w:val="24"/>
          <w:szCs w:val="18"/>
        </w:rPr>
        <w:t>工程所需的清理、修复费用，由发包人承担。</w:t>
      </w:r>
    </w:p>
    <w:p w14:paraId="13B0CC95">
      <w:pPr>
        <w:pStyle w:val="2"/>
        <w:adjustRightInd w:val="0"/>
        <w:snapToGrid w:val="0"/>
        <w:spacing w:line="360" w:lineRule="auto"/>
        <w:rPr>
          <w:rFonts w:hAnsi="宋体"/>
          <w:b/>
          <w:color w:val="auto"/>
          <w:sz w:val="24"/>
          <w:szCs w:val="18"/>
        </w:rPr>
      </w:pPr>
      <w:r>
        <w:rPr>
          <w:color w:val="auto"/>
        </w:rPr>
        <mc:AlternateContent>
          <mc:Choice Requires="wps">
            <w:drawing>
              <wp:anchor distT="0" distB="0" distL="114300" distR="114300" simplePos="0" relativeHeight="251776000"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115" name="文本框 115"/>
                <wp:cNvGraphicFramePr/>
                <a:graphic xmlns:a="http://schemas.openxmlformats.org/drawingml/2006/main">
                  <a:graphicData uri="http://schemas.microsoft.com/office/word/2010/wordprocessingShape">
                    <wps:wsp>
                      <wps:cNvSpPr txBox="1"/>
                      <wps:spPr>
                        <a:xfrm>
                          <a:off x="0" y="0"/>
                          <a:ext cx="914400" cy="563245"/>
                        </a:xfrm>
                        <a:prstGeom prst="rect">
                          <a:avLst/>
                        </a:prstGeom>
                        <a:noFill/>
                        <a:ln>
                          <a:noFill/>
                        </a:ln>
                        <a:effectLst/>
                      </wps:spPr>
                      <wps:txbx>
                        <w:txbxContent>
                          <w:p w14:paraId="5B16A824">
                            <w:pPr>
                              <w:spacing w:line="240" w:lineRule="exact"/>
                              <w:rPr>
                                <w:rFonts w:ascii="宋体"/>
                                <w:sz w:val="18"/>
                                <w:szCs w:val="18"/>
                              </w:rPr>
                            </w:pPr>
                            <w:r>
                              <w:rPr>
                                <w:rFonts w:hint="eastAsia" w:ascii="楷体_GB2312" w:hAnsi="宋体" w:eastAsia="楷体_GB2312"/>
                                <w:b/>
                                <w:color w:val="000000"/>
                                <w:sz w:val="18"/>
                                <w:szCs w:val="18"/>
                              </w:rPr>
                              <w:t>不可抗力引起工期的处理</w:t>
                            </w:r>
                          </w:p>
                        </w:txbxContent>
                      </wps:txbx>
                      <wps:bodyPr upright="1"/>
                    </wps:wsp>
                  </a:graphicData>
                </a:graphic>
              </wp:anchor>
            </w:drawing>
          </mc:Choice>
          <mc:Fallback>
            <w:pict>
              <v:shape id="_x0000_s1026" o:spid="_x0000_s1026" o:spt="202" type="#_x0000_t202" style="position:absolute;left:0pt;margin-left:-9pt;margin-top:19.5pt;height:44.35pt;width:72pt;z-index:251776000;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T&#10;nCGh1wAAAAoBAAAPAAAAAAAAAAEAIAAAACIAAABkcnMvZG93bnJldi54bWxQSwECFAAUAAAACACH&#10;TuJAYsgHFbMBAABfAwAADgAAAAAAAAABACAAAAAmAQAAZHJzL2Uyb0RvYy54bWxQSwUGAAAAAAYA&#10;BgBZAQAASwUAAAAA&#10;">
                <v:fill on="f" focussize="0,0"/>
                <v:stroke on="f"/>
                <v:imagedata o:title=""/>
                <o:lock v:ext="edit" aspectratio="f"/>
                <v:textbox>
                  <w:txbxContent>
                    <w:p w14:paraId="5B16A824">
                      <w:pPr>
                        <w:spacing w:line="240" w:lineRule="exact"/>
                        <w:rPr>
                          <w:rFonts w:ascii="宋体"/>
                          <w:sz w:val="18"/>
                          <w:szCs w:val="18"/>
                        </w:rPr>
                      </w:pPr>
                      <w:r>
                        <w:rPr>
                          <w:rFonts w:hint="eastAsia" w:ascii="楷体_GB2312" w:hAnsi="宋体" w:eastAsia="楷体_GB2312"/>
                          <w:b/>
                          <w:color w:val="000000"/>
                          <w:sz w:val="18"/>
                          <w:szCs w:val="18"/>
                        </w:rPr>
                        <w:t>不可抗力引起工期的处理</w:t>
                      </w:r>
                    </w:p>
                  </w:txbxContent>
                </v:textbox>
              </v:shape>
            </w:pict>
          </mc:Fallback>
        </mc:AlternateContent>
      </w:r>
      <w:r>
        <w:rPr>
          <w:rFonts w:hAnsi="宋体"/>
          <w:b/>
          <w:color w:val="auto"/>
          <w:sz w:val="24"/>
          <w:szCs w:val="18"/>
        </w:rPr>
        <w:t xml:space="preserve">31.4  </w:t>
      </w:r>
    </w:p>
    <w:p w14:paraId="4EEAE0E8">
      <w:pPr>
        <w:pStyle w:val="2"/>
        <w:adjustRightInd w:val="0"/>
        <w:snapToGrid w:val="0"/>
        <w:spacing w:line="360" w:lineRule="auto"/>
        <w:ind w:left="1619" w:leftChars="771"/>
        <w:rPr>
          <w:rFonts w:hAnsi="宋体"/>
          <w:dstrike/>
          <w:color w:val="auto"/>
          <w:sz w:val="24"/>
          <w:szCs w:val="24"/>
        </w:rPr>
      </w:pPr>
      <w:r>
        <w:rPr>
          <w:rFonts w:hint="eastAsia" w:hAnsi="宋体"/>
          <w:color w:val="auto"/>
          <w:sz w:val="24"/>
          <w:szCs w:val="18"/>
        </w:rPr>
        <w:t>因发生不可抗力事件导致工期延误的，工期相应顺延；不能按期竣工的，承包人无需为此支付任何误期赔偿费。发包人要求赶工的，承包人应采取赶工措施，赶工费用由发包人支付。</w:t>
      </w:r>
    </w:p>
    <w:p w14:paraId="75C12071">
      <w:pPr>
        <w:pStyle w:val="2"/>
        <w:adjustRightInd w:val="0"/>
        <w:snapToGrid w:val="0"/>
        <w:spacing w:line="360" w:lineRule="auto"/>
        <w:rPr>
          <w:rFonts w:hAnsi="宋体"/>
          <w:b/>
          <w:color w:val="auto"/>
          <w:sz w:val="24"/>
          <w:szCs w:val="18"/>
        </w:rPr>
      </w:pPr>
      <w:r>
        <w:rPr>
          <w:color w:val="auto"/>
        </w:rPr>
        <mc:AlternateContent>
          <mc:Choice Requires="wps">
            <w:drawing>
              <wp:anchor distT="0" distB="0" distL="114300" distR="114300" simplePos="0" relativeHeight="251777024"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116" name="文本框 116"/>
                <wp:cNvGraphicFramePr/>
                <a:graphic xmlns:a="http://schemas.openxmlformats.org/drawingml/2006/main">
                  <a:graphicData uri="http://schemas.microsoft.com/office/word/2010/wordprocessingShape">
                    <wps:wsp>
                      <wps:cNvSpPr txBox="1"/>
                      <wps:spPr>
                        <a:xfrm>
                          <a:off x="0" y="0"/>
                          <a:ext cx="914400" cy="563245"/>
                        </a:xfrm>
                        <a:prstGeom prst="rect">
                          <a:avLst/>
                        </a:prstGeom>
                        <a:noFill/>
                        <a:ln>
                          <a:noFill/>
                        </a:ln>
                        <a:effectLst/>
                      </wps:spPr>
                      <wps:txbx>
                        <w:txbxContent>
                          <w:p w14:paraId="51B50555">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延迟履约发生不可抗力的责任</w:t>
                            </w:r>
                          </w:p>
                        </w:txbxContent>
                      </wps:txbx>
                      <wps:bodyPr upright="1"/>
                    </wps:wsp>
                  </a:graphicData>
                </a:graphic>
              </wp:anchor>
            </w:drawing>
          </mc:Choice>
          <mc:Fallback>
            <w:pict>
              <v:shape id="_x0000_s1026" o:spid="_x0000_s1026" o:spt="202" type="#_x0000_t202" style="position:absolute;left:0pt;margin-left:-9pt;margin-top:19.5pt;height:44.35pt;width:72pt;z-index:251777024;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JOc&#10;IaHXAAAACgEAAA8AAAAAAAAAAQAgAAAAIgAAAGRycy9kb3ducmV2LnhtbFBLAQIUABQAAAAIAIdO&#10;4kCCxisxsgEAAF8DAAAOAAAAAAAAAAEAIAAAACYBAABkcnMvZTJvRG9jLnhtbFBLBQYAAAAABgAG&#10;AFkBAABKBQAAAAA=&#10;">
                <v:fill on="f" focussize="0,0"/>
                <v:stroke on="f"/>
                <v:imagedata o:title=""/>
                <o:lock v:ext="edit" aspectratio="f"/>
                <v:textbox>
                  <w:txbxContent>
                    <w:p w14:paraId="51B50555">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延迟履约发生不可抗力的责任</w:t>
                      </w:r>
                    </w:p>
                  </w:txbxContent>
                </v:textbox>
              </v:shape>
            </w:pict>
          </mc:Fallback>
        </mc:AlternateContent>
      </w:r>
      <w:r>
        <w:rPr>
          <w:rFonts w:hAnsi="宋体"/>
          <w:b/>
          <w:color w:val="auto"/>
          <w:sz w:val="24"/>
          <w:szCs w:val="18"/>
        </w:rPr>
        <w:t xml:space="preserve">31.5 </w:t>
      </w:r>
    </w:p>
    <w:p w14:paraId="05BB4938">
      <w:pPr>
        <w:pStyle w:val="2"/>
        <w:adjustRightInd w:val="0"/>
        <w:snapToGrid w:val="0"/>
        <w:spacing w:line="360" w:lineRule="auto"/>
        <w:ind w:left="1619" w:leftChars="771"/>
        <w:rPr>
          <w:rFonts w:hAnsi="宋体"/>
          <w:color w:val="auto"/>
          <w:sz w:val="24"/>
          <w:szCs w:val="18"/>
        </w:rPr>
      </w:pPr>
      <w:r>
        <w:rPr>
          <w:rFonts w:hint="eastAsia" w:hAnsi="宋体"/>
          <w:color w:val="auto"/>
          <w:sz w:val="24"/>
          <w:szCs w:val="18"/>
        </w:rPr>
        <w:t>合同任何一方当事人延迟履行合同后发生不可抗力事件的，不能免除另一方当事人因不可抗力造成损失的责任。</w:t>
      </w:r>
    </w:p>
    <w:p w14:paraId="34D5B3E5">
      <w:pPr>
        <w:pStyle w:val="2"/>
        <w:adjustRightInd w:val="0"/>
        <w:snapToGrid w:val="0"/>
        <w:spacing w:line="360" w:lineRule="auto"/>
        <w:rPr>
          <w:rFonts w:hAnsi="宋体"/>
          <w:b/>
          <w:color w:val="auto"/>
          <w:sz w:val="24"/>
          <w:szCs w:val="18"/>
        </w:rPr>
      </w:pPr>
      <w:r>
        <w:rPr>
          <w:color w:val="auto"/>
        </w:rPr>
        <mc:AlternateContent>
          <mc:Choice Requires="wps">
            <w:drawing>
              <wp:anchor distT="0" distB="0" distL="114300" distR="114300" simplePos="0" relativeHeight="251778048"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117" name="文本框 117"/>
                <wp:cNvGraphicFramePr/>
                <a:graphic xmlns:a="http://schemas.openxmlformats.org/drawingml/2006/main">
                  <a:graphicData uri="http://schemas.microsoft.com/office/word/2010/wordprocessingShape">
                    <wps:wsp>
                      <wps:cNvSpPr txBox="1"/>
                      <wps:spPr>
                        <a:xfrm>
                          <a:off x="0" y="0"/>
                          <a:ext cx="914400" cy="563245"/>
                        </a:xfrm>
                        <a:prstGeom prst="rect">
                          <a:avLst/>
                        </a:prstGeom>
                        <a:noFill/>
                        <a:ln>
                          <a:noFill/>
                        </a:ln>
                        <a:effectLst/>
                      </wps:spPr>
                      <wps:txbx>
                        <w:txbxContent>
                          <w:p w14:paraId="2A2E5F15">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避免和减少不可抗力的损失</w:t>
                            </w:r>
                          </w:p>
                        </w:txbxContent>
                      </wps:txbx>
                      <wps:bodyPr upright="1"/>
                    </wps:wsp>
                  </a:graphicData>
                </a:graphic>
              </wp:anchor>
            </w:drawing>
          </mc:Choice>
          <mc:Fallback>
            <w:pict>
              <v:shape id="_x0000_s1026" o:spid="_x0000_s1026" o:spt="202" type="#_x0000_t202" style="position:absolute;left:0pt;margin-left:-9pt;margin-top:19.5pt;height:44.35pt;width:72pt;z-index:251778048;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T&#10;nCGh1wAAAAoBAAAPAAAAAAAAAAEAIAAAACIAAABkcnMvZG93bnJldi54bWxQSwECFAAUAAAACACH&#10;TuJAHcHgm7MBAABfAwAADgAAAAAAAAABACAAAAAmAQAAZHJzL2Uyb0RvYy54bWxQSwUGAAAAAAYA&#10;BgBZAQAASwUAAAAA&#10;">
                <v:fill on="f" focussize="0,0"/>
                <v:stroke on="f"/>
                <v:imagedata o:title=""/>
                <o:lock v:ext="edit" aspectratio="f"/>
                <v:textbox>
                  <w:txbxContent>
                    <w:p w14:paraId="2A2E5F15">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避免和减少不可抗力的损失</w:t>
                      </w:r>
                    </w:p>
                  </w:txbxContent>
                </v:textbox>
              </v:shape>
            </w:pict>
          </mc:Fallback>
        </mc:AlternateContent>
      </w:r>
      <w:r>
        <w:rPr>
          <w:rFonts w:hAnsi="宋体"/>
          <w:b/>
          <w:color w:val="auto"/>
          <w:sz w:val="24"/>
          <w:szCs w:val="18"/>
        </w:rPr>
        <w:t xml:space="preserve">31.6 </w:t>
      </w:r>
    </w:p>
    <w:p w14:paraId="24182C2A">
      <w:pPr>
        <w:pStyle w:val="2"/>
        <w:adjustRightInd w:val="0"/>
        <w:snapToGrid w:val="0"/>
        <w:spacing w:line="360" w:lineRule="auto"/>
        <w:ind w:left="1619" w:leftChars="771"/>
        <w:rPr>
          <w:rFonts w:hAnsi="宋体"/>
          <w:color w:val="auto"/>
          <w:sz w:val="24"/>
          <w:szCs w:val="18"/>
        </w:rPr>
      </w:pPr>
      <w:r>
        <w:rPr>
          <w:rFonts w:hint="eastAsia" w:hAnsi="宋体"/>
          <w:color w:val="auto"/>
          <w:sz w:val="24"/>
          <w:szCs w:val="18"/>
        </w:rPr>
        <w:t>不可抗力事件发生后，合同双方当事人应采取措施尽量避免和减少由此发生的损失。因合同任何一方当事人没有采取有效措施而导致损失扩大的，则损失扩大部分由其自身承担。</w:t>
      </w:r>
    </w:p>
    <w:p w14:paraId="3C265E7B">
      <w:pPr>
        <w:pStyle w:val="2"/>
        <w:adjustRightInd w:val="0"/>
        <w:snapToGrid w:val="0"/>
        <w:spacing w:line="360" w:lineRule="auto"/>
        <w:rPr>
          <w:color w:val="auto"/>
        </w:rPr>
      </w:pPr>
    </w:p>
    <w:p w14:paraId="0B5E4394">
      <w:pPr>
        <w:pStyle w:val="2"/>
        <w:tabs>
          <w:tab w:val="left" w:pos="540"/>
        </w:tabs>
        <w:adjustRightInd w:val="0"/>
        <w:snapToGrid w:val="0"/>
        <w:spacing w:before="240" w:beforeLines="100" w:line="360" w:lineRule="auto"/>
        <w:ind w:right="-238"/>
        <w:rPr>
          <w:rFonts w:hAnsi="宋体"/>
          <w:b/>
          <w:color w:val="auto"/>
          <w:sz w:val="30"/>
          <w:szCs w:val="24"/>
        </w:rPr>
      </w:pPr>
      <w:r>
        <w:rPr>
          <w:rFonts w:hAnsi="宋体"/>
          <w:b/>
          <w:color w:val="auto"/>
          <w:sz w:val="30"/>
          <w:szCs w:val="24"/>
        </w:rPr>
        <w:t xml:space="preserve">32  </w:t>
      </w:r>
      <w:r>
        <w:rPr>
          <w:rFonts w:hint="eastAsia" w:hAnsi="宋体"/>
          <w:b/>
          <w:color w:val="auto"/>
          <w:sz w:val="30"/>
          <w:szCs w:val="24"/>
        </w:rPr>
        <w:t>保险</w:t>
      </w:r>
    </w:p>
    <w:p w14:paraId="5F9A0005">
      <w:pPr>
        <w:pStyle w:val="2"/>
        <w:tabs>
          <w:tab w:val="left" w:pos="1320"/>
        </w:tabs>
        <w:adjustRightInd w:val="0"/>
        <w:snapToGrid w:val="0"/>
        <w:spacing w:line="360" w:lineRule="auto"/>
        <w:rPr>
          <w:rFonts w:hAnsi="宋体"/>
          <w:b/>
          <w:color w:val="auto"/>
          <w:sz w:val="24"/>
          <w:szCs w:val="18"/>
        </w:rPr>
      </w:pPr>
      <w:r>
        <w:rPr>
          <w:rFonts w:hAnsi="宋体"/>
          <w:b/>
          <w:color w:val="auto"/>
          <w:sz w:val="24"/>
          <w:szCs w:val="18"/>
        </w:rPr>
        <w:t xml:space="preserve">32.1      </w:t>
      </w:r>
    </w:p>
    <w:p w14:paraId="37831835">
      <w:pPr>
        <w:pStyle w:val="2"/>
        <w:adjustRightInd w:val="0"/>
        <w:snapToGrid w:val="0"/>
        <w:spacing w:line="360" w:lineRule="auto"/>
        <w:ind w:firstLine="1650" w:firstLineChars="825"/>
        <w:rPr>
          <w:rFonts w:hAnsi="宋体"/>
          <w:color w:val="auto"/>
          <w:sz w:val="24"/>
          <w:szCs w:val="18"/>
        </w:rPr>
      </w:pPr>
      <w:r>
        <w:rPr>
          <w:color w:val="auto"/>
        </w:rPr>
        <mc:AlternateContent>
          <mc:Choice Requires="wps">
            <w:drawing>
              <wp:anchor distT="0" distB="0" distL="114300" distR="114300" simplePos="0" relativeHeight="251779072" behindDoc="0" locked="0" layoutInCell="1" allowOverlap="1">
                <wp:simplePos x="0" y="0"/>
                <wp:positionH relativeFrom="column">
                  <wp:posOffset>-114300</wp:posOffset>
                </wp:positionH>
                <wp:positionV relativeFrom="paragraph">
                  <wp:posOffset>7620</wp:posOffset>
                </wp:positionV>
                <wp:extent cx="800100" cy="415925"/>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800100" cy="415925"/>
                        </a:xfrm>
                        <a:prstGeom prst="rect">
                          <a:avLst/>
                        </a:prstGeom>
                        <a:noFill/>
                        <a:ln>
                          <a:noFill/>
                        </a:ln>
                        <a:effectLst/>
                      </wps:spPr>
                      <wps:txbx>
                        <w:txbxContent>
                          <w:p w14:paraId="763298CB">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发包人办理保险</w:t>
                            </w:r>
                          </w:p>
                        </w:txbxContent>
                      </wps:txbx>
                      <wps:bodyPr upright="1"/>
                    </wps:wsp>
                  </a:graphicData>
                </a:graphic>
              </wp:anchor>
            </w:drawing>
          </mc:Choice>
          <mc:Fallback>
            <w:pict>
              <v:shape id="_x0000_s1026" o:spid="_x0000_s1026" o:spt="202" type="#_x0000_t202" style="position:absolute;left:0pt;margin-left:-9pt;margin-top:0.6pt;height:32.75pt;width:63pt;z-index:251779072;mso-width-relative:page;mso-height-relative:page;" filled="f" stroked="f" coordsize="21600,21600" o:gfxdata="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y547m1AAA&#10;AAgBAAAPAAAAAAAAAAEAIAAAACIAAABkcnMvZG93bnJldi54bWxQSwECFAAUAAAACACHTuJAGQbL&#10;xbABAABfAwAADgAAAAAAAAABACAAAAAjAQAAZHJzL2Uyb0RvYy54bWxQSwUGAAAAAAYABgBZAQAA&#10;RQUAAAAA&#10;">
                <v:fill on="f" focussize="0,0"/>
                <v:stroke on="f"/>
                <v:imagedata o:title=""/>
                <o:lock v:ext="edit" aspectratio="f"/>
                <v:textbox>
                  <w:txbxContent>
                    <w:p w14:paraId="763298CB">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发包人办理保险</w:t>
                      </w:r>
                    </w:p>
                  </w:txbxContent>
                </v:textbox>
              </v:shape>
            </w:pict>
          </mc:Fallback>
        </mc:AlternateContent>
      </w:r>
      <w:r>
        <w:rPr>
          <w:rFonts w:hint="eastAsia" w:hAnsi="宋体"/>
          <w:color w:val="auto"/>
          <w:sz w:val="24"/>
          <w:szCs w:val="18"/>
        </w:rPr>
        <w:t>发包人应按照下列规定办理保险，并支付保险费：</w:t>
      </w:r>
    </w:p>
    <w:p w14:paraId="02198987">
      <w:pPr>
        <w:pStyle w:val="2"/>
        <w:numPr>
          <w:ilvl w:val="0"/>
          <w:numId w:val="17"/>
        </w:numPr>
        <w:tabs>
          <w:tab w:val="left" w:pos="1980"/>
        </w:tabs>
        <w:adjustRightInd w:val="0"/>
        <w:snapToGrid w:val="0"/>
        <w:spacing w:line="360" w:lineRule="auto"/>
        <w:ind w:left="1620" w:firstLine="0"/>
        <w:rPr>
          <w:rFonts w:hAnsi="宋体"/>
          <w:color w:val="auto"/>
          <w:sz w:val="24"/>
          <w:szCs w:val="18"/>
        </w:rPr>
      </w:pPr>
      <w:r>
        <w:rPr>
          <w:rFonts w:hint="eastAsia" w:hAnsi="宋体"/>
          <w:color w:val="auto"/>
          <w:sz w:val="24"/>
          <w:szCs w:val="18"/>
        </w:rPr>
        <w:t>工程开工前，为合同工程办理建筑工程一切险、安装工程一切险；</w:t>
      </w:r>
    </w:p>
    <w:p w14:paraId="7EBBCA70">
      <w:pPr>
        <w:pStyle w:val="2"/>
        <w:numPr>
          <w:ilvl w:val="0"/>
          <w:numId w:val="17"/>
        </w:numPr>
        <w:tabs>
          <w:tab w:val="left" w:pos="540"/>
          <w:tab w:val="left" w:pos="1980"/>
        </w:tabs>
        <w:adjustRightInd w:val="0"/>
        <w:snapToGrid w:val="0"/>
        <w:spacing w:line="360" w:lineRule="auto"/>
        <w:ind w:left="1617" w:leftChars="770" w:firstLine="0"/>
        <w:rPr>
          <w:rFonts w:hAnsi="宋体"/>
          <w:color w:val="auto"/>
          <w:sz w:val="24"/>
          <w:szCs w:val="18"/>
        </w:rPr>
      </w:pPr>
      <w:r>
        <w:rPr>
          <w:rFonts w:hint="eastAsia" w:hAnsi="宋体"/>
          <w:color w:val="auto"/>
          <w:sz w:val="24"/>
          <w:szCs w:val="18"/>
        </w:rPr>
        <w:t>工程开工前，为施工场地内的自有人员（包括监理工程师、造价工程师在内）办理工伤保险、意外伤害保险；</w:t>
      </w:r>
    </w:p>
    <w:p w14:paraId="20707518">
      <w:pPr>
        <w:pStyle w:val="2"/>
        <w:numPr>
          <w:ilvl w:val="0"/>
          <w:numId w:val="17"/>
        </w:numPr>
        <w:tabs>
          <w:tab w:val="left" w:pos="540"/>
          <w:tab w:val="left" w:pos="1980"/>
        </w:tabs>
        <w:adjustRightInd w:val="0"/>
        <w:snapToGrid w:val="0"/>
        <w:spacing w:line="360" w:lineRule="auto"/>
        <w:ind w:left="2099" w:leftChars="771" w:hanging="480" w:hangingChars="200"/>
        <w:rPr>
          <w:rFonts w:hAnsi="宋体"/>
          <w:color w:val="auto"/>
          <w:sz w:val="24"/>
          <w:szCs w:val="18"/>
        </w:rPr>
      </w:pPr>
      <w:r>
        <w:rPr>
          <w:rFonts w:hint="eastAsia" w:hAnsi="宋体"/>
          <w:color w:val="auto"/>
          <w:sz w:val="24"/>
          <w:szCs w:val="18"/>
        </w:rPr>
        <w:t>为第三者办理第三者责任险；</w:t>
      </w:r>
    </w:p>
    <w:p w14:paraId="7B19926D">
      <w:pPr>
        <w:pStyle w:val="2"/>
        <w:numPr>
          <w:ilvl w:val="0"/>
          <w:numId w:val="17"/>
        </w:numPr>
        <w:tabs>
          <w:tab w:val="left" w:pos="1980"/>
        </w:tabs>
        <w:adjustRightInd w:val="0"/>
        <w:snapToGrid w:val="0"/>
        <w:spacing w:line="360" w:lineRule="auto"/>
        <w:ind w:left="1620" w:firstLine="0"/>
        <w:rPr>
          <w:rFonts w:hAnsi="宋体"/>
          <w:color w:val="auto"/>
          <w:sz w:val="24"/>
          <w:szCs w:val="18"/>
        </w:rPr>
      </w:pPr>
      <w:r>
        <w:rPr>
          <w:rFonts w:hint="eastAsia" w:hAnsi="宋体"/>
          <w:color w:val="auto"/>
          <w:sz w:val="24"/>
          <w:szCs w:val="18"/>
        </w:rPr>
        <w:t>为运至施工场地内用于永久工程的材料和待安装工程设备办理保险。</w:t>
      </w:r>
    </w:p>
    <w:p w14:paraId="5F90CC83">
      <w:pPr>
        <w:pStyle w:val="2"/>
        <w:tabs>
          <w:tab w:val="left" w:pos="1080"/>
        </w:tabs>
        <w:adjustRightInd w:val="0"/>
        <w:snapToGrid w:val="0"/>
        <w:spacing w:line="360" w:lineRule="auto"/>
        <w:ind w:left="1620"/>
        <w:rPr>
          <w:rFonts w:hAnsi="宋体"/>
          <w:color w:val="auto"/>
          <w:sz w:val="24"/>
          <w:szCs w:val="18"/>
        </w:rPr>
      </w:pPr>
      <w:r>
        <w:rPr>
          <w:rFonts w:hint="eastAsia" w:hAnsi="宋体"/>
          <w:color w:val="auto"/>
          <w:sz w:val="24"/>
          <w:szCs w:val="18"/>
        </w:rPr>
        <w:t>保险期从办理保险之日起至工程竣工验收合格之日止。</w:t>
      </w:r>
    </w:p>
    <w:p w14:paraId="014C9135">
      <w:pPr>
        <w:pStyle w:val="2"/>
        <w:tabs>
          <w:tab w:val="left" w:pos="1080"/>
        </w:tabs>
        <w:adjustRightInd w:val="0"/>
        <w:snapToGrid w:val="0"/>
        <w:spacing w:line="360" w:lineRule="auto"/>
        <w:ind w:left="1620"/>
        <w:rPr>
          <w:rFonts w:hAnsi="宋体"/>
          <w:color w:val="auto"/>
          <w:sz w:val="24"/>
          <w:szCs w:val="18"/>
        </w:rPr>
      </w:pPr>
      <w:r>
        <w:rPr>
          <w:rFonts w:hint="eastAsia" w:hAnsi="宋体"/>
          <w:color w:val="auto"/>
          <w:sz w:val="24"/>
          <w:szCs w:val="18"/>
        </w:rPr>
        <w:t>发包人可将其中部分事项委托给承包人办理，具体由合同双方当事人在专用条款中约定。除合同价款已包括外，由发包人承担所需保险费用，并向承包人支付合理利润。</w:t>
      </w:r>
    </w:p>
    <w:p w14:paraId="7CF929B4">
      <w:pPr>
        <w:pStyle w:val="2"/>
        <w:tabs>
          <w:tab w:val="left" w:pos="1320"/>
        </w:tabs>
        <w:adjustRightInd w:val="0"/>
        <w:snapToGrid w:val="0"/>
        <w:spacing w:line="360" w:lineRule="auto"/>
        <w:rPr>
          <w:rFonts w:hAnsi="宋体"/>
          <w:b/>
          <w:color w:val="auto"/>
          <w:sz w:val="24"/>
          <w:szCs w:val="18"/>
          <w:u w:val="dotted"/>
        </w:rPr>
      </w:pPr>
      <w:r>
        <w:rPr>
          <w:rFonts w:hAnsi="宋体"/>
          <w:b/>
          <w:color w:val="auto"/>
          <w:sz w:val="24"/>
          <w:szCs w:val="18"/>
        </w:rPr>
        <w:t xml:space="preserve">32.2  </w:t>
      </w:r>
    </w:p>
    <w:p w14:paraId="59C38401">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1780096" behindDoc="0" locked="0" layoutInCell="1" allowOverlap="1">
                <wp:simplePos x="0" y="0"/>
                <wp:positionH relativeFrom="column">
                  <wp:posOffset>-114300</wp:posOffset>
                </wp:positionH>
                <wp:positionV relativeFrom="paragraph">
                  <wp:posOffset>635</wp:posOffset>
                </wp:positionV>
                <wp:extent cx="914400" cy="478155"/>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914400" cy="478155"/>
                        </a:xfrm>
                        <a:prstGeom prst="rect">
                          <a:avLst/>
                        </a:prstGeom>
                        <a:noFill/>
                        <a:ln>
                          <a:noFill/>
                        </a:ln>
                        <a:effectLst/>
                      </wps:spPr>
                      <wps:txbx>
                        <w:txbxContent>
                          <w:p w14:paraId="0E55A2E0">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承包人办理保</w:t>
                            </w:r>
                          </w:p>
                          <w:p w14:paraId="7084D10D">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险</w:t>
                            </w:r>
                          </w:p>
                        </w:txbxContent>
                      </wps:txbx>
                      <wps:bodyPr upright="1"/>
                    </wps:wsp>
                  </a:graphicData>
                </a:graphic>
              </wp:anchor>
            </w:drawing>
          </mc:Choice>
          <mc:Fallback>
            <w:pict>
              <v:shape id="_x0000_s1026" o:spid="_x0000_s1026" o:spt="202" type="#_x0000_t202" style="position:absolute;left:0pt;margin-left:-9pt;margin-top:0.05pt;height:37.65pt;width:72pt;z-index:251780096;mso-width-relative:page;mso-height-relative:page;" filled="f" stroked="f" coordsize="21600,21600" o:gfxdata="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mTBhNMA&#10;AAAHAQAADwAAAAAAAAABACAAAAAiAAAAZHJzL2Rvd25yZXYueG1sUEsBAhQAFAAAAAgAh07iQOF8&#10;EGayAQAAXwMAAA4AAAAAAAAAAQAgAAAAIgEAAGRycy9lMm9Eb2MueG1sUEsFBgAAAAAGAAYAWQEA&#10;AEYFAAAAAA==&#10;">
                <v:fill on="f" focussize="0,0"/>
                <v:stroke on="f"/>
                <v:imagedata o:title=""/>
                <o:lock v:ext="edit" aspectratio="f"/>
                <v:textbox>
                  <w:txbxContent>
                    <w:p w14:paraId="0E55A2E0">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承包人办理保</w:t>
                      </w:r>
                    </w:p>
                    <w:p w14:paraId="7084D10D">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险</w:t>
                      </w:r>
                    </w:p>
                  </w:txbxContent>
                </v:textbox>
              </v:shape>
            </w:pict>
          </mc:Fallback>
        </mc:AlternateContent>
      </w:r>
      <w:r>
        <w:rPr>
          <w:rFonts w:hint="eastAsia" w:hAnsi="宋体"/>
          <w:color w:val="auto"/>
          <w:sz w:val="24"/>
          <w:szCs w:val="18"/>
        </w:rPr>
        <w:t>承包人应按照下列规定办理保险，并支付保险费：</w:t>
      </w:r>
    </w:p>
    <w:p w14:paraId="7A33F640">
      <w:pPr>
        <w:pStyle w:val="2"/>
        <w:adjustRightInd w:val="0"/>
        <w:snapToGrid w:val="0"/>
        <w:spacing w:line="360" w:lineRule="auto"/>
        <w:ind w:left="1617" w:leftChars="770" w:firstLine="1"/>
        <w:rPr>
          <w:rFonts w:hAnsi="宋体"/>
          <w:color w:val="auto"/>
          <w:sz w:val="24"/>
          <w:szCs w:val="18"/>
        </w:rPr>
      </w:pPr>
      <w:r>
        <w:rPr>
          <w:rFonts w:hAnsi="宋体"/>
          <w:color w:val="auto"/>
          <w:sz w:val="24"/>
          <w:szCs w:val="18"/>
        </w:rPr>
        <w:t>(1)</w:t>
      </w:r>
      <w:r>
        <w:rPr>
          <w:rFonts w:hint="eastAsia" w:hAnsi="宋体"/>
          <w:color w:val="auto"/>
          <w:sz w:val="24"/>
          <w:szCs w:val="18"/>
        </w:rPr>
        <w:t>工程开工前，为施工场地内自有人员（包括分包人在内）办理工伤保险、意外伤害保险；</w:t>
      </w:r>
    </w:p>
    <w:p w14:paraId="33937432">
      <w:pPr>
        <w:pStyle w:val="2"/>
        <w:adjustRightInd w:val="0"/>
        <w:snapToGrid w:val="0"/>
        <w:spacing w:line="360" w:lineRule="auto"/>
        <w:ind w:left="1676" w:leftChars="798"/>
        <w:rPr>
          <w:rFonts w:hAnsi="宋体"/>
          <w:color w:val="auto"/>
          <w:sz w:val="24"/>
          <w:szCs w:val="18"/>
        </w:rPr>
      </w:pPr>
      <w:r>
        <w:rPr>
          <w:rFonts w:hAnsi="宋体"/>
          <w:color w:val="auto"/>
          <w:sz w:val="24"/>
          <w:szCs w:val="18"/>
        </w:rPr>
        <w:t>(2)</w:t>
      </w:r>
      <w:r>
        <w:rPr>
          <w:rFonts w:hint="eastAsia" w:hAnsi="宋体"/>
          <w:color w:val="auto"/>
          <w:sz w:val="24"/>
          <w:szCs w:val="18"/>
        </w:rPr>
        <w:t>为施工场地内的自有施工设备、第</w:t>
      </w:r>
      <w:r>
        <w:rPr>
          <w:rFonts w:hAnsi="宋体"/>
          <w:color w:val="auto"/>
          <w:sz w:val="24"/>
          <w:szCs w:val="18"/>
        </w:rPr>
        <w:t>32.1</w:t>
      </w:r>
      <w:r>
        <w:rPr>
          <w:rFonts w:hint="eastAsia" w:hAnsi="宋体"/>
          <w:color w:val="auto"/>
          <w:sz w:val="24"/>
          <w:szCs w:val="18"/>
        </w:rPr>
        <w:t>款第</w:t>
      </w:r>
      <w:r>
        <w:rPr>
          <w:rFonts w:hAnsi="宋体"/>
          <w:color w:val="auto"/>
          <w:sz w:val="24"/>
          <w:szCs w:val="18"/>
        </w:rPr>
        <w:t>(4)</w:t>
      </w:r>
      <w:r>
        <w:rPr>
          <w:rFonts w:hint="eastAsia" w:hAnsi="宋体"/>
          <w:color w:val="auto"/>
          <w:sz w:val="24"/>
          <w:szCs w:val="18"/>
        </w:rPr>
        <w:t>点以外采购进场的材料和工程设备等办理保险。</w:t>
      </w:r>
    </w:p>
    <w:p w14:paraId="132135E5">
      <w:pPr>
        <w:pStyle w:val="2"/>
        <w:tabs>
          <w:tab w:val="left" w:pos="1080"/>
        </w:tabs>
        <w:adjustRightInd w:val="0"/>
        <w:snapToGrid w:val="0"/>
        <w:spacing w:line="360" w:lineRule="auto"/>
        <w:ind w:left="1680" w:leftChars="800"/>
        <w:rPr>
          <w:rFonts w:hAnsi="宋体"/>
          <w:color w:val="auto"/>
          <w:sz w:val="24"/>
          <w:szCs w:val="18"/>
        </w:rPr>
      </w:pPr>
      <w:r>
        <w:rPr>
          <w:rFonts w:hint="eastAsia" w:hAnsi="宋体"/>
          <w:color w:val="auto"/>
          <w:sz w:val="24"/>
          <w:szCs w:val="18"/>
        </w:rPr>
        <w:t>保险期从开工之日起至工程竣工验收合格之日止。</w:t>
      </w:r>
    </w:p>
    <w:p w14:paraId="1D13192D">
      <w:pPr>
        <w:pStyle w:val="2"/>
        <w:tabs>
          <w:tab w:val="left" w:pos="1080"/>
        </w:tabs>
        <w:adjustRightInd w:val="0"/>
        <w:snapToGrid w:val="0"/>
        <w:spacing w:line="360" w:lineRule="auto"/>
        <w:rPr>
          <w:rFonts w:hAnsi="宋体"/>
          <w:b/>
          <w:color w:val="auto"/>
          <w:sz w:val="24"/>
          <w:szCs w:val="18"/>
          <w:u w:val="dotted"/>
        </w:rPr>
      </w:pPr>
      <w:r>
        <w:rPr>
          <w:color w:val="auto"/>
        </w:rPr>
        <mc:AlternateContent>
          <mc:Choice Requires="wps">
            <w:drawing>
              <wp:anchor distT="0" distB="0" distL="114300" distR="114300" simplePos="0" relativeHeight="251781120" behindDoc="0" locked="0" layoutInCell="1" allowOverlap="1">
                <wp:simplePos x="0" y="0"/>
                <wp:positionH relativeFrom="column">
                  <wp:posOffset>-114300</wp:posOffset>
                </wp:positionH>
                <wp:positionV relativeFrom="paragraph">
                  <wp:posOffset>287020</wp:posOffset>
                </wp:positionV>
                <wp:extent cx="914400" cy="541020"/>
                <wp:effectExtent l="0" t="0" r="0" b="0"/>
                <wp:wrapNone/>
                <wp:docPr id="120" name="文本框 120"/>
                <wp:cNvGraphicFramePr/>
                <a:graphic xmlns:a="http://schemas.openxmlformats.org/drawingml/2006/main">
                  <a:graphicData uri="http://schemas.microsoft.com/office/word/2010/wordprocessingShape">
                    <wps:wsp>
                      <wps:cNvSpPr txBox="1"/>
                      <wps:spPr>
                        <a:xfrm>
                          <a:off x="0" y="0"/>
                          <a:ext cx="914400" cy="541020"/>
                        </a:xfrm>
                        <a:prstGeom prst="rect">
                          <a:avLst/>
                        </a:prstGeom>
                        <a:noFill/>
                        <a:ln>
                          <a:noFill/>
                        </a:ln>
                        <a:effectLst/>
                      </wps:spPr>
                      <wps:txbx>
                        <w:txbxContent>
                          <w:p w14:paraId="20F32E4C">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双方提供保险单和凭证</w:t>
                            </w:r>
                          </w:p>
                        </w:txbxContent>
                      </wps:txbx>
                      <wps:bodyPr upright="1"/>
                    </wps:wsp>
                  </a:graphicData>
                </a:graphic>
              </wp:anchor>
            </w:drawing>
          </mc:Choice>
          <mc:Fallback>
            <w:pict>
              <v:shape id="_x0000_s1026" o:spid="_x0000_s1026" o:spt="202" type="#_x0000_t202" style="position:absolute;left:0pt;margin-left:-9pt;margin-top:22.6pt;height:42.6pt;width:72pt;z-index:251781120;mso-width-relative:page;mso-height-relative:page;" filled="f" stroked="f" coordsize="21600,21600" o:gfxdata="UEsDBAoAAAAAAIdO4kAAAAAAAAAAAAAAAAAEAAAAZHJzL1BLAwQUAAAACACHTuJAiyRne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iyRn&#10;eNgAAAAKAQAADwAAAAAAAAABACAAAAAiAAAAZHJzL2Rvd25yZXYueG1sUEsBAhQAFAAAAAgAh07i&#10;QFTpl4iwAQAAXwMAAA4AAAAAAAAAAQAgAAAAJwEAAGRycy9lMm9Eb2MueG1sUEsFBgAAAAAGAAYA&#10;WQEAAEkFAAAAAA==&#10;">
                <v:fill on="f" focussize="0,0"/>
                <v:stroke on="f"/>
                <v:imagedata o:title=""/>
                <o:lock v:ext="edit" aspectratio="f"/>
                <v:textbox>
                  <w:txbxContent>
                    <w:p w14:paraId="20F32E4C">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双方提供保险单和凭证</w:t>
                      </w:r>
                    </w:p>
                  </w:txbxContent>
                </v:textbox>
              </v:shape>
            </w:pict>
          </mc:Fallback>
        </mc:AlternateContent>
      </w:r>
      <w:r>
        <w:rPr>
          <w:rFonts w:hAnsi="宋体"/>
          <w:b/>
          <w:color w:val="auto"/>
          <w:sz w:val="24"/>
          <w:szCs w:val="18"/>
        </w:rPr>
        <w:t xml:space="preserve">32.3  </w:t>
      </w:r>
    </w:p>
    <w:p w14:paraId="004E7E34">
      <w:pPr>
        <w:pStyle w:val="2"/>
        <w:adjustRightInd w:val="0"/>
        <w:snapToGrid w:val="0"/>
        <w:spacing w:line="360" w:lineRule="auto"/>
        <w:ind w:left="1619" w:leftChars="771"/>
        <w:rPr>
          <w:rFonts w:hAnsi="宋体"/>
          <w:color w:val="auto"/>
          <w:sz w:val="24"/>
          <w:szCs w:val="18"/>
        </w:rPr>
      </w:pPr>
      <w:r>
        <w:rPr>
          <w:rFonts w:hint="eastAsia" w:hAnsi="宋体"/>
          <w:color w:val="auto"/>
          <w:sz w:val="24"/>
          <w:szCs w:val="18"/>
        </w:rPr>
        <w:t>合同一方当事人应按照本合同要求向另一方当事人提供有效的投保保险单和保险凭证。</w:t>
      </w:r>
    </w:p>
    <w:p w14:paraId="0177BB86">
      <w:pPr>
        <w:pStyle w:val="2"/>
        <w:tabs>
          <w:tab w:val="left" w:pos="1320"/>
        </w:tabs>
        <w:adjustRightInd w:val="0"/>
        <w:snapToGrid w:val="0"/>
        <w:spacing w:line="360" w:lineRule="auto"/>
        <w:rPr>
          <w:rFonts w:hAnsi="宋体"/>
          <w:b/>
          <w:color w:val="auto"/>
          <w:sz w:val="24"/>
          <w:szCs w:val="18"/>
          <w:u w:val="dotted"/>
        </w:rPr>
      </w:pPr>
      <w:r>
        <w:rPr>
          <w:color w:val="auto"/>
        </w:rPr>
        <mc:AlternateContent>
          <mc:Choice Requires="wps">
            <w:drawing>
              <wp:anchor distT="0" distB="0" distL="114300" distR="114300" simplePos="0" relativeHeight="251782144" behindDoc="0" locked="0" layoutInCell="1" allowOverlap="1">
                <wp:simplePos x="0" y="0"/>
                <wp:positionH relativeFrom="column">
                  <wp:posOffset>-114300</wp:posOffset>
                </wp:positionH>
                <wp:positionV relativeFrom="paragraph">
                  <wp:posOffset>236855</wp:posOffset>
                </wp:positionV>
                <wp:extent cx="914400" cy="39624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1E3855B3">
                            <w:pPr>
                              <w:spacing w:line="240" w:lineRule="exact"/>
                              <w:rPr>
                                <w:rFonts w:ascii="宋体"/>
                                <w:sz w:val="18"/>
                                <w:szCs w:val="18"/>
                              </w:rPr>
                            </w:pPr>
                            <w:r>
                              <w:rPr>
                                <w:rFonts w:hint="eastAsia" w:ascii="楷体_GB2312" w:hAnsi="宋体" w:eastAsia="楷体_GB2312"/>
                                <w:b/>
                                <w:color w:val="000000"/>
                                <w:sz w:val="18"/>
                                <w:szCs w:val="18"/>
                              </w:rPr>
                              <w:t>未按规定投保的补救</w:t>
                            </w:r>
                          </w:p>
                        </w:txbxContent>
                      </wps:txbx>
                      <wps:bodyPr upright="1"/>
                    </wps:wsp>
                  </a:graphicData>
                </a:graphic>
              </wp:anchor>
            </w:drawing>
          </mc:Choice>
          <mc:Fallback>
            <w:pict>
              <v:shape id="_x0000_s1026" o:spid="_x0000_s1026" o:spt="202" type="#_x0000_t202" style="position:absolute;left:0pt;margin-left:-9pt;margin-top:18.65pt;height:31.2pt;width:72pt;z-index:251782144;mso-width-relative:page;mso-height-relative:page;" filled="f" stroked="f" coordsize="21600,21600" o:gfxdata="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c&#10;KJDi1wAAAAkBAAAPAAAAAAAAAAEAIAAAACIAAABkcnMvZG93bnJldi54bWxQSwECFAAUAAAACACH&#10;TuJAn5Pk2LMBAABfAwAADgAAAAAAAAABACAAAAAmAQAAZHJzL2Uyb0RvYy54bWxQSwUGAAAAAAYA&#10;BgBZAQAASwUAAAAA&#10;">
                <v:fill on="f" focussize="0,0"/>
                <v:stroke on="f"/>
                <v:imagedata o:title=""/>
                <o:lock v:ext="edit" aspectratio="f"/>
                <v:textbox>
                  <w:txbxContent>
                    <w:p w14:paraId="1E3855B3">
                      <w:pPr>
                        <w:spacing w:line="240" w:lineRule="exact"/>
                        <w:rPr>
                          <w:rFonts w:ascii="宋体"/>
                          <w:sz w:val="18"/>
                          <w:szCs w:val="18"/>
                        </w:rPr>
                      </w:pPr>
                      <w:r>
                        <w:rPr>
                          <w:rFonts w:hint="eastAsia" w:ascii="楷体_GB2312" w:hAnsi="宋体" w:eastAsia="楷体_GB2312"/>
                          <w:b/>
                          <w:color w:val="000000"/>
                          <w:sz w:val="18"/>
                          <w:szCs w:val="18"/>
                        </w:rPr>
                        <w:t>未按规定投保的补救</w:t>
                      </w:r>
                    </w:p>
                  </w:txbxContent>
                </v:textbox>
              </v:shape>
            </w:pict>
          </mc:Fallback>
        </mc:AlternateContent>
      </w:r>
      <w:r>
        <w:rPr>
          <w:rFonts w:hAnsi="宋体"/>
          <w:b/>
          <w:color w:val="auto"/>
          <w:sz w:val="24"/>
          <w:szCs w:val="18"/>
        </w:rPr>
        <w:t xml:space="preserve">32.4  </w:t>
      </w:r>
    </w:p>
    <w:p w14:paraId="22747555">
      <w:pPr>
        <w:pStyle w:val="2"/>
        <w:adjustRightInd w:val="0"/>
        <w:snapToGrid w:val="0"/>
        <w:spacing w:line="360" w:lineRule="auto"/>
        <w:ind w:left="1619" w:leftChars="771"/>
        <w:rPr>
          <w:rFonts w:hAnsi="宋体"/>
          <w:color w:val="auto"/>
          <w:sz w:val="24"/>
          <w:szCs w:val="18"/>
        </w:rPr>
      </w:pPr>
      <w:r>
        <w:rPr>
          <w:rFonts w:hint="eastAsia" w:hAnsi="宋体"/>
          <w:color w:val="auto"/>
          <w:sz w:val="24"/>
          <w:szCs w:val="18"/>
        </w:rPr>
        <w:t>合同双方当事人应遵守本条规定办理有关保险事项。如果未按规定投保的，应按下列规定补偿：</w:t>
      </w:r>
    </w:p>
    <w:p w14:paraId="52462800">
      <w:pPr>
        <w:pStyle w:val="2"/>
        <w:adjustRightInd w:val="0"/>
        <w:snapToGrid w:val="0"/>
        <w:spacing w:line="360" w:lineRule="auto"/>
        <w:ind w:left="1617" w:leftChars="770" w:firstLine="1"/>
        <w:rPr>
          <w:rFonts w:hAnsi="宋体"/>
          <w:color w:val="auto"/>
          <w:sz w:val="24"/>
          <w:szCs w:val="18"/>
        </w:rPr>
      </w:pPr>
      <w:r>
        <w:rPr>
          <w:rFonts w:hAnsi="宋体"/>
          <w:color w:val="auto"/>
          <w:sz w:val="24"/>
          <w:szCs w:val="18"/>
        </w:rPr>
        <w:t>(1)</w:t>
      </w:r>
      <w:r>
        <w:rPr>
          <w:rFonts w:hint="eastAsia" w:hAnsi="宋体"/>
          <w:color w:val="auto"/>
          <w:sz w:val="24"/>
          <w:szCs w:val="18"/>
        </w:rPr>
        <w:t>由于负有投保义务的合同一方当事人未按合同约定办理保险，或未能使保险持续有效的，则另一方当事人可代为办理，所需费用由对方当事人承担；</w:t>
      </w:r>
    </w:p>
    <w:p w14:paraId="4B426320">
      <w:pPr>
        <w:pStyle w:val="2"/>
        <w:adjustRightInd w:val="0"/>
        <w:snapToGrid w:val="0"/>
        <w:spacing w:line="360" w:lineRule="auto"/>
        <w:ind w:left="1617" w:leftChars="770" w:firstLine="1"/>
        <w:rPr>
          <w:rFonts w:hAnsi="宋体"/>
          <w:color w:val="auto"/>
          <w:sz w:val="24"/>
          <w:szCs w:val="18"/>
        </w:rPr>
      </w:pPr>
      <w:r>
        <w:rPr>
          <w:rFonts w:hAnsi="宋体"/>
          <w:color w:val="auto"/>
          <w:sz w:val="24"/>
          <w:szCs w:val="18"/>
        </w:rPr>
        <w:t>(2)</w:t>
      </w:r>
      <w:r>
        <w:rPr>
          <w:rFonts w:hint="eastAsia" w:hAnsi="宋体"/>
          <w:color w:val="auto"/>
          <w:sz w:val="24"/>
          <w:szCs w:val="18"/>
        </w:rPr>
        <w:t>由于负有投保义务的合同一方当事人未按合同约定办理某项保险，导致受益人未能得到保险人的赔偿，则该项保险金应由负有投保义务的一方当事人支付。</w:t>
      </w:r>
    </w:p>
    <w:p w14:paraId="271C4D81">
      <w:pPr>
        <w:pStyle w:val="2"/>
        <w:adjustRightInd w:val="0"/>
        <w:snapToGrid w:val="0"/>
        <w:spacing w:line="360" w:lineRule="auto"/>
        <w:rPr>
          <w:rFonts w:hAnsi="宋体"/>
          <w:color w:val="auto"/>
          <w:sz w:val="24"/>
          <w:szCs w:val="18"/>
          <w:u w:val="dotted"/>
        </w:rPr>
      </w:pPr>
      <w:r>
        <w:rPr>
          <w:color w:val="auto"/>
        </w:rPr>
        <mc:AlternateContent>
          <mc:Choice Requires="wps">
            <w:drawing>
              <wp:anchor distT="0" distB="0" distL="114300" distR="114300" simplePos="0" relativeHeight="251783168" behindDoc="0" locked="0" layoutInCell="1" allowOverlap="1">
                <wp:simplePos x="0" y="0"/>
                <wp:positionH relativeFrom="column">
                  <wp:posOffset>-114300</wp:posOffset>
                </wp:positionH>
                <wp:positionV relativeFrom="paragraph">
                  <wp:posOffset>292100</wp:posOffset>
                </wp:positionV>
                <wp:extent cx="914400" cy="541020"/>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914400" cy="541020"/>
                        </a:xfrm>
                        <a:prstGeom prst="rect">
                          <a:avLst/>
                        </a:prstGeom>
                        <a:noFill/>
                        <a:ln>
                          <a:noFill/>
                        </a:ln>
                        <a:effectLst/>
                      </wps:spPr>
                      <wps:txbx>
                        <w:txbxContent>
                          <w:p w14:paraId="400C570D">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发生保险事故双方应尽的责任</w:t>
                            </w:r>
                          </w:p>
                        </w:txbxContent>
                      </wps:txbx>
                      <wps:bodyPr upright="1"/>
                    </wps:wsp>
                  </a:graphicData>
                </a:graphic>
              </wp:anchor>
            </w:drawing>
          </mc:Choice>
          <mc:Fallback>
            <w:pict>
              <v:shape id="_x0000_s1026" o:spid="_x0000_s1026" o:spt="202" type="#_x0000_t202" style="position:absolute;left:0pt;margin-left:-9pt;margin-top:23pt;height:42.6pt;width:72pt;z-index:251783168;mso-width-relative:page;mso-height-relative:page;" filled="f" stroked="f" coordsize="21600,21600" o:gfxdata="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Y8&#10;pRfXAAAACgEAAA8AAAAAAAAAAQAgAAAAIgAAAGRycy9kb3ducmV2LnhtbFBLAQIUABQAAAAIAIdO&#10;4kAr4HAGsgEAAF8DAAAOAAAAAAAAAAEAIAAAACYBAABkcnMvZTJvRG9jLnhtbFBLBQYAAAAABgAG&#10;AFkBAABKBQAAAAA=&#10;">
                <v:fill on="f" focussize="0,0"/>
                <v:stroke on="f"/>
                <v:imagedata o:title=""/>
                <o:lock v:ext="edit" aspectratio="f"/>
                <v:textbox>
                  <w:txbxContent>
                    <w:p w14:paraId="400C570D">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发生保险事故双方应尽的责任</w:t>
                      </w:r>
                    </w:p>
                  </w:txbxContent>
                </v:textbox>
              </v:shape>
            </w:pict>
          </mc:Fallback>
        </mc:AlternateContent>
      </w:r>
      <w:r>
        <w:rPr>
          <w:rFonts w:hAnsi="宋体"/>
          <w:b/>
          <w:color w:val="auto"/>
          <w:sz w:val="24"/>
          <w:szCs w:val="18"/>
        </w:rPr>
        <w:t xml:space="preserve">32.5 </w:t>
      </w:r>
    </w:p>
    <w:p w14:paraId="36146CAC">
      <w:pPr>
        <w:pStyle w:val="2"/>
        <w:adjustRightInd w:val="0"/>
        <w:snapToGrid w:val="0"/>
        <w:spacing w:line="360" w:lineRule="auto"/>
        <w:ind w:left="1619" w:leftChars="771"/>
        <w:rPr>
          <w:rFonts w:hAnsi="宋体"/>
          <w:color w:val="auto"/>
          <w:sz w:val="24"/>
          <w:szCs w:val="18"/>
        </w:rPr>
      </w:pPr>
      <w:r>
        <w:rPr>
          <w:rFonts w:hint="eastAsia" w:hAnsi="宋体"/>
          <w:color w:val="auto"/>
          <w:sz w:val="24"/>
          <w:szCs w:val="18"/>
        </w:rPr>
        <w:t>当合同工程发生保险事故时</w:t>
      </w:r>
      <w:r>
        <w:rPr>
          <w:rFonts w:hAnsi="宋体"/>
          <w:color w:val="auto"/>
          <w:sz w:val="24"/>
          <w:szCs w:val="18"/>
        </w:rPr>
        <w:t>,</w:t>
      </w:r>
      <w:r>
        <w:rPr>
          <w:rFonts w:hint="eastAsia" w:hAnsi="宋体"/>
          <w:color w:val="auto"/>
          <w:sz w:val="24"/>
          <w:szCs w:val="18"/>
        </w:rPr>
        <w:t>被保险人应及时通知保险人，并提供有关资料。合同双方当事人有责任采取合理有效措施防止或减少损失，并应相互协助做好向保险人的报告和理赔工作。</w:t>
      </w:r>
    </w:p>
    <w:p w14:paraId="58AEACD2">
      <w:pPr>
        <w:pStyle w:val="2"/>
        <w:tabs>
          <w:tab w:val="left" w:pos="1320"/>
          <w:tab w:val="left" w:pos="1620"/>
        </w:tabs>
        <w:adjustRightInd w:val="0"/>
        <w:snapToGrid w:val="0"/>
        <w:spacing w:line="360" w:lineRule="auto"/>
        <w:rPr>
          <w:rFonts w:hAnsi="宋体"/>
          <w:b/>
          <w:color w:val="auto"/>
          <w:sz w:val="24"/>
          <w:szCs w:val="18"/>
          <w:u w:val="dotted"/>
        </w:rPr>
      </w:pPr>
      <w:r>
        <w:rPr>
          <w:rFonts w:hAnsi="宋体"/>
          <w:b/>
          <w:color w:val="auto"/>
          <w:sz w:val="24"/>
          <w:szCs w:val="18"/>
        </w:rPr>
        <w:t xml:space="preserve">32.6  </w:t>
      </w:r>
    </w:p>
    <w:p w14:paraId="1ADE9D77">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1784192" behindDoc="0" locked="0" layoutInCell="1" allowOverlap="1">
                <wp:simplePos x="0" y="0"/>
                <wp:positionH relativeFrom="column">
                  <wp:posOffset>-114300</wp:posOffset>
                </wp:positionH>
                <wp:positionV relativeFrom="paragraph">
                  <wp:posOffset>0</wp:posOffset>
                </wp:positionV>
                <wp:extent cx="914400" cy="552450"/>
                <wp:effectExtent l="0" t="0" r="0" b="0"/>
                <wp:wrapNone/>
                <wp:docPr id="123" name="文本框 123"/>
                <wp:cNvGraphicFramePr/>
                <a:graphic xmlns:a="http://schemas.openxmlformats.org/drawingml/2006/main">
                  <a:graphicData uri="http://schemas.microsoft.com/office/word/2010/wordprocessingShape">
                    <wps:wsp>
                      <wps:cNvSpPr txBox="1"/>
                      <wps:spPr>
                        <a:xfrm>
                          <a:off x="0" y="0"/>
                          <a:ext cx="914400" cy="552450"/>
                        </a:xfrm>
                        <a:prstGeom prst="rect">
                          <a:avLst/>
                        </a:prstGeom>
                        <a:noFill/>
                        <a:ln>
                          <a:noFill/>
                        </a:ln>
                        <a:effectLst/>
                      </wps:spPr>
                      <wps:txbx>
                        <w:txbxContent>
                          <w:p w14:paraId="7318893F">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工程变更被保险人应尽的责任</w:t>
                            </w:r>
                          </w:p>
                        </w:txbxContent>
                      </wps:txbx>
                      <wps:bodyPr upright="1"/>
                    </wps:wsp>
                  </a:graphicData>
                </a:graphic>
              </wp:anchor>
            </w:drawing>
          </mc:Choice>
          <mc:Fallback>
            <w:pict>
              <v:shape id="_x0000_s1026" o:spid="_x0000_s1026" o:spt="202" type="#_x0000_t202" style="position:absolute;left:0pt;margin-left:-9pt;margin-top:0pt;height:43.5pt;width:72pt;z-index:251784192;mso-width-relative:page;mso-height-relative:page;" filled="f" stroked="f" coordsize="21600,21600" o:gfxdata="UEsDBAoAAAAAAIdO4kAAAAAAAAAAAAAAAAAEAAAAZHJzL1BLAwQUAAAACACHTuJAn0QCft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fRAJ+&#10;1AAAAAcBAAAPAAAAAAAAAAEAIAAAACIAAABkcnMvZG93bnJldi54bWxQSwECFAAUAAAACACHTuJA&#10;f8Vij7MBAABfAwAADgAAAAAAAAABACAAAAAjAQAAZHJzL2Uyb0RvYy54bWxQSwUGAAAAAAYABgBZ&#10;AQAASAUAAAAA&#10;">
                <v:fill on="f" focussize="0,0"/>
                <v:stroke on="f"/>
                <v:imagedata o:title=""/>
                <o:lock v:ext="edit" aspectratio="f"/>
                <v:textbox>
                  <w:txbxContent>
                    <w:p w14:paraId="7318893F">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工程变更被保险人应尽的责任</w:t>
                      </w:r>
                    </w:p>
                  </w:txbxContent>
                </v:textbox>
              </v:shape>
            </w:pict>
          </mc:Fallback>
        </mc:AlternateContent>
      </w:r>
      <w:r>
        <w:rPr>
          <w:rFonts w:hint="eastAsia" w:hAnsi="宋体"/>
          <w:color w:val="auto"/>
          <w:sz w:val="24"/>
          <w:szCs w:val="18"/>
        </w:rPr>
        <w:t>当合同工程的性质、规模或计划发生变更时，被保险人应及时通知保险人，并在合同履行期间按照本条规定保证足够的保险额，由此造成的费用由责任方承担。</w:t>
      </w:r>
    </w:p>
    <w:p w14:paraId="6F8037CE">
      <w:pPr>
        <w:pStyle w:val="2"/>
        <w:tabs>
          <w:tab w:val="left" w:pos="1320"/>
        </w:tabs>
        <w:adjustRightInd w:val="0"/>
        <w:snapToGrid w:val="0"/>
        <w:spacing w:line="360" w:lineRule="auto"/>
        <w:rPr>
          <w:rFonts w:hAnsi="宋体"/>
          <w:b/>
          <w:color w:val="auto"/>
          <w:sz w:val="24"/>
          <w:szCs w:val="18"/>
          <w:u w:val="dotted"/>
        </w:rPr>
      </w:pPr>
      <w:r>
        <w:rPr>
          <w:rFonts w:hAnsi="宋体"/>
          <w:b/>
          <w:color w:val="auto"/>
          <w:sz w:val="24"/>
          <w:szCs w:val="18"/>
        </w:rPr>
        <w:t xml:space="preserve">32.7  </w:t>
      </w:r>
    </w:p>
    <w:p w14:paraId="5CA24135">
      <w:pPr>
        <w:pStyle w:val="2"/>
        <w:tabs>
          <w:tab w:val="left" w:pos="1320"/>
        </w:tabs>
        <w:adjustRightInd w:val="0"/>
        <w:snapToGrid w:val="0"/>
        <w:spacing w:line="360" w:lineRule="auto"/>
        <w:ind w:left="1575" w:leftChars="750"/>
        <w:rPr>
          <w:rFonts w:hAnsi="宋体"/>
          <w:b/>
          <w:color w:val="auto"/>
          <w:sz w:val="24"/>
          <w:szCs w:val="18"/>
        </w:rPr>
      </w:pPr>
      <w:r>
        <w:rPr>
          <w:color w:val="auto"/>
        </w:rPr>
        <mc:AlternateContent>
          <mc:Choice Requires="wps">
            <w:drawing>
              <wp:anchor distT="0" distB="0" distL="114300" distR="114300" simplePos="0" relativeHeight="251785216" behindDoc="0" locked="0" layoutInCell="1" allowOverlap="1">
                <wp:simplePos x="0" y="0"/>
                <wp:positionH relativeFrom="column">
                  <wp:posOffset>-66675</wp:posOffset>
                </wp:positionH>
                <wp:positionV relativeFrom="paragraph">
                  <wp:posOffset>13970</wp:posOffset>
                </wp:positionV>
                <wp:extent cx="914400" cy="425450"/>
                <wp:effectExtent l="0" t="0" r="0" b="0"/>
                <wp:wrapNone/>
                <wp:docPr id="124" name="文本框 124"/>
                <wp:cNvGraphicFramePr/>
                <a:graphic xmlns:a="http://schemas.openxmlformats.org/drawingml/2006/main">
                  <a:graphicData uri="http://schemas.microsoft.com/office/word/2010/wordprocessingShape">
                    <wps:wsp>
                      <wps:cNvSpPr txBox="1"/>
                      <wps:spPr>
                        <a:xfrm>
                          <a:off x="0" y="0"/>
                          <a:ext cx="914400" cy="425450"/>
                        </a:xfrm>
                        <a:prstGeom prst="rect">
                          <a:avLst/>
                        </a:prstGeom>
                        <a:noFill/>
                        <a:ln>
                          <a:noFill/>
                        </a:ln>
                        <a:effectLst/>
                      </wps:spPr>
                      <wps:txbx>
                        <w:txbxContent>
                          <w:p w14:paraId="0104A654">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保险赔偿金的用途</w:t>
                            </w:r>
                          </w:p>
                        </w:txbxContent>
                      </wps:txbx>
                      <wps:bodyPr upright="1"/>
                    </wps:wsp>
                  </a:graphicData>
                </a:graphic>
              </wp:anchor>
            </w:drawing>
          </mc:Choice>
          <mc:Fallback>
            <w:pict>
              <v:shape id="_x0000_s1026" o:spid="_x0000_s1026" o:spt="202" type="#_x0000_t202" style="position:absolute;left:0pt;margin-left:-5.25pt;margin-top:1.1pt;height:33.5pt;width:72pt;z-index:251785216;mso-width-relative:page;mso-height-relative:page;" filled="f" stroked="f" coordsize="21600,21600" o:gfxdata="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pP1NR&#10;1QAAAAgBAAAPAAAAAAAAAAEAIAAAACIAAABkcnMvZG93bnJldi54bWxQSwECFAAUAAAACACHTuJA&#10;ejEkAbIBAABfAwAADgAAAAAAAAABACAAAAAkAQAAZHJzL2Uyb0RvYy54bWxQSwUGAAAAAAYABgBZ&#10;AQAASAUAAAAA&#10;">
                <v:fill on="f" focussize="0,0"/>
                <v:stroke on="f"/>
                <v:imagedata o:title=""/>
                <o:lock v:ext="edit" aspectratio="f"/>
                <v:textbox>
                  <w:txbxContent>
                    <w:p w14:paraId="0104A654">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保险赔偿金的用途</w:t>
                      </w:r>
                    </w:p>
                  </w:txbxContent>
                </v:textbox>
              </v:shape>
            </w:pict>
          </mc:Fallback>
        </mc:AlternateContent>
      </w:r>
      <w:r>
        <w:rPr>
          <w:rFonts w:hint="eastAsia" w:hAnsi="宋体"/>
          <w:color w:val="auto"/>
          <w:sz w:val="24"/>
          <w:szCs w:val="18"/>
        </w:rPr>
        <w:t>从保险人收到的因合同工程本身损失或损坏的保险金</w:t>
      </w:r>
      <w:r>
        <w:rPr>
          <w:rFonts w:hAnsi="宋体"/>
          <w:color w:val="auto"/>
          <w:sz w:val="24"/>
          <w:szCs w:val="18"/>
        </w:rPr>
        <w:t>,</w:t>
      </w:r>
      <w:r>
        <w:rPr>
          <w:rFonts w:hint="eastAsia" w:hAnsi="宋体"/>
          <w:color w:val="auto"/>
          <w:sz w:val="24"/>
          <w:szCs w:val="18"/>
        </w:rPr>
        <w:t>应专项用于修复合同工程的损失或损坏，或作为对未能修复合同工程这些损失或损坏的补偿。</w:t>
      </w:r>
    </w:p>
    <w:p w14:paraId="0FCA43AF">
      <w:pPr>
        <w:pStyle w:val="2"/>
        <w:tabs>
          <w:tab w:val="left" w:pos="1320"/>
        </w:tabs>
        <w:adjustRightInd w:val="0"/>
        <w:snapToGrid w:val="0"/>
        <w:spacing w:line="360" w:lineRule="auto"/>
        <w:rPr>
          <w:rFonts w:hAnsi="宋体"/>
          <w:b/>
          <w:color w:val="auto"/>
          <w:sz w:val="24"/>
          <w:szCs w:val="18"/>
          <w:u w:val="dotted"/>
        </w:rPr>
      </w:pPr>
      <w:r>
        <w:rPr>
          <w:color w:val="auto"/>
        </w:rPr>
        <mc:AlternateContent>
          <mc:Choice Requires="wps">
            <w:drawing>
              <wp:anchor distT="0" distB="0" distL="114300" distR="114300" simplePos="0" relativeHeight="251786240" behindDoc="0" locked="0" layoutInCell="1" allowOverlap="1">
                <wp:simplePos x="0" y="0"/>
                <wp:positionH relativeFrom="column">
                  <wp:posOffset>-114300</wp:posOffset>
                </wp:positionH>
                <wp:positionV relativeFrom="paragraph">
                  <wp:posOffset>227330</wp:posOffset>
                </wp:positionV>
                <wp:extent cx="914400" cy="407035"/>
                <wp:effectExtent l="0" t="0" r="0" b="0"/>
                <wp:wrapNone/>
                <wp:docPr id="125" name="文本框 125"/>
                <wp:cNvGraphicFramePr/>
                <a:graphic xmlns:a="http://schemas.openxmlformats.org/drawingml/2006/main">
                  <a:graphicData uri="http://schemas.microsoft.com/office/word/2010/wordprocessingShape">
                    <wps:wsp>
                      <wps:cNvSpPr txBox="1"/>
                      <wps:spPr>
                        <a:xfrm>
                          <a:off x="0" y="0"/>
                          <a:ext cx="914400" cy="407035"/>
                        </a:xfrm>
                        <a:prstGeom prst="rect">
                          <a:avLst/>
                        </a:prstGeom>
                        <a:noFill/>
                        <a:ln>
                          <a:noFill/>
                        </a:ln>
                        <a:effectLst/>
                      </wps:spPr>
                      <wps:txbx>
                        <w:txbxContent>
                          <w:p w14:paraId="2C0358C0">
                            <w:pPr>
                              <w:spacing w:line="240" w:lineRule="exact"/>
                              <w:rPr>
                                <w:rFonts w:ascii="宋体"/>
                                <w:sz w:val="18"/>
                                <w:szCs w:val="18"/>
                              </w:rPr>
                            </w:pPr>
                            <w:r>
                              <w:rPr>
                                <w:rFonts w:hint="eastAsia" w:ascii="楷体_GB2312" w:hAnsi="宋体" w:eastAsia="楷体_GB2312"/>
                                <w:b/>
                                <w:color w:val="000000"/>
                                <w:sz w:val="18"/>
                                <w:szCs w:val="18"/>
                              </w:rPr>
                              <w:t>约定投保事项</w:t>
                            </w:r>
                          </w:p>
                        </w:txbxContent>
                      </wps:txbx>
                      <wps:bodyPr upright="1"/>
                    </wps:wsp>
                  </a:graphicData>
                </a:graphic>
              </wp:anchor>
            </w:drawing>
          </mc:Choice>
          <mc:Fallback>
            <w:pict>
              <v:shape id="_x0000_s1026" o:spid="_x0000_s1026" o:spt="202" type="#_x0000_t202" style="position:absolute;left:0pt;margin-left:-9pt;margin-top:17.9pt;height:32.05pt;width:72pt;z-index:251786240;mso-width-relative:page;mso-height-relative:page;" filled="f" stroked="f" coordsize="21600,21600" o:gfxdata="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Xc&#10;PLjWAAAACQEAAA8AAAAAAAAAAQAgAAAAIgAAAGRycy9kb3ducmV2LnhtbFBLAQIUABQAAAAIAIdO&#10;4kBU893fswEAAF8DAAAOAAAAAAAAAAEAIAAAACUBAABkcnMvZTJvRG9jLnhtbFBLBQYAAAAABgAG&#10;AFkBAABKBQAAAAA=&#10;">
                <v:fill on="f" focussize="0,0"/>
                <v:stroke on="f"/>
                <v:imagedata o:title=""/>
                <o:lock v:ext="edit" aspectratio="f"/>
                <v:textbox>
                  <w:txbxContent>
                    <w:p w14:paraId="2C0358C0">
                      <w:pPr>
                        <w:spacing w:line="240" w:lineRule="exact"/>
                        <w:rPr>
                          <w:rFonts w:ascii="宋体"/>
                          <w:sz w:val="18"/>
                          <w:szCs w:val="18"/>
                        </w:rPr>
                      </w:pPr>
                      <w:r>
                        <w:rPr>
                          <w:rFonts w:hint="eastAsia" w:ascii="楷体_GB2312" w:hAnsi="宋体" w:eastAsia="楷体_GB2312"/>
                          <w:b/>
                          <w:color w:val="000000"/>
                          <w:sz w:val="18"/>
                          <w:szCs w:val="18"/>
                        </w:rPr>
                        <w:t>约定投保事项</w:t>
                      </w:r>
                    </w:p>
                  </w:txbxContent>
                </v:textbox>
              </v:shape>
            </w:pict>
          </mc:Fallback>
        </mc:AlternateContent>
      </w:r>
      <w:r>
        <w:rPr>
          <w:rFonts w:hAnsi="宋体"/>
          <w:b/>
          <w:color w:val="auto"/>
          <w:sz w:val="24"/>
          <w:szCs w:val="18"/>
        </w:rPr>
        <w:t xml:space="preserve">32.8  </w:t>
      </w:r>
    </w:p>
    <w:p w14:paraId="3816DDB8">
      <w:pPr>
        <w:pStyle w:val="2"/>
        <w:adjustRightInd w:val="0"/>
        <w:snapToGrid w:val="0"/>
        <w:spacing w:line="360" w:lineRule="auto"/>
        <w:ind w:left="1619" w:leftChars="771"/>
        <w:rPr>
          <w:rFonts w:hAnsi="宋体"/>
          <w:color w:val="auto"/>
          <w:sz w:val="24"/>
          <w:szCs w:val="18"/>
        </w:rPr>
      </w:pPr>
      <w:r>
        <w:rPr>
          <w:rFonts w:hint="eastAsia" w:hAnsi="宋体"/>
          <w:color w:val="auto"/>
          <w:sz w:val="24"/>
          <w:szCs w:val="18"/>
        </w:rPr>
        <w:t>具体投保内容、保险金、保险期限及相关责任等事项，合同双方当事人应在专用条款中约定。</w:t>
      </w:r>
    </w:p>
    <w:p w14:paraId="30F3C30B">
      <w:pPr>
        <w:pStyle w:val="2"/>
        <w:adjustRightInd w:val="0"/>
        <w:snapToGrid w:val="0"/>
        <w:spacing w:line="360" w:lineRule="auto"/>
        <w:ind w:right="-238"/>
        <w:outlineLvl w:val="1"/>
        <w:rPr>
          <w:rFonts w:hAnsi="宋体"/>
          <w:b/>
          <w:bCs/>
          <w:color w:val="auto"/>
          <w:sz w:val="32"/>
          <w:szCs w:val="28"/>
        </w:rPr>
      </w:pPr>
    </w:p>
    <w:p w14:paraId="637036CF">
      <w:pPr>
        <w:pStyle w:val="2"/>
        <w:adjustRightInd w:val="0"/>
        <w:snapToGrid w:val="0"/>
        <w:spacing w:line="360" w:lineRule="auto"/>
        <w:ind w:right="-238"/>
        <w:jc w:val="center"/>
        <w:outlineLvl w:val="1"/>
        <w:rPr>
          <w:rFonts w:hAnsi="宋体"/>
          <w:b/>
          <w:bCs/>
          <w:color w:val="auto"/>
          <w:sz w:val="32"/>
          <w:szCs w:val="28"/>
        </w:rPr>
      </w:pPr>
      <w:r>
        <w:rPr>
          <w:rFonts w:hint="eastAsia" w:hAnsi="宋体"/>
          <w:b/>
          <w:bCs/>
          <w:color w:val="auto"/>
          <w:sz w:val="32"/>
          <w:szCs w:val="28"/>
        </w:rPr>
        <w:t>四、工期</w:t>
      </w:r>
    </w:p>
    <w:p w14:paraId="53CB754C">
      <w:pPr>
        <w:pStyle w:val="2"/>
        <w:tabs>
          <w:tab w:val="left" w:pos="540"/>
        </w:tabs>
        <w:adjustRightInd w:val="0"/>
        <w:snapToGrid w:val="0"/>
        <w:spacing w:before="240" w:beforeLines="100" w:line="360" w:lineRule="auto"/>
        <w:ind w:right="-238"/>
        <w:rPr>
          <w:rFonts w:hAnsi="宋体"/>
          <w:b/>
          <w:color w:val="auto"/>
          <w:sz w:val="30"/>
          <w:szCs w:val="24"/>
        </w:rPr>
      </w:pPr>
      <w:r>
        <w:rPr>
          <w:rFonts w:hAnsi="宋体"/>
          <w:b/>
          <w:color w:val="auto"/>
          <w:sz w:val="30"/>
          <w:szCs w:val="24"/>
        </w:rPr>
        <w:t xml:space="preserve">33  </w:t>
      </w:r>
      <w:r>
        <w:rPr>
          <w:rFonts w:hint="eastAsia" w:hAnsi="宋体"/>
          <w:b/>
          <w:color w:val="auto"/>
          <w:sz w:val="30"/>
          <w:szCs w:val="24"/>
        </w:rPr>
        <w:t>进度计划和报告</w:t>
      </w:r>
    </w:p>
    <w:p w14:paraId="3324C52B">
      <w:pPr>
        <w:pStyle w:val="2"/>
        <w:tabs>
          <w:tab w:val="left" w:pos="1620"/>
        </w:tabs>
        <w:adjustRightInd w:val="0"/>
        <w:snapToGrid w:val="0"/>
        <w:spacing w:line="360" w:lineRule="auto"/>
        <w:rPr>
          <w:rFonts w:hAnsi="宋体"/>
          <w:b/>
          <w:color w:val="auto"/>
          <w:sz w:val="24"/>
          <w:szCs w:val="18"/>
        </w:rPr>
      </w:pPr>
      <w:r>
        <w:rPr>
          <w:color w:val="auto"/>
        </w:rPr>
        <mc:AlternateContent>
          <mc:Choice Requires="wps">
            <w:drawing>
              <wp:anchor distT="0" distB="0" distL="114300" distR="114300" simplePos="0" relativeHeight="251787264" behindDoc="0" locked="0" layoutInCell="1" allowOverlap="1">
                <wp:simplePos x="0" y="0"/>
                <wp:positionH relativeFrom="column">
                  <wp:posOffset>-114300</wp:posOffset>
                </wp:positionH>
                <wp:positionV relativeFrom="paragraph">
                  <wp:posOffset>283845</wp:posOffset>
                </wp:positionV>
                <wp:extent cx="914400" cy="41275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914400" cy="412750"/>
                        </a:xfrm>
                        <a:prstGeom prst="rect">
                          <a:avLst/>
                        </a:prstGeom>
                        <a:noFill/>
                        <a:ln>
                          <a:noFill/>
                        </a:ln>
                        <a:effectLst/>
                      </wps:spPr>
                      <wps:txbx>
                        <w:txbxContent>
                          <w:p w14:paraId="792DFB23">
                            <w:pPr>
                              <w:spacing w:line="240" w:lineRule="exact"/>
                              <w:rPr>
                                <w:rFonts w:ascii="楷体_GB2312" w:hAnsi="宋体" w:eastAsia="楷体_GB2312"/>
                                <w:sz w:val="18"/>
                                <w:szCs w:val="18"/>
                              </w:rPr>
                            </w:pPr>
                            <w:r>
                              <w:rPr>
                                <w:rFonts w:hint="eastAsia" w:ascii="楷体_GB2312" w:hAnsi="宋体" w:eastAsia="楷体_GB2312"/>
                                <w:b/>
                                <w:color w:val="000000"/>
                                <w:sz w:val="18"/>
                                <w:szCs w:val="18"/>
                              </w:rPr>
                              <w:t>提交工程进度计划</w:t>
                            </w:r>
                          </w:p>
                        </w:txbxContent>
                      </wps:txbx>
                      <wps:bodyPr upright="1"/>
                    </wps:wsp>
                  </a:graphicData>
                </a:graphic>
              </wp:anchor>
            </w:drawing>
          </mc:Choice>
          <mc:Fallback>
            <w:pict>
              <v:shape id="_x0000_s1026" o:spid="_x0000_s1026" o:spt="202" type="#_x0000_t202" style="position:absolute;left:0pt;margin-left:-9pt;margin-top:22.35pt;height:32.5pt;width:72pt;z-index:251787264;mso-width-relative:page;mso-height-relative:page;" filled="f" stroked="f" coordsize="21600,21600" o:gfxdata="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d3G4O9gAAAAKAQAADwAAAAAAAAABACAAAAAiAAAAZHJzL2Rvd25yZXYueG1sUEsBAhQAFAAAAAgA&#10;h07iQGpr2pGzAQAAXwMAAA4AAAAAAAAAAQAgAAAAJwEAAGRycy9lMm9Eb2MueG1sUEsFBgAAAAAG&#10;AAYAWQEAAEwFAAAAAA==&#10;">
                <v:fill on="f" focussize="0,0"/>
                <v:stroke on="f"/>
                <v:imagedata o:title=""/>
                <o:lock v:ext="edit" aspectratio="f"/>
                <v:textbox>
                  <w:txbxContent>
                    <w:p w14:paraId="792DFB23">
                      <w:pPr>
                        <w:spacing w:line="240" w:lineRule="exact"/>
                        <w:rPr>
                          <w:rFonts w:ascii="楷体_GB2312" w:hAnsi="宋体" w:eastAsia="楷体_GB2312"/>
                          <w:sz w:val="18"/>
                          <w:szCs w:val="18"/>
                        </w:rPr>
                      </w:pPr>
                      <w:r>
                        <w:rPr>
                          <w:rFonts w:hint="eastAsia" w:ascii="楷体_GB2312" w:hAnsi="宋体" w:eastAsia="楷体_GB2312"/>
                          <w:b/>
                          <w:color w:val="000000"/>
                          <w:sz w:val="18"/>
                          <w:szCs w:val="18"/>
                        </w:rPr>
                        <w:t>提交工程进度计划</w:t>
                      </w:r>
                    </w:p>
                  </w:txbxContent>
                </v:textbox>
              </v:shape>
            </w:pict>
          </mc:Fallback>
        </mc:AlternateContent>
      </w:r>
      <w:r>
        <w:rPr>
          <w:rFonts w:hAnsi="宋体"/>
          <w:b/>
          <w:color w:val="auto"/>
          <w:sz w:val="24"/>
          <w:szCs w:val="18"/>
        </w:rPr>
        <w:t xml:space="preserve">33.1      </w:t>
      </w:r>
    </w:p>
    <w:p w14:paraId="2584F3E2">
      <w:pPr>
        <w:pStyle w:val="2"/>
        <w:adjustRightInd w:val="0"/>
        <w:snapToGrid w:val="0"/>
        <w:spacing w:line="360" w:lineRule="auto"/>
        <w:ind w:left="1619" w:leftChars="771"/>
        <w:rPr>
          <w:rFonts w:hAnsi="宋体"/>
          <w:color w:val="auto"/>
          <w:sz w:val="24"/>
          <w:szCs w:val="18"/>
        </w:rPr>
      </w:pPr>
      <w:r>
        <w:rPr>
          <w:rFonts w:hint="eastAsia" w:hAnsi="宋体"/>
          <w:color w:val="auto"/>
          <w:sz w:val="24"/>
          <w:szCs w:val="18"/>
        </w:rPr>
        <w:t>承包人应在签订本合同后的</w:t>
      </w:r>
      <w:r>
        <w:rPr>
          <w:rFonts w:hAnsi="宋体"/>
          <w:color w:val="auto"/>
          <w:sz w:val="24"/>
          <w:szCs w:val="18"/>
        </w:rPr>
        <w:t>31</w:t>
      </w:r>
      <w:r>
        <w:rPr>
          <w:rFonts w:hint="eastAsia" w:hAnsi="宋体"/>
          <w:color w:val="auto"/>
          <w:sz w:val="24"/>
          <w:szCs w:val="18"/>
        </w:rPr>
        <w:t>天内，向监理工程师提交一式两份施工组织设计和合同工程进度计划。经发包人批准后，监理工程师应在收到该设计和计划后的</w:t>
      </w:r>
      <w:r>
        <w:rPr>
          <w:rFonts w:hAnsi="宋体"/>
          <w:color w:val="auto"/>
          <w:sz w:val="24"/>
          <w:szCs w:val="18"/>
        </w:rPr>
        <w:t>7</w:t>
      </w:r>
      <w:r>
        <w:rPr>
          <w:rFonts w:hint="eastAsia" w:hAnsi="宋体"/>
          <w:color w:val="auto"/>
          <w:sz w:val="24"/>
          <w:szCs w:val="18"/>
        </w:rPr>
        <w:t>天内予以确认或提出修改意见，逾期不确认也不提出书面意见的，视为同意。工程进度计划，应对合同工程的全部施工作业提出总体上的施工方法、施工安排、作业顺序和时间表。合同约定有单位工程的，承包人还应编制单位工程进度计划。</w:t>
      </w:r>
    </w:p>
    <w:p w14:paraId="2C70EA25">
      <w:pPr>
        <w:pStyle w:val="2"/>
        <w:tabs>
          <w:tab w:val="left" w:pos="1620"/>
        </w:tabs>
        <w:adjustRightInd w:val="0"/>
        <w:snapToGrid w:val="0"/>
        <w:spacing w:line="360" w:lineRule="auto"/>
        <w:rPr>
          <w:rFonts w:hAnsi="宋体"/>
          <w:b/>
          <w:color w:val="auto"/>
          <w:sz w:val="24"/>
          <w:szCs w:val="18"/>
          <w:u w:val="dotted"/>
        </w:rPr>
      </w:pPr>
      <w:r>
        <w:rPr>
          <w:color w:val="auto"/>
        </w:rPr>
        <mc:AlternateContent>
          <mc:Choice Requires="wps">
            <w:drawing>
              <wp:anchor distT="0" distB="0" distL="114300" distR="114300" simplePos="0" relativeHeight="251788288" behindDoc="0" locked="0" layoutInCell="1" allowOverlap="1">
                <wp:simplePos x="0" y="0"/>
                <wp:positionH relativeFrom="column">
                  <wp:posOffset>-114300</wp:posOffset>
                </wp:positionH>
                <wp:positionV relativeFrom="paragraph">
                  <wp:posOffset>281305</wp:posOffset>
                </wp:positionV>
                <wp:extent cx="914400" cy="471805"/>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914400" cy="471805"/>
                        </a:xfrm>
                        <a:prstGeom prst="rect">
                          <a:avLst/>
                        </a:prstGeom>
                        <a:noFill/>
                        <a:ln>
                          <a:noFill/>
                        </a:ln>
                        <a:effectLst/>
                      </wps:spPr>
                      <wps:txbx>
                        <w:txbxContent>
                          <w:p w14:paraId="77D6AFFC">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工程进度的监督和检查</w:t>
                            </w:r>
                          </w:p>
                        </w:txbxContent>
                      </wps:txbx>
                      <wps:bodyPr upright="1"/>
                    </wps:wsp>
                  </a:graphicData>
                </a:graphic>
              </wp:anchor>
            </w:drawing>
          </mc:Choice>
          <mc:Fallback>
            <w:pict>
              <v:shape id="_x0000_s1026" o:spid="_x0000_s1026" o:spt="202" type="#_x0000_t202" style="position:absolute;left:0pt;margin-left:-9pt;margin-top:22.15pt;height:37.15pt;width:72pt;z-index:251788288;mso-width-relative:page;mso-height-relative:page;" filled="f" stroked="f" coordsize="21600,21600" o:gfxdata="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Egf&#10;tHjXAAAACgEAAA8AAAAAAAAAAQAgAAAAIgAAAGRycy9kb3ducmV2LnhtbFBLAQIUABQAAAAIAIdO&#10;4kBpuhnJsgEAAF8DAAAOAAAAAAAAAAEAIAAAACYBAABkcnMvZTJvRG9jLnhtbFBLBQYAAAAABgAG&#10;AFkBAABKBQAAAAA=&#10;">
                <v:fill on="f" focussize="0,0"/>
                <v:stroke on="f"/>
                <v:imagedata o:title=""/>
                <o:lock v:ext="edit" aspectratio="f"/>
                <v:textbox>
                  <w:txbxContent>
                    <w:p w14:paraId="77D6AFFC">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工程进度的监督和检查</w:t>
                      </w:r>
                    </w:p>
                  </w:txbxContent>
                </v:textbox>
              </v:shape>
            </w:pict>
          </mc:Fallback>
        </mc:AlternateContent>
      </w:r>
      <w:r>
        <w:rPr>
          <w:rFonts w:hAnsi="宋体"/>
          <w:b/>
          <w:color w:val="auto"/>
          <w:sz w:val="24"/>
          <w:szCs w:val="18"/>
        </w:rPr>
        <w:t xml:space="preserve">33.2  </w:t>
      </w:r>
    </w:p>
    <w:p w14:paraId="4C5F3C84">
      <w:pPr>
        <w:pStyle w:val="2"/>
        <w:adjustRightInd w:val="0"/>
        <w:snapToGrid w:val="0"/>
        <w:spacing w:line="360" w:lineRule="auto"/>
        <w:ind w:left="1619" w:leftChars="771"/>
        <w:rPr>
          <w:rFonts w:hAnsi="宋体"/>
          <w:color w:val="auto"/>
          <w:sz w:val="24"/>
          <w:szCs w:val="18"/>
        </w:rPr>
      </w:pPr>
      <w:r>
        <w:rPr>
          <w:rFonts w:hint="eastAsia" w:hAnsi="宋体"/>
          <w:color w:val="auto"/>
          <w:sz w:val="24"/>
          <w:szCs w:val="18"/>
        </w:rPr>
        <w:t>承包人应按照经监理工程师确认并由其报发包人批准的进度计划组织施工，接受监理工程师对工程进度的监督和检查。</w:t>
      </w:r>
    </w:p>
    <w:p w14:paraId="2904ABA4">
      <w:pPr>
        <w:pStyle w:val="2"/>
        <w:tabs>
          <w:tab w:val="left" w:pos="1620"/>
        </w:tabs>
        <w:adjustRightInd w:val="0"/>
        <w:snapToGrid w:val="0"/>
        <w:spacing w:line="360" w:lineRule="auto"/>
        <w:rPr>
          <w:rFonts w:hAnsi="宋体"/>
          <w:b/>
          <w:color w:val="auto"/>
          <w:sz w:val="24"/>
          <w:szCs w:val="18"/>
          <w:u w:val="dotted"/>
        </w:rPr>
      </w:pPr>
      <w:r>
        <w:rPr>
          <w:color w:val="auto"/>
        </w:rPr>
        <mc:AlternateContent>
          <mc:Choice Requires="wps">
            <w:drawing>
              <wp:anchor distT="0" distB="0" distL="114300" distR="114300" simplePos="0" relativeHeight="251789312" behindDoc="0" locked="0" layoutInCell="1" allowOverlap="1">
                <wp:simplePos x="0" y="0"/>
                <wp:positionH relativeFrom="column">
                  <wp:posOffset>-114300</wp:posOffset>
                </wp:positionH>
                <wp:positionV relativeFrom="paragraph">
                  <wp:posOffset>265430</wp:posOffset>
                </wp:positionV>
                <wp:extent cx="914400" cy="555625"/>
                <wp:effectExtent l="0" t="0" r="0" b="0"/>
                <wp:wrapNone/>
                <wp:docPr id="128" name="文本框 128"/>
                <wp:cNvGraphicFramePr/>
                <a:graphic xmlns:a="http://schemas.openxmlformats.org/drawingml/2006/main">
                  <a:graphicData uri="http://schemas.microsoft.com/office/word/2010/wordprocessingShape">
                    <wps:wsp>
                      <wps:cNvSpPr txBox="1"/>
                      <wps:spPr>
                        <a:xfrm>
                          <a:off x="0" y="0"/>
                          <a:ext cx="914400" cy="555625"/>
                        </a:xfrm>
                        <a:prstGeom prst="rect">
                          <a:avLst/>
                        </a:prstGeom>
                        <a:noFill/>
                        <a:ln>
                          <a:noFill/>
                        </a:ln>
                        <a:effectLst/>
                      </wps:spPr>
                      <wps:txbx>
                        <w:txbxContent>
                          <w:p w14:paraId="1051D3C1">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提交施工进度报告和修订进度计划</w:t>
                            </w:r>
                          </w:p>
                        </w:txbxContent>
                      </wps:txbx>
                      <wps:bodyPr upright="1"/>
                    </wps:wsp>
                  </a:graphicData>
                </a:graphic>
              </wp:anchor>
            </w:drawing>
          </mc:Choice>
          <mc:Fallback>
            <w:pict>
              <v:shape id="_x0000_s1026" o:spid="_x0000_s1026" o:spt="202" type="#_x0000_t202" style="position:absolute;left:0pt;margin-left:-9pt;margin-top:20.9pt;height:43.75pt;width:72pt;z-index:251789312;mso-width-relative:page;mso-height-relative:page;" filled="f" stroked="f" coordsize="21600,21600" o:gfxdata="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C5&#10;uAjXAAAACgEAAA8AAAAAAAAAAQAgAAAAIgAAAGRycy9kb3ducmV2LnhtbFBLAQIUABQAAAAIAIdO&#10;4kCLU4uzsgEAAF8DAAAOAAAAAAAAAAEAIAAAACYBAABkcnMvZTJvRG9jLnhtbFBLBQYAAAAABgAG&#10;AFkBAABKBQAAAAA=&#10;">
                <v:fill on="f" focussize="0,0"/>
                <v:stroke on="f"/>
                <v:imagedata o:title=""/>
                <o:lock v:ext="edit" aspectratio="f"/>
                <v:textbox>
                  <w:txbxContent>
                    <w:p w14:paraId="1051D3C1">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提交施工进度报告和修订进度计划</w:t>
                      </w:r>
                    </w:p>
                  </w:txbxContent>
                </v:textbox>
              </v:shape>
            </w:pict>
          </mc:Fallback>
        </mc:AlternateContent>
      </w:r>
      <w:r>
        <w:rPr>
          <w:rFonts w:hAnsi="宋体"/>
          <w:b/>
          <w:color w:val="auto"/>
          <w:sz w:val="24"/>
          <w:szCs w:val="18"/>
        </w:rPr>
        <w:t xml:space="preserve">33.3  </w:t>
      </w:r>
    </w:p>
    <w:p w14:paraId="652EAB84">
      <w:pPr>
        <w:pStyle w:val="2"/>
        <w:adjustRightInd w:val="0"/>
        <w:snapToGrid w:val="0"/>
        <w:spacing w:line="360" w:lineRule="auto"/>
        <w:ind w:left="1619" w:leftChars="771"/>
        <w:rPr>
          <w:rFonts w:hAnsi="宋体"/>
          <w:color w:val="auto"/>
          <w:sz w:val="24"/>
          <w:szCs w:val="18"/>
        </w:rPr>
      </w:pPr>
      <w:r>
        <w:rPr>
          <w:rFonts w:hint="eastAsia" w:hAnsi="宋体"/>
          <w:color w:val="auto"/>
          <w:sz w:val="24"/>
          <w:szCs w:val="18"/>
        </w:rPr>
        <w:t>除专用条款另有约定外，承包人应编制每月施工进度报告，同时每季对进度计划修订一次，并在每月或季结束后的</w:t>
      </w:r>
      <w:r>
        <w:rPr>
          <w:rFonts w:hAnsi="宋体"/>
          <w:color w:val="auto"/>
          <w:sz w:val="24"/>
          <w:szCs w:val="18"/>
        </w:rPr>
        <w:t>7</w:t>
      </w:r>
      <w:r>
        <w:rPr>
          <w:rFonts w:hint="eastAsia" w:hAnsi="宋体"/>
          <w:color w:val="auto"/>
          <w:sz w:val="24"/>
          <w:szCs w:val="18"/>
        </w:rPr>
        <w:t>天内向监理工程师提交上述报告和修订计划一式两份。月施工进度报告的内容至少应包括：</w:t>
      </w:r>
    </w:p>
    <w:p w14:paraId="384304F3">
      <w:pPr>
        <w:pStyle w:val="2"/>
        <w:adjustRightInd w:val="0"/>
        <w:snapToGrid w:val="0"/>
        <w:spacing w:line="360" w:lineRule="auto"/>
        <w:ind w:firstLine="1560" w:firstLineChars="650"/>
        <w:rPr>
          <w:rFonts w:hAnsi="宋体"/>
          <w:color w:val="auto"/>
          <w:sz w:val="24"/>
          <w:szCs w:val="18"/>
        </w:rPr>
      </w:pPr>
      <w:r>
        <w:rPr>
          <w:rFonts w:hint="eastAsia" w:hAnsi="宋体"/>
          <w:color w:val="auto"/>
          <w:sz w:val="24"/>
          <w:szCs w:val="18"/>
        </w:rPr>
        <w:t>（</w:t>
      </w:r>
      <w:r>
        <w:rPr>
          <w:rFonts w:hAnsi="宋体"/>
          <w:color w:val="auto"/>
          <w:sz w:val="24"/>
          <w:szCs w:val="18"/>
        </w:rPr>
        <w:t>1</w:t>
      </w:r>
      <w:r>
        <w:rPr>
          <w:rFonts w:hint="eastAsia" w:hAnsi="宋体"/>
          <w:color w:val="auto"/>
          <w:sz w:val="24"/>
          <w:szCs w:val="18"/>
        </w:rPr>
        <w:t>）施工、安装、试验以及其他发包人工作等进展情况的图表和说明；</w:t>
      </w:r>
    </w:p>
    <w:p w14:paraId="4C3C3933">
      <w:pPr>
        <w:pStyle w:val="2"/>
        <w:adjustRightInd w:val="0"/>
        <w:snapToGrid w:val="0"/>
        <w:spacing w:line="360" w:lineRule="auto"/>
        <w:ind w:firstLine="1560" w:firstLineChars="650"/>
        <w:rPr>
          <w:rFonts w:hAnsi="宋体"/>
          <w:color w:val="auto"/>
          <w:sz w:val="24"/>
          <w:szCs w:val="18"/>
        </w:rPr>
      </w:pPr>
      <w:r>
        <w:rPr>
          <w:rFonts w:hint="eastAsia" w:hAnsi="宋体"/>
          <w:color w:val="auto"/>
          <w:sz w:val="24"/>
          <w:szCs w:val="18"/>
        </w:rPr>
        <w:t>（</w:t>
      </w:r>
      <w:r>
        <w:rPr>
          <w:rFonts w:hAnsi="宋体"/>
          <w:color w:val="auto"/>
          <w:sz w:val="24"/>
          <w:szCs w:val="18"/>
        </w:rPr>
        <w:t>2</w:t>
      </w:r>
      <w:r>
        <w:rPr>
          <w:rFonts w:hint="eastAsia" w:hAnsi="宋体"/>
          <w:color w:val="auto"/>
          <w:sz w:val="24"/>
          <w:szCs w:val="18"/>
        </w:rPr>
        <w:t>）材料、设备、货物的采购和制造商名称、地点以及进入现场情况；</w:t>
      </w:r>
    </w:p>
    <w:p w14:paraId="4A715971">
      <w:pPr>
        <w:pStyle w:val="2"/>
        <w:adjustRightInd w:val="0"/>
        <w:snapToGrid w:val="0"/>
        <w:spacing w:line="360" w:lineRule="auto"/>
        <w:ind w:firstLine="1560" w:firstLineChars="650"/>
        <w:rPr>
          <w:rFonts w:hAnsi="宋体"/>
          <w:color w:val="auto"/>
          <w:sz w:val="24"/>
          <w:szCs w:val="18"/>
        </w:rPr>
      </w:pPr>
      <w:r>
        <w:rPr>
          <w:rFonts w:hint="eastAsia" w:hAnsi="宋体"/>
          <w:color w:val="auto"/>
          <w:sz w:val="24"/>
          <w:szCs w:val="18"/>
        </w:rPr>
        <w:t>（</w:t>
      </w:r>
      <w:r>
        <w:rPr>
          <w:rFonts w:hAnsi="宋体"/>
          <w:color w:val="auto"/>
          <w:sz w:val="24"/>
          <w:szCs w:val="18"/>
        </w:rPr>
        <w:t>3</w:t>
      </w:r>
      <w:r>
        <w:rPr>
          <w:rFonts w:hint="eastAsia" w:hAnsi="宋体"/>
          <w:color w:val="auto"/>
          <w:sz w:val="24"/>
          <w:szCs w:val="18"/>
        </w:rPr>
        <w:t>）索赔情况和安全统计；</w:t>
      </w:r>
    </w:p>
    <w:p w14:paraId="71F7C5B7">
      <w:pPr>
        <w:pStyle w:val="2"/>
        <w:adjustRightInd w:val="0"/>
        <w:snapToGrid w:val="0"/>
        <w:spacing w:line="360" w:lineRule="auto"/>
        <w:ind w:left="1558" w:leftChars="742"/>
        <w:rPr>
          <w:rFonts w:hAnsi="宋体"/>
          <w:color w:val="auto"/>
          <w:sz w:val="24"/>
          <w:szCs w:val="18"/>
        </w:rPr>
      </w:pPr>
      <w:r>
        <w:rPr>
          <w:rFonts w:hint="eastAsia" w:hAnsi="宋体"/>
          <w:color w:val="auto"/>
          <w:sz w:val="24"/>
          <w:szCs w:val="18"/>
        </w:rPr>
        <w:t>（</w:t>
      </w:r>
      <w:r>
        <w:rPr>
          <w:rFonts w:hAnsi="宋体"/>
          <w:color w:val="auto"/>
          <w:sz w:val="24"/>
          <w:szCs w:val="18"/>
        </w:rPr>
        <w:t>4</w:t>
      </w:r>
      <w:r>
        <w:rPr>
          <w:rFonts w:hint="eastAsia" w:hAnsi="宋体"/>
          <w:color w:val="auto"/>
          <w:sz w:val="24"/>
          <w:szCs w:val="18"/>
        </w:rPr>
        <w:t>）实际进度与计划进度的对比，以及为消除延误正在或准备采取的措施。</w:t>
      </w:r>
    </w:p>
    <w:p w14:paraId="65B3BE36">
      <w:pPr>
        <w:pStyle w:val="2"/>
        <w:tabs>
          <w:tab w:val="left" w:pos="1620"/>
        </w:tabs>
        <w:adjustRightInd w:val="0"/>
        <w:snapToGrid w:val="0"/>
        <w:spacing w:line="360" w:lineRule="auto"/>
        <w:rPr>
          <w:rFonts w:hAnsi="宋体"/>
          <w:color w:val="auto"/>
          <w:sz w:val="24"/>
          <w:szCs w:val="18"/>
          <w:u w:val="dotted"/>
        </w:rPr>
      </w:pPr>
      <w:r>
        <w:rPr>
          <w:color w:val="auto"/>
        </w:rPr>
        <mc:AlternateContent>
          <mc:Choice Requires="wps">
            <w:drawing>
              <wp:anchor distT="0" distB="0" distL="114300" distR="114300" simplePos="0" relativeHeight="251790336" behindDoc="0" locked="0" layoutInCell="1" allowOverlap="1">
                <wp:simplePos x="0" y="0"/>
                <wp:positionH relativeFrom="column">
                  <wp:posOffset>-114300</wp:posOffset>
                </wp:positionH>
                <wp:positionV relativeFrom="paragraph">
                  <wp:posOffset>243840</wp:posOffset>
                </wp:positionV>
                <wp:extent cx="914400" cy="644525"/>
                <wp:effectExtent l="0" t="0" r="0" b="0"/>
                <wp:wrapNone/>
                <wp:docPr id="129" name="文本框 129"/>
                <wp:cNvGraphicFramePr/>
                <a:graphic xmlns:a="http://schemas.openxmlformats.org/drawingml/2006/main">
                  <a:graphicData uri="http://schemas.microsoft.com/office/word/2010/wordprocessingShape">
                    <wps:wsp>
                      <wps:cNvSpPr txBox="1"/>
                      <wps:spPr>
                        <a:xfrm>
                          <a:off x="0" y="0"/>
                          <a:ext cx="914400" cy="644525"/>
                        </a:xfrm>
                        <a:prstGeom prst="rect">
                          <a:avLst/>
                        </a:prstGeom>
                        <a:noFill/>
                        <a:ln>
                          <a:noFill/>
                        </a:ln>
                        <a:effectLst/>
                      </wps:spPr>
                      <wps:txbx>
                        <w:txbxContent>
                          <w:p w14:paraId="0FE2B5C9">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实际进度与进度计划不符时的处理</w:t>
                            </w:r>
                          </w:p>
                        </w:txbxContent>
                      </wps:txbx>
                      <wps:bodyPr upright="1"/>
                    </wps:wsp>
                  </a:graphicData>
                </a:graphic>
              </wp:anchor>
            </w:drawing>
          </mc:Choice>
          <mc:Fallback>
            <w:pict>
              <v:shape id="_x0000_s1026" o:spid="_x0000_s1026" o:spt="202" type="#_x0000_t202" style="position:absolute;left:0pt;margin-left:-9pt;margin-top:19.2pt;height:50.75pt;width:72pt;z-index:251790336;mso-width-relative:page;mso-height-relative:page;" filled="f" stroked="f" coordsize="21600,21600" o:gfxdata="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KHp&#10;pVDYAAAACgEAAA8AAAAAAAAAAQAgAAAAIgAAAGRycy9kb3ducmV2LnhtbFBLAQIUABQAAAAIAIdO&#10;4kD+A04asQEAAF8DAAAOAAAAAAAAAAEAIAAAACcBAABkcnMvZTJvRG9jLnhtbFBLBQYAAAAABgAG&#10;AFkBAABKBQAAAAA=&#10;">
                <v:fill on="f" focussize="0,0"/>
                <v:stroke on="f"/>
                <v:imagedata o:title=""/>
                <o:lock v:ext="edit" aspectratio="f"/>
                <v:textbox>
                  <w:txbxContent>
                    <w:p w14:paraId="0FE2B5C9">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实际进度与进度计划不符时的处理</w:t>
                      </w:r>
                    </w:p>
                  </w:txbxContent>
                </v:textbox>
              </v:shape>
            </w:pict>
          </mc:Fallback>
        </mc:AlternateContent>
      </w:r>
      <w:r>
        <w:rPr>
          <w:rFonts w:hAnsi="宋体"/>
          <w:b/>
          <w:color w:val="auto"/>
          <w:sz w:val="24"/>
          <w:szCs w:val="18"/>
        </w:rPr>
        <w:t xml:space="preserve">33.4  </w:t>
      </w:r>
    </w:p>
    <w:p w14:paraId="421A8DA3">
      <w:pPr>
        <w:pStyle w:val="2"/>
        <w:adjustRightInd w:val="0"/>
        <w:snapToGrid w:val="0"/>
        <w:spacing w:line="360" w:lineRule="auto"/>
        <w:ind w:left="1619" w:leftChars="771"/>
        <w:rPr>
          <w:rFonts w:hAnsi="宋体"/>
          <w:color w:val="auto"/>
          <w:sz w:val="24"/>
          <w:szCs w:val="18"/>
        </w:rPr>
      </w:pPr>
      <w:r>
        <w:rPr>
          <w:rFonts w:hint="eastAsia" w:hAnsi="宋体"/>
          <w:color w:val="auto"/>
          <w:sz w:val="24"/>
          <w:szCs w:val="18"/>
        </w:rPr>
        <w:t>如果监理工程师指出承包人的实际进度和经确认的计划进度不符时，承包人应按照监理工程师的要求提出改进措施，经监理工程师确认后执行。因承包人的原因导致实际进度迟于计划进度的，承包人不但无权就改进措施要求发包人支付任何附加费用，而且应按照第</w:t>
      </w:r>
      <w:r>
        <w:rPr>
          <w:rFonts w:hAnsi="宋体"/>
          <w:color w:val="auto"/>
          <w:sz w:val="24"/>
          <w:szCs w:val="18"/>
        </w:rPr>
        <w:t>66.2</w:t>
      </w:r>
      <w:r>
        <w:rPr>
          <w:rFonts w:hint="eastAsia" w:hAnsi="宋体"/>
          <w:color w:val="auto"/>
          <w:sz w:val="24"/>
          <w:szCs w:val="18"/>
        </w:rPr>
        <w:t>款规定向发包人支付由此产生的误期赔偿费。工程进度计划即使经监理工程师确认，也不能免除承包人按照合同约定应承担的任何责任和应履行的任何义务。</w:t>
      </w:r>
    </w:p>
    <w:p w14:paraId="45D531F0">
      <w:pPr>
        <w:pStyle w:val="2"/>
        <w:adjustRightInd w:val="0"/>
        <w:snapToGrid w:val="0"/>
        <w:spacing w:line="360" w:lineRule="auto"/>
        <w:ind w:right="-238"/>
        <w:rPr>
          <w:rFonts w:hAnsi="宋体"/>
          <w:color w:val="auto"/>
          <w:sz w:val="24"/>
          <w:szCs w:val="18"/>
        </w:rPr>
      </w:pPr>
    </w:p>
    <w:p w14:paraId="63175B9A">
      <w:pPr>
        <w:pStyle w:val="2"/>
        <w:adjustRightInd w:val="0"/>
        <w:snapToGrid w:val="0"/>
        <w:spacing w:line="360" w:lineRule="auto"/>
        <w:ind w:right="-238"/>
        <w:rPr>
          <w:rFonts w:hAnsi="宋体"/>
          <w:b/>
          <w:color w:val="auto"/>
          <w:sz w:val="30"/>
          <w:szCs w:val="24"/>
        </w:rPr>
      </w:pPr>
      <w:r>
        <w:rPr>
          <w:rFonts w:hAnsi="宋体"/>
          <w:b/>
          <w:color w:val="auto"/>
          <w:sz w:val="30"/>
          <w:szCs w:val="24"/>
        </w:rPr>
        <w:t xml:space="preserve">34  </w:t>
      </w:r>
      <w:r>
        <w:rPr>
          <w:rFonts w:hint="eastAsia" w:hAnsi="宋体"/>
          <w:b/>
          <w:color w:val="auto"/>
          <w:sz w:val="30"/>
          <w:szCs w:val="24"/>
        </w:rPr>
        <w:t>开工</w:t>
      </w:r>
    </w:p>
    <w:p w14:paraId="64F7A683">
      <w:pPr>
        <w:pStyle w:val="2"/>
        <w:adjustRightInd w:val="0"/>
        <w:snapToGrid w:val="0"/>
        <w:spacing w:line="360" w:lineRule="auto"/>
        <w:ind w:right="6"/>
        <w:rPr>
          <w:rFonts w:hAnsi="宋体"/>
          <w:color w:val="auto"/>
          <w:sz w:val="24"/>
          <w:szCs w:val="18"/>
        </w:rPr>
      </w:pPr>
      <w:r>
        <w:rPr>
          <w:color w:val="auto"/>
        </w:rPr>
        <mc:AlternateContent>
          <mc:Choice Requires="wps">
            <w:drawing>
              <wp:anchor distT="0" distB="0" distL="114300" distR="114300" simplePos="0" relativeHeight="251791360" behindDoc="0" locked="0" layoutInCell="1" allowOverlap="1">
                <wp:simplePos x="0" y="0"/>
                <wp:positionH relativeFrom="column">
                  <wp:posOffset>-114300</wp:posOffset>
                </wp:positionH>
                <wp:positionV relativeFrom="paragraph">
                  <wp:posOffset>247015</wp:posOffset>
                </wp:positionV>
                <wp:extent cx="800100" cy="310515"/>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800100" cy="310515"/>
                        </a:xfrm>
                        <a:prstGeom prst="rect">
                          <a:avLst/>
                        </a:prstGeom>
                        <a:noFill/>
                        <a:ln>
                          <a:noFill/>
                        </a:ln>
                        <a:effectLst/>
                      </wps:spPr>
                      <wps:txbx>
                        <w:txbxContent>
                          <w:p w14:paraId="2E56EC00">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开工条件</w:t>
                            </w:r>
                          </w:p>
                        </w:txbxContent>
                      </wps:txbx>
                      <wps:bodyPr upright="1"/>
                    </wps:wsp>
                  </a:graphicData>
                </a:graphic>
              </wp:anchor>
            </w:drawing>
          </mc:Choice>
          <mc:Fallback>
            <w:pict>
              <v:shape id="_x0000_s1026" o:spid="_x0000_s1026" o:spt="202" type="#_x0000_t202" style="position:absolute;left:0pt;margin-left:-9pt;margin-top:19.45pt;height:24.45pt;width:63pt;z-index:251791360;mso-width-relative:page;mso-height-relative:page;" filled="f" stroked="f" coordsize="21600,21600" o:gfxdata="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YfiVgNUA&#10;AAAJAQAADwAAAAAAAAABACAAAAAiAAAAZHJzL2Rvd25yZXYueG1sUEsBAhQAFAAAAAgAh07iQN9k&#10;cbiwAQAAXwMAAA4AAAAAAAAAAQAgAAAAJAEAAGRycy9lMm9Eb2MueG1sUEsFBgAAAAAGAAYAWQEA&#10;AEYFAAAAAA==&#10;">
                <v:fill on="f" focussize="0,0"/>
                <v:stroke on="f"/>
                <v:imagedata o:title=""/>
                <o:lock v:ext="edit" aspectratio="f"/>
                <v:textbox>
                  <w:txbxContent>
                    <w:p w14:paraId="2E56EC00">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开工条件</w:t>
                      </w:r>
                    </w:p>
                  </w:txbxContent>
                </v:textbox>
              </v:shape>
            </w:pict>
          </mc:Fallback>
        </mc:AlternateContent>
      </w:r>
      <w:r>
        <w:rPr>
          <w:rFonts w:hAnsi="宋体"/>
          <w:b/>
          <w:color w:val="auto"/>
          <w:sz w:val="24"/>
          <w:szCs w:val="18"/>
        </w:rPr>
        <w:t xml:space="preserve">34.1    </w:t>
      </w:r>
      <w:r>
        <w:rPr>
          <w:rFonts w:hint="eastAsia" w:hAnsi="宋体"/>
          <w:color w:val="auto"/>
          <w:sz w:val="24"/>
          <w:szCs w:val="18"/>
        </w:rPr>
        <w:t>工程开工必须具备法律规定的开工条件，并已经领取了施工许可证。</w:t>
      </w:r>
    </w:p>
    <w:p w14:paraId="6774EE25">
      <w:pPr>
        <w:pStyle w:val="2"/>
        <w:tabs>
          <w:tab w:val="left" w:pos="1320"/>
        </w:tabs>
        <w:adjustRightInd w:val="0"/>
        <w:snapToGrid w:val="0"/>
        <w:spacing w:line="360" w:lineRule="auto"/>
        <w:ind w:right="3"/>
        <w:rPr>
          <w:rFonts w:hAnsi="宋体"/>
          <w:b/>
          <w:color w:val="auto"/>
          <w:sz w:val="24"/>
          <w:szCs w:val="18"/>
        </w:rPr>
      </w:pPr>
    </w:p>
    <w:p w14:paraId="40304043">
      <w:pPr>
        <w:pStyle w:val="2"/>
        <w:tabs>
          <w:tab w:val="left" w:pos="1320"/>
        </w:tabs>
        <w:adjustRightInd w:val="0"/>
        <w:snapToGrid w:val="0"/>
        <w:spacing w:line="360" w:lineRule="auto"/>
        <w:ind w:right="3"/>
        <w:rPr>
          <w:rFonts w:hAnsi="宋体"/>
          <w:b/>
          <w:color w:val="auto"/>
          <w:sz w:val="24"/>
          <w:szCs w:val="18"/>
          <w:u w:val="dotted"/>
        </w:rPr>
      </w:pPr>
      <w:r>
        <w:rPr>
          <w:color w:val="auto"/>
        </w:rPr>
        <mc:AlternateContent>
          <mc:Choice Requires="wps">
            <w:drawing>
              <wp:anchor distT="0" distB="0" distL="114300" distR="114300" simplePos="0" relativeHeight="251792384" behindDoc="0" locked="0" layoutInCell="1" allowOverlap="1">
                <wp:simplePos x="0" y="0"/>
                <wp:positionH relativeFrom="column">
                  <wp:posOffset>-114300</wp:posOffset>
                </wp:positionH>
                <wp:positionV relativeFrom="paragraph">
                  <wp:posOffset>242570</wp:posOffset>
                </wp:positionV>
                <wp:extent cx="800100" cy="297180"/>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a:effectLst/>
                      </wps:spPr>
                      <wps:txbx>
                        <w:txbxContent>
                          <w:p w14:paraId="1F999E36">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工程开工</w:t>
                            </w:r>
                          </w:p>
                        </w:txbxContent>
                      </wps:txbx>
                      <wps:bodyPr upright="1"/>
                    </wps:wsp>
                  </a:graphicData>
                </a:graphic>
              </wp:anchor>
            </w:drawing>
          </mc:Choice>
          <mc:Fallback>
            <w:pict>
              <v:shape id="_x0000_s1026" o:spid="_x0000_s1026" o:spt="202" type="#_x0000_t202" style="position:absolute;left:0pt;margin-left:-9pt;margin-top:19.1pt;height:23.4pt;width:63pt;z-index:251792384;mso-width-relative:page;mso-height-relative:page;" filled="f" stroked="f" coordsize="21600,21600" o:gfxdata="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4WbpX&#10;1gAAAAkBAAAPAAAAAAAAAAEAIAAAACIAAABkcnMvZG93bnJldi54bWxQSwECFAAUAAAACACHTuJA&#10;LrLskbEBAABfAwAADgAAAAAAAAABACAAAAAlAQAAZHJzL2Uyb0RvYy54bWxQSwUGAAAAAAYABgBZ&#10;AQAASAUAAAAA&#10;">
                <v:fill on="f" focussize="0,0"/>
                <v:stroke on="f"/>
                <v:imagedata o:title=""/>
                <o:lock v:ext="edit" aspectratio="f"/>
                <v:textbox>
                  <w:txbxContent>
                    <w:p w14:paraId="1F999E36">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工程开工</w:t>
                      </w:r>
                    </w:p>
                  </w:txbxContent>
                </v:textbox>
              </v:shape>
            </w:pict>
          </mc:Fallback>
        </mc:AlternateContent>
      </w:r>
      <w:r>
        <w:rPr>
          <w:rFonts w:hAnsi="宋体"/>
          <w:b/>
          <w:color w:val="auto"/>
          <w:sz w:val="24"/>
          <w:szCs w:val="18"/>
        </w:rPr>
        <w:t xml:space="preserve">34.2  </w:t>
      </w:r>
    </w:p>
    <w:p w14:paraId="2F396B40">
      <w:pPr>
        <w:pStyle w:val="2"/>
        <w:adjustRightInd w:val="0"/>
        <w:snapToGrid w:val="0"/>
        <w:spacing w:line="360" w:lineRule="auto"/>
        <w:ind w:left="1619" w:leftChars="771" w:right="3"/>
        <w:rPr>
          <w:rFonts w:hAnsi="宋体"/>
          <w:color w:val="auto"/>
          <w:sz w:val="24"/>
          <w:szCs w:val="18"/>
        </w:rPr>
      </w:pPr>
      <w:r>
        <w:rPr>
          <w:rFonts w:hint="eastAsia" w:hAnsi="宋体"/>
          <w:color w:val="auto"/>
          <w:sz w:val="24"/>
          <w:szCs w:val="18"/>
        </w:rPr>
        <w:t>承包人应在签订本合同后的</w:t>
      </w:r>
      <w:r>
        <w:rPr>
          <w:rFonts w:hAnsi="宋体"/>
          <w:color w:val="auto"/>
          <w:sz w:val="24"/>
          <w:szCs w:val="18"/>
        </w:rPr>
        <w:t>28</w:t>
      </w:r>
      <w:r>
        <w:rPr>
          <w:rFonts w:hint="eastAsia" w:hAnsi="宋体"/>
          <w:color w:val="auto"/>
          <w:sz w:val="24"/>
          <w:szCs w:val="18"/>
        </w:rPr>
        <w:t>天内，向监理工程师提交开工申请书，并附上表明已做好开工准备的有关资料。除专用条款另有约定外，监理工程师应在本合同签订后的</w:t>
      </w:r>
      <w:r>
        <w:rPr>
          <w:rFonts w:hAnsi="宋体"/>
          <w:color w:val="auto"/>
          <w:sz w:val="24"/>
          <w:szCs w:val="18"/>
        </w:rPr>
        <w:t>42</w:t>
      </w:r>
      <w:r>
        <w:rPr>
          <w:rFonts w:hint="eastAsia" w:hAnsi="宋体"/>
          <w:color w:val="auto"/>
          <w:sz w:val="24"/>
          <w:szCs w:val="18"/>
        </w:rPr>
        <w:t>天内报发包人批准后向承包人发出开工令；承包人应在接到开工令后的</w:t>
      </w:r>
      <w:r>
        <w:rPr>
          <w:rFonts w:hAnsi="宋体"/>
          <w:color w:val="auto"/>
          <w:sz w:val="24"/>
          <w:szCs w:val="18"/>
        </w:rPr>
        <w:t>7</w:t>
      </w:r>
      <w:r>
        <w:rPr>
          <w:rFonts w:hint="eastAsia" w:hAnsi="宋体"/>
          <w:color w:val="auto"/>
          <w:sz w:val="24"/>
          <w:szCs w:val="18"/>
        </w:rPr>
        <w:t>天内开工，并一直保持合同工程连续均衡施工，直至其被改变为止。</w:t>
      </w:r>
    </w:p>
    <w:p w14:paraId="4293C2DA">
      <w:pPr>
        <w:pStyle w:val="2"/>
        <w:tabs>
          <w:tab w:val="left" w:pos="1320"/>
        </w:tabs>
        <w:adjustRightInd w:val="0"/>
        <w:snapToGrid w:val="0"/>
        <w:spacing w:line="360" w:lineRule="auto"/>
        <w:ind w:right="3"/>
        <w:rPr>
          <w:rFonts w:hAnsi="宋体"/>
          <w:b/>
          <w:color w:val="auto"/>
          <w:sz w:val="24"/>
          <w:szCs w:val="18"/>
        </w:rPr>
      </w:pPr>
      <w:r>
        <w:rPr>
          <w:color w:val="auto"/>
        </w:rPr>
        <mc:AlternateContent>
          <mc:Choice Requires="wps">
            <w:drawing>
              <wp:anchor distT="0" distB="0" distL="114300" distR="114300" simplePos="0" relativeHeight="251793408" behindDoc="0" locked="0" layoutInCell="1" allowOverlap="1">
                <wp:simplePos x="0" y="0"/>
                <wp:positionH relativeFrom="column">
                  <wp:posOffset>-114300</wp:posOffset>
                </wp:positionH>
                <wp:positionV relativeFrom="paragraph">
                  <wp:posOffset>269875</wp:posOffset>
                </wp:positionV>
                <wp:extent cx="914400" cy="594360"/>
                <wp:effectExtent l="0" t="0" r="0" b="0"/>
                <wp:wrapNone/>
                <wp:docPr id="132" name="文本框 132"/>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a:effectLst/>
                      </wps:spPr>
                      <wps:txbx>
                        <w:txbxContent>
                          <w:p w14:paraId="7B95EC6E">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承包人未按时开工的处理程序和责任</w:t>
                            </w:r>
                          </w:p>
                        </w:txbxContent>
                      </wps:txbx>
                      <wps:bodyPr upright="1"/>
                    </wps:wsp>
                  </a:graphicData>
                </a:graphic>
              </wp:anchor>
            </w:drawing>
          </mc:Choice>
          <mc:Fallback>
            <w:pict>
              <v:shape id="_x0000_s1026" o:spid="_x0000_s1026" o:spt="202" type="#_x0000_t202" style="position:absolute;left:0pt;margin-left:-9pt;margin-top:21.25pt;height:46.8pt;width:72pt;z-index:251793408;mso-width-relative:page;mso-height-relative:page;" filled="f" stroked="f" coordsize="21600,21600" o:gfxdata="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F6Ck4NgAAAAKAQAADwAAAAAAAAABACAAAAAiAAAAZHJzL2Rvd25yZXYueG1sUEsBAhQAFAAAAAgA&#10;h07iQNshnmyzAQAAXwMAAA4AAAAAAAAAAQAgAAAAJwEAAGRycy9lMm9Eb2MueG1sUEsFBgAAAAAG&#10;AAYAWQEAAEwFAAAAAA==&#10;">
                <v:fill on="f" focussize="0,0"/>
                <v:stroke on="f"/>
                <v:imagedata o:title=""/>
                <o:lock v:ext="edit" aspectratio="f"/>
                <v:textbox>
                  <w:txbxContent>
                    <w:p w14:paraId="7B95EC6E">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承包人未按时开工的处理程序和责任</w:t>
                      </w:r>
                    </w:p>
                  </w:txbxContent>
                </v:textbox>
              </v:shape>
            </w:pict>
          </mc:Fallback>
        </mc:AlternateContent>
      </w:r>
      <w:r>
        <w:rPr>
          <w:rFonts w:hAnsi="宋体"/>
          <w:b/>
          <w:color w:val="auto"/>
          <w:sz w:val="24"/>
          <w:szCs w:val="18"/>
        </w:rPr>
        <w:t xml:space="preserve">34.3  </w:t>
      </w:r>
    </w:p>
    <w:p w14:paraId="22C5630E">
      <w:pPr>
        <w:pStyle w:val="2"/>
        <w:adjustRightInd w:val="0"/>
        <w:snapToGrid w:val="0"/>
        <w:spacing w:line="360" w:lineRule="auto"/>
        <w:ind w:left="1619" w:leftChars="771" w:right="3"/>
        <w:rPr>
          <w:rFonts w:hAnsi="宋体"/>
          <w:color w:val="auto"/>
          <w:sz w:val="24"/>
          <w:szCs w:val="18"/>
        </w:rPr>
      </w:pPr>
      <w:r>
        <w:rPr>
          <w:rFonts w:hint="eastAsia" w:hAnsi="宋体"/>
          <w:color w:val="auto"/>
          <w:sz w:val="24"/>
          <w:szCs w:val="18"/>
        </w:rPr>
        <w:t>承包人未能按照时开工，应在接到开工令后立即以书面形式向监理工程师提出延期开工的要求并说明理由。监理工程师应当在接到延期开工申请后的</w:t>
      </w:r>
      <w:r>
        <w:rPr>
          <w:rFonts w:hAnsi="宋体"/>
          <w:color w:val="auto"/>
          <w:sz w:val="24"/>
          <w:szCs w:val="18"/>
        </w:rPr>
        <w:t>48</w:t>
      </w:r>
      <w:r>
        <w:rPr>
          <w:rFonts w:hint="eastAsia" w:hAnsi="宋体"/>
          <w:color w:val="auto"/>
          <w:sz w:val="24"/>
          <w:szCs w:val="18"/>
        </w:rPr>
        <w:t>小时内书面予以答复，否则视为同意。由此造成的损失和延误的工期由承包人承担</w:t>
      </w:r>
      <w:r>
        <w:rPr>
          <w:rFonts w:hAnsi="宋体"/>
          <w:color w:val="auto"/>
          <w:sz w:val="24"/>
          <w:szCs w:val="18"/>
        </w:rPr>
        <w:t>.</w:t>
      </w:r>
    </w:p>
    <w:p w14:paraId="357C78B7">
      <w:pPr>
        <w:pStyle w:val="2"/>
        <w:tabs>
          <w:tab w:val="left" w:pos="1320"/>
        </w:tabs>
        <w:adjustRightInd w:val="0"/>
        <w:snapToGrid w:val="0"/>
        <w:spacing w:line="360" w:lineRule="auto"/>
        <w:ind w:right="3"/>
        <w:rPr>
          <w:rFonts w:hAnsi="宋体"/>
          <w:color w:val="auto"/>
          <w:sz w:val="24"/>
          <w:szCs w:val="18"/>
          <w:u w:val="dotted"/>
        </w:rPr>
      </w:pPr>
      <w:r>
        <w:rPr>
          <w:color w:val="auto"/>
        </w:rPr>
        <mc:AlternateContent>
          <mc:Choice Requires="wps">
            <w:drawing>
              <wp:anchor distT="0" distB="0" distL="114300" distR="114300" simplePos="0" relativeHeight="251794432" behindDoc="0" locked="0" layoutInCell="1" allowOverlap="1">
                <wp:simplePos x="0" y="0"/>
                <wp:positionH relativeFrom="column">
                  <wp:posOffset>-114300</wp:posOffset>
                </wp:positionH>
                <wp:positionV relativeFrom="paragraph">
                  <wp:posOffset>237490</wp:posOffset>
                </wp:positionV>
                <wp:extent cx="914400" cy="568325"/>
                <wp:effectExtent l="0" t="0" r="0" b="0"/>
                <wp:wrapNone/>
                <wp:docPr id="133" name="文本框 133"/>
                <wp:cNvGraphicFramePr/>
                <a:graphic xmlns:a="http://schemas.openxmlformats.org/drawingml/2006/main">
                  <a:graphicData uri="http://schemas.microsoft.com/office/word/2010/wordprocessingShape">
                    <wps:wsp>
                      <wps:cNvSpPr txBox="1"/>
                      <wps:spPr>
                        <a:xfrm>
                          <a:off x="0" y="0"/>
                          <a:ext cx="914400" cy="568325"/>
                        </a:xfrm>
                        <a:prstGeom prst="rect">
                          <a:avLst/>
                        </a:prstGeom>
                        <a:noFill/>
                        <a:ln>
                          <a:noFill/>
                        </a:ln>
                        <a:effectLst/>
                      </wps:spPr>
                      <wps:txbx>
                        <w:txbxContent>
                          <w:p w14:paraId="4AF8D035">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发包人推迟开工的处理程序和责任</w:t>
                            </w:r>
                          </w:p>
                        </w:txbxContent>
                      </wps:txbx>
                      <wps:bodyPr upright="1"/>
                    </wps:wsp>
                  </a:graphicData>
                </a:graphic>
              </wp:anchor>
            </w:drawing>
          </mc:Choice>
          <mc:Fallback>
            <w:pict>
              <v:shape id="_x0000_s1026" o:spid="_x0000_s1026" o:spt="202" type="#_x0000_t202" style="position:absolute;left:0pt;margin-left:-9pt;margin-top:18.7pt;height:44.75pt;width:72pt;z-index:251794432;mso-width-relative:page;mso-height-relative:page;" filled="f" stroked="f" coordsize="21600,21600" o:gfxdata="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k&#10;HdkS1wAAAAoBAAAPAAAAAAAAAAEAIAAAACIAAABkcnMvZG93bnJldi54bWxQSwECFAAUAAAACACH&#10;TuJA9HUxU7MBAABfAwAADgAAAAAAAAABACAAAAAmAQAAZHJzL2Uyb0RvYy54bWxQSwUGAAAAAAYA&#10;BgBZAQAASwUAAAAA&#10;">
                <v:fill on="f" focussize="0,0"/>
                <v:stroke on="f"/>
                <v:imagedata o:title=""/>
                <o:lock v:ext="edit" aspectratio="f"/>
                <v:textbox>
                  <w:txbxContent>
                    <w:p w14:paraId="4AF8D035">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发包人推迟开工的处理程序和责任</w:t>
                      </w:r>
                    </w:p>
                  </w:txbxContent>
                </v:textbox>
              </v:shape>
            </w:pict>
          </mc:Fallback>
        </mc:AlternateContent>
      </w:r>
      <w:r>
        <w:rPr>
          <w:rFonts w:hAnsi="宋体"/>
          <w:color w:val="auto"/>
          <w:sz w:val="24"/>
          <w:szCs w:val="18"/>
        </w:rPr>
        <w:t xml:space="preserve">34.4  </w:t>
      </w:r>
    </w:p>
    <w:p w14:paraId="129F4766">
      <w:pPr>
        <w:pStyle w:val="2"/>
        <w:adjustRightInd w:val="0"/>
        <w:snapToGrid w:val="0"/>
        <w:spacing w:line="360" w:lineRule="auto"/>
        <w:ind w:left="1619" w:leftChars="771" w:right="3"/>
        <w:rPr>
          <w:rFonts w:hAnsi="宋体"/>
          <w:color w:val="auto"/>
          <w:sz w:val="24"/>
          <w:szCs w:val="18"/>
        </w:rPr>
      </w:pPr>
      <w:r>
        <w:rPr>
          <w:rFonts w:hint="eastAsia" w:hAnsi="宋体"/>
          <w:color w:val="auto"/>
          <w:sz w:val="24"/>
          <w:szCs w:val="18"/>
        </w:rPr>
        <w:t>因发包人的原因不能在第</w:t>
      </w:r>
      <w:r>
        <w:rPr>
          <w:rFonts w:hAnsi="宋体"/>
          <w:color w:val="auto"/>
          <w:sz w:val="24"/>
          <w:szCs w:val="18"/>
        </w:rPr>
        <w:t>34.2</w:t>
      </w:r>
      <w:r>
        <w:rPr>
          <w:rFonts w:hint="eastAsia" w:hAnsi="宋体"/>
          <w:color w:val="auto"/>
          <w:sz w:val="24"/>
          <w:szCs w:val="18"/>
        </w:rPr>
        <w:t>款规定的时间内发出开工令的，监理工程师应至少提前</w:t>
      </w:r>
      <w:r>
        <w:rPr>
          <w:rFonts w:hAnsi="宋体"/>
          <w:color w:val="auto"/>
          <w:sz w:val="24"/>
          <w:szCs w:val="18"/>
        </w:rPr>
        <w:t>7</w:t>
      </w:r>
      <w:r>
        <w:rPr>
          <w:rFonts w:hint="eastAsia" w:hAnsi="宋体"/>
          <w:color w:val="auto"/>
          <w:sz w:val="24"/>
          <w:szCs w:val="18"/>
        </w:rPr>
        <w:t>天以书面形式通知承包人推迟开工。由此造成的损失由发包人承担，开工日期相应顺延。监理工程师未能提前</w:t>
      </w:r>
      <w:r>
        <w:rPr>
          <w:rFonts w:hAnsi="宋体"/>
          <w:color w:val="auto"/>
          <w:sz w:val="24"/>
          <w:szCs w:val="18"/>
        </w:rPr>
        <w:t>7</w:t>
      </w:r>
      <w:r>
        <w:rPr>
          <w:rFonts w:hint="eastAsia" w:hAnsi="宋体"/>
          <w:color w:val="auto"/>
          <w:sz w:val="24"/>
          <w:szCs w:val="18"/>
        </w:rPr>
        <w:t>天通知承包人推迟开工的，由此造成损失的扩大由发包人承担。</w:t>
      </w:r>
    </w:p>
    <w:p w14:paraId="568F2F99">
      <w:pPr>
        <w:pStyle w:val="2"/>
        <w:adjustRightInd w:val="0"/>
        <w:snapToGrid w:val="0"/>
        <w:spacing w:line="360" w:lineRule="auto"/>
        <w:rPr>
          <w:rFonts w:hAnsi="宋体"/>
          <w:b/>
          <w:color w:val="auto"/>
          <w:sz w:val="30"/>
          <w:szCs w:val="24"/>
        </w:rPr>
      </w:pPr>
    </w:p>
    <w:p w14:paraId="1B789E64">
      <w:pPr>
        <w:pStyle w:val="2"/>
        <w:adjustRightInd w:val="0"/>
        <w:snapToGrid w:val="0"/>
        <w:spacing w:line="360" w:lineRule="auto"/>
        <w:rPr>
          <w:rFonts w:hAnsi="宋体"/>
          <w:b/>
          <w:color w:val="auto"/>
          <w:sz w:val="30"/>
          <w:szCs w:val="24"/>
        </w:rPr>
      </w:pPr>
      <w:r>
        <w:rPr>
          <w:rFonts w:hAnsi="宋体"/>
          <w:b/>
          <w:color w:val="auto"/>
          <w:sz w:val="30"/>
          <w:szCs w:val="24"/>
        </w:rPr>
        <w:t xml:space="preserve">35  </w:t>
      </w:r>
      <w:r>
        <w:rPr>
          <w:rFonts w:hint="eastAsia" w:hAnsi="宋体"/>
          <w:b/>
          <w:color w:val="auto"/>
          <w:sz w:val="30"/>
          <w:szCs w:val="24"/>
        </w:rPr>
        <w:t>暂停施工和复工</w:t>
      </w:r>
    </w:p>
    <w:p w14:paraId="1137066A">
      <w:pPr>
        <w:pStyle w:val="2"/>
        <w:adjustRightInd w:val="0"/>
        <w:snapToGrid w:val="0"/>
        <w:spacing w:line="360" w:lineRule="auto"/>
        <w:rPr>
          <w:rFonts w:hAnsi="宋体"/>
          <w:b/>
          <w:color w:val="auto"/>
          <w:sz w:val="24"/>
          <w:szCs w:val="18"/>
        </w:rPr>
      </w:pPr>
      <w:r>
        <w:rPr>
          <w:color w:val="auto"/>
        </w:rPr>
        <mc:AlternateContent>
          <mc:Choice Requires="wps">
            <w:drawing>
              <wp:anchor distT="0" distB="0" distL="114300" distR="114300" simplePos="0" relativeHeight="251795456" behindDoc="0" locked="0" layoutInCell="1" allowOverlap="1">
                <wp:simplePos x="0" y="0"/>
                <wp:positionH relativeFrom="column">
                  <wp:posOffset>-114300</wp:posOffset>
                </wp:positionH>
                <wp:positionV relativeFrom="paragraph">
                  <wp:posOffset>261620</wp:posOffset>
                </wp:positionV>
                <wp:extent cx="914400" cy="497205"/>
                <wp:effectExtent l="0" t="0" r="0" b="0"/>
                <wp:wrapNone/>
                <wp:docPr id="134" name="文本框 134"/>
                <wp:cNvGraphicFramePr/>
                <a:graphic xmlns:a="http://schemas.openxmlformats.org/drawingml/2006/main">
                  <a:graphicData uri="http://schemas.microsoft.com/office/word/2010/wordprocessingShape">
                    <wps:wsp>
                      <wps:cNvSpPr txBox="1"/>
                      <wps:spPr>
                        <a:xfrm>
                          <a:off x="0" y="0"/>
                          <a:ext cx="914400" cy="497205"/>
                        </a:xfrm>
                        <a:prstGeom prst="rect">
                          <a:avLst/>
                        </a:prstGeom>
                        <a:noFill/>
                        <a:ln>
                          <a:noFill/>
                        </a:ln>
                        <a:effectLst/>
                      </wps:spPr>
                      <wps:txbx>
                        <w:txbxContent>
                          <w:p w14:paraId="1D8DEAFA">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暂停施工的指令</w:t>
                            </w:r>
                          </w:p>
                        </w:txbxContent>
                      </wps:txbx>
                      <wps:bodyPr upright="1"/>
                    </wps:wsp>
                  </a:graphicData>
                </a:graphic>
              </wp:anchor>
            </w:drawing>
          </mc:Choice>
          <mc:Fallback>
            <w:pict>
              <v:shape id="_x0000_s1026" o:spid="_x0000_s1026" o:spt="202" type="#_x0000_t202" style="position:absolute;left:0pt;margin-left:-9pt;margin-top:20.6pt;height:39.15pt;width:72pt;z-index:251795456;mso-width-relative:page;mso-height-relative:page;" filled="f" stroked="f" coordsize="21600,21600" o:gfxdata="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BG1&#10;TejXAAAACgEAAA8AAAAAAAAAAQAgAAAAIgAAAGRycy9kb3ducmV2LnhtbFBLAQIUABQAAAAIAIdO&#10;4kDr3tmzsgEAAF8DAAAOAAAAAAAAAAEAIAAAACYBAABkcnMvZTJvRG9jLnhtbFBLBQYAAAAABgAG&#10;AFkBAABKBQAAAAA=&#10;">
                <v:fill on="f" focussize="0,0"/>
                <v:stroke on="f"/>
                <v:imagedata o:title=""/>
                <o:lock v:ext="edit" aspectratio="f"/>
                <v:textbox>
                  <w:txbxContent>
                    <w:p w14:paraId="1D8DEAFA">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暂停施工的指令</w:t>
                      </w:r>
                    </w:p>
                  </w:txbxContent>
                </v:textbox>
              </v:shape>
            </w:pict>
          </mc:Fallback>
        </mc:AlternateContent>
      </w:r>
      <w:r>
        <w:rPr>
          <w:rFonts w:hAnsi="宋体"/>
          <w:b/>
          <w:color w:val="auto"/>
          <w:sz w:val="24"/>
          <w:szCs w:val="18"/>
        </w:rPr>
        <w:t xml:space="preserve">35.1      </w:t>
      </w:r>
    </w:p>
    <w:p w14:paraId="7E7F87E0">
      <w:pPr>
        <w:pStyle w:val="2"/>
        <w:adjustRightInd w:val="0"/>
        <w:snapToGrid w:val="0"/>
        <w:spacing w:line="360" w:lineRule="auto"/>
        <w:ind w:left="1619" w:leftChars="771"/>
        <w:rPr>
          <w:rFonts w:hAnsi="宋体"/>
          <w:color w:val="auto"/>
          <w:sz w:val="24"/>
          <w:szCs w:val="18"/>
        </w:rPr>
      </w:pPr>
      <w:r>
        <w:rPr>
          <w:rFonts w:hint="eastAsia" w:hAnsi="宋体"/>
          <w:color w:val="auto"/>
          <w:sz w:val="24"/>
          <w:szCs w:val="18"/>
        </w:rPr>
        <w:t>监理工程师认为有必要时，可向承包人发出暂停施工令，并在</w:t>
      </w:r>
      <w:r>
        <w:rPr>
          <w:rFonts w:hAnsi="宋体"/>
          <w:color w:val="auto"/>
          <w:sz w:val="24"/>
          <w:szCs w:val="18"/>
        </w:rPr>
        <w:t>48</w:t>
      </w:r>
      <w:r>
        <w:rPr>
          <w:rFonts w:hint="eastAsia" w:hAnsi="宋体"/>
          <w:color w:val="auto"/>
          <w:sz w:val="24"/>
          <w:szCs w:val="18"/>
        </w:rPr>
        <w:t>小时内提出处理意见，承包人应按照监理工程师的指令停止施工。不论任何原因造成的暂停施工，暂停施工期间承包人应妥善保护已完工程并提供安全保障。</w:t>
      </w:r>
    </w:p>
    <w:p w14:paraId="0C782F6C">
      <w:pPr>
        <w:pStyle w:val="2"/>
        <w:adjustRightInd w:val="0"/>
        <w:snapToGrid w:val="0"/>
        <w:spacing w:line="360" w:lineRule="auto"/>
        <w:ind w:left="1619" w:leftChars="771"/>
        <w:rPr>
          <w:rFonts w:hAnsi="宋体"/>
          <w:color w:val="auto"/>
          <w:sz w:val="24"/>
          <w:szCs w:val="18"/>
        </w:rPr>
      </w:pPr>
      <w:r>
        <w:rPr>
          <w:rFonts w:hint="eastAsia" w:hAnsi="宋体"/>
          <w:color w:val="auto"/>
          <w:sz w:val="24"/>
          <w:szCs w:val="18"/>
        </w:rPr>
        <w:t>因发包人的原因引起暂停施工的合同工程发生紧急情况，且监理工程师又未及时发出暂停施工令时，承包人可先暂停施工，并及时向监理工程师提出暂停施工报告。监理工程师应在收到暂停施工报告后的</w:t>
      </w:r>
      <w:r>
        <w:rPr>
          <w:rFonts w:hAnsi="宋体"/>
          <w:color w:val="auto"/>
          <w:sz w:val="24"/>
          <w:szCs w:val="18"/>
        </w:rPr>
        <w:t>24</w:t>
      </w:r>
      <w:r>
        <w:rPr>
          <w:rFonts w:hint="eastAsia" w:hAnsi="宋体"/>
          <w:color w:val="auto"/>
          <w:sz w:val="24"/>
          <w:szCs w:val="18"/>
        </w:rPr>
        <w:t>小时内予以答复；逾期未答复的，视为承包人的暂停施工报告被认可。</w:t>
      </w:r>
    </w:p>
    <w:p w14:paraId="46C32984">
      <w:pPr>
        <w:pStyle w:val="2"/>
        <w:adjustRightInd w:val="0"/>
        <w:snapToGrid w:val="0"/>
        <w:spacing w:line="360" w:lineRule="auto"/>
        <w:rPr>
          <w:rFonts w:hAnsi="宋体"/>
          <w:b/>
          <w:color w:val="auto"/>
          <w:sz w:val="24"/>
          <w:szCs w:val="18"/>
        </w:rPr>
      </w:pPr>
      <w:r>
        <w:rPr>
          <w:rFonts w:hAnsi="宋体"/>
          <w:b/>
          <w:color w:val="auto"/>
          <w:sz w:val="24"/>
          <w:szCs w:val="18"/>
        </w:rPr>
        <w:t>35.2</w:t>
      </w:r>
    </w:p>
    <w:p w14:paraId="1DD01694">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1796480" behindDoc="0" locked="0" layoutInCell="1" allowOverlap="1">
                <wp:simplePos x="0" y="0"/>
                <wp:positionH relativeFrom="column">
                  <wp:posOffset>-114300</wp:posOffset>
                </wp:positionH>
                <wp:positionV relativeFrom="paragraph">
                  <wp:posOffset>20320</wp:posOffset>
                </wp:positionV>
                <wp:extent cx="914400" cy="497205"/>
                <wp:effectExtent l="0" t="0" r="0" b="0"/>
                <wp:wrapNone/>
                <wp:docPr id="135" name="文本框 135"/>
                <wp:cNvGraphicFramePr/>
                <a:graphic xmlns:a="http://schemas.openxmlformats.org/drawingml/2006/main">
                  <a:graphicData uri="http://schemas.microsoft.com/office/word/2010/wordprocessingShape">
                    <wps:wsp>
                      <wps:cNvSpPr txBox="1"/>
                      <wps:spPr>
                        <a:xfrm>
                          <a:off x="0" y="0"/>
                          <a:ext cx="914400" cy="497205"/>
                        </a:xfrm>
                        <a:prstGeom prst="rect">
                          <a:avLst/>
                        </a:prstGeom>
                        <a:noFill/>
                        <a:ln>
                          <a:noFill/>
                        </a:ln>
                        <a:effectLst/>
                      </wps:spPr>
                      <wps:txbx>
                        <w:txbxContent>
                          <w:p w14:paraId="47ABAC87">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复工的要求</w:t>
                            </w:r>
                          </w:p>
                        </w:txbxContent>
                      </wps:txbx>
                      <wps:bodyPr upright="1"/>
                    </wps:wsp>
                  </a:graphicData>
                </a:graphic>
              </wp:anchor>
            </w:drawing>
          </mc:Choice>
          <mc:Fallback>
            <w:pict>
              <v:shape id="_x0000_s1026" o:spid="_x0000_s1026" o:spt="202" type="#_x0000_t202" style="position:absolute;left:0pt;margin-left:-9pt;margin-top:1.6pt;height:39.15pt;width:72pt;z-index:251796480;mso-width-relative:page;mso-height-relative:page;" filled="f" stroked="f" coordsize="21600,21600" o:gfxdata="UEsDBAoAAAAAAIdO4kAAAAAAAAAAAAAAAAAEAAAAZHJzL1BLAwQUAAAACACHTuJAsTc8t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sTc8&#10;tNUAAAAIAQAADwAAAAAAAAABACAAAAAiAAAAZHJzL2Rvd25yZXYueG1sUEsBAhQAFAAAAAgAh07i&#10;QHTZEhmzAQAAXwMAAA4AAAAAAAAAAQAgAAAAJAEAAGRycy9lMm9Eb2MueG1sUEsFBgAAAAAGAAYA&#10;WQEAAEkFAAAAAA==&#10;">
                <v:fill on="f" focussize="0,0"/>
                <v:stroke on="f"/>
                <v:imagedata o:title=""/>
                <o:lock v:ext="edit" aspectratio="f"/>
                <v:textbox>
                  <w:txbxContent>
                    <w:p w14:paraId="47ABAC87">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复工的要求</w:t>
                      </w:r>
                    </w:p>
                  </w:txbxContent>
                </v:textbox>
              </v:shape>
            </w:pict>
          </mc:Fallback>
        </mc:AlternateContent>
      </w:r>
      <w:r>
        <w:rPr>
          <w:rFonts w:hint="eastAsia" w:hAnsi="宋体"/>
          <w:color w:val="auto"/>
          <w:sz w:val="24"/>
          <w:szCs w:val="18"/>
        </w:rPr>
        <w:t>承包人实施监理工程师的处理意见后，可向监理工程师提交复工报审表要求复工；监理工程师应在收到复工报审表后的</w:t>
      </w:r>
      <w:r>
        <w:rPr>
          <w:rFonts w:hAnsi="宋体"/>
          <w:color w:val="auto"/>
          <w:sz w:val="24"/>
          <w:szCs w:val="18"/>
        </w:rPr>
        <w:t>48</w:t>
      </w:r>
      <w:r>
        <w:rPr>
          <w:rFonts w:hint="eastAsia" w:hAnsi="宋体"/>
          <w:color w:val="auto"/>
          <w:sz w:val="24"/>
          <w:szCs w:val="18"/>
        </w:rPr>
        <w:t>小时内予以答复。具备复工条件时，监理工程师应立即向承包人发出复工令，承包人应立即组织复工。监理工程师在收到复工报审表后的</w:t>
      </w:r>
      <w:r>
        <w:rPr>
          <w:rFonts w:hAnsi="宋体"/>
          <w:color w:val="auto"/>
          <w:sz w:val="24"/>
          <w:szCs w:val="18"/>
        </w:rPr>
        <w:t>48</w:t>
      </w:r>
      <w:r>
        <w:rPr>
          <w:rFonts w:hint="eastAsia" w:hAnsi="宋体"/>
          <w:color w:val="auto"/>
          <w:sz w:val="24"/>
          <w:szCs w:val="18"/>
        </w:rPr>
        <w:t>小时内未答复也未提出处理意见的，承包人可自行复工，监理工程师应予认可。</w:t>
      </w:r>
    </w:p>
    <w:p w14:paraId="44E4A3BE">
      <w:pPr>
        <w:pStyle w:val="2"/>
        <w:adjustRightInd w:val="0"/>
        <w:snapToGrid w:val="0"/>
        <w:spacing w:line="360" w:lineRule="auto"/>
        <w:ind w:left="1619" w:leftChars="771"/>
        <w:rPr>
          <w:rFonts w:hAnsi="宋体"/>
          <w:color w:val="auto"/>
          <w:sz w:val="24"/>
          <w:szCs w:val="18"/>
        </w:rPr>
      </w:pPr>
      <w:r>
        <w:rPr>
          <w:rFonts w:hint="eastAsia" w:hAnsi="宋体"/>
          <w:color w:val="auto"/>
          <w:sz w:val="24"/>
          <w:szCs w:val="18"/>
        </w:rPr>
        <w:t>承包人无故拖延或拒绝复工的，由此增加的费用和（或）延误的工期由承包人承担；因发包人的原因无法按时复工的，承包人有权要求发包人增加发生的费用和（或）顺延工期，并支付合理利润。</w:t>
      </w:r>
    </w:p>
    <w:p w14:paraId="234D367F">
      <w:pPr>
        <w:pStyle w:val="2"/>
        <w:adjustRightInd w:val="0"/>
        <w:snapToGrid w:val="0"/>
        <w:spacing w:line="360" w:lineRule="auto"/>
        <w:rPr>
          <w:rFonts w:hAnsi="宋体"/>
          <w:b/>
          <w:color w:val="auto"/>
          <w:sz w:val="24"/>
          <w:szCs w:val="18"/>
          <w:u w:val="dotted"/>
        </w:rPr>
      </w:pPr>
      <w:r>
        <w:rPr>
          <w:color w:val="auto"/>
        </w:rPr>
        <mc:AlternateContent>
          <mc:Choice Requires="wps">
            <w:drawing>
              <wp:anchor distT="0" distB="0" distL="114300" distR="114300" simplePos="0" relativeHeight="251797504" behindDoc="0" locked="0" layoutInCell="1" allowOverlap="1">
                <wp:simplePos x="0" y="0"/>
                <wp:positionH relativeFrom="column">
                  <wp:posOffset>-114300</wp:posOffset>
                </wp:positionH>
                <wp:positionV relativeFrom="paragraph">
                  <wp:posOffset>244475</wp:posOffset>
                </wp:positionV>
                <wp:extent cx="914400" cy="792480"/>
                <wp:effectExtent l="0" t="0" r="0" b="0"/>
                <wp:wrapNone/>
                <wp:docPr id="136" name="文本框 136"/>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a:effectLst/>
                      </wps:spPr>
                      <wps:txbx>
                        <w:txbxContent>
                          <w:p w14:paraId="091067A4">
                            <w:pPr>
                              <w:spacing w:line="22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暂停施工持续</w:t>
                            </w:r>
                            <w:r>
                              <w:rPr>
                                <w:rFonts w:ascii="楷体_GB2312" w:hAnsi="宋体" w:eastAsia="楷体_GB2312"/>
                                <w:b/>
                                <w:color w:val="000000"/>
                                <w:sz w:val="18"/>
                                <w:szCs w:val="18"/>
                              </w:rPr>
                              <w:t>56</w:t>
                            </w:r>
                            <w:r>
                              <w:rPr>
                                <w:rFonts w:hint="eastAsia" w:ascii="楷体_GB2312" w:hAnsi="宋体" w:eastAsia="楷体_GB2312"/>
                                <w:b/>
                                <w:color w:val="000000"/>
                                <w:sz w:val="18"/>
                                <w:szCs w:val="18"/>
                              </w:rPr>
                              <w:t>天以上的复工要求</w:t>
                            </w:r>
                          </w:p>
                        </w:txbxContent>
                      </wps:txbx>
                      <wps:bodyPr upright="1"/>
                    </wps:wsp>
                  </a:graphicData>
                </a:graphic>
              </wp:anchor>
            </w:drawing>
          </mc:Choice>
          <mc:Fallback>
            <w:pict>
              <v:shape id="_x0000_s1026" o:spid="_x0000_s1026" o:spt="202" type="#_x0000_t202" style="position:absolute;left:0pt;margin-left:-9pt;margin-top:19.25pt;height:62.4pt;width:72pt;z-index:251797504;mso-width-relative:page;mso-height-relative:page;" filled="f" stroked="f" coordsize="21600,21600" o:gfxdata="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R&#10;wnZ31wAAAAoBAAAPAAAAAAAAAAEAIAAAACIAAABkcnMvZG93bnJldi54bWxQSwECFAAUAAAACACH&#10;TuJAkDNdC7MBAABfAwAADgAAAAAAAAABACAAAAAmAQAAZHJzL2Uyb0RvYy54bWxQSwUGAAAAAAYA&#10;BgBZAQAASwUAAAAA&#10;">
                <v:fill on="f" focussize="0,0"/>
                <v:stroke on="f"/>
                <v:imagedata o:title=""/>
                <o:lock v:ext="edit" aspectratio="f"/>
                <v:textbox>
                  <w:txbxContent>
                    <w:p w14:paraId="091067A4">
                      <w:pPr>
                        <w:spacing w:line="22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暂停施工持续</w:t>
                      </w:r>
                      <w:r>
                        <w:rPr>
                          <w:rFonts w:ascii="楷体_GB2312" w:hAnsi="宋体" w:eastAsia="楷体_GB2312"/>
                          <w:b/>
                          <w:color w:val="000000"/>
                          <w:sz w:val="18"/>
                          <w:szCs w:val="18"/>
                        </w:rPr>
                        <w:t>56</w:t>
                      </w:r>
                      <w:r>
                        <w:rPr>
                          <w:rFonts w:hint="eastAsia" w:ascii="楷体_GB2312" w:hAnsi="宋体" w:eastAsia="楷体_GB2312"/>
                          <w:b/>
                          <w:color w:val="000000"/>
                          <w:sz w:val="18"/>
                          <w:szCs w:val="18"/>
                        </w:rPr>
                        <w:t>天以上的复工要求</w:t>
                      </w:r>
                    </w:p>
                  </w:txbxContent>
                </v:textbox>
              </v:shape>
            </w:pict>
          </mc:Fallback>
        </mc:AlternateContent>
      </w:r>
      <w:r>
        <w:rPr>
          <w:rFonts w:hAnsi="宋体"/>
          <w:b/>
          <w:color w:val="auto"/>
          <w:sz w:val="24"/>
          <w:szCs w:val="18"/>
        </w:rPr>
        <w:t xml:space="preserve">35.3  </w:t>
      </w:r>
    </w:p>
    <w:p w14:paraId="182F9C5D">
      <w:pPr>
        <w:pStyle w:val="2"/>
        <w:adjustRightInd w:val="0"/>
        <w:snapToGrid w:val="0"/>
        <w:spacing w:line="360" w:lineRule="auto"/>
        <w:ind w:left="1619" w:leftChars="771"/>
        <w:rPr>
          <w:rFonts w:hAnsi="宋体"/>
          <w:color w:val="auto"/>
          <w:sz w:val="24"/>
          <w:szCs w:val="18"/>
        </w:rPr>
      </w:pPr>
      <w:r>
        <w:rPr>
          <w:rFonts w:hint="eastAsia" w:hAnsi="宋体"/>
          <w:color w:val="auto"/>
          <w:sz w:val="24"/>
          <w:szCs w:val="18"/>
        </w:rPr>
        <w:t>非承包人的原因造成暂停施工持续</w:t>
      </w:r>
      <w:r>
        <w:rPr>
          <w:rFonts w:hAnsi="宋体"/>
          <w:color w:val="auto"/>
          <w:sz w:val="24"/>
          <w:szCs w:val="18"/>
        </w:rPr>
        <w:t>56</w:t>
      </w:r>
      <w:r>
        <w:rPr>
          <w:rFonts w:hint="eastAsia" w:hAnsi="宋体"/>
          <w:color w:val="auto"/>
          <w:sz w:val="24"/>
          <w:szCs w:val="18"/>
        </w:rPr>
        <w:t>天以上时，承包人可向监理工程师提交复工报审表要求复工；监理工程师应在收到复工报审表后的</w:t>
      </w:r>
      <w:r>
        <w:rPr>
          <w:rFonts w:hAnsi="宋体"/>
          <w:color w:val="auto"/>
          <w:sz w:val="24"/>
          <w:szCs w:val="18"/>
        </w:rPr>
        <w:t>28</w:t>
      </w:r>
      <w:r>
        <w:rPr>
          <w:rFonts w:hint="eastAsia" w:hAnsi="宋体"/>
          <w:color w:val="auto"/>
          <w:sz w:val="24"/>
          <w:szCs w:val="18"/>
        </w:rPr>
        <w:t>天内准许复工。如果在上述期限内监理工程师未予准许，则承包人可以作如下选择：</w:t>
      </w:r>
    </w:p>
    <w:p w14:paraId="4EF79E4E">
      <w:pPr>
        <w:pStyle w:val="2"/>
        <w:numPr>
          <w:ilvl w:val="0"/>
          <w:numId w:val="18"/>
        </w:numPr>
        <w:tabs>
          <w:tab w:val="left" w:pos="1080"/>
        </w:tabs>
        <w:adjustRightInd w:val="0"/>
        <w:snapToGrid w:val="0"/>
        <w:spacing w:line="360" w:lineRule="auto"/>
        <w:ind w:left="1618" w:leftChars="770" w:hanging="1"/>
        <w:rPr>
          <w:rFonts w:hAnsi="宋体"/>
          <w:color w:val="auto"/>
          <w:sz w:val="24"/>
          <w:szCs w:val="18"/>
        </w:rPr>
      </w:pPr>
      <w:r>
        <w:rPr>
          <w:rFonts w:hint="eastAsia" w:hAnsi="宋体"/>
          <w:color w:val="auto"/>
          <w:sz w:val="24"/>
          <w:szCs w:val="18"/>
        </w:rPr>
        <w:t>如果此项停工仅影响合同工程的一部分时，则根据第</w:t>
      </w:r>
      <w:r>
        <w:rPr>
          <w:rFonts w:hAnsi="宋体"/>
          <w:color w:val="auto"/>
          <w:sz w:val="24"/>
          <w:szCs w:val="18"/>
        </w:rPr>
        <w:t>56.2</w:t>
      </w:r>
      <w:r>
        <w:rPr>
          <w:rFonts w:hint="eastAsia" w:hAnsi="宋体"/>
          <w:color w:val="auto"/>
          <w:sz w:val="24"/>
          <w:szCs w:val="18"/>
        </w:rPr>
        <w:t>款规定及时提出工程变更，取消该部分工程，并书面通知发包人，抄送监理工程师和造价工程师；</w:t>
      </w:r>
    </w:p>
    <w:p w14:paraId="7B174A83">
      <w:pPr>
        <w:pStyle w:val="2"/>
        <w:numPr>
          <w:ilvl w:val="0"/>
          <w:numId w:val="18"/>
        </w:numPr>
        <w:tabs>
          <w:tab w:val="left" w:pos="1080"/>
        </w:tabs>
        <w:adjustRightInd w:val="0"/>
        <w:snapToGrid w:val="0"/>
        <w:spacing w:line="360" w:lineRule="auto"/>
        <w:ind w:left="2159" w:leftChars="771" w:hanging="540" w:hangingChars="225"/>
        <w:rPr>
          <w:rFonts w:hAnsi="宋体"/>
          <w:color w:val="auto"/>
          <w:sz w:val="24"/>
          <w:szCs w:val="18"/>
        </w:rPr>
      </w:pPr>
      <w:r>
        <w:rPr>
          <w:rFonts w:hint="eastAsia" w:hAnsi="宋体"/>
          <w:color w:val="auto"/>
          <w:sz w:val="24"/>
          <w:szCs w:val="18"/>
        </w:rPr>
        <w:t>如果此项停工影响整个合同工程时，则根据第</w:t>
      </w:r>
      <w:r>
        <w:rPr>
          <w:rFonts w:hAnsi="宋体"/>
          <w:color w:val="auto"/>
          <w:sz w:val="24"/>
          <w:szCs w:val="18"/>
        </w:rPr>
        <w:t>87.4</w:t>
      </w:r>
      <w:r>
        <w:rPr>
          <w:rFonts w:hint="eastAsia" w:hAnsi="宋体"/>
          <w:color w:val="auto"/>
          <w:sz w:val="24"/>
          <w:szCs w:val="18"/>
        </w:rPr>
        <w:t>款规定解除合同。</w:t>
      </w:r>
    </w:p>
    <w:p w14:paraId="0697A094">
      <w:pPr>
        <w:pStyle w:val="2"/>
        <w:adjustRightInd w:val="0"/>
        <w:snapToGrid w:val="0"/>
        <w:spacing w:line="360" w:lineRule="auto"/>
        <w:ind w:left="1619"/>
        <w:rPr>
          <w:rFonts w:hAnsi="宋体"/>
          <w:color w:val="auto"/>
          <w:sz w:val="24"/>
          <w:szCs w:val="18"/>
        </w:rPr>
      </w:pPr>
      <w:r>
        <w:rPr>
          <w:rFonts w:hint="eastAsia" w:hAnsi="宋体"/>
          <w:color w:val="auto"/>
          <w:sz w:val="24"/>
          <w:szCs w:val="18"/>
        </w:rPr>
        <w:t>因承包人的原因引起暂停施工持续</w:t>
      </w:r>
      <w:r>
        <w:rPr>
          <w:rFonts w:hAnsi="宋体"/>
          <w:color w:val="auto"/>
          <w:sz w:val="24"/>
          <w:szCs w:val="18"/>
        </w:rPr>
        <w:t>56</w:t>
      </w:r>
      <w:r>
        <w:rPr>
          <w:rFonts w:hint="eastAsia" w:hAnsi="宋体"/>
          <w:color w:val="auto"/>
          <w:sz w:val="24"/>
          <w:szCs w:val="18"/>
        </w:rPr>
        <w:t>天以上，承包人不采取有效的复工措施，造成工期延误的，发包人可根据第</w:t>
      </w:r>
      <w:r>
        <w:rPr>
          <w:rFonts w:hAnsi="宋体"/>
          <w:color w:val="auto"/>
          <w:sz w:val="24"/>
          <w:szCs w:val="18"/>
        </w:rPr>
        <w:t>87.3</w:t>
      </w:r>
      <w:r>
        <w:rPr>
          <w:rFonts w:hint="eastAsia" w:hAnsi="宋体"/>
          <w:color w:val="auto"/>
          <w:sz w:val="24"/>
          <w:szCs w:val="18"/>
        </w:rPr>
        <w:t>款规定解除合同。</w:t>
      </w:r>
    </w:p>
    <w:p w14:paraId="43123800">
      <w:pPr>
        <w:pStyle w:val="2"/>
        <w:tabs>
          <w:tab w:val="left" w:pos="2160"/>
        </w:tabs>
        <w:adjustRightInd w:val="0"/>
        <w:snapToGrid w:val="0"/>
        <w:spacing w:line="360" w:lineRule="auto"/>
        <w:rPr>
          <w:rFonts w:hAnsi="宋体"/>
          <w:b/>
          <w:color w:val="auto"/>
          <w:sz w:val="24"/>
          <w:szCs w:val="18"/>
        </w:rPr>
      </w:pPr>
      <w:r>
        <w:rPr>
          <w:rFonts w:hAnsi="宋体"/>
          <w:b/>
          <w:color w:val="auto"/>
          <w:sz w:val="24"/>
          <w:szCs w:val="18"/>
        </w:rPr>
        <w:t xml:space="preserve">35.4  </w:t>
      </w:r>
    </w:p>
    <w:p w14:paraId="3A2F5719">
      <w:pPr>
        <w:pStyle w:val="2"/>
        <w:adjustRightInd w:val="0"/>
        <w:snapToGrid w:val="0"/>
        <w:spacing w:line="360" w:lineRule="auto"/>
        <w:ind w:left="1619" w:leftChars="771" w:firstLine="2"/>
        <w:rPr>
          <w:rFonts w:hAnsi="宋体"/>
          <w:color w:val="auto"/>
          <w:sz w:val="24"/>
          <w:szCs w:val="18"/>
        </w:rPr>
      </w:pPr>
      <w:r>
        <w:rPr>
          <w:color w:val="auto"/>
        </w:rPr>
        <mc:AlternateContent>
          <mc:Choice Requires="wps">
            <w:drawing>
              <wp:anchor distT="0" distB="0" distL="114300" distR="114300" simplePos="0" relativeHeight="251798528" behindDoc="0" locked="0" layoutInCell="1" allowOverlap="1">
                <wp:simplePos x="0" y="0"/>
                <wp:positionH relativeFrom="column">
                  <wp:posOffset>-114300</wp:posOffset>
                </wp:positionH>
                <wp:positionV relativeFrom="paragraph">
                  <wp:posOffset>635</wp:posOffset>
                </wp:positionV>
                <wp:extent cx="914400" cy="792480"/>
                <wp:effectExtent l="0" t="0" r="0" b="0"/>
                <wp:wrapNone/>
                <wp:docPr id="137" name="文本框 137"/>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a:effectLst/>
                      </wps:spPr>
                      <wps:txbx>
                        <w:txbxContent>
                          <w:p w14:paraId="304ACB3D">
                            <w:pPr>
                              <w:spacing w:line="22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发包人、承包人原因和不可抗力因素造成暂停施工的责任</w:t>
                            </w:r>
                          </w:p>
                        </w:txbxContent>
                      </wps:txbx>
                      <wps:bodyPr upright="1"/>
                    </wps:wsp>
                  </a:graphicData>
                </a:graphic>
              </wp:anchor>
            </w:drawing>
          </mc:Choice>
          <mc:Fallback>
            <w:pict>
              <v:shape id="_x0000_s1026" o:spid="_x0000_s1026" o:spt="202" type="#_x0000_t202" style="position:absolute;left:0pt;margin-left:-9pt;margin-top:0.05pt;height:62.4pt;width:72pt;z-index:251798528;mso-width-relative:page;mso-height-relative:page;" filled="f" stroked="f" coordsize="21600,21600" o:gfxdata="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t2odL&#10;1AAAAAgBAAAPAAAAAAAAAAEAIAAAACIAAABkcnMvZG93bnJldi54bWxQSwECFAAUAAAACACHTuJA&#10;DzSWobMBAABfAwAADgAAAAAAAAABACAAAAAjAQAAZHJzL2Uyb0RvYy54bWxQSwUGAAAAAAYABgBZ&#10;AQAASAUAAAAA&#10;">
                <v:fill on="f" focussize="0,0"/>
                <v:stroke on="f"/>
                <v:imagedata o:title=""/>
                <o:lock v:ext="edit" aspectratio="f"/>
                <v:textbox>
                  <w:txbxContent>
                    <w:p w14:paraId="304ACB3D">
                      <w:pPr>
                        <w:spacing w:line="22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发包人、承包人原因和不可抗力因素造成暂停施工的责任</w:t>
                      </w:r>
                    </w:p>
                  </w:txbxContent>
                </v:textbox>
              </v:shape>
            </w:pict>
          </mc:Fallback>
        </mc:AlternateContent>
      </w:r>
      <w:r>
        <w:rPr>
          <w:rFonts w:hint="eastAsia" w:hAnsi="宋体"/>
          <w:color w:val="auto"/>
          <w:sz w:val="24"/>
          <w:szCs w:val="18"/>
        </w:rPr>
        <w:t>因发包人的原因造成暂停施工且引起工期延误的，承包人有权要求发包人增加由此发生的费用和（或）顺延工期，并支付合理利润。</w:t>
      </w:r>
    </w:p>
    <w:p w14:paraId="4B026E5C">
      <w:pPr>
        <w:pStyle w:val="2"/>
        <w:adjustRightInd w:val="0"/>
        <w:snapToGrid w:val="0"/>
        <w:spacing w:line="360" w:lineRule="auto"/>
        <w:ind w:left="1619" w:leftChars="771" w:firstLine="2"/>
        <w:rPr>
          <w:rFonts w:hAnsi="宋体"/>
          <w:color w:val="auto"/>
          <w:sz w:val="24"/>
          <w:szCs w:val="18"/>
        </w:rPr>
      </w:pPr>
      <w:r>
        <w:rPr>
          <w:rFonts w:hint="eastAsia" w:hAnsi="宋体"/>
          <w:color w:val="auto"/>
          <w:sz w:val="24"/>
          <w:szCs w:val="18"/>
        </w:rPr>
        <w:t>因承包人下列原因造成的暂停施工，增加的费用和（或）延误的工期由承包人承担：</w:t>
      </w:r>
    </w:p>
    <w:p w14:paraId="01B72FA0">
      <w:pPr>
        <w:pStyle w:val="2"/>
        <w:numPr>
          <w:ilvl w:val="0"/>
          <w:numId w:val="19"/>
        </w:numPr>
        <w:adjustRightInd w:val="0"/>
        <w:snapToGrid w:val="0"/>
        <w:spacing w:line="360" w:lineRule="auto"/>
        <w:ind w:left="1617" w:leftChars="770" w:firstLine="0"/>
        <w:rPr>
          <w:rFonts w:hAnsi="宋体"/>
          <w:color w:val="auto"/>
          <w:sz w:val="24"/>
          <w:szCs w:val="18"/>
        </w:rPr>
      </w:pPr>
      <w:r>
        <w:rPr>
          <w:rFonts w:hint="eastAsia" w:hAnsi="宋体"/>
          <w:color w:val="auto"/>
          <w:sz w:val="24"/>
          <w:szCs w:val="18"/>
        </w:rPr>
        <w:t>工作失误或违约造成的；</w:t>
      </w:r>
    </w:p>
    <w:p w14:paraId="5379F984">
      <w:pPr>
        <w:pStyle w:val="2"/>
        <w:numPr>
          <w:ilvl w:val="0"/>
          <w:numId w:val="19"/>
        </w:numPr>
        <w:adjustRightInd w:val="0"/>
        <w:snapToGrid w:val="0"/>
        <w:spacing w:line="360" w:lineRule="auto"/>
        <w:ind w:left="2157" w:leftChars="770" w:hanging="540" w:hangingChars="225"/>
        <w:rPr>
          <w:rFonts w:hAnsi="宋体"/>
          <w:color w:val="auto"/>
          <w:sz w:val="24"/>
          <w:szCs w:val="18"/>
        </w:rPr>
      </w:pPr>
      <w:r>
        <w:rPr>
          <w:rFonts w:hint="eastAsia" w:hAnsi="宋体"/>
          <w:color w:val="auto"/>
          <w:sz w:val="24"/>
          <w:szCs w:val="18"/>
        </w:rPr>
        <w:t>为合同工程合理施工和安全保障所必需的；</w:t>
      </w:r>
    </w:p>
    <w:p w14:paraId="75940031">
      <w:pPr>
        <w:pStyle w:val="2"/>
        <w:numPr>
          <w:ilvl w:val="0"/>
          <w:numId w:val="19"/>
        </w:numPr>
        <w:adjustRightInd w:val="0"/>
        <w:snapToGrid w:val="0"/>
        <w:spacing w:line="360" w:lineRule="auto"/>
        <w:ind w:left="1617" w:leftChars="770" w:firstLine="0"/>
        <w:rPr>
          <w:rFonts w:hAnsi="宋体"/>
          <w:color w:val="auto"/>
          <w:sz w:val="24"/>
          <w:szCs w:val="18"/>
        </w:rPr>
      </w:pPr>
      <w:r>
        <w:rPr>
          <w:rFonts w:hint="eastAsia" w:hAnsi="宋体"/>
          <w:color w:val="auto"/>
          <w:sz w:val="24"/>
          <w:szCs w:val="18"/>
        </w:rPr>
        <w:t>施工现场气候条件（除不可抗力停工外）导致的；</w:t>
      </w:r>
    </w:p>
    <w:p w14:paraId="53189EB8">
      <w:pPr>
        <w:pStyle w:val="2"/>
        <w:numPr>
          <w:ilvl w:val="0"/>
          <w:numId w:val="19"/>
        </w:numPr>
        <w:adjustRightInd w:val="0"/>
        <w:snapToGrid w:val="0"/>
        <w:spacing w:line="360" w:lineRule="auto"/>
        <w:ind w:left="1617" w:leftChars="770" w:firstLine="0"/>
        <w:rPr>
          <w:rFonts w:hAnsi="宋体"/>
          <w:color w:val="auto"/>
          <w:sz w:val="24"/>
          <w:szCs w:val="18"/>
        </w:rPr>
      </w:pPr>
      <w:r>
        <w:rPr>
          <w:rFonts w:hint="eastAsia" w:hAnsi="宋体"/>
          <w:color w:val="auto"/>
          <w:sz w:val="24"/>
          <w:szCs w:val="18"/>
        </w:rPr>
        <w:t>擅自停工的；</w:t>
      </w:r>
    </w:p>
    <w:p w14:paraId="4B2A81DD">
      <w:pPr>
        <w:pStyle w:val="2"/>
        <w:numPr>
          <w:ilvl w:val="0"/>
          <w:numId w:val="19"/>
        </w:numPr>
        <w:adjustRightInd w:val="0"/>
        <w:snapToGrid w:val="0"/>
        <w:spacing w:line="360" w:lineRule="auto"/>
        <w:ind w:left="1617" w:leftChars="770" w:firstLine="0"/>
        <w:rPr>
          <w:rFonts w:hAnsi="宋体"/>
          <w:color w:val="auto"/>
          <w:sz w:val="24"/>
          <w:szCs w:val="18"/>
        </w:rPr>
      </w:pPr>
      <w:r>
        <w:rPr>
          <w:rFonts w:hint="eastAsia" w:hAnsi="宋体"/>
          <w:color w:val="auto"/>
          <w:sz w:val="24"/>
          <w:szCs w:val="18"/>
        </w:rPr>
        <w:t>专用条款约定的其他原因。</w:t>
      </w:r>
    </w:p>
    <w:p w14:paraId="5552419B">
      <w:pPr>
        <w:pStyle w:val="2"/>
        <w:tabs>
          <w:tab w:val="left" w:pos="1980"/>
        </w:tabs>
        <w:adjustRightInd w:val="0"/>
        <w:snapToGrid w:val="0"/>
        <w:spacing w:line="360" w:lineRule="auto"/>
        <w:ind w:left="1617" w:leftChars="770"/>
        <w:rPr>
          <w:rFonts w:hAnsi="宋体"/>
          <w:color w:val="auto"/>
          <w:sz w:val="24"/>
          <w:szCs w:val="18"/>
        </w:rPr>
      </w:pPr>
      <w:r>
        <w:rPr>
          <w:rFonts w:hint="eastAsia" w:hAnsi="宋体"/>
          <w:color w:val="auto"/>
          <w:sz w:val="24"/>
          <w:szCs w:val="18"/>
        </w:rPr>
        <w:t>因不可抗力因素造成暂停施工的，按照第</w:t>
      </w:r>
      <w:r>
        <w:rPr>
          <w:rFonts w:hAnsi="宋体"/>
          <w:color w:val="auto"/>
          <w:sz w:val="24"/>
          <w:szCs w:val="18"/>
        </w:rPr>
        <w:t>31</w:t>
      </w:r>
      <w:r>
        <w:rPr>
          <w:rFonts w:hint="eastAsia" w:hAnsi="宋体"/>
          <w:color w:val="auto"/>
          <w:sz w:val="24"/>
          <w:szCs w:val="18"/>
        </w:rPr>
        <w:t>条规定处理。</w:t>
      </w:r>
    </w:p>
    <w:p w14:paraId="58818D6C">
      <w:pPr>
        <w:pStyle w:val="2"/>
        <w:tabs>
          <w:tab w:val="left" w:pos="1320"/>
        </w:tabs>
        <w:adjustRightInd w:val="0"/>
        <w:snapToGrid w:val="0"/>
        <w:spacing w:line="360" w:lineRule="auto"/>
        <w:rPr>
          <w:rFonts w:hAnsi="宋体"/>
          <w:b/>
          <w:color w:val="auto"/>
          <w:sz w:val="24"/>
          <w:szCs w:val="18"/>
        </w:rPr>
      </w:pPr>
      <w:r>
        <w:rPr>
          <w:rFonts w:hAnsi="宋体"/>
          <w:b/>
          <w:color w:val="auto"/>
          <w:sz w:val="24"/>
          <w:szCs w:val="18"/>
        </w:rPr>
        <w:t xml:space="preserve">35.5  </w:t>
      </w:r>
    </w:p>
    <w:p w14:paraId="27399A1F">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1799552" behindDoc="0" locked="0" layoutInCell="1" allowOverlap="1">
                <wp:simplePos x="0" y="0"/>
                <wp:positionH relativeFrom="column">
                  <wp:posOffset>-66675</wp:posOffset>
                </wp:positionH>
                <wp:positionV relativeFrom="paragraph">
                  <wp:posOffset>6350</wp:posOffset>
                </wp:positionV>
                <wp:extent cx="914400" cy="693420"/>
                <wp:effectExtent l="0" t="0" r="0" b="0"/>
                <wp:wrapNone/>
                <wp:docPr id="138" name="文本框 138"/>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a:effectLst/>
                      </wps:spPr>
                      <wps:txbx>
                        <w:txbxContent>
                          <w:p w14:paraId="5F14F17F">
                            <w:pPr>
                              <w:spacing w:line="22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发包人不按规定支付工程款造成暂停施工的责任</w:t>
                            </w:r>
                          </w:p>
                        </w:txbxContent>
                      </wps:txbx>
                      <wps:bodyPr upright="1"/>
                    </wps:wsp>
                  </a:graphicData>
                </a:graphic>
              </wp:anchor>
            </w:drawing>
          </mc:Choice>
          <mc:Fallback>
            <w:pict>
              <v:shape id="_x0000_s1026" o:spid="_x0000_s1026" o:spt="202" type="#_x0000_t202" style="position:absolute;left:0pt;margin-left:-5.25pt;margin-top:0.5pt;height:54.6pt;width:72pt;z-index:251799552;mso-width-relative:page;mso-height-relative:page;" filled="f" stroked="f" coordsize="21600,21600" o:gfxdata="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i1Sze&#10;1AAAAAkBAAAPAAAAAAAAAAEAIAAAACIAAABkcnMvZG93bnJldi54bWxQSwECFAAUAAAACACHTuJA&#10;Bd7lu7MBAABfAwAADgAAAAAAAAABACAAAAAjAQAAZHJzL2Uyb0RvYy54bWxQSwUGAAAAAAYABgBZ&#10;AQAASAUAAAAA&#10;">
                <v:fill on="f" focussize="0,0"/>
                <v:stroke on="f"/>
                <v:imagedata o:title=""/>
                <o:lock v:ext="edit" aspectratio="f"/>
                <v:textbox>
                  <w:txbxContent>
                    <w:p w14:paraId="5F14F17F">
                      <w:pPr>
                        <w:spacing w:line="22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发包人不按规定支付工程款造成暂停施工的责任</w:t>
                      </w:r>
                    </w:p>
                  </w:txbxContent>
                </v:textbox>
              </v:shape>
            </w:pict>
          </mc:Fallback>
        </mc:AlternateContent>
      </w:r>
      <w:r>
        <w:rPr>
          <w:rFonts w:hint="eastAsia" w:hAnsi="宋体"/>
          <w:color w:val="auto"/>
          <w:sz w:val="24"/>
          <w:szCs w:val="18"/>
        </w:rPr>
        <w:t>如果发包人未按照合同约定支付工程进度款，经催告后在</w:t>
      </w:r>
      <w:r>
        <w:rPr>
          <w:rFonts w:hAnsi="宋体"/>
          <w:color w:val="auto"/>
          <w:sz w:val="24"/>
          <w:szCs w:val="18"/>
        </w:rPr>
        <w:t>28</w:t>
      </w:r>
      <w:r>
        <w:rPr>
          <w:rFonts w:hint="eastAsia" w:hAnsi="宋体"/>
          <w:color w:val="auto"/>
          <w:sz w:val="24"/>
          <w:szCs w:val="18"/>
        </w:rPr>
        <w:t>天内仍未支付的，承包人可以暂停施工，直至收到包括第</w:t>
      </w:r>
      <w:r>
        <w:rPr>
          <w:rFonts w:hAnsi="宋体"/>
          <w:color w:val="auto"/>
          <w:sz w:val="24"/>
          <w:szCs w:val="18"/>
        </w:rPr>
        <w:t>78.2</w:t>
      </w:r>
      <w:r>
        <w:rPr>
          <w:rFonts w:hint="eastAsia" w:hAnsi="宋体"/>
          <w:color w:val="auto"/>
          <w:sz w:val="24"/>
          <w:szCs w:val="18"/>
        </w:rPr>
        <w:t>款规定的应付利息在内的所欠全部款项。由此造成的暂停施工，视为是因发包人的原因引起的，并按照第</w:t>
      </w:r>
      <w:r>
        <w:rPr>
          <w:rFonts w:hAnsi="宋体"/>
          <w:color w:val="auto"/>
          <w:sz w:val="24"/>
          <w:szCs w:val="18"/>
        </w:rPr>
        <w:t>35.4</w:t>
      </w:r>
      <w:r>
        <w:rPr>
          <w:rFonts w:hint="eastAsia" w:hAnsi="宋体"/>
          <w:color w:val="auto"/>
          <w:sz w:val="24"/>
          <w:szCs w:val="18"/>
        </w:rPr>
        <w:t>款规定处理。</w:t>
      </w:r>
    </w:p>
    <w:p w14:paraId="6754F9AF">
      <w:pPr>
        <w:pStyle w:val="2"/>
        <w:tabs>
          <w:tab w:val="left" w:pos="1320"/>
        </w:tabs>
        <w:adjustRightInd w:val="0"/>
        <w:snapToGrid w:val="0"/>
        <w:spacing w:line="360" w:lineRule="auto"/>
        <w:rPr>
          <w:rFonts w:hAnsi="宋体"/>
          <w:b/>
          <w:color w:val="auto"/>
          <w:sz w:val="24"/>
          <w:szCs w:val="18"/>
        </w:rPr>
      </w:pPr>
      <w:r>
        <w:rPr>
          <w:rFonts w:hAnsi="宋体"/>
          <w:b/>
          <w:color w:val="auto"/>
          <w:sz w:val="24"/>
          <w:szCs w:val="18"/>
        </w:rPr>
        <w:t xml:space="preserve">35.6  </w:t>
      </w:r>
    </w:p>
    <w:p w14:paraId="524F5F0B">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1800576" behindDoc="0" locked="0" layoutInCell="1" allowOverlap="1">
                <wp:simplePos x="0" y="0"/>
                <wp:positionH relativeFrom="column">
                  <wp:posOffset>-114300</wp:posOffset>
                </wp:positionH>
                <wp:positionV relativeFrom="paragraph">
                  <wp:posOffset>635</wp:posOffset>
                </wp:positionV>
                <wp:extent cx="914400" cy="396240"/>
                <wp:effectExtent l="0" t="0" r="0" b="0"/>
                <wp:wrapNone/>
                <wp:docPr id="139" name="文本框 13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03712049">
                            <w:pPr>
                              <w:spacing w:line="22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暂停施工结束后的处理</w:t>
                            </w:r>
                          </w:p>
                        </w:txbxContent>
                      </wps:txbx>
                      <wps:bodyPr upright="1"/>
                    </wps:wsp>
                  </a:graphicData>
                </a:graphic>
              </wp:anchor>
            </w:drawing>
          </mc:Choice>
          <mc:Fallback>
            <w:pict>
              <v:shape id="_x0000_s1026" o:spid="_x0000_s1026" o:spt="202" type="#_x0000_t202" style="position:absolute;left:0pt;margin-left:-9pt;margin-top:0.05pt;height:31.2pt;width:72pt;z-index:251800576;mso-width-relative:page;mso-height-relative:page;" filled="f" stroked="f" coordsize="21600,21600" o:gfxdata="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BvS3T&#10;AAAABwEAAA8AAAAAAAAAAQAgAAAAIgAAAGRycy9kb3ducmV2LnhtbFBLAQIUABQAAAAIAIdO4kBy&#10;+fHuswEAAF8DAAAOAAAAAAAAAAEAIAAAACIBAABkcnMvZTJvRG9jLnhtbFBLBQYAAAAABgAGAFkB&#10;AABHBQAAAAA=&#10;">
                <v:fill on="f" focussize="0,0"/>
                <v:stroke on="f"/>
                <v:imagedata o:title=""/>
                <o:lock v:ext="edit" aspectratio="f"/>
                <v:textbox>
                  <w:txbxContent>
                    <w:p w14:paraId="03712049">
                      <w:pPr>
                        <w:spacing w:line="22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暂停施工结束后的处理</w:t>
                      </w:r>
                    </w:p>
                  </w:txbxContent>
                </v:textbox>
              </v:shape>
            </w:pict>
          </mc:Fallback>
        </mc:AlternateContent>
      </w:r>
      <w:r>
        <w:rPr>
          <w:rFonts w:hint="eastAsia" w:hAnsi="宋体"/>
          <w:color w:val="auto"/>
          <w:sz w:val="24"/>
          <w:szCs w:val="18"/>
        </w:rPr>
        <w:t>暂停施工结束后，承包人和监理工程师应对受暂停施工影响的工程、材料和工程设备进行检查。承包人负责修复在暂停期间发生的任何变质、缺陷或损坏，因而发生的费用和造成的损失按照第</w:t>
      </w:r>
      <w:r>
        <w:rPr>
          <w:rFonts w:hAnsi="宋体"/>
          <w:color w:val="auto"/>
          <w:sz w:val="24"/>
          <w:szCs w:val="18"/>
        </w:rPr>
        <w:t>35.4</w:t>
      </w:r>
      <w:r>
        <w:rPr>
          <w:rFonts w:hint="eastAsia" w:hAnsi="宋体"/>
          <w:color w:val="auto"/>
          <w:sz w:val="24"/>
          <w:szCs w:val="18"/>
        </w:rPr>
        <w:t>款规定处理。</w:t>
      </w:r>
    </w:p>
    <w:p w14:paraId="6AA6F27F">
      <w:pPr>
        <w:pStyle w:val="2"/>
        <w:adjustRightInd w:val="0"/>
        <w:snapToGrid w:val="0"/>
        <w:spacing w:line="360" w:lineRule="auto"/>
        <w:rPr>
          <w:rFonts w:hAnsi="宋体"/>
          <w:color w:val="auto"/>
          <w:sz w:val="24"/>
          <w:szCs w:val="18"/>
          <w:u w:val="single"/>
        </w:rPr>
      </w:pPr>
    </w:p>
    <w:p w14:paraId="6B066842">
      <w:pPr>
        <w:pStyle w:val="2"/>
        <w:adjustRightInd w:val="0"/>
        <w:snapToGrid w:val="0"/>
        <w:spacing w:line="360" w:lineRule="auto"/>
        <w:rPr>
          <w:rFonts w:hAnsi="宋体"/>
          <w:b/>
          <w:color w:val="auto"/>
          <w:sz w:val="30"/>
          <w:szCs w:val="24"/>
        </w:rPr>
      </w:pPr>
      <w:r>
        <w:rPr>
          <w:rFonts w:hAnsi="宋体"/>
          <w:b/>
          <w:color w:val="auto"/>
          <w:sz w:val="30"/>
          <w:szCs w:val="24"/>
        </w:rPr>
        <w:t xml:space="preserve">36  </w:t>
      </w:r>
      <w:r>
        <w:rPr>
          <w:rFonts w:hint="eastAsia" w:hAnsi="宋体"/>
          <w:b/>
          <w:color w:val="auto"/>
          <w:sz w:val="30"/>
          <w:szCs w:val="24"/>
        </w:rPr>
        <w:t>工期和工期延误</w:t>
      </w:r>
    </w:p>
    <w:p w14:paraId="1AD212F0">
      <w:pPr>
        <w:pStyle w:val="2"/>
        <w:adjustRightInd w:val="0"/>
        <w:snapToGrid w:val="0"/>
        <w:spacing w:line="360" w:lineRule="auto"/>
        <w:rPr>
          <w:rFonts w:hAnsi="宋体"/>
          <w:b/>
          <w:color w:val="auto"/>
          <w:sz w:val="24"/>
          <w:szCs w:val="18"/>
        </w:rPr>
      </w:pPr>
      <w:r>
        <w:rPr>
          <w:rFonts w:hAnsi="宋体"/>
          <w:b/>
          <w:color w:val="auto"/>
          <w:sz w:val="24"/>
          <w:szCs w:val="18"/>
        </w:rPr>
        <w:t xml:space="preserve">36.1     </w:t>
      </w:r>
    </w:p>
    <w:p w14:paraId="371DBD46">
      <w:pPr>
        <w:spacing w:line="360" w:lineRule="auto"/>
        <w:ind w:left="1619" w:leftChars="771"/>
        <w:rPr>
          <w:rFonts w:ascii="宋体"/>
          <w:color w:val="auto"/>
          <w:sz w:val="24"/>
          <w:szCs w:val="18"/>
        </w:rPr>
      </w:pPr>
      <w:r>
        <w:rPr>
          <w:color w:val="auto"/>
        </w:rPr>
        <mc:AlternateContent>
          <mc:Choice Requires="wps">
            <w:drawing>
              <wp:anchor distT="0" distB="0" distL="114300" distR="114300" simplePos="0" relativeHeight="251801600" behindDoc="0" locked="0" layoutInCell="1" allowOverlap="1">
                <wp:simplePos x="0" y="0"/>
                <wp:positionH relativeFrom="column">
                  <wp:posOffset>-114300</wp:posOffset>
                </wp:positionH>
                <wp:positionV relativeFrom="paragraph">
                  <wp:posOffset>393700</wp:posOffset>
                </wp:positionV>
                <wp:extent cx="977900" cy="335915"/>
                <wp:effectExtent l="0" t="0" r="0" b="0"/>
                <wp:wrapNone/>
                <wp:docPr id="140" name="文本框 140"/>
                <wp:cNvGraphicFramePr/>
                <a:graphic xmlns:a="http://schemas.openxmlformats.org/drawingml/2006/main">
                  <a:graphicData uri="http://schemas.microsoft.com/office/word/2010/wordprocessingShape">
                    <wps:wsp>
                      <wps:cNvSpPr txBox="1"/>
                      <wps:spPr>
                        <a:xfrm>
                          <a:off x="0" y="0"/>
                          <a:ext cx="977900" cy="335915"/>
                        </a:xfrm>
                        <a:prstGeom prst="rect">
                          <a:avLst/>
                        </a:prstGeom>
                        <a:noFill/>
                        <a:ln>
                          <a:noFill/>
                        </a:ln>
                        <a:effectLst/>
                      </wps:spPr>
                      <wps:txbx>
                        <w:txbxContent>
                          <w:p w14:paraId="436656BA">
                            <w:pPr>
                              <w:rPr>
                                <w:szCs w:val="18"/>
                              </w:rPr>
                            </w:pPr>
                          </w:p>
                        </w:txbxContent>
                      </wps:txbx>
                      <wps:bodyPr upright="1"/>
                    </wps:wsp>
                  </a:graphicData>
                </a:graphic>
              </wp:anchor>
            </w:drawing>
          </mc:Choice>
          <mc:Fallback>
            <w:pict>
              <v:shape id="_x0000_s1026" o:spid="_x0000_s1026" o:spt="202" type="#_x0000_t202" style="position:absolute;left:0pt;margin-left:-9pt;margin-top:31pt;height:26.45pt;width:77pt;z-index:251801600;mso-width-relative:page;mso-height-relative:page;" filled="f" stroked="f" coordsize="21600,21600" o:gfxdata="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Jl/&#10;3ojXAAAACgEAAA8AAAAAAAAAAQAgAAAAIgAAAGRycy9kb3ducmV2LnhtbFBLAQIUABQAAAAIAIdO&#10;4kCUEFDtsgEAAF8DAAAOAAAAAAAAAAEAIAAAACYBAABkcnMvZTJvRG9jLnhtbFBLBQYAAAAABgAG&#10;AFkBAABKBQAAAAA=&#10;">
                <v:fill on="f" focussize="0,0"/>
                <v:stroke on="f"/>
                <v:imagedata o:title=""/>
                <o:lock v:ext="edit" aspectratio="f"/>
                <v:textbox>
                  <w:txbxContent>
                    <w:p w14:paraId="436656BA">
                      <w:pPr>
                        <w:rPr>
                          <w:szCs w:val="18"/>
                        </w:rPr>
                      </w:pPr>
                    </w:p>
                  </w:txbxContent>
                </v:textbox>
              </v:shape>
            </w:pict>
          </mc:Fallback>
        </mc:AlternateContent>
      </w:r>
      <w:r>
        <w:rPr>
          <w:color w:val="auto"/>
        </w:rPr>
        <mc:AlternateContent>
          <mc:Choice Requires="wps">
            <w:drawing>
              <wp:anchor distT="0" distB="0" distL="114300" distR="114300" simplePos="0" relativeHeight="251802624" behindDoc="0" locked="0" layoutInCell="1" allowOverlap="1">
                <wp:simplePos x="0" y="0"/>
                <wp:positionH relativeFrom="column">
                  <wp:posOffset>-114300</wp:posOffset>
                </wp:positionH>
                <wp:positionV relativeFrom="paragraph">
                  <wp:posOffset>31750</wp:posOffset>
                </wp:positionV>
                <wp:extent cx="800100" cy="459740"/>
                <wp:effectExtent l="0" t="0" r="0" b="0"/>
                <wp:wrapNone/>
                <wp:docPr id="141" name="文本框 141"/>
                <wp:cNvGraphicFramePr/>
                <a:graphic xmlns:a="http://schemas.openxmlformats.org/drawingml/2006/main">
                  <a:graphicData uri="http://schemas.microsoft.com/office/word/2010/wordprocessingShape">
                    <wps:wsp>
                      <wps:cNvSpPr txBox="1"/>
                      <wps:spPr>
                        <a:xfrm>
                          <a:off x="0" y="0"/>
                          <a:ext cx="800100" cy="459740"/>
                        </a:xfrm>
                        <a:prstGeom prst="rect">
                          <a:avLst/>
                        </a:prstGeom>
                        <a:noFill/>
                        <a:ln>
                          <a:noFill/>
                        </a:ln>
                        <a:effectLst/>
                      </wps:spPr>
                      <wps:txbx>
                        <w:txbxContent>
                          <w:p w14:paraId="1C9B2D97">
                            <w:pPr>
                              <w:rPr>
                                <w:rFonts w:ascii="楷体_GB2312" w:hAnsi="宋体" w:eastAsia="楷体_GB2312"/>
                                <w:b/>
                                <w:color w:val="000000"/>
                                <w:sz w:val="18"/>
                                <w:szCs w:val="18"/>
                              </w:rPr>
                            </w:pPr>
                            <w:r>
                              <w:rPr>
                                <w:rFonts w:hint="eastAsia" w:ascii="楷体_GB2312" w:hAnsi="宋体" w:eastAsia="楷体_GB2312"/>
                                <w:b/>
                                <w:color w:val="000000"/>
                                <w:sz w:val="18"/>
                                <w:szCs w:val="18"/>
                              </w:rPr>
                              <w:t>工期计算</w:t>
                            </w:r>
                          </w:p>
                        </w:txbxContent>
                      </wps:txbx>
                      <wps:bodyPr upright="1"/>
                    </wps:wsp>
                  </a:graphicData>
                </a:graphic>
              </wp:anchor>
            </w:drawing>
          </mc:Choice>
          <mc:Fallback>
            <w:pict>
              <v:shape id="_x0000_s1026" o:spid="_x0000_s1026" o:spt="202" type="#_x0000_t202" style="position:absolute;left:0pt;margin-left:-9pt;margin-top:2.5pt;height:36.2pt;width:63pt;z-index:251802624;mso-width-relative:page;mso-height-relative:page;" filled="f" stroked="f" coordsize="21600,21600" o:gfxdata="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cgpiDV&#10;AAAACAEAAA8AAAAAAAAAAQAgAAAAIgAAAGRycy9kb3ducmV2LnhtbFBLAQIUABQAAAAIAIdO4kCv&#10;av0BsQEAAF8DAAAOAAAAAAAAAAEAIAAAACQBAABkcnMvZTJvRG9jLnhtbFBLBQYAAAAABgAGAFkB&#10;AABHBQAAAAA=&#10;">
                <v:fill on="f" focussize="0,0"/>
                <v:stroke on="f"/>
                <v:imagedata o:title=""/>
                <o:lock v:ext="edit" aspectratio="f"/>
                <v:textbox>
                  <w:txbxContent>
                    <w:p w14:paraId="1C9B2D97">
                      <w:pPr>
                        <w:rPr>
                          <w:rFonts w:ascii="楷体_GB2312" w:hAnsi="宋体" w:eastAsia="楷体_GB2312"/>
                          <w:b/>
                          <w:color w:val="000000"/>
                          <w:sz w:val="18"/>
                          <w:szCs w:val="18"/>
                        </w:rPr>
                      </w:pPr>
                      <w:r>
                        <w:rPr>
                          <w:rFonts w:hint="eastAsia" w:ascii="楷体_GB2312" w:hAnsi="宋体" w:eastAsia="楷体_GB2312"/>
                          <w:b/>
                          <w:color w:val="000000"/>
                          <w:sz w:val="18"/>
                          <w:szCs w:val="18"/>
                        </w:rPr>
                        <w:t>工期计算</w:t>
                      </w:r>
                    </w:p>
                  </w:txbxContent>
                </v:textbox>
              </v:shape>
            </w:pict>
          </mc:Fallback>
        </mc:AlternateContent>
      </w:r>
      <w:r>
        <w:rPr>
          <w:rFonts w:hint="eastAsia" w:ascii="宋体" w:hAnsi="宋体"/>
          <w:color w:val="auto"/>
          <w:sz w:val="24"/>
          <w:szCs w:val="18"/>
        </w:rPr>
        <w:t>合同工程的工期，由合同双方当事人根据《广东省建筑安装工程工期定额》等有关规定，结合合同工程拟实施的施工组织设计或施工方案等情况予以确定，并在合同中约定。</w:t>
      </w:r>
    </w:p>
    <w:p w14:paraId="0DA11FB9">
      <w:pPr>
        <w:spacing w:line="360" w:lineRule="auto"/>
        <w:ind w:left="1619" w:leftChars="771"/>
        <w:rPr>
          <w:rFonts w:ascii="宋体"/>
          <w:color w:val="auto"/>
          <w:sz w:val="24"/>
          <w:szCs w:val="18"/>
        </w:rPr>
      </w:pPr>
      <w:r>
        <w:rPr>
          <w:rFonts w:hint="eastAsia" w:ascii="宋体" w:hAnsi="宋体"/>
          <w:color w:val="auto"/>
          <w:sz w:val="24"/>
          <w:szCs w:val="18"/>
        </w:rPr>
        <w:t>禁止合同双方当事人随意压缩工期。</w:t>
      </w:r>
    </w:p>
    <w:p w14:paraId="5C653A52">
      <w:pPr>
        <w:pStyle w:val="2"/>
        <w:adjustRightInd w:val="0"/>
        <w:snapToGrid w:val="0"/>
        <w:spacing w:line="360" w:lineRule="auto"/>
        <w:rPr>
          <w:rFonts w:hAnsi="宋体"/>
          <w:color w:val="auto"/>
          <w:sz w:val="24"/>
          <w:szCs w:val="18"/>
        </w:rPr>
      </w:pPr>
      <w:r>
        <w:rPr>
          <w:rFonts w:hAnsi="宋体"/>
          <w:b/>
          <w:color w:val="auto"/>
          <w:sz w:val="24"/>
          <w:szCs w:val="18"/>
        </w:rPr>
        <w:t xml:space="preserve">36.2 </w:t>
      </w:r>
    </w:p>
    <w:p w14:paraId="794F7490">
      <w:pPr>
        <w:pStyle w:val="2"/>
        <w:adjustRightInd w:val="0"/>
        <w:snapToGrid w:val="0"/>
        <w:spacing w:line="360" w:lineRule="auto"/>
        <w:ind w:left="1669" w:leftChars="771" w:hanging="50" w:hangingChars="25"/>
        <w:rPr>
          <w:rFonts w:hAnsi="宋体"/>
          <w:color w:val="auto"/>
          <w:sz w:val="24"/>
          <w:szCs w:val="18"/>
        </w:rPr>
      </w:pPr>
      <w:r>
        <w:rPr>
          <w:color w:val="auto"/>
        </w:rPr>
        <mc:AlternateContent>
          <mc:Choice Requires="wps">
            <w:drawing>
              <wp:anchor distT="0" distB="0" distL="114300" distR="114300" simplePos="0" relativeHeight="251803648" behindDoc="0" locked="0" layoutInCell="1" allowOverlap="1">
                <wp:simplePos x="0" y="0"/>
                <wp:positionH relativeFrom="column">
                  <wp:posOffset>-114300</wp:posOffset>
                </wp:positionH>
                <wp:positionV relativeFrom="paragraph">
                  <wp:posOffset>31750</wp:posOffset>
                </wp:positionV>
                <wp:extent cx="800100" cy="459740"/>
                <wp:effectExtent l="0" t="0" r="0" b="0"/>
                <wp:wrapNone/>
                <wp:docPr id="142" name="文本框 142"/>
                <wp:cNvGraphicFramePr/>
                <a:graphic xmlns:a="http://schemas.openxmlformats.org/drawingml/2006/main">
                  <a:graphicData uri="http://schemas.microsoft.com/office/word/2010/wordprocessingShape">
                    <wps:wsp>
                      <wps:cNvSpPr txBox="1"/>
                      <wps:spPr>
                        <a:xfrm>
                          <a:off x="0" y="0"/>
                          <a:ext cx="800100" cy="459740"/>
                        </a:xfrm>
                        <a:prstGeom prst="rect">
                          <a:avLst/>
                        </a:prstGeom>
                        <a:noFill/>
                        <a:ln>
                          <a:noFill/>
                        </a:ln>
                        <a:effectLst/>
                      </wps:spPr>
                      <wps:txbx>
                        <w:txbxContent>
                          <w:p w14:paraId="66F1F3A6">
                            <w:pPr>
                              <w:rPr>
                                <w:rFonts w:ascii="楷体_GB2312" w:hAnsi="宋体" w:eastAsia="楷体_GB2312"/>
                                <w:b/>
                                <w:color w:val="000000"/>
                                <w:sz w:val="18"/>
                                <w:szCs w:val="18"/>
                              </w:rPr>
                            </w:pPr>
                            <w:r>
                              <w:rPr>
                                <w:rFonts w:hint="eastAsia" w:ascii="楷体_GB2312" w:hAnsi="宋体" w:eastAsia="楷体_GB2312"/>
                                <w:b/>
                                <w:color w:val="000000"/>
                                <w:sz w:val="18"/>
                                <w:szCs w:val="18"/>
                              </w:rPr>
                              <w:t>工期约定的要求</w:t>
                            </w:r>
                          </w:p>
                        </w:txbxContent>
                      </wps:txbx>
                      <wps:bodyPr upright="1"/>
                    </wps:wsp>
                  </a:graphicData>
                </a:graphic>
              </wp:anchor>
            </w:drawing>
          </mc:Choice>
          <mc:Fallback>
            <w:pict>
              <v:shape id="_x0000_s1026" o:spid="_x0000_s1026" o:spt="202" type="#_x0000_t202" style="position:absolute;left:0pt;margin-left:-9pt;margin-top:2.5pt;height:36.2pt;width:63pt;z-index:251803648;mso-width-relative:page;mso-height-relative:page;" filled="f" stroked="f" coordsize="21600,21600" o:gfxdata="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cgpiDV&#10;AAAACAEAAA8AAAAAAAAAAQAgAAAAIgAAAGRycy9kb3ducmV2LnhtbFBLAQIUABQAAAAIAIdO4kBP&#10;ZNElsQEAAF8DAAAOAAAAAAAAAAEAIAAAACQBAABkcnMvZTJvRG9jLnhtbFBLBQYAAAAABgAGAFkB&#10;AABHBQAAAAA=&#10;">
                <v:fill on="f" focussize="0,0"/>
                <v:stroke on="f"/>
                <v:imagedata o:title=""/>
                <o:lock v:ext="edit" aspectratio="f"/>
                <v:textbox>
                  <w:txbxContent>
                    <w:p w14:paraId="66F1F3A6">
                      <w:pPr>
                        <w:rPr>
                          <w:rFonts w:ascii="楷体_GB2312" w:hAnsi="宋体" w:eastAsia="楷体_GB2312"/>
                          <w:b/>
                          <w:color w:val="000000"/>
                          <w:sz w:val="18"/>
                          <w:szCs w:val="18"/>
                        </w:rPr>
                      </w:pPr>
                      <w:r>
                        <w:rPr>
                          <w:rFonts w:hint="eastAsia" w:ascii="楷体_GB2312" w:hAnsi="宋体" w:eastAsia="楷体_GB2312"/>
                          <w:b/>
                          <w:color w:val="000000"/>
                          <w:sz w:val="18"/>
                          <w:szCs w:val="18"/>
                        </w:rPr>
                        <w:t>工期约定的要求</w:t>
                      </w:r>
                    </w:p>
                  </w:txbxContent>
                </v:textbox>
              </v:shape>
            </w:pict>
          </mc:Fallback>
        </mc:AlternateContent>
      </w:r>
      <w:r>
        <w:rPr>
          <w:rFonts w:hint="eastAsia" w:hAnsi="宋体"/>
          <w:color w:val="auto"/>
          <w:sz w:val="24"/>
          <w:szCs w:val="18"/>
        </w:rPr>
        <w:t>合同双方当事人应在专用条款中约定合同工程的工期，工期从开工日期开始计算。合同中包括有多个单位工程的，应在专用条款中约定各单位工程的工期。</w:t>
      </w:r>
    </w:p>
    <w:p w14:paraId="59018D2F">
      <w:pPr>
        <w:pStyle w:val="2"/>
        <w:adjustRightInd w:val="0"/>
        <w:snapToGrid w:val="0"/>
        <w:spacing w:line="360" w:lineRule="auto"/>
        <w:ind w:right="-2"/>
        <w:rPr>
          <w:rFonts w:hAnsi="宋体"/>
          <w:b/>
          <w:color w:val="auto"/>
          <w:sz w:val="24"/>
          <w:szCs w:val="18"/>
        </w:rPr>
      </w:pPr>
      <w:r>
        <w:rPr>
          <w:rFonts w:hAnsi="宋体"/>
          <w:b/>
          <w:color w:val="auto"/>
          <w:sz w:val="24"/>
          <w:szCs w:val="18"/>
        </w:rPr>
        <w:t xml:space="preserve">36.3  </w:t>
      </w:r>
    </w:p>
    <w:p w14:paraId="0FFD41B1">
      <w:pPr>
        <w:spacing w:line="360" w:lineRule="auto"/>
        <w:ind w:left="1619" w:leftChars="771"/>
        <w:rPr>
          <w:rFonts w:ascii="宋体"/>
          <w:color w:val="auto"/>
          <w:sz w:val="24"/>
          <w:szCs w:val="18"/>
        </w:rPr>
      </w:pPr>
      <w:r>
        <w:rPr>
          <w:color w:val="auto"/>
        </w:rPr>
        <mc:AlternateContent>
          <mc:Choice Requires="wps">
            <w:drawing>
              <wp:anchor distT="0" distB="0" distL="114300" distR="114300" simplePos="0" relativeHeight="251804672" behindDoc="0" locked="0" layoutInCell="1" allowOverlap="1">
                <wp:simplePos x="0" y="0"/>
                <wp:positionH relativeFrom="column">
                  <wp:posOffset>-114300</wp:posOffset>
                </wp:positionH>
                <wp:positionV relativeFrom="paragraph">
                  <wp:posOffset>16510</wp:posOffset>
                </wp:positionV>
                <wp:extent cx="800100" cy="261620"/>
                <wp:effectExtent l="0" t="0" r="0" b="0"/>
                <wp:wrapNone/>
                <wp:docPr id="143" name="文本框 143"/>
                <wp:cNvGraphicFramePr/>
                <a:graphic xmlns:a="http://schemas.openxmlformats.org/drawingml/2006/main">
                  <a:graphicData uri="http://schemas.microsoft.com/office/word/2010/wordprocessingShape">
                    <wps:wsp>
                      <wps:cNvSpPr txBox="1"/>
                      <wps:spPr>
                        <a:xfrm>
                          <a:off x="0" y="0"/>
                          <a:ext cx="800100" cy="261620"/>
                        </a:xfrm>
                        <a:prstGeom prst="rect">
                          <a:avLst/>
                        </a:prstGeom>
                        <a:noFill/>
                        <a:ln>
                          <a:noFill/>
                        </a:ln>
                        <a:effectLst/>
                      </wps:spPr>
                      <wps:txbx>
                        <w:txbxContent>
                          <w:p w14:paraId="2B6E0B7E">
                            <w:pPr>
                              <w:rPr>
                                <w:rFonts w:ascii="楷体_GB2312" w:hAnsi="宋体" w:eastAsia="楷体_GB2312"/>
                                <w:b/>
                                <w:color w:val="000000"/>
                                <w:sz w:val="18"/>
                                <w:szCs w:val="18"/>
                              </w:rPr>
                            </w:pPr>
                            <w:r>
                              <w:rPr>
                                <w:rFonts w:hint="eastAsia" w:ascii="楷体_GB2312" w:hAnsi="宋体" w:eastAsia="楷体_GB2312"/>
                                <w:b/>
                                <w:color w:val="000000"/>
                                <w:sz w:val="18"/>
                                <w:szCs w:val="18"/>
                              </w:rPr>
                              <w:t>工期顺延</w:t>
                            </w:r>
                          </w:p>
                        </w:txbxContent>
                      </wps:txbx>
                      <wps:bodyPr upright="1"/>
                    </wps:wsp>
                  </a:graphicData>
                </a:graphic>
              </wp:anchor>
            </w:drawing>
          </mc:Choice>
          <mc:Fallback>
            <w:pict>
              <v:shape id="_x0000_s1026" o:spid="_x0000_s1026" o:spt="202" type="#_x0000_t202" style="position:absolute;left:0pt;margin-left:-9pt;margin-top:1.3pt;height:20.6pt;width:63pt;z-index:251804672;mso-width-relative:page;mso-height-relative:page;" filled="f" stroked="f" coordsize="21600,21600" o:gfxdata="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nHbgjV&#10;AAAACAEAAA8AAAAAAAAAAQAgAAAAIgAAAGRycy9kb3ducmV2LnhtbFBLAQIUABQAAAAIAIdO4kBe&#10;wjqGsQEAAF8DAAAOAAAAAAAAAAEAIAAAACQBAABkcnMvZTJvRG9jLnhtbFBLBQYAAAAABgAGAFkB&#10;AABHBQAAAAA=&#10;">
                <v:fill on="f" focussize="0,0"/>
                <v:stroke on="f"/>
                <v:imagedata o:title=""/>
                <o:lock v:ext="edit" aspectratio="f"/>
                <v:textbox>
                  <w:txbxContent>
                    <w:p w14:paraId="2B6E0B7E">
                      <w:pPr>
                        <w:rPr>
                          <w:rFonts w:ascii="楷体_GB2312" w:hAnsi="宋体" w:eastAsia="楷体_GB2312"/>
                          <w:b/>
                          <w:color w:val="000000"/>
                          <w:sz w:val="18"/>
                          <w:szCs w:val="18"/>
                        </w:rPr>
                      </w:pPr>
                      <w:r>
                        <w:rPr>
                          <w:rFonts w:hint="eastAsia" w:ascii="楷体_GB2312" w:hAnsi="宋体" w:eastAsia="楷体_GB2312"/>
                          <w:b/>
                          <w:color w:val="000000"/>
                          <w:sz w:val="18"/>
                          <w:szCs w:val="18"/>
                        </w:rPr>
                        <w:t>工期顺延</w:t>
                      </w:r>
                    </w:p>
                  </w:txbxContent>
                </v:textbox>
              </v:shape>
            </w:pict>
          </mc:Fallback>
        </mc:AlternateContent>
      </w:r>
      <w:r>
        <w:rPr>
          <w:rFonts w:hint="eastAsia" w:ascii="宋体" w:hAnsi="宋体"/>
          <w:color w:val="auto"/>
          <w:sz w:val="24"/>
          <w:szCs w:val="18"/>
        </w:rPr>
        <w:t>合同履行期间，由于下列原因造成工期延误的，承包人有权要求发包人增加由此发生的费用和（或）顺延工期，并支付合理利润。本款发生顺延的工期，由承包人提出，经监理工程师核实后由合同双方当事人协商确定；协商不能达成一致的，由监理工程师暂定，通知承包人并抄报发包人。构成争议的，由合同双方当事人按照第</w:t>
      </w:r>
      <w:r>
        <w:rPr>
          <w:rFonts w:ascii="宋体" w:hAnsi="宋体"/>
          <w:color w:val="auto"/>
          <w:sz w:val="24"/>
          <w:szCs w:val="18"/>
        </w:rPr>
        <w:t>86</w:t>
      </w:r>
      <w:r>
        <w:rPr>
          <w:rFonts w:hint="eastAsia" w:ascii="宋体" w:hAnsi="宋体"/>
          <w:color w:val="auto"/>
          <w:sz w:val="24"/>
          <w:szCs w:val="18"/>
        </w:rPr>
        <w:t>条规定处理。</w:t>
      </w:r>
    </w:p>
    <w:p w14:paraId="39ADFCB5">
      <w:pPr>
        <w:pStyle w:val="2"/>
        <w:adjustRightInd w:val="0"/>
        <w:snapToGrid w:val="0"/>
        <w:spacing w:line="360" w:lineRule="auto"/>
        <w:ind w:left="2339" w:leftChars="771" w:hanging="720" w:hangingChars="300"/>
        <w:rPr>
          <w:rFonts w:hAnsi="宋体"/>
          <w:color w:val="auto"/>
          <w:sz w:val="24"/>
          <w:szCs w:val="18"/>
        </w:rPr>
      </w:pPr>
      <w:r>
        <w:rPr>
          <w:rFonts w:hint="eastAsia" w:hAnsi="宋体"/>
          <w:color w:val="auto"/>
          <w:sz w:val="24"/>
          <w:szCs w:val="18"/>
        </w:rPr>
        <w:t>（</w:t>
      </w:r>
      <w:r>
        <w:rPr>
          <w:rFonts w:hAnsi="宋体"/>
          <w:color w:val="auto"/>
          <w:sz w:val="24"/>
          <w:szCs w:val="18"/>
        </w:rPr>
        <w:t>1</w:t>
      </w:r>
      <w:r>
        <w:rPr>
          <w:rFonts w:hint="eastAsia" w:hAnsi="宋体"/>
          <w:color w:val="auto"/>
          <w:sz w:val="24"/>
          <w:szCs w:val="18"/>
        </w:rPr>
        <w:t>）发包人未能按照专用条款的约定提供施工设计图纸及其它开工条件；（</w:t>
      </w:r>
      <w:r>
        <w:rPr>
          <w:rFonts w:hAnsi="宋体"/>
          <w:color w:val="auto"/>
          <w:sz w:val="24"/>
          <w:szCs w:val="18"/>
        </w:rPr>
        <w:t>2</w:t>
      </w:r>
      <w:r>
        <w:rPr>
          <w:rFonts w:hint="eastAsia" w:hAnsi="宋体"/>
          <w:color w:val="auto"/>
          <w:sz w:val="24"/>
          <w:szCs w:val="18"/>
        </w:rPr>
        <w:t>）发包人未能按照专用条款约定的时间支付工程预付款、安全文明施工费和进度款；</w:t>
      </w:r>
    </w:p>
    <w:p w14:paraId="5A7217BE">
      <w:pPr>
        <w:pStyle w:val="2"/>
        <w:adjustRightInd w:val="0"/>
        <w:snapToGrid w:val="0"/>
        <w:spacing w:line="360" w:lineRule="auto"/>
        <w:ind w:left="2339" w:leftChars="771" w:hanging="720" w:hangingChars="300"/>
        <w:rPr>
          <w:rFonts w:hAnsi="宋体"/>
          <w:color w:val="auto"/>
          <w:sz w:val="24"/>
          <w:szCs w:val="18"/>
        </w:rPr>
      </w:pPr>
      <w:r>
        <w:rPr>
          <w:rFonts w:hint="eastAsia" w:hAnsi="宋体"/>
          <w:color w:val="auto"/>
          <w:sz w:val="24"/>
          <w:szCs w:val="18"/>
        </w:rPr>
        <w:t>（</w:t>
      </w:r>
      <w:r>
        <w:rPr>
          <w:rFonts w:hAnsi="宋体"/>
          <w:color w:val="auto"/>
          <w:sz w:val="24"/>
          <w:szCs w:val="18"/>
        </w:rPr>
        <w:t>3</w:t>
      </w:r>
      <w:r>
        <w:rPr>
          <w:rFonts w:hint="eastAsia" w:hAnsi="宋体"/>
          <w:color w:val="auto"/>
          <w:sz w:val="24"/>
          <w:szCs w:val="18"/>
        </w:rPr>
        <w:t>）发包人代表或施工现场发包人雇用的其他人员造成的人为因素；</w:t>
      </w:r>
    </w:p>
    <w:p w14:paraId="40B943ED">
      <w:pPr>
        <w:pStyle w:val="2"/>
        <w:adjustRightInd w:val="0"/>
        <w:snapToGrid w:val="0"/>
        <w:spacing w:line="360" w:lineRule="auto"/>
        <w:ind w:left="2339" w:leftChars="771" w:hanging="720" w:hangingChars="300"/>
        <w:rPr>
          <w:rFonts w:hAnsi="宋体"/>
          <w:color w:val="auto"/>
          <w:sz w:val="24"/>
          <w:szCs w:val="18"/>
        </w:rPr>
      </w:pPr>
      <w:r>
        <w:rPr>
          <w:rFonts w:hint="eastAsia" w:hAnsi="宋体"/>
          <w:color w:val="auto"/>
          <w:sz w:val="24"/>
          <w:szCs w:val="18"/>
        </w:rPr>
        <w:t>（</w:t>
      </w:r>
      <w:r>
        <w:rPr>
          <w:rFonts w:hAnsi="宋体"/>
          <w:color w:val="auto"/>
          <w:sz w:val="24"/>
          <w:szCs w:val="18"/>
        </w:rPr>
        <w:t>4</w:t>
      </w:r>
      <w:r>
        <w:rPr>
          <w:rFonts w:hint="eastAsia" w:hAnsi="宋体"/>
          <w:color w:val="auto"/>
          <w:sz w:val="24"/>
          <w:szCs w:val="18"/>
        </w:rPr>
        <w:t>）监理工程师未按照合同约定及时提供所需指令、回复等；</w:t>
      </w:r>
    </w:p>
    <w:p w14:paraId="2C7D8A1B">
      <w:pPr>
        <w:pStyle w:val="2"/>
        <w:adjustRightInd w:val="0"/>
        <w:snapToGrid w:val="0"/>
        <w:spacing w:line="360" w:lineRule="auto"/>
        <w:ind w:left="1619" w:leftChars="771"/>
        <w:rPr>
          <w:rFonts w:hAnsi="宋体"/>
          <w:color w:val="auto"/>
          <w:sz w:val="24"/>
          <w:szCs w:val="18"/>
        </w:rPr>
      </w:pPr>
      <w:r>
        <w:rPr>
          <w:rFonts w:hint="eastAsia" w:hAnsi="宋体"/>
          <w:color w:val="auto"/>
          <w:sz w:val="24"/>
          <w:szCs w:val="18"/>
        </w:rPr>
        <w:t>（</w:t>
      </w:r>
      <w:r>
        <w:rPr>
          <w:rFonts w:hAnsi="宋体"/>
          <w:color w:val="auto"/>
          <w:sz w:val="24"/>
          <w:szCs w:val="18"/>
        </w:rPr>
        <w:t>5</w:t>
      </w:r>
      <w:r>
        <w:rPr>
          <w:rFonts w:hint="eastAsia" w:hAnsi="宋体"/>
          <w:color w:val="auto"/>
          <w:sz w:val="24"/>
          <w:szCs w:val="18"/>
        </w:rPr>
        <w:t>）工程变更（含增加合同工作内容、改变合同的任何一项工作等）；</w:t>
      </w:r>
    </w:p>
    <w:p w14:paraId="443E753E">
      <w:pPr>
        <w:pStyle w:val="2"/>
        <w:adjustRightInd w:val="0"/>
        <w:snapToGrid w:val="0"/>
        <w:spacing w:line="360" w:lineRule="auto"/>
        <w:ind w:left="1619" w:leftChars="771"/>
        <w:rPr>
          <w:rFonts w:hAnsi="宋体"/>
          <w:color w:val="auto"/>
          <w:sz w:val="24"/>
          <w:szCs w:val="18"/>
        </w:rPr>
      </w:pPr>
      <w:r>
        <w:rPr>
          <w:rFonts w:hint="eastAsia" w:hAnsi="宋体"/>
          <w:color w:val="auto"/>
          <w:sz w:val="24"/>
          <w:szCs w:val="18"/>
        </w:rPr>
        <w:t>（</w:t>
      </w:r>
      <w:r>
        <w:rPr>
          <w:rFonts w:hAnsi="宋体"/>
          <w:color w:val="auto"/>
          <w:sz w:val="24"/>
          <w:szCs w:val="18"/>
        </w:rPr>
        <w:t>6</w:t>
      </w:r>
      <w:r>
        <w:rPr>
          <w:rFonts w:hint="eastAsia" w:hAnsi="宋体"/>
          <w:color w:val="auto"/>
          <w:sz w:val="24"/>
          <w:szCs w:val="18"/>
        </w:rPr>
        <w:t>）工程量增加；</w:t>
      </w:r>
    </w:p>
    <w:p w14:paraId="6EF21406">
      <w:pPr>
        <w:pStyle w:val="2"/>
        <w:adjustRightInd w:val="0"/>
        <w:snapToGrid w:val="0"/>
        <w:spacing w:line="360" w:lineRule="auto"/>
        <w:ind w:left="1619" w:leftChars="771"/>
        <w:rPr>
          <w:rFonts w:hAnsi="宋体"/>
          <w:color w:val="auto"/>
          <w:sz w:val="24"/>
          <w:szCs w:val="18"/>
        </w:rPr>
      </w:pPr>
      <w:r>
        <w:rPr>
          <w:rFonts w:hint="eastAsia" w:hAnsi="宋体"/>
          <w:color w:val="auto"/>
          <w:sz w:val="24"/>
          <w:szCs w:val="18"/>
        </w:rPr>
        <w:t>（</w:t>
      </w:r>
      <w:r>
        <w:rPr>
          <w:rFonts w:hAnsi="宋体"/>
          <w:color w:val="auto"/>
          <w:sz w:val="24"/>
          <w:szCs w:val="18"/>
        </w:rPr>
        <w:t>7</w:t>
      </w:r>
      <w:r>
        <w:rPr>
          <w:rFonts w:hint="eastAsia" w:hAnsi="宋体"/>
          <w:color w:val="auto"/>
          <w:sz w:val="24"/>
          <w:szCs w:val="18"/>
        </w:rPr>
        <w:t>）一周内非承包人原因停水、停电、停气造成停工累计超过</w:t>
      </w:r>
      <w:r>
        <w:rPr>
          <w:rFonts w:hAnsi="宋体"/>
          <w:color w:val="auto"/>
          <w:sz w:val="24"/>
          <w:szCs w:val="18"/>
        </w:rPr>
        <w:t>8</w:t>
      </w:r>
      <w:r>
        <w:rPr>
          <w:rFonts w:hint="eastAsia" w:hAnsi="宋体"/>
          <w:color w:val="auto"/>
          <w:sz w:val="24"/>
          <w:szCs w:val="18"/>
        </w:rPr>
        <w:t>小时；</w:t>
      </w:r>
    </w:p>
    <w:p w14:paraId="12C2F7B0">
      <w:pPr>
        <w:pStyle w:val="2"/>
        <w:adjustRightInd w:val="0"/>
        <w:snapToGrid w:val="0"/>
        <w:spacing w:line="360" w:lineRule="auto"/>
        <w:ind w:left="1619" w:leftChars="771"/>
        <w:rPr>
          <w:rFonts w:hAnsi="宋体"/>
          <w:color w:val="auto"/>
          <w:sz w:val="24"/>
          <w:szCs w:val="18"/>
        </w:rPr>
      </w:pPr>
      <w:r>
        <w:rPr>
          <w:rFonts w:hint="eastAsia" w:hAnsi="宋体"/>
          <w:color w:val="auto"/>
          <w:sz w:val="24"/>
          <w:szCs w:val="18"/>
        </w:rPr>
        <w:t>（</w:t>
      </w:r>
      <w:r>
        <w:rPr>
          <w:rFonts w:hAnsi="宋体"/>
          <w:color w:val="auto"/>
          <w:sz w:val="24"/>
          <w:szCs w:val="18"/>
        </w:rPr>
        <w:t>8</w:t>
      </w:r>
      <w:r>
        <w:rPr>
          <w:rFonts w:hint="eastAsia" w:hAnsi="宋体"/>
          <w:color w:val="auto"/>
          <w:sz w:val="24"/>
          <w:szCs w:val="18"/>
        </w:rPr>
        <w:t>）不可抗力；</w:t>
      </w:r>
    </w:p>
    <w:p w14:paraId="01CAD141">
      <w:pPr>
        <w:pStyle w:val="2"/>
        <w:adjustRightInd w:val="0"/>
        <w:snapToGrid w:val="0"/>
        <w:spacing w:line="360" w:lineRule="auto"/>
        <w:ind w:left="1619" w:leftChars="771"/>
        <w:rPr>
          <w:rFonts w:hAnsi="宋体"/>
          <w:color w:val="auto"/>
          <w:sz w:val="24"/>
          <w:szCs w:val="18"/>
        </w:rPr>
      </w:pPr>
      <w:r>
        <w:rPr>
          <w:rFonts w:hint="eastAsia" w:hAnsi="宋体"/>
          <w:color w:val="auto"/>
          <w:sz w:val="24"/>
          <w:szCs w:val="18"/>
        </w:rPr>
        <w:t>（</w:t>
      </w:r>
      <w:r>
        <w:rPr>
          <w:rFonts w:hAnsi="宋体"/>
          <w:color w:val="auto"/>
          <w:sz w:val="24"/>
          <w:szCs w:val="18"/>
        </w:rPr>
        <w:t>9</w:t>
      </w:r>
      <w:r>
        <w:rPr>
          <w:rFonts w:hint="eastAsia" w:hAnsi="宋体"/>
          <w:color w:val="auto"/>
          <w:sz w:val="24"/>
          <w:szCs w:val="18"/>
        </w:rPr>
        <w:t>）发包人风险事件；</w:t>
      </w:r>
    </w:p>
    <w:p w14:paraId="1AA11AAA">
      <w:pPr>
        <w:pStyle w:val="2"/>
        <w:adjustRightInd w:val="0"/>
        <w:snapToGrid w:val="0"/>
        <w:spacing w:line="360" w:lineRule="auto"/>
        <w:ind w:left="1619" w:leftChars="771"/>
        <w:rPr>
          <w:rFonts w:hAnsi="宋体"/>
          <w:color w:val="auto"/>
          <w:sz w:val="24"/>
          <w:szCs w:val="18"/>
        </w:rPr>
      </w:pPr>
      <w:r>
        <w:rPr>
          <w:rFonts w:hint="eastAsia" w:hAnsi="宋体"/>
          <w:color w:val="auto"/>
          <w:sz w:val="24"/>
          <w:szCs w:val="18"/>
        </w:rPr>
        <w:t>（</w:t>
      </w:r>
      <w:r>
        <w:rPr>
          <w:rFonts w:hAnsi="宋体"/>
          <w:color w:val="auto"/>
          <w:sz w:val="24"/>
          <w:szCs w:val="18"/>
        </w:rPr>
        <w:t>10</w:t>
      </w:r>
      <w:r>
        <w:rPr>
          <w:rFonts w:hint="eastAsia" w:hAnsi="宋体"/>
          <w:color w:val="auto"/>
          <w:sz w:val="24"/>
          <w:szCs w:val="18"/>
        </w:rPr>
        <w:t>）因发包人的原因导致的暂停施工；</w:t>
      </w:r>
    </w:p>
    <w:p w14:paraId="63A4E8DA">
      <w:pPr>
        <w:pStyle w:val="2"/>
        <w:adjustRightInd w:val="0"/>
        <w:snapToGrid w:val="0"/>
        <w:spacing w:line="360" w:lineRule="auto"/>
        <w:ind w:left="1619" w:leftChars="771"/>
        <w:rPr>
          <w:rFonts w:hAnsi="宋体"/>
          <w:color w:val="auto"/>
          <w:sz w:val="24"/>
          <w:szCs w:val="18"/>
        </w:rPr>
      </w:pPr>
      <w:r>
        <w:rPr>
          <w:rFonts w:hint="eastAsia" w:hAnsi="宋体"/>
          <w:color w:val="auto"/>
          <w:sz w:val="24"/>
          <w:szCs w:val="18"/>
        </w:rPr>
        <w:t>（</w:t>
      </w:r>
      <w:r>
        <w:rPr>
          <w:rFonts w:hAnsi="宋体"/>
          <w:color w:val="auto"/>
          <w:sz w:val="24"/>
          <w:szCs w:val="18"/>
        </w:rPr>
        <w:t>11</w:t>
      </w:r>
      <w:r>
        <w:rPr>
          <w:rFonts w:hint="eastAsia" w:hAnsi="宋体"/>
          <w:color w:val="auto"/>
          <w:sz w:val="24"/>
          <w:szCs w:val="18"/>
        </w:rPr>
        <w:t>）非承包人失误、违约，以及监理工程师同意的工期顺延。</w:t>
      </w:r>
    </w:p>
    <w:p w14:paraId="26095595">
      <w:pPr>
        <w:pStyle w:val="2"/>
        <w:adjustRightInd w:val="0"/>
        <w:snapToGrid w:val="0"/>
        <w:spacing w:line="360" w:lineRule="auto"/>
        <w:ind w:left="1619" w:leftChars="771"/>
        <w:rPr>
          <w:rFonts w:hAnsi="宋体"/>
          <w:color w:val="auto"/>
          <w:sz w:val="24"/>
          <w:szCs w:val="18"/>
        </w:rPr>
      </w:pPr>
      <w:r>
        <w:rPr>
          <w:rFonts w:hint="eastAsia" w:hAnsi="宋体"/>
          <w:color w:val="auto"/>
          <w:sz w:val="24"/>
          <w:szCs w:val="18"/>
        </w:rPr>
        <w:t>（</w:t>
      </w:r>
      <w:r>
        <w:rPr>
          <w:rFonts w:hAnsi="宋体"/>
          <w:color w:val="auto"/>
          <w:sz w:val="24"/>
          <w:szCs w:val="18"/>
        </w:rPr>
        <w:t>12</w:t>
      </w:r>
      <w:r>
        <w:rPr>
          <w:rFonts w:hint="eastAsia" w:hAnsi="宋体"/>
          <w:color w:val="auto"/>
          <w:sz w:val="24"/>
          <w:szCs w:val="18"/>
        </w:rPr>
        <w:t>）发包人造成工期延误的其他原因。</w:t>
      </w:r>
    </w:p>
    <w:p w14:paraId="752CD986">
      <w:pPr>
        <w:pStyle w:val="2"/>
        <w:adjustRightInd w:val="0"/>
        <w:snapToGrid w:val="0"/>
        <w:spacing w:line="360" w:lineRule="auto"/>
        <w:ind w:right="-2"/>
        <w:rPr>
          <w:rFonts w:hAnsi="宋体"/>
          <w:color w:val="auto"/>
          <w:sz w:val="24"/>
          <w:szCs w:val="18"/>
        </w:rPr>
      </w:pPr>
      <w:r>
        <w:rPr>
          <w:rFonts w:hAnsi="宋体"/>
          <w:b/>
          <w:color w:val="auto"/>
          <w:sz w:val="24"/>
          <w:szCs w:val="18"/>
        </w:rPr>
        <w:t xml:space="preserve">36.4 </w:t>
      </w:r>
    </w:p>
    <w:p w14:paraId="28D21AAC">
      <w:pPr>
        <w:pStyle w:val="2"/>
        <w:adjustRightInd w:val="0"/>
        <w:snapToGrid w:val="0"/>
        <w:spacing w:line="360" w:lineRule="auto"/>
        <w:ind w:left="1619" w:leftChars="771" w:right="-2"/>
        <w:rPr>
          <w:rFonts w:hAnsi="宋体"/>
          <w:color w:val="auto"/>
          <w:sz w:val="24"/>
          <w:szCs w:val="18"/>
        </w:rPr>
      </w:pPr>
      <w:r>
        <w:rPr>
          <w:color w:val="auto"/>
        </w:rPr>
        <mc:AlternateContent>
          <mc:Choice Requires="wps">
            <w:drawing>
              <wp:anchor distT="0" distB="0" distL="114300" distR="114300" simplePos="0" relativeHeight="251805696" behindDoc="0" locked="0" layoutInCell="1" allowOverlap="1">
                <wp:simplePos x="0" y="0"/>
                <wp:positionH relativeFrom="column">
                  <wp:posOffset>-114300</wp:posOffset>
                </wp:positionH>
                <wp:positionV relativeFrom="paragraph">
                  <wp:posOffset>62230</wp:posOffset>
                </wp:positionV>
                <wp:extent cx="914400" cy="396240"/>
                <wp:effectExtent l="0" t="0" r="0" b="0"/>
                <wp:wrapNone/>
                <wp:docPr id="144" name="文本框 14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035FFB38">
                            <w:pPr>
                              <w:spacing w:line="220" w:lineRule="exact"/>
                              <w:rPr>
                                <w:rFonts w:ascii="宋体"/>
                                <w:sz w:val="18"/>
                                <w:szCs w:val="18"/>
                              </w:rPr>
                            </w:pPr>
                            <w:r>
                              <w:rPr>
                                <w:rFonts w:hint="eastAsia" w:ascii="楷体_GB2312" w:hAnsi="宋体" w:eastAsia="楷体_GB2312"/>
                                <w:b/>
                                <w:color w:val="000000"/>
                                <w:sz w:val="18"/>
                                <w:szCs w:val="18"/>
                              </w:rPr>
                              <w:t>提交工期顺延报告</w:t>
                            </w:r>
                          </w:p>
                        </w:txbxContent>
                      </wps:txbx>
                      <wps:bodyPr upright="1"/>
                    </wps:wsp>
                  </a:graphicData>
                </a:graphic>
              </wp:anchor>
            </w:drawing>
          </mc:Choice>
          <mc:Fallback>
            <w:pict>
              <v:shape id="_x0000_s1026" o:spid="_x0000_s1026" o:spt="202" type="#_x0000_t202" style="position:absolute;left:0pt;margin-left:-9pt;margin-top:4.9pt;height:31.2pt;width:72pt;z-index:251805696;mso-width-relative:page;mso-height-relative:page;" filled="f" stroked="f" coordsize="21600,21600" o:gfxdata="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rluZrV&#10;AAAACAEAAA8AAAAAAAAAAQAgAAAAIgAAAGRycy9kb3ducmV2LnhtbFBLAQIUABQAAAAIAIdO4kAS&#10;GrwvsQEAAF8DAAAOAAAAAAAAAAEAIAAAACQBAABkcnMvZTJvRG9jLnhtbFBLBQYAAAAABgAGAFkB&#10;AABHBQAAAAA=&#10;">
                <v:fill on="f" focussize="0,0"/>
                <v:stroke on="f"/>
                <v:imagedata o:title=""/>
                <o:lock v:ext="edit" aspectratio="f"/>
                <v:textbox>
                  <w:txbxContent>
                    <w:p w14:paraId="035FFB38">
                      <w:pPr>
                        <w:spacing w:line="220" w:lineRule="exact"/>
                        <w:rPr>
                          <w:rFonts w:ascii="宋体"/>
                          <w:sz w:val="18"/>
                          <w:szCs w:val="18"/>
                        </w:rPr>
                      </w:pPr>
                      <w:r>
                        <w:rPr>
                          <w:rFonts w:hint="eastAsia" w:ascii="楷体_GB2312" w:hAnsi="宋体" w:eastAsia="楷体_GB2312"/>
                          <w:b/>
                          <w:color w:val="000000"/>
                          <w:sz w:val="18"/>
                          <w:szCs w:val="18"/>
                        </w:rPr>
                        <w:t>提交工期顺延报告</w:t>
                      </w:r>
                    </w:p>
                  </w:txbxContent>
                </v:textbox>
              </v:shape>
            </w:pict>
          </mc:Fallback>
        </mc:AlternateContent>
      </w:r>
      <w:r>
        <w:rPr>
          <w:rFonts w:hint="eastAsia" w:hAnsi="宋体"/>
          <w:color w:val="auto"/>
          <w:sz w:val="24"/>
          <w:szCs w:val="18"/>
        </w:rPr>
        <w:t>当第</w:t>
      </w:r>
      <w:r>
        <w:rPr>
          <w:rFonts w:hAnsi="宋体"/>
          <w:color w:val="auto"/>
          <w:sz w:val="24"/>
          <w:szCs w:val="18"/>
        </w:rPr>
        <w:t>36.3</w:t>
      </w:r>
      <w:r>
        <w:rPr>
          <w:rFonts w:hint="eastAsia" w:hAnsi="宋体"/>
          <w:color w:val="auto"/>
          <w:sz w:val="24"/>
          <w:szCs w:val="18"/>
        </w:rPr>
        <w:t>款所述事件首次发生后，承包人应在</w:t>
      </w:r>
      <w:r>
        <w:rPr>
          <w:rFonts w:hAnsi="宋体"/>
          <w:color w:val="auto"/>
          <w:sz w:val="24"/>
          <w:szCs w:val="18"/>
        </w:rPr>
        <w:t>14</w:t>
      </w:r>
      <w:r>
        <w:rPr>
          <w:rFonts w:hint="eastAsia" w:hAnsi="宋体"/>
          <w:color w:val="auto"/>
          <w:sz w:val="24"/>
          <w:szCs w:val="18"/>
        </w:rPr>
        <w:t>天内向监理工程师发出工期顺延意向书，并抄送发包人。承包人应在发出工期顺延意向书后的</w:t>
      </w:r>
      <w:r>
        <w:rPr>
          <w:rFonts w:hAnsi="宋体"/>
          <w:color w:val="auto"/>
          <w:sz w:val="24"/>
          <w:szCs w:val="18"/>
        </w:rPr>
        <w:t>14</w:t>
      </w:r>
      <w:r>
        <w:rPr>
          <w:rFonts w:hint="eastAsia" w:hAnsi="宋体"/>
          <w:color w:val="auto"/>
          <w:sz w:val="24"/>
          <w:szCs w:val="18"/>
        </w:rPr>
        <w:t>天内，向监理工程师提交工期顺延报告和有关详细资料。</w:t>
      </w:r>
    </w:p>
    <w:p w14:paraId="231AFFE4">
      <w:pPr>
        <w:pStyle w:val="2"/>
        <w:adjustRightInd w:val="0"/>
        <w:snapToGrid w:val="0"/>
        <w:spacing w:line="360" w:lineRule="auto"/>
        <w:rPr>
          <w:rFonts w:hAnsi="宋体"/>
          <w:b/>
          <w:color w:val="auto"/>
          <w:sz w:val="24"/>
          <w:szCs w:val="18"/>
          <w:u w:val="dotted"/>
        </w:rPr>
      </w:pPr>
      <w:r>
        <w:rPr>
          <w:rFonts w:hAnsi="宋体"/>
          <w:b/>
          <w:color w:val="auto"/>
          <w:sz w:val="24"/>
          <w:szCs w:val="18"/>
        </w:rPr>
        <w:t xml:space="preserve">36.5 </w:t>
      </w:r>
    </w:p>
    <w:p w14:paraId="05A20B20">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1806720" behindDoc="0" locked="0" layoutInCell="1" allowOverlap="1">
                <wp:simplePos x="0" y="0"/>
                <wp:positionH relativeFrom="column">
                  <wp:posOffset>-114300</wp:posOffset>
                </wp:positionH>
                <wp:positionV relativeFrom="paragraph">
                  <wp:posOffset>46990</wp:posOffset>
                </wp:positionV>
                <wp:extent cx="914400" cy="396240"/>
                <wp:effectExtent l="0" t="0" r="0" b="0"/>
                <wp:wrapNone/>
                <wp:docPr id="145" name="文本框 145"/>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696E0D84">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工期顺延持续发生的要求</w:t>
                            </w:r>
                          </w:p>
                        </w:txbxContent>
                      </wps:txbx>
                      <wps:bodyPr upright="1"/>
                    </wps:wsp>
                  </a:graphicData>
                </a:graphic>
              </wp:anchor>
            </w:drawing>
          </mc:Choice>
          <mc:Fallback>
            <w:pict>
              <v:shape id="_x0000_s1026" o:spid="_x0000_s1026" o:spt="202" type="#_x0000_t202" style="position:absolute;left:0pt;margin-left:-9pt;margin-top:3.7pt;height:31.2pt;width:72pt;z-index:251806720;mso-width-relative:page;mso-height-relative:page;" filled="f" stroked="f" coordsize="21600,21600" o:gfxdata="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9yQ&#10;atUAAAAIAQAADwAAAAAAAAABACAAAAAiAAAAZHJzL2Rvd25yZXYueG1sUEsBAhQAFAAAAAgAh07i&#10;QI0dd4WzAQAAXwMAAA4AAAAAAAAAAQAgAAAAJAEAAGRycy9lMm9Eb2MueG1sUEsFBgAAAAAGAAYA&#10;WQEAAEkFAAAAAA==&#10;">
                <v:fill on="f" focussize="0,0"/>
                <v:stroke on="f"/>
                <v:imagedata o:title=""/>
                <o:lock v:ext="edit" aspectratio="f"/>
                <v:textbox>
                  <w:txbxContent>
                    <w:p w14:paraId="696E0D84">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工期顺延持续发生的要求</w:t>
                      </w:r>
                    </w:p>
                  </w:txbxContent>
                </v:textbox>
              </v:shape>
            </w:pict>
          </mc:Fallback>
        </mc:AlternateContent>
      </w:r>
      <w:r>
        <w:rPr>
          <w:rFonts w:hint="eastAsia" w:hAnsi="宋体"/>
          <w:color w:val="auto"/>
          <w:sz w:val="24"/>
          <w:szCs w:val="18"/>
        </w:rPr>
        <w:t>如果工期顺延事件持续发生时，承包人应每隔</w:t>
      </w:r>
      <w:r>
        <w:rPr>
          <w:rFonts w:hAnsi="宋体"/>
          <w:color w:val="auto"/>
          <w:sz w:val="24"/>
          <w:szCs w:val="18"/>
        </w:rPr>
        <w:t>7</w:t>
      </w:r>
      <w:r>
        <w:rPr>
          <w:rFonts w:hint="eastAsia" w:hAnsi="宋体"/>
          <w:color w:val="auto"/>
          <w:sz w:val="24"/>
          <w:szCs w:val="18"/>
        </w:rPr>
        <w:t>天向监理工程师发出工期顺延意向书，并在工期顺延事件终结后的</w:t>
      </w:r>
      <w:r>
        <w:rPr>
          <w:rFonts w:hAnsi="宋体"/>
          <w:color w:val="auto"/>
          <w:sz w:val="24"/>
          <w:szCs w:val="18"/>
        </w:rPr>
        <w:t>14</w:t>
      </w:r>
      <w:r>
        <w:rPr>
          <w:rFonts w:hint="eastAsia" w:hAnsi="宋体"/>
          <w:color w:val="auto"/>
          <w:sz w:val="24"/>
          <w:szCs w:val="18"/>
        </w:rPr>
        <w:t>天内，向监理工程师提交最终工期顺延报告和详细资料。</w:t>
      </w:r>
    </w:p>
    <w:p w14:paraId="21674EAD">
      <w:pPr>
        <w:pStyle w:val="2"/>
        <w:adjustRightInd w:val="0"/>
        <w:snapToGrid w:val="0"/>
        <w:spacing w:line="360" w:lineRule="auto"/>
        <w:ind w:right="-2"/>
        <w:rPr>
          <w:rFonts w:hAnsi="宋体"/>
          <w:b/>
          <w:color w:val="auto"/>
          <w:sz w:val="24"/>
          <w:szCs w:val="18"/>
        </w:rPr>
      </w:pPr>
    </w:p>
    <w:p w14:paraId="03C1471C">
      <w:pPr>
        <w:pStyle w:val="2"/>
        <w:adjustRightInd w:val="0"/>
        <w:snapToGrid w:val="0"/>
        <w:spacing w:line="360" w:lineRule="auto"/>
        <w:ind w:right="-2"/>
        <w:rPr>
          <w:rFonts w:hAnsi="宋体"/>
          <w:b/>
          <w:color w:val="auto"/>
          <w:sz w:val="24"/>
          <w:szCs w:val="18"/>
          <w:u w:val="dotted"/>
        </w:rPr>
      </w:pPr>
      <w:r>
        <w:rPr>
          <w:rFonts w:hAnsi="宋体"/>
          <w:b/>
          <w:color w:val="auto"/>
          <w:sz w:val="24"/>
          <w:szCs w:val="18"/>
        </w:rPr>
        <w:t xml:space="preserve">36.6  </w:t>
      </w:r>
    </w:p>
    <w:p w14:paraId="04AF65FD">
      <w:pPr>
        <w:pStyle w:val="2"/>
        <w:adjustRightInd w:val="0"/>
        <w:snapToGrid w:val="0"/>
        <w:spacing w:line="360" w:lineRule="auto"/>
        <w:ind w:left="1619" w:leftChars="771" w:right="-2"/>
        <w:rPr>
          <w:rFonts w:hAnsi="宋体"/>
          <w:color w:val="auto"/>
          <w:sz w:val="24"/>
          <w:szCs w:val="18"/>
        </w:rPr>
      </w:pPr>
      <w:r>
        <w:rPr>
          <w:color w:val="auto"/>
        </w:rPr>
        <mc:AlternateContent>
          <mc:Choice Requires="wps">
            <w:drawing>
              <wp:anchor distT="0" distB="0" distL="114300" distR="114300" simplePos="0" relativeHeight="251807744" behindDoc="0" locked="0" layoutInCell="1" allowOverlap="1">
                <wp:simplePos x="0" y="0"/>
                <wp:positionH relativeFrom="column">
                  <wp:posOffset>-114300</wp:posOffset>
                </wp:positionH>
                <wp:positionV relativeFrom="paragraph">
                  <wp:posOffset>45720</wp:posOffset>
                </wp:positionV>
                <wp:extent cx="914400" cy="483870"/>
                <wp:effectExtent l="0" t="0" r="0" b="0"/>
                <wp:wrapNone/>
                <wp:docPr id="146" name="文本框 146"/>
                <wp:cNvGraphicFramePr/>
                <a:graphic xmlns:a="http://schemas.openxmlformats.org/drawingml/2006/main">
                  <a:graphicData uri="http://schemas.microsoft.com/office/word/2010/wordprocessingShape">
                    <wps:wsp>
                      <wps:cNvSpPr txBox="1"/>
                      <wps:spPr>
                        <a:xfrm>
                          <a:off x="0" y="0"/>
                          <a:ext cx="914400" cy="483870"/>
                        </a:xfrm>
                        <a:prstGeom prst="rect">
                          <a:avLst/>
                        </a:prstGeom>
                        <a:noFill/>
                        <a:ln>
                          <a:noFill/>
                        </a:ln>
                        <a:effectLst/>
                      </wps:spPr>
                      <wps:txbx>
                        <w:txbxContent>
                          <w:p w14:paraId="3DCF4425">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拒绝延期</w:t>
                            </w:r>
                          </w:p>
                        </w:txbxContent>
                      </wps:txbx>
                      <wps:bodyPr upright="1"/>
                    </wps:wsp>
                  </a:graphicData>
                </a:graphic>
              </wp:anchor>
            </w:drawing>
          </mc:Choice>
          <mc:Fallback>
            <w:pict>
              <v:shape id="_x0000_s1026" o:spid="_x0000_s1026" o:spt="202" type="#_x0000_t202" style="position:absolute;left:0pt;margin-left:-9pt;margin-top:3.6pt;height:38.1pt;width:72pt;z-index:251807744;mso-width-relative:page;mso-height-relative:page;" filled="f" stroked="f" coordsize="21600,2160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qX&#10;Q8fWAAAACAEAAA8AAAAAAAAAAQAgAAAAIgAAAGRycy9kb3ducmV2LnhtbFBLAQIUABQAAAAIAIdO&#10;4kCTCoP4swEAAF8DAAAOAAAAAAAAAAEAIAAAACUBAABkcnMvZTJvRG9jLnhtbFBLBQYAAAAABgAG&#10;AFkBAABKBQAAAAA=&#10;">
                <v:fill on="f" focussize="0,0"/>
                <v:stroke on="f"/>
                <v:imagedata o:title=""/>
                <o:lock v:ext="edit" aspectratio="f"/>
                <v:textbox>
                  <w:txbxContent>
                    <w:p w14:paraId="3DCF4425">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拒绝延期</w:t>
                      </w:r>
                    </w:p>
                  </w:txbxContent>
                </v:textbox>
              </v:shape>
            </w:pict>
          </mc:Fallback>
        </mc:AlternateContent>
      </w:r>
      <w:r>
        <w:rPr>
          <w:rFonts w:hint="eastAsia" w:hAnsi="宋体"/>
          <w:color w:val="auto"/>
          <w:sz w:val="24"/>
          <w:szCs w:val="18"/>
        </w:rPr>
        <w:t>如果承包人未能在第</w:t>
      </w:r>
      <w:r>
        <w:rPr>
          <w:rFonts w:hAnsi="宋体"/>
          <w:color w:val="auto"/>
          <w:sz w:val="24"/>
          <w:szCs w:val="18"/>
        </w:rPr>
        <w:t>36.4</w:t>
      </w:r>
      <w:r>
        <w:rPr>
          <w:rFonts w:hint="eastAsia" w:hAnsi="宋体"/>
          <w:color w:val="auto"/>
          <w:sz w:val="24"/>
          <w:szCs w:val="18"/>
        </w:rPr>
        <w:t>款和第</w:t>
      </w:r>
      <w:r>
        <w:rPr>
          <w:rFonts w:hAnsi="宋体"/>
          <w:color w:val="auto"/>
          <w:sz w:val="24"/>
          <w:szCs w:val="18"/>
        </w:rPr>
        <w:t>36.5</w:t>
      </w:r>
      <w:r>
        <w:rPr>
          <w:rFonts w:hint="eastAsia" w:hAnsi="宋体"/>
          <w:color w:val="auto"/>
          <w:sz w:val="24"/>
          <w:szCs w:val="18"/>
        </w:rPr>
        <w:t>款（发生时）规定的时间内提交（最终）工期顺延报告和详细资料，则视为该事件不影响施工进度或承包人放弃顺延工期的权利。</w:t>
      </w:r>
    </w:p>
    <w:p w14:paraId="3853084B">
      <w:pPr>
        <w:pStyle w:val="2"/>
        <w:adjustRightInd w:val="0"/>
        <w:snapToGrid w:val="0"/>
        <w:spacing w:line="360" w:lineRule="auto"/>
        <w:ind w:right="-2"/>
        <w:rPr>
          <w:rFonts w:hAnsi="宋体"/>
          <w:b/>
          <w:color w:val="auto"/>
          <w:sz w:val="24"/>
          <w:szCs w:val="18"/>
          <w:u w:val="dotted"/>
        </w:rPr>
      </w:pPr>
      <w:r>
        <w:rPr>
          <w:rFonts w:hAnsi="宋体"/>
          <w:b/>
          <w:color w:val="auto"/>
          <w:sz w:val="24"/>
          <w:szCs w:val="18"/>
        </w:rPr>
        <w:t xml:space="preserve">36.7  </w:t>
      </w:r>
    </w:p>
    <w:p w14:paraId="6B249279">
      <w:pPr>
        <w:pStyle w:val="2"/>
        <w:adjustRightInd w:val="0"/>
        <w:snapToGrid w:val="0"/>
        <w:spacing w:line="360" w:lineRule="auto"/>
        <w:ind w:left="1619" w:leftChars="771" w:right="-2"/>
        <w:rPr>
          <w:rFonts w:hAnsi="宋体"/>
          <w:color w:val="auto"/>
          <w:sz w:val="24"/>
          <w:szCs w:val="18"/>
        </w:rPr>
      </w:pPr>
      <w:r>
        <w:rPr>
          <w:color w:val="auto"/>
        </w:rPr>
        <mc:AlternateContent>
          <mc:Choice Requires="wps">
            <w:drawing>
              <wp:anchor distT="0" distB="0" distL="114300" distR="114300" simplePos="0" relativeHeight="251808768" behindDoc="0" locked="0" layoutInCell="1" allowOverlap="1">
                <wp:simplePos x="0" y="0"/>
                <wp:positionH relativeFrom="column">
                  <wp:posOffset>-114300</wp:posOffset>
                </wp:positionH>
                <wp:positionV relativeFrom="paragraph">
                  <wp:posOffset>45720</wp:posOffset>
                </wp:positionV>
                <wp:extent cx="800100" cy="483870"/>
                <wp:effectExtent l="0" t="0" r="0" b="0"/>
                <wp:wrapNone/>
                <wp:docPr id="147" name="文本框 147"/>
                <wp:cNvGraphicFramePr/>
                <a:graphic xmlns:a="http://schemas.openxmlformats.org/drawingml/2006/main">
                  <a:graphicData uri="http://schemas.microsoft.com/office/word/2010/wordprocessingShape">
                    <wps:wsp>
                      <wps:cNvSpPr txBox="1"/>
                      <wps:spPr>
                        <a:xfrm>
                          <a:off x="0" y="0"/>
                          <a:ext cx="800100" cy="483870"/>
                        </a:xfrm>
                        <a:prstGeom prst="rect">
                          <a:avLst/>
                        </a:prstGeom>
                        <a:noFill/>
                        <a:ln>
                          <a:noFill/>
                        </a:ln>
                        <a:effectLst/>
                      </wps:spPr>
                      <wps:txbx>
                        <w:txbxContent>
                          <w:p w14:paraId="13CF10B7">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工期顺延的</w:t>
                            </w:r>
                          </w:p>
                          <w:p w14:paraId="1F6C2DE6">
                            <w:pPr>
                              <w:spacing w:line="240" w:lineRule="exact"/>
                              <w:rPr>
                                <w:rFonts w:ascii="宋体"/>
                                <w:sz w:val="18"/>
                                <w:szCs w:val="18"/>
                              </w:rPr>
                            </w:pPr>
                            <w:r>
                              <w:rPr>
                                <w:rFonts w:hint="eastAsia" w:ascii="楷体_GB2312" w:hAnsi="宋体" w:eastAsia="楷体_GB2312"/>
                                <w:b/>
                                <w:color w:val="000000"/>
                                <w:sz w:val="18"/>
                                <w:szCs w:val="18"/>
                              </w:rPr>
                              <w:t>核实与确定</w:t>
                            </w:r>
                          </w:p>
                        </w:txbxContent>
                      </wps:txbx>
                      <wps:bodyPr upright="1"/>
                    </wps:wsp>
                  </a:graphicData>
                </a:graphic>
              </wp:anchor>
            </w:drawing>
          </mc:Choice>
          <mc:Fallback>
            <w:pict>
              <v:shape id="_x0000_s1026" o:spid="_x0000_s1026" o:spt="202" type="#_x0000_t202" style="position:absolute;left:0pt;margin-left:-9pt;margin-top:3.6pt;height:38.1pt;width:63pt;z-index:251808768;mso-width-relative:page;mso-height-relative:page;" filled="f" stroked="f" coordsize="21600,21600" o:gfxdata="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TDXwnV&#10;AAAACAEAAA8AAAAAAAAAAQAgAAAAIgAAAGRycy9kb3ducmV2LnhtbFBLAQIUABQAAAAIAIdO4kB/&#10;WBq9sQEAAF8DAAAOAAAAAAAAAAEAIAAAACQBAABkcnMvZTJvRG9jLnhtbFBLBQYAAAAABgAGAFkB&#10;AABHBQAAAAA=&#10;">
                <v:fill on="f" focussize="0,0"/>
                <v:stroke on="f"/>
                <v:imagedata o:title=""/>
                <o:lock v:ext="edit" aspectratio="f"/>
                <v:textbox>
                  <w:txbxContent>
                    <w:p w14:paraId="13CF10B7">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工期顺延的</w:t>
                      </w:r>
                    </w:p>
                    <w:p w14:paraId="1F6C2DE6">
                      <w:pPr>
                        <w:spacing w:line="240" w:lineRule="exact"/>
                        <w:rPr>
                          <w:rFonts w:ascii="宋体"/>
                          <w:sz w:val="18"/>
                          <w:szCs w:val="18"/>
                        </w:rPr>
                      </w:pPr>
                      <w:r>
                        <w:rPr>
                          <w:rFonts w:hint="eastAsia" w:ascii="楷体_GB2312" w:hAnsi="宋体" w:eastAsia="楷体_GB2312"/>
                          <w:b/>
                          <w:color w:val="000000"/>
                          <w:sz w:val="18"/>
                          <w:szCs w:val="18"/>
                        </w:rPr>
                        <w:t>核实与确定</w:t>
                      </w:r>
                    </w:p>
                  </w:txbxContent>
                </v:textbox>
              </v:shape>
            </w:pict>
          </mc:Fallback>
        </mc:AlternateContent>
      </w:r>
      <w:r>
        <w:rPr>
          <w:rFonts w:hint="eastAsia" w:hAnsi="宋体"/>
          <w:color w:val="auto"/>
          <w:sz w:val="24"/>
          <w:szCs w:val="18"/>
        </w:rPr>
        <w:t>监理工程师应在收到承包人按照第</w:t>
      </w:r>
      <w:r>
        <w:rPr>
          <w:rFonts w:hAnsi="宋体"/>
          <w:color w:val="auto"/>
          <w:sz w:val="24"/>
          <w:szCs w:val="18"/>
        </w:rPr>
        <w:t>36.4</w:t>
      </w:r>
      <w:r>
        <w:rPr>
          <w:rFonts w:hint="eastAsia" w:hAnsi="宋体"/>
          <w:color w:val="auto"/>
          <w:sz w:val="24"/>
          <w:szCs w:val="18"/>
        </w:rPr>
        <w:t>款和第</w:t>
      </w:r>
      <w:r>
        <w:rPr>
          <w:rFonts w:hAnsi="宋体"/>
          <w:color w:val="auto"/>
          <w:sz w:val="24"/>
          <w:szCs w:val="18"/>
        </w:rPr>
        <w:t>36.5</w:t>
      </w:r>
      <w:r>
        <w:rPr>
          <w:rFonts w:hint="eastAsia" w:hAnsi="宋体"/>
          <w:color w:val="auto"/>
          <w:sz w:val="24"/>
          <w:szCs w:val="18"/>
        </w:rPr>
        <w:t>款（发生时）规定提交（最终）工期顺延报告和详细资料后的</w:t>
      </w:r>
      <w:r>
        <w:rPr>
          <w:rFonts w:hAnsi="宋体"/>
          <w:color w:val="auto"/>
          <w:sz w:val="24"/>
          <w:szCs w:val="18"/>
        </w:rPr>
        <w:t>28</w:t>
      </w:r>
      <w:r>
        <w:rPr>
          <w:rFonts w:hint="eastAsia" w:hAnsi="宋体"/>
          <w:color w:val="auto"/>
          <w:sz w:val="24"/>
          <w:szCs w:val="18"/>
        </w:rPr>
        <w:t>天内，按照第</w:t>
      </w:r>
      <w:r>
        <w:rPr>
          <w:rFonts w:hAnsi="宋体"/>
          <w:color w:val="auto"/>
          <w:sz w:val="24"/>
          <w:szCs w:val="18"/>
        </w:rPr>
        <w:t>36.3</w:t>
      </w:r>
      <w:r>
        <w:rPr>
          <w:rFonts w:hint="eastAsia" w:hAnsi="宋体"/>
          <w:color w:val="auto"/>
          <w:sz w:val="24"/>
          <w:szCs w:val="18"/>
        </w:rPr>
        <w:t>款规定予以核实，或要求承包人进一步补充顺延工期的理由。合同双方当事人一旦协商确定顺延的工期，发包人应承担由此增加的费用，并向承包人支付合理利润。</w:t>
      </w:r>
    </w:p>
    <w:p w14:paraId="2D2B40CD">
      <w:pPr>
        <w:pStyle w:val="2"/>
        <w:adjustRightInd w:val="0"/>
        <w:snapToGrid w:val="0"/>
        <w:spacing w:line="360" w:lineRule="auto"/>
        <w:ind w:left="1619" w:leftChars="771" w:right="-2"/>
        <w:rPr>
          <w:rFonts w:hAnsi="宋体"/>
          <w:color w:val="auto"/>
          <w:sz w:val="24"/>
          <w:szCs w:val="18"/>
        </w:rPr>
      </w:pPr>
      <w:r>
        <w:rPr>
          <w:rFonts w:hint="eastAsia" w:hAnsi="宋体"/>
          <w:color w:val="auto"/>
          <w:sz w:val="24"/>
          <w:szCs w:val="18"/>
        </w:rPr>
        <w:t>如果监理工程师在收到上述报告和资料后的</w:t>
      </w:r>
      <w:r>
        <w:rPr>
          <w:rFonts w:hAnsi="宋体"/>
          <w:color w:val="auto"/>
          <w:sz w:val="24"/>
          <w:szCs w:val="18"/>
        </w:rPr>
        <w:t>28</w:t>
      </w:r>
      <w:r>
        <w:rPr>
          <w:rFonts w:hint="eastAsia" w:hAnsi="宋体"/>
          <w:color w:val="auto"/>
          <w:sz w:val="24"/>
          <w:szCs w:val="18"/>
        </w:rPr>
        <w:t>天内未予核实也未对承包人作出进一步要求，则视为监理工程师已认可承包人上述报告中提出的顺延工期天数。</w:t>
      </w:r>
    </w:p>
    <w:p w14:paraId="17693E98">
      <w:pPr>
        <w:pStyle w:val="2"/>
        <w:adjustRightInd w:val="0"/>
        <w:snapToGrid w:val="0"/>
        <w:spacing w:line="360" w:lineRule="auto"/>
        <w:ind w:left="1626" w:leftChars="1" w:right="-2" w:hanging="1624" w:hangingChars="674"/>
        <w:rPr>
          <w:rFonts w:hAnsi="宋体"/>
          <w:b/>
          <w:color w:val="auto"/>
          <w:sz w:val="24"/>
          <w:szCs w:val="18"/>
          <w:u w:val="dotted"/>
        </w:rPr>
      </w:pPr>
      <w:r>
        <w:rPr>
          <w:rFonts w:hAnsi="宋体"/>
          <w:b/>
          <w:color w:val="auto"/>
          <w:sz w:val="24"/>
          <w:szCs w:val="18"/>
        </w:rPr>
        <w:t xml:space="preserve">36.8  </w:t>
      </w:r>
    </w:p>
    <w:p w14:paraId="7B861985">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1809792" behindDoc="0" locked="0" layoutInCell="1" allowOverlap="1">
                <wp:simplePos x="0" y="0"/>
                <wp:positionH relativeFrom="column">
                  <wp:posOffset>-114300</wp:posOffset>
                </wp:positionH>
                <wp:positionV relativeFrom="paragraph">
                  <wp:posOffset>45720</wp:posOffset>
                </wp:positionV>
                <wp:extent cx="800100" cy="483870"/>
                <wp:effectExtent l="0" t="0" r="0" b="0"/>
                <wp:wrapNone/>
                <wp:docPr id="148" name="文本框 148"/>
                <wp:cNvGraphicFramePr/>
                <a:graphic xmlns:a="http://schemas.openxmlformats.org/drawingml/2006/main">
                  <a:graphicData uri="http://schemas.microsoft.com/office/word/2010/wordprocessingShape">
                    <wps:wsp>
                      <wps:cNvSpPr txBox="1"/>
                      <wps:spPr>
                        <a:xfrm>
                          <a:off x="0" y="0"/>
                          <a:ext cx="800100" cy="483870"/>
                        </a:xfrm>
                        <a:prstGeom prst="rect">
                          <a:avLst/>
                        </a:prstGeom>
                        <a:noFill/>
                        <a:ln>
                          <a:noFill/>
                        </a:ln>
                        <a:effectLst/>
                      </wps:spPr>
                      <wps:txbx>
                        <w:txbxContent>
                          <w:p w14:paraId="33E9A827">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承包人误期</w:t>
                            </w:r>
                          </w:p>
                          <w:p w14:paraId="13FFE14A">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的赔偿</w:t>
                            </w:r>
                          </w:p>
                        </w:txbxContent>
                      </wps:txbx>
                      <wps:bodyPr upright="1"/>
                    </wps:wsp>
                  </a:graphicData>
                </a:graphic>
              </wp:anchor>
            </w:drawing>
          </mc:Choice>
          <mc:Fallback>
            <w:pict>
              <v:shape id="_x0000_s1026" o:spid="_x0000_s1026" o:spt="202" type="#_x0000_t202" style="position:absolute;left:0pt;margin-left:-9pt;margin-top:3.6pt;height:38.1pt;width:63pt;z-index:251809792;mso-width-relative:page;mso-height-relative:page;" filled="f" stroked="f" coordsize="21600,21600" o:gfxdata="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TDXwnV&#10;AAAACAEAAA8AAAAAAAAAAQAgAAAAIgAAAGRycy9kb3ducmV2LnhtbFBLAQIUABQAAAAIAIdO4kAf&#10;bYYJsQEAAF8DAAAOAAAAAAAAAAEAIAAAACQBAABkcnMvZTJvRG9jLnhtbFBLBQYAAAAABgAGAFkB&#10;AABHBQAAAAA=&#10;">
                <v:fill on="f" focussize="0,0"/>
                <v:stroke on="f"/>
                <v:imagedata o:title=""/>
                <o:lock v:ext="edit" aspectratio="f"/>
                <v:textbox>
                  <w:txbxContent>
                    <w:p w14:paraId="33E9A827">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承包人误期</w:t>
                      </w:r>
                    </w:p>
                    <w:p w14:paraId="13FFE14A">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的赔偿</w:t>
                      </w:r>
                    </w:p>
                  </w:txbxContent>
                </v:textbox>
              </v:shape>
            </w:pict>
          </mc:Fallback>
        </mc:AlternateContent>
      </w:r>
      <w:r>
        <w:rPr>
          <w:rFonts w:hint="eastAsia" w:hAnsi="宋体"/>
          <w:color w:val="auto"/>
          <w:sz w:val="24"/>
          <w:szCs w:val="18"/>
        </w:rPr>
        <w:t>承包人未能按照合同进度计划完成工作，或因承包人的原因造成工期延误，发包人可按照本条规定的时限和第</w:t>
      </w:r>
      <w:r>
        <w:rPr>
          <w:rFonts w:hAnsi="宋体"/>
          <w:color w:val="auto"/>
          <w:sz w:val="24"/>
          <w:szCs w:val="18"/>
        </w:rPr>
        <w:t>66.2</w:t>
      </w:r>
      <w:r>
        <w:rPr>
          <w:rFonts w:hint="eastAsia" w:hAnsi="宋体"/>
          <w:color w:val="auto"/>
          <w:sz w:val="24"/>
          <w:szCs w:val="18"/>
        </w:rPr>
        <w:t>款规定要求承包人支付该支付期的误期赔偿费。</w:t>
      </w:r>
    </w:p>
    <w:p w14:paraId="3B788407">
      <w:pPr>
        <w:pStyle w:val="2"/>
        <w:tabs>
          <w:tab w:val="left" w:pos="540"/>
        </w:tabs>
        <w:adjustRightInd w:val="0"/>
        <w:snapToGrid w:val="0"/>
        <w:spacing w:before="240" w:beforeLines="100" w:line="360" w:lineRule="auto"/>
        <w:ind w:right="-238"/>
        <w:rPr>
          <w:rFonts w:hAnsi="宋体"/>
          <w:b/>
          <w:color w:val="auto"/>
          <w:sz w:val="24"/>
          <w:szCs w:val="18"/>
          <w:u w:val="single"/>
        </w:rPr>
      </w:pPr>
    </w:p>
    <w:p w14:paraId="7FCDDAF3">
      <w:pPr>
        <w:pStyle w:val="2"/>
        <w:tabs>
          <w:tab w:val="left" w:pos="540"/>
        </w:tabs>
        <w:adjustRightInd w:val="0"/>
        <w:snapToGrid w:val="0"/>
        <w:spacing w:before="240" w:beforeLines="100" w:line="360" w:lineRule="auto"/>
        <w:ind w:right="-238"/>
        <w:rPr>
          <w:rFonts w:hAnsi="宋体"/>
          <w:b/>
          <w:color w:val="auto"/>
          <w:sz w:val="30"/>
          <w:szCs w:val="24"/>
        </w:rPr>
      </w:pPr>
      <w:r>
        <w:rPr>
          <w:rFonts w:hAnsi="宋体"/>
          <w:b/>
          <w:color w:val="auto"/>
          <w:sz w:val="30"/>
          <w:szCs w:val="24"/>
        </w:rPr>
        <w:t xml:space="preserve">37  </w:t>
      </w:r>
      <w:r>
        <w:rPr>
          <w:rFonts w:hint="eastAsia" w:hAnsi="宋体"/>
          <w:b/>
          <w:color w:val="auto"/>
          <w:sz w:val="30"/>
          <w:szCs w:val="24"/>
        </w:rPr>
        <w:t>加快进度</w:t>
      </w:r>
    </w:p>
    <w:p w14:paraId="0A52CE8B">
      <w:pPr>
        <w:pStyle w:val="2"/>
        <w:tabs>
          <w:tab w:val="left" w:pos="1320"/>
        </w:tabs>
        <w:adjustRightInd w:val="0"/>
        <w:snapToGrid w:val="0"/>
        <w:spacing w:line="360" w:lineRule="auto"/>
        <w:rPr>
          <w:rFonts w:hAnsi="宋体"/>
          <w:b/>
          <w:color w:val="auto"/>
          <w:sz w:val="24"/>
          <w:szCs w:val="18"/>
        </w:rPr>
      </w:pPr>
      <w:r>
        <w:rPr>
          <w:color w:val="auto"/>
        </w:rPr>
        <mc:AlternateContent>
          <mc:Choice Requires="wps">
            <w:drawing>
              <wp:anchor distT="0" distB="0" distL="114300" distR="114300" simplePos="0" relativeHeight="251810816" behindDoc="0" locked="0" layoutInCell="1" allowOverlap="1">
                <wp:simplePos x="0" y="0"/>
                <wp:positionH relativeFrom="column">
                  <wp:posOffset>-114300</wp:posOffset>
                </wp:positionH>
                <wp:positionV relativeFrom="paragraph">
                  <wp:posOffset>160655</wp:posOffset>
                </wp:positionV>
                <wp:extent cx="914400" cy="540385"/>
                <wp:effectExtent l="0" t="0" r="0" b="0"/>
                <wp:wrapNone/>
                <wp:docPr id="149" name="文本框 149"/>
                <wp:cNvGraphicFramePr/>
                <a:graphic xmlns:a="http://schemas.openxmlformats.org/drawingml/2006/main">
                  <a:graphicData uri="http://schemas.microsoft.com/office/word/2010/wordprocessingShape">
                    <wps:wsp>
                      <wps:cNvSpPr txBox="1"/>
                      <wps:spPr>
                        <a:xfrm>
                          <a:off x="0" y="0"/>
                          <a:ext cx="914400" cy="540385"/>
                        </a:xfrm>
                        <a:prstGeom prst="rect">
                          <a:avLst/>
                        </a:prstGeom>
                        <a:noFill/>
                        <a:ln>
                          <a:noFill/>
                        </a:ln>
                        <a:effectLst/>
                      </wps:spPr>
                      <wps:txbx>
                        <w:txbxContent>
                          <w:p w14:paraId="37305F46">
                            <w:pPr>
                              <w:rPr>
                                <w:rFonts w:ascii="宋体"/>
                                <w:sz w:val="18"/>
                                <w:szCs w:val="18"/>
                              </w:rPr>
                            </w:pPr>
                            <w:r>
                              <w:rPr>
                                <w:rFonts w:hint="eastAsia" w:ascii="楷体_GB2312" w:hAnsi="宋体" w:eastAsia="楷体_GB2312"/>
                                <w:b/>
                                <w:color w:val="000000"/>
                                <w:sz w:val="18"/>
                                <w:szCs w:val="18"/>
                              </w:rPr>
                              <w:t>承包人原因加快进度的要求</w:t>
                            </w:r>
                          </w:p>
                        </w:txbxContent>
                      </wps:txbx>
                      <wps:bodyPr upright="1"/>
                    </wps:wsp>
                  </a:graphicData>
                </a:graphic>
              </wp:anchor>
            </w:drawing>
          </mc:Choice>
          <mc:Fallback>
            <w:pict>
              <v:shape id="_x0000_s1026" o:spid="_x0000_s1026" o:spt="202" type="#_x0000_t202" style="position:absolute;left:0pt;margin-left:-9pt;margin-top:12.65pt;height:42.55pt;width:72pt;z-index:251810816;mso-width-relative:page;mso-height-relative:page;" filled="f" stroked="f" coordsize="21600,21600" o:gfxdata="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4N&#10;FGDXAAAACgEAAA8AAAAAAAAAAQAgAAAAIgAAAGRycy9kb3ducmV2LnhtbFBLAQIUABQAAAAIAIdO&#10;4kAjDozIsgEAAF8DAAAOAAAAAAAAAAEAIAAAACYBAABkcnMvZTJvRG9jLnhtbFBLBQYAAAAABgAG&#10;AFkBAABKBQAAAAA=&#10;">
                <v:fill on="f" focussize="0,0"/>
                <v:stroke on="f"/>
                <v:imagedata o:title=""/>
                <o:lock v:ext="edit" aspectratio="f"/>
                <v:textbox>
                  <w:txbxContent>
                    <w:p w14:paraId="37305F46">
                      <w:pPr>
                        <w:rPr>
                          <w:rFonts w:ascii="宋体"/>
                          <w:sz w:val="18"/>
                          <w:szCs w:val="18"/>
                        </w:rPr>
                      </w:pPr>
                      <w:r>
                        <w:rPr>
                          <w:rFonts w:hint="eastAsia" w:ascii="楷体_GB2312" w:hAnsi="宋体" w:eastAsia="楷体_GB2312"/>
                          <w:b/>
                          <w:color w:val="000000"/>
                          <w:sz w:val="18"/>
                          <w:szCs w:val="18"/>
                        </w:rPr>
                        <w:t>承包人原因加快进度的要求</w:t>
                      </w:r>
                    </w:p>
                  </w:txbxContent>
                </v:textbox>
              </v:shape>
            </w:pict>
          </mc:Fallback>
        </mc:AlternateContent>
      </w:r>
      <w:r>
        <w:rPr>
          <w:rFonts w:hAnsi="宋体"/>
          <w:b/>
          <w:color w:val="auto"/>
          <w:sz w:val="24"/>
          <w:szCs w:val="18"/>
        </w:rPr>
        <w:t xml:space="preserve">37.1     </w:t>
      </w:r>
    </w:p>
    <w:p w14:paraId="097A3E9D">
      <w:pPr>
        <w:pStyle w:val="2"/>
        <w:adjustRightInd w:val="0"/>
        <w:snapToGrid w:val="0"/>
        <w:spacing w:line="360" w:lineRule="auto"/>
        <w:ind w:left="1619" w:leftChars="771"/>
        <w:rPr>
          <w:rFonts w:hAnsi="宋体"/>
          <w:color w:val="auto"/>
          <w:sz w:val="24"/>
          <w:szCs w:val="18"/>
        </w:rPr>
      </w:pPr>
      <w:r>
        <w:rPr>
          <w:rFonts w:hint="eastAsia" w:hAnsi="宋体"/>
          <w:color w:val="auto"/>
          <w:sz w:val="24"/>
          <w:szCs w:val="18"/>
        </w:rPr>
        <w:t>在非发包人延误工期的情况下，如果监理工程师书面指出承包人实施合同工程或其任何部分的进度过慢，迟于进度计划或不能按期竣工，则承包人应按照第</w:t>
      </w:r>
      <w:r>
        <w:rPr>
          <w:rFonts w:hAnsi="宋体"/>
          <w:color w:val="auto"/>
          <w:sz w:val="24"/>
          <w:szCs w:val="18"/>
        </w:rPr>
        <w:t>33.4</w:t>
      </w:r>
      <w:r>
        <w:rPr>
          <w:rFonts w:hint="eastAsia" w:hAnsi="宋体"/>
          <w:color w:val="auto"/>
          <w:sz w:val="24"/>
          <w:szCs w:val="18"/>
        </w:rPr>
        <w:t>款规定采取改进措施，加快工程进度。</w:t>
      </w:r>
    </w:p>
    <w:p w14:paraId="2CA49C6E">
      <w:pPr>
        <w:pStyle w:val="2"/>
        <w:adjustRightInd w:val="0"/>
        <w:snapToGrid w:val="0"/>
        <w:spacing w:line="360" w:lineRule="auto"/>
        <w:ind w:left="1619" w:leftChars="771"/>
        <w:rPr>
          <w:rFonts w:hAnsi="宋体"/>
          <w:color w:val="auto"/>
          <w:sz w:val="24"/>
          <w:szCs w:val="18"/>
        </w:rPr>
      </w:pPr>
      <w:r>
        <w:rPr>
          <w:rFonts w:hint="eastAsia" w:hAnsi="宋体"/>
          <w:color w:val="auto"/>
          <w:sz w:val="24"/>
          <w:szCs w:val="18"/>
        </w:rPr>
        <w:t>如果承包人在接到监理工程师通知后的</w:t>
      </w:r>
      <w:r>
        <w:rPr>
          <w:rFonts w:hAnsi="宋体"/>
          <w:color w:val="auto"/>
          <w:sz w:val="24"/>
          <w:szCs w:val="18"/>
        </w:rPr>
        <w:t>14</w:t>
      </w:r>
      <w:r>
        <w:rPr>
          <w:rFonts w:hint="eastAsia" w:hAnsi="宋体"/>
          <w:color w:val="auto"/>
          <w:sz w:val="24"/>
          <w:szCs w:val="18"/>
        </w:rPr>
        <w:t>天内，未能采取加快工程进度的措施，致使实际进度进一步延迟；或承包人虽然采取了改进措施，仍无法按期竣工，监理工程师应立即报告发包人，并抄送承包人。发包人可按照第</w:t>
      </w:r>
      <w:r>
        <w:rPr>
          <w:rFonts w:hAnsi="宋体"/>
          <w:color w:val="auto"/>
          <w:sz w:val="24"/>
          <w:szCs w:val="18"/>
        </w:rPr>
        <w:t>87.3</w:t>
      </w:r>
      <w:r>
        <w:rPr>
          <w:rFonts w:hint="eastAsia" w:hAnsi="宋体"/>
          <w:color w:val="auto"/>
          <w:sz w:val="24"/>
          <w:szCs w:val="18"/>
        </w:rPr>
        <w:t>款规定解除合同，也可将合同工程中的一部分工作交由第三方完成，由此增加的一切费用由承包人承担。即使承包人承担增加的费用，也不能免除其按照合同约定应承担的任何责任和应履行的任何义务。</w:t>
      </w:r>
    </w:p>
    <w:p w14:paraId="1C6384AD">
      <w:pPr>
        <w:pStyle w:val="2"/>
        <w:tabs>
          <w:tab w:val="left" w:pos="1320"/>
        </w:tabs>
        <w:adjustRightInd w:val="0"/>
        <w:snapToGrid w:val="0"/>
        <w:spacing w:line="360" w:lineRule="auto"/>
        <w:rPr>
          <w:rFonts w:hAnsi="宋体"/>
          <w:b/>
          <w:color w:val="auto"/>
          <w:sz w:val="24"/>
          <w:szCs w:val="18"/>
          <w:u w:val="dotted"/>
        </w:rPr>
      </w:pPr>
      <w:r>
        <w:rPr>
          <w:color w:val="auto"/>
        </w:rPr>
        <mc:AlternateContent>
          <mc:Choice Requires="wps">
            <w:drawing>
              <wp:anchor distT="0" distB="0" distL="114300" distR="114300" simplePos="0" relativeHeight="251811840" behindDoc="0" locked="0" layoutInCell="1" allowOverlap="1">
                <wp:simplePos x="0" y="0"/>
                <wp:positionH relativeFrom="column">
                  <wp:posOffset>-114300</wp:posOffset>
                </wp:positionH>
                <wp:positionV relativeFrom="paragraph">
                  <wp:posOffset>278130</wp:posOffset>
                </wp:positionV>
                <wp:extent cx="914400" cy="494665"/>
                <wp:effectExtent l="0" t="0" r="0" b="0"/>
                <wp:wrapNone/>
                <wp:docPr id="150" name="文本框 150"/>
                <wp:cNvGraphicFramePr/>
                <a:graphic xmlns:a="http://schemas.openxmlformats.org/drawingml/2006/main">
                  <a:graphicData uri="http://schemas.microsoft.com/office/word/2010/wordprocessingShape">
                    <wps:wsp>
                      <wps:cNvSpPr txBox="1"/>
                      <wps:spPr>
                        <a:xfrm>
                          <a:off x="0" y="0"/>
                          <a:ext cx="914400" cy="494665"/>
                        </a:xfrm>
                        <a:prstGeom prst="rect">
                          <a:avLst/>
                        </a:prstGeom>
                        <a:noFill/>
                        <a:ln>
                          <a:noFill/>
                        </a:ln>
                        <a:effectLst/>
                      </wps:spPr>
                      <wps:txbx>
                        <w:txbxContent>
                          <w:p w14:paraId="68EF0C9E">
                            <w:pPr>
                              <w:rPr>
                                <w:rFonts w:ascii="楷体_GB2312" w:hAnsi="宋体" w:eastAsia="楷体_GB2312"/>
                                <w:b/>
                                <w:color w:val="000000"/>
                                <w:sz w:val="18"/>
                                <w:szCs w:val="18"/>
                              </w:rPr>
                            </w:pPr>
                            <w:r>
                              <w:rPr>
                                <w:rFonts w:hint="eastAsia" w:ascii="楷体_GB2312" w:hAnsi="宋体" w:eastAsia="楷体_GB2312"/>
                                <w:b/>
                                <w:color w:val="000000"/>
                                <w:sz w:val="18"/>
                                <w:szCs w:val="18"/>
                              </w:rPr>
                              <w:t>发包人原因加快进度的要求</w:t>
                            </w:r>
                          </w:p>
                        </w:txbxContent>
                      </wps:txbx>
                      <wps:bodyPr upright="1"/>
                    </wps:wsp>
                  </a:graphicData>
                </a:graphic>
              </wp:anchor>
            </w:drawing>
          </mc:Choice>
          <mc:Fallback>
            <w:pict>
              <v:shape id="_x0000_s1026" o:spid="_x0000_s1026" o:spt="202" type="#_x0000_t202" style="position:absolute;left:0pt;margin-left:-9pt;margin-top:21.9pt;height:38.95pt;width:72pt;z-index:251811840;mso-width-relative:page;mso-height-relative:page;" filled="f" stroked="f" coordsize="21600,21600" o:gfxdata="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NZ9r&#10;vNcAAAAKAQAADwAAAAAAAAABACAAAAAiAAAAZHJzL2Rvd25yZXYueG1sUEsBAhQAFAAAAAgAh07i&#10;QMgBsdWxAQAAXwMAAA4AAAAAAAAAAQAgAAAAJgEAAGRycy9lMm9Eb2MueG1sUEsFBgAAAAAGAAYA&#10;WQEAAEkFAAAAAA==&#10;">
                <v:fill on="f" focussize="0,0"/>
                <v:stroke on="f"/>
                <v:imagedata o:title=""/>
                <o:lock v:ext="edit" aspectratio="f"/>
                <v:textbox>
                  <w:txbxContent>
                    <w:p w14:paraId="68EF0C9E">
                      <w:pPr>
                        <w:rPr>
                          <w:rFonts w:ascii="楷体_GB2312" w:hAnsi="宋体" w:eastAsia="楷体_GB2312"/>
                          <w:b/>
                          <w:color w:val="000000"/>
                          <w:sz w:val="18"/>
                          <w:szCs w:val="18"/>
                        </w:rPr>
                      </w:pPr>
                      <w:r>
                        <w:rPr>
                          <w:rFonts w:hint="eastAsia" w:ascii="楷体_GB2312" w:hAnsi="宋体" w:eastAsia="楷体_GB2312"/>
                          <w:b/>
                          <w:color w:val="000000"/>
                          <w:sz w:val="18"/>
                          <w:szCs w:val="18"/>
                        </w:rPr>
                        <w:t>发包人原因加快进度的要求</w:t>
                      </w:r>
                    </w:p>
                  </w:txbxContent>
                </v:textbox>
              </v:shape>
            </w:pict>
          </mc:Fallback>
        </mc:AlternateContent>
      </w:r>
      <w:r>
        <w:rPr>
          <w:rFonts w:hAnsi="宋体"/>
          <w:b/>
          <w:color w:val="auto"/>
          <w:sz w:val="24"/>
          <w:szCs w:val="18"/>
        </w:rPr>
        <w:t xml:space="preserve">37.2  </w:t>
      </w:r>
    </w:p>
    <w:p w14:paraId="6CAF84AB">
      <w:pPr>
        <w:pStyle w:val="2"/>
        <w:adjustRightInd w:val="0"/>
        <w:snapToGrid w:val="0"/>
        <w:spacing w:line="360" w:lineRule="auto"/>
        <w:ind w:left="1619" w:leftChars="771"/>
        <w:rPr>
          <w:rFonts w:hAnsi="宋体"/>
          <w:color w:val="auto"/>
          <w:sz w:val="24"/>
          <w:szCs w:val="18"/>
        </w:rPr>
      </w:pPr>
      <w:r>
        <w:rPr>
          <w:rFonts w:hint="eastAsia" w:hAnsi="宋体"/>
          <w:color w:val="auto"/>
          <w:sz w:val="24"/>
          <w:szCs w:val="18"/>
        </w:rPr>
        <w:t>如果发包人希望承包人提前竣工，那么发包人可要求承包人提交为加快进度而编制的提前竣工建议书。承包人应在接到发包人要求后的</w:t>
      </w:r>
      <w:r>
        <w:rPr>
          <w:rFonts w:hAnsi="宋体"/>
          <w:color w:val="auto"/>
          <w:sz w:val="24"/>
          <w:szCs w:val="18"/>
        </w:rPr>
        <w:t>7</w:t>
      </w:r>
      <w:r>
        <w:rPr>
          <w:rFonts w:hint="eastAsia" w:hAnsi="宋体"/>
          <w:color w:val="auto"/>
          <w:sz w:val="24"/>
          <w:szCs w:val="18"/>
        </w:rPr>
        <w:t>天内完成编制并向发包人提交提前竣工建议书，该建议书的内容至少应包括：</w:t>
      </w:r>
    </w:p>
    <w:p w14:paraId="36F40B71">
      <w:pPr>
        <w:pStyle w:val="2"/>
        <w:numPr>
          <w:ilvl w:val="0"/>
          <w:numId w:val="20"/>
        </w:numPr>
        <w:tabs>
          <w:tab w:val="left" w:pos="1980"/>
        </w:tabs>
        <w:adjustRightInd w:val="0"/>
        <w:snapToGrid w:val="0"/>
        <w:spacing w:line="360" w:lineRule="auto"/>
        <w:ind w:left="1620" w:firstLine="0"/>
        <w:rPr>
          <w:rFonts w:hAnsi="宋体"/>
          <w:color w:val="auto"/>
          <w:sz w:val="24"/>
          <w:szCs w:val="18"/>
        </w:rPr>
      </w:pPr>
      <w:r>
        <w:rPr>
          <w:rFonts w:hint="eastAsia" w:hAnsi="宋体"/>
          <w:color w:val="auto"/>
          <w:sz w:val="24"/>
          <w:szCs w:val="18"/>
        </w:rPr>
        <w:t>加快进度拟采取的措施；</w:t>
      </w:r>
    </w:p>
    <w:p w14:paraId="7433B261">
      <w:pPr>
        <w:pStyle w:val="2"/>
        <w:numPr>
          <w:ilvl w:val="0"/>
          <w:numId w:val="20"/>
        </w:numPr>
        <w:tabs>
          <w:tab w:val="left" w:pos="1980"/>
        </w:tabs>
        <w:adjustRightInd w:val="0"/>
        <w:snapToGrid w:val="0"/>
        <w:spacing w:line="360" w:lineRule="auto"/>
        <w:ind w:left="1620" w:firstLine="0"/>
        <w:rPr>
          <w:rFonts w:hAnsi="宋体"/>
          <w:color w:val="auto"/>
          <w:sz w:val="24"/>
          <w:szCs w:val="18"/>
        </w:rPr>
      </w:pPr>
      <w:r>
        <w:rPr>
          <w:rFonts w:hint="eastAsia" w:hAnsi="宋体"/>
          <w:color w:val="auto"/>
          <w:sz w:val="24"/>
          <w:szCs w:val="18"/>
        </w:rPr>
        <w:t>加快进度后的进度计划</w:t>
      </w:r>
      <w:r>
        <w:rPr>
          <w:rFonts w:hAnsi="宋体"/>
          <w:color w:val="auto"/>
          <w:sz w:val="24"/>
          <w:szCs w:val="18"/>
        </w:rPr>
        <w:t>,</w:t>
      </w:r>
      <w:r>
        <w:rPr>
          <w:rFonts w:hint="eastAsia" w:hAnsi="宋体"/>
          <w:color w:val="auto"/>
          <w:sz w:val="24"/>
          <w:szCs w:val="18"/>
        </w:rPr>
        <w:t>以及与原计划的对比；</w:t>
      </w:r>
    </w:p>
    <w:p w14:paraId="775A7926">
      <w:pPr>
        <w:pStyle w:val="2"/>
        <w:numPr>
          <w:ilvl w:val="0"/>
          <w:numId w:val="20"/>
        </w:numPr>
        <w:tabs>
          <w:tab w:val="left" w:pos="1980"/>
        </w:tabs>
        <w:adjustRightInd w:val="0"/>
        <w:snapToGrid w:val="0"/>
        <w:spacing w:line="360" w:lineRule="auto"/>
        <w:ind w:left="1620" w:firstLine="0"/>
        <w:rPr>
          <w:rFonts w:hAnsi="宋体"/>
          <w:color w:val="auto"/>
          <w:sz w:val="24"/>
          <w:szCs w:val="18"/>
        </w:rPr>
      </w:pPr>
      <w:r>
        <w:rPr>
          <w:rFonts w:hint="eastAsia" w:hAnsi="宋体"/>
          <w:color w:val="auto"/>
          <w:sz w:val="24"/>
          <w:szCs w:val="18"/>
        </w:rPr>
        <w:t>加快进度所需的合同价款增加额（含第</w:t>
      </w:r>
      <w:r>
        <w:rPr>
          <w:rFonts w:hAnsi="宋体"/>
          <w:color w:val="auto"/>
          <w:sz w:val="24"/>
          <w:szCs w:val="18"/>
        </w:rPr>
        <w:t>66.1</w:t>
      </w:r>
      <w:r>
        <w:rPr>
          <w:rFonts w:hint="eastAsia" w:hAnsi="宋体"/>
          <w:color w:val="auto"/>
          <w:sz w:val="24"/>
          <w:szCs w:val="18"/>
        </w:rPr>
        <w:t>款规定的提前竣工奖）。该增加额按照第</w:t>
      </w:r>
      <w:r>
        <w:rPr>
          <w:rFonts w:hAnsi="宋体"/>
          <w:color w:val="auto"/>
          <w:sz w:val="24"/>
          <w:szCs w:val="18"/>
        </w:rPr>
        <w:t>72.2</w:t>
      </w:r>
      <w:r>
        <w:rPr>
          <w:rFonts w:hint="eastAsia" w:hAnsi="宋体"/>
          <w:color w:val="auto"/>
          <w:sz w:val="24"/>
          <w:szCs w:val="18"/>
        </w:rPr>
        <w:t>款、第</w:t>
      </w:r>
      <w:r>
        <w:rPr>
          <w:rFonts w:hAnsi="宋体"/>
          <w:color w:val="auto"/>
          <w:sz w:val="24"/>
          <w:szCs w:val="18"/>
        </w:rPr>
        <w:t>72.3</w:t>
      </w:r>
      <w:r>
        <w:rPr>
          <w:rFonts w:hint="eastAsia" w:hAnsi="宋体"/>
          <w:color w:val="auto"/>
          <w:sz w:val="24"/>
          <w:szCs w:val="18"/>
        </w:rPr>
        <w:t>款和第</w:t>
      </w:r>
      <w:r>
        <w:rPr>
          <w:rFonts w:hAnsi="宋体"/>
          <w:color w:val="auto"/>
          <w:sz w:val="24"/>
          <w:szCs w:val="18"/>
        </w:rPr>
        <w:t>72.5</w:t>
      </w:r>
      <w:r>
        <w:rPr>
          <w:rFonts w:hint="eastAsia" w:hAnsi="宋体"/>
          <w:color w:val="auto"/>
          <w:sz w:val="24"/>
          <w:szCs w:val="18"/>
        </w:rPr>
        <w:t>款规定计算。</w:t>
      </w:r>
    </w:p>
    <w:p w14:paraId="1ED5B5D2">
      <w:pPr>
        <w:pStyle w:val="2"/>
        <w:adjustRightInd w:val="0"/>
        <w:snapToGrid w:val="0"/>
        <w:spacing w:line="360" w:lineRule="auto"/>
        <w:ind w:left="1617" w:leftChars="770" w:firstLine="1"/>
        <w:rPr>
          <w:rFonts w:hAnsi="宋体"/>
          <w:color w:val="auto"/>
          <w:sz w:val="24"/>
          <w:szCs w:val="18"/>
        </w:rPr>
      </w:pPr>
      <w:r>
        <w:rPr>
          <w:rFonts w:hint="eastAsia" w:hAnsi="宋体"/>
          <w:color w:val="auto"/>
          <w:sz w:val="24"/>
          <w:szCs w:val="18"/>
        </w:rPr>
        <w:t>发包人应在接到建议书后的</w:t>
      </w:r>
      <w:r>
        <w:rPr>
          <w:rFonts w:hAnsi="宋体"/>
          <w:color w:val="auto"/>
          <w:sz w:val="24"/>
          <w:szCs w:val="18"/>
        </w:rPr>
        <w:t>7</w:t>
      </w:r>
      <w:r>
        <w:rPr>
          <w:rFonts w:hint="eastAsia" w:hAnsi="宋体"/>
          <w:color w:val="auto"/>
          <w:sz w:val="24"/>
          <w:szCs w:val="18"/>
        </w:rPr>
        <w:t>天内予以答复。如果发包人接受了该建议书，则监理工程师应以书面形式发出变更指令，相应调整工期；造价工程师应核实并相应调整合同价款。</w:t>
      </w:r>
    </w:p>
    <w:p w14:paraId="7C2064C7">
      <w:pPr>
        <w:pStyle w:val="2"/>
        <w:adjustRightInd w:val="0"/>
        <w:snapToGrid w:val="0"/>
        <w:spacing w:line="360" w:lineRule="auto"/>
        <w:ind w:right="-240"/>
        <w:rPr>
          <w:color w:val="auto"/>
        </w:rPr>
      </w:pPr>
    </w:p>
    <w:p w14:paraId="37D9DCE9">
      <w:pPr>
        <w:pStyle w:val="2"/>
        <w:tabs>
          <w:tab w:val="left" w:pos="540"/>
        </w:tabs>
        <w:adjustRightInd w:val="0"/>
        <w:snapToGrid w:val="0"/>
        <w:spacing w:before="240" w:beforeLines="100" w:line="360" w:lineRule="auto"/>
        <w:ind w:right="-238"/>
        <w:rPr>
          <w:rFonts w:hAnsi="宋体"/>
          <w:b/>
          <w:color w:val="auto"/>
          <w:sz w:val="30"/>
          <w:szCs w:val="24"/>
        </w:rPr>
      </w:pPr>
      <w:r>
        <w:rPr>
          <w:rFonts w:hAnsi="宋体"/>
          <w:b/>
          <w:color w:val="auto"/>
          <w:sz w:val="30"/>
          <w:szCs w:val="24"/>
        </w:rPr>
        <w:t xml:space="preserve">38  </w:t>
      </w:r>
      <w:r>
        <w:rPr>
          <w:rFonts w:hint="eastAsia" w:hAnsi="宋体"/>
          <w:b/>
          <w:color w:val="auto"/>
          <w:sz w:val="30"/>
          <w:szCs w:val="24"/>
        </w:rPr>
        <w:t>竣工日期</w:t>
      </w:r>
    </w:p>
    <w:p w14:paraId="60C2A817">
      <w:pPr>
        <w:pStyle w:val="2"/>
        <w:adjustRightInd w:val="0"/>
        <w:snapToGrid w:val="0"/>
        <w:spacing w:line="360" w:lineRule="auto"/>
        <w:rPr>
          <w:rFonts w:hAnsi="宋体"/>
          <w:b/>
          <w:color w:val="auto"/>
          <w:sz w:val="24"/>
          <w:szCs w:val="18"/>
        </w:rPr>
      </w:pPr>
      <w:r>
        <w:rPr>
          <w:color w:val="auto"/>
        </w:rPr>
        <mc:AlternateContent>
          <mc:Choice Requires="wps">
            <w:drawing>
              <wp:anchor distT="0" distB="0" distL="114300" distR="114300" simplePos="0" relativeHeight="251812864" behindDoc="0" locked="0" layoutInCell="1" allowOverlap="1">
                <wp:simplePos x="0" y="0"/>
                <wp:positionH relativeFrom="column">
                  <wp:posOffset>-133350</wp:posOffset>
                </wp:positionH>
                <wp:positionV relativeFrom="paragraph">
                  <wp:posOffset>135890</wp:posOffset>
                </wp:positionV>
                <wp:extent cx="977900" cy="396240"/>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a:effectLst/>
                      </wps:spPr>
                      <wps:txbx>
                        <w:txbxContent>
                          <w:p w14:paraId="396BE85E">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约定计划竣工日期</w:t>
                            </w:r>
                          </w:p>
                        </w:txbxContent>
                      </wps:txbx>
                      <wps:bodyPr upright="1"/>
                    </wps:wsp>
                  </a:graphicData>
                </a:graphic>
              </wp:anchor>
            </w:drawing>
          </mc:Choice>
          <mc:Fallback>
            <w:pict>
              <v:shape id="_x0000_s1026" o:spid="_x0000_s1026" o:spt="202" type="#_x0000_t202" style="position:absolute;left:0pt;margin-left:-10.5pt;margin-top:10.7pt;height:31.2pt;width:77pt;z-index:251812864;mso-width-relative:page;mso-height-relative:page;" filled="f" stroked="f" coordsize="21600,21600" o:gfxdata="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q&#10;OHVX1wAAAAkBAAAPAAAAAAAAAAEAIAAAACIAAABkcnMvZG93bnJldi54bWxQSwECFAAUAAAACACH&#10;TuJAxh/kubMBAABfAwAADgAAAAAAAAABACAAAAAmAQAAZHJzL2Uyb0RvYy54bWxQSwUGAAAAAAYA&#10;BgBZAQAASwUAAAAA&#10;">
                <v:fill on="f" focussize="0,0"/>
                <v:stroke on="f"/>
                <v:imagedata o:title=""/>
                <o:lock v:ext="edit" aspectratio="f"/>
                <v:textbox>
                  <w:txbxContent>
                    <w:p w14:paraId="396BE85E">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约定计划竣工日期</w:t>
                      </w:r>
                    </w:p>
                  </w:txbxContent>
                </v:textbox>
              </v:shape>
            </w:pict>
          </mc:Fallback>
        </mc:AlternateContent>
      </w:r>
      <w:r>
        <w:rPr>
          <w:rFonts w:hAnsi="宋体"/>
          <w:b/>
          <w:color w:val="auto"/>
          <w:sz w:val="24"/>
          <w:szCs w:val="18"/>
        </w:rPr>
        <w:t xml:space="preserve">38.1   </w:t>
      </w:r>
    </w:p>
    <w:p w14:paraId="41B4E7C9">
      <w:pPr>
        <w:pStyle w:val="2"/>
        <w:adjustRightInd w:val="0"/>
        <w:snapToGrid w:val="0"/>
        <w:spacing w:line="360" w:lineRule="auto"/>
        <w:ind w:left="1619" w:leftChars="771"/>
        <w:rPr>
          <w:rFonts w:hAnsi="宋体"/>
          <w:color w:val="auto"/>
          <w:sz w:val="24"/>
          <w:szCs w:val="18"/>
        </w:rPr>
      </w:pPr>
      <w:r>
        <w:rPr>
          <w:rFonts w:hint="eastAsia" w:hAnsi="宋体"/>
          <w:color w:val="auto"/>
          <w:sz w:val="24"/>
          <w:szCs w:val="18"/>
        </w:rPr>
        <w:t>合同双方当事人应在协议书和专用条款中约定合同工程的计划竣工日期。</w:t>
      </w:r>
    </w:p>
    <w:p w14:paraId="2055A52F">
      <w:pPr>
        <w:pStyle w:val="2"/>
        <w:adjustRightInd w:val="0"/>
        <w:snapToGrid w:val="0"/>
        <w:spacing w:line="360" w:lineRule="auto"/>
        <w:rPr>
          <w:rFonts w:hAnsi="宋体"/>
          <w:b/>
          <w:color w:val="auto"/>
          <w:sz w:val="24"/>
          <w:szCs w:val="18"/>
          <w:u w:val="dotted"/>
        </w:rPr>
      </w:pPr>
      <w:r>
        <w:rPr>
          <w:rFonts w:hAnsi="宋体"/>
          <w:b/>
          <w:color w:val="auto"/>
          <w:sz w:val="24"/>
          <w:szCs w:val="18"/>
        </w:rPr>
        <w:t xml:space="preserve">38.2  </w:t>
      </w:r>
    </w:p>
    <w:p w14:paraId="645B46F9">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1813888" behindDoc="0" locked="0" layoutInCell="1" allowOverlap="1">
                <wp:simplePos x="0" y="0"/>
                <wp:positionH relativeFrom="column">
                  <wp:posOffset>-114300</wp:posOffset>
                </wp:positionH>
                <wp:positionV relativeFrom="paragraph">
                  <wp:posOffset>5715</wp:posOffset>
                </wp:positionV>
                <wp:extent cx="977900" cy="396240"/>
                <wp:effectExtent l="0" t="0" r="0" b="0"/>
                <wp:wrapNone/>
                <wp:docPr id="152" name="文本框 152"/>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a:effectLst/>
                      </wps:spPr>
                      <wps:txbx>
                        <w:txbxContent>
                          <w:p w14:paraId="5B4F4C5C">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实际竣工日期的确定</w:t>
                            </w:r>
                          </w:p>
                        </w:txbxContent>
                      </wps:txbx>
                      <wps:bodyPr upright="1"/>
                    </wps:wsp>
                  </a:graphicData>
                </a:graphic>
              </wp:anchor>
            </w:drawing>
          </mc:Choice>
          <mc:Fallback>
            <w:pict>
              <v:shape id="_x0000_s1026" o:spid="_x0000_s1026" o:spt="202" type="#_x0000_t202" style="position:absolute;left:0pt;margin-left:-9pt;margin-top:0.45pt;height:31.2pt;width:77pt;z-index:251813888;mso-width-relative:page;mso-height-relative:page;" filled="f" stroked="f" coordsize="21600,21600"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ECZ&#10;ocbVAAAABwEAAA8AAAAAAAAAAQAgAAAAIgAAAGRycy9kb3ducmV2LnhtbFBLAQIUABQAAAAIAIdO&#10;4kAmEcidtAEAAF8DAAAOAAAAAAAAAAEAIAAAACQBAABkcnMvZTJvRG9jLnhtbFBLBQYAAAAABgAG&#10;AFkBAABKBQAAAAA=&#10;">
                <v:fill on="f" focussize="0,0"/>
                <v:stroke on="f"/>
                <v:imagedata o:title=""/>
                <o:lock v:ext="edit" aspectratio="f"/>
                <v:textbox>
                  <w:txbxContent>
                    <w:p w14:paraId="5B4F4C5C">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实际竣工日期的确定</w:t>
                      </w:r>
                    </w:p>
                  </w:txbxContent>
                </v:textbox>
              </v:shape>
            </w:pict>
          </mc:Fallback>
        </mc:AlternateContent>
      </w:r>
      <w:r>
        <w:rPr>
          <w:rFonts w:hint="eastAsia" w:hAnsi="宋体"/>
          <w:color w:val="auto"/>
          <w:sz w:val="24"/>
          <w:szCs w:val="18"/>
        </w:rPr>
        <w:t>除发生不可抗力事件致使发包人不能按时竣工验收外，实际竣工日期按照下列情况分别确定：</w:t>
      </w:r>
    </w:p>
    <w:p w14:paraId="3BDAAA4C">
      <w:pPr>
        <w:pStyle w:val="2"/>
        <w:numPr>
          <w:ilvl w:val="0"/>
          <w:numId w:val="21"/>
        </w:numPr>
        <w:tabs>
          <w:tab w:val="left" w:pos="1980"/>
          <w:tab w:val="left" w:pos="2160"/>
        </w:tabs>
        <w:adjustRightInd w:val="0"/>
        <w:snapToGrid w:val="0"/>
        <w:spacing w:line="360" w:lineRule="auto"/>
        <w:ind w:left="1619" w:leftChars="771" w:firstLine="0"/>
        <w:rPr>
          <w:rFonts w:hAnsi="宋体"/>
          <w:color w:val="auto"/>
          <w:sz w:val="24"/>
          <w:szCs w:val="18"/>
        </w:rPr>
      </w:pPr>
      <w:r>
        <w:rPr>
          <w:rFonts w:hint="eastAsia" w:hAnsi="宋体"/>
          <w:color w:val="auto"/>
          <w:sz w:val="24"/>
          <w:szCs w:val="18"/>
        </w:rPr>
        <w:t>工程经竣工验收合格的，以承包人提交竣工验收申请报告之日为实际竣工日期；</w:t>
      </w:r>
    </w:p>
    <w:p w14:paraId="6C86AA56">
      <w:pPr>
        <w:pStyle w:val="2"/>
        <w:tabs>
          <w:tab w:val="left" w:pos="1980"/>
          <w:tab w:val="left" w:pos="2160"/>
        </w:tabs>
        <w:adjustRightInd w:val="0"/>
        <w:snapToGrid w:val="0"/>
        <w:spacing w:line="360" w:lineRule="auto"/>
        <w:ind w:left="1613"/>
        <w:rPr>
          <w:rFonts w:hAnsi="宋体"/>
          <w:color w:val="auto"/>
          <w:sz w:val="24"/>
          <w:szCs w:val="18"/>
        </w:rPr>
      </w:pPr>
      <w:r>
        <w:rPr>
          <w:rFonts w:hAnsi="宋体"/>
          <w:color w:val="auto"/>
          <w:sz w:val="24"/>
          <w:szCs w:val="18"/>
        </w:rPr>
        <w:t>(2)</w:t>
      </w:r>
      <w:r>
        <w:rPr>
          <w:rFonts w:hint="eastAsia" w:hAnsi="宋体"/>
          <w:color w:val="auto"/>
          <w:sz w:val="24"/>
          <w:szCs w:val="18"/>
        </w:rPr>
        <w:t>承包人已按照第</w:t>
      </w:r>
      <w:r>
        <w:rPr>
          <w:rFonts w:hAnsi="宋体"/>
          <w:color w:val="auto"/>
          <w:sz w:val="24"/>
          <w:szCs w:val="18"/>
        </w:rPr>
        <w:t>57.2</w:t>
      </w:r>
      <w:r>
        <w:rPr>
          <w:rFonts w:hint="eastAsia" w:hAnsi="宋体"/>
          <w:color w:val="auto"/>
          <w:sz w:val="24"/>
          <w:szCs w:val="18"/>
        </w:rPr>
        <w:t>款规定提交竣工验收申请报告，但发包人未按照第</w:t>
      </w:r>
      <w:r>
        <w:rPr>
          <w:rFonts w:hAnsi="宋体"/>
          <w:color w:val="auto"/>
          <w:sz w:val="24"/>
          <w:szCs w:val="18"/>
        </w:rPr>
        <w:t>58.3</w:t>
      </w:r>
      <w:r>
        <w:rPr>
          <w:rFonts w:hint="eastAsia" w:hAnsi="宋体"/>
          <w:color w:val="auto"/>
          <w:sz w:val="24"/>
          <w:szCs w:val="18"/>
        </w:rPr>
        <w:t>款规定完成合同工程验收的，以承包人提交竣工验收申请报告之日为实际竣工日期；</w:t>
      </w:r>
    </w:p>
    <w:p w14:paraId="0A6A7709">
      <w:pPr>
        <w:pStyle w:val="2"/>
        <w:tabs>
          <w:tab w:val="left" w:pos="1980"/>
          <w:tab w:val="left" w:pos="2160"/>
        </w:tabs>
        <w:adjustRightInd w:val="0"/>
        <w:snapToGrid w:val="0"/>
        <w:spacing w:line="360" w:lineRule="auto"/>
        <w:ind w:left="1617"/>
        <w:rPr>
          <w:rFonts w:hAnsi="宋体"/>
          <w:color w:val="auto"/>
          <w:sz w:val="24"/>
          <w:szCs w:val="18"/>
        </w:rPr>
      </w:pPr>
      <w:r>
        <w:rPr>
          <w:rFonts w:hAnsi="宋体"/>
          <w:color w:val="auto"/>
          <w:sz w:val="24"/>
          <w:szCs w:val="18"/>
        </w:rPr>
        <w:t>(3)</w:t>
      </w:r>
      <w:r>
        <w:rPr>
          <w:rFonts w:hint="eastAsia" w:hAnsi="宋体"/>
          <w:color w:val="auto"/>
          <w:sz w:val="24"/>
          <w:szCs w:val="18"/>
        </w:rPr>
        <w:t>工程未经竣工验收，发包人擅自使用的，以转移占有工程之日为实际竣工日期。</w:t>
      </w:r>
    </w:p>
    <w:p w14:paraId="4DC4DC53">
      <w:pPr>
        <w:pStyle w:val="2"/>
        <w:adjustRightInd w:val="0"/>
        <w:snapToGrid w:val="0"/>
        <w:spacing w:line="360" w:lineRule="auto"/>
        <w:ind w:left="1626" w:leftChars="1" w:right="-2" w:hanging="1624" w:hangingChars="674"/>
        <w:rPr>
          <w:rFonts w:hAnsi="宋体"/>
          <w:b/>
          <w:color w:val="auto"/>
          <w:sz w:val="24"/>
          <w:szCs w:val="18"/>
          <w:u w:val="dotted"/>
        </w:rPr>
      </w:pPr>
      <w:r>
        <w:rPr>
          <w:rFonts w:hAnsi="宋体"/>
          <w:b/>
          <w:color w:val="auto"/>
          <w:sz w:val="24"/>
          <w:szCs w:val="18"/>
        </w:rPr>
        <w:t xml:space="preserve">38.3  </w:t>
      </w:r>
    </w:p>
    <w:p w14:paraId="09EDF2BB">
      <w:pPr>
        <w:pStyle w:val="3"/>
        <w:adjustRightInd w:val="0"/>
        <w:snapToGrid w:val="0"/>
        <w:spacing w:line="360" w:lineRule="auto"/>
        <w:ind w:left="1619" w:leftChars="771" w:firstLine="0"/>
        <w:rPr>
          <w:rFonts w:ascii="宋体"/>
          <w:color w:val="auto"/>
          <w:sz w:val="24"/>
          <w:szCs w:val="18"/>
        </w:rPr>
      </w:pPr>
      <w:r>
        <w:rPr>
          <w:color w:val="auto"/>
        </w:rPr>
        <mc:AlternateContent>
          <mc:Choice Requires="wps">
            <w:drawing>
              <wp:anchor distT="0" distB="0" distL="114300" distR="114300" simplePos="0" relativeHeight="251814912" behindDoc="0" locked="0" layoutInCell="1" allowOverlap="1">
                <wp:simplePos x="0" y="0"/>
                <wp:positionH relativeFrom="column">
                  <wp:posOffset>-114300</wp:posOffset>
                </wp:positionH>
                <wp:positionV relativeFrom="paragraph">
                  <wp:posOffset>268605</wp:posOffset>
                </wp:positionV>
                <wp:extent cx="914400" cy="483870"/>
                <wp:effectExtent l="0" t="0" r="0" b="0"/>
                <wp:wrapNone/>
                <wp:docPr id="153" name="文本框 153"/>
                <wp:cNvGraphicFramePr/>
                <a:graphic xmlns:a="http://schemas.openxmlformats.org/drawingml/2006/main">
                  <a:graphicData uri="http://schemas.microsoft.com/office/word/2010/wordprocessingShape">
                    <wps:wsp>
                      <wps:cNvSpPr txBox="1"/>
                      <wps:spPr>
                        <a:xfrm>
                          <a:off x="0" y="0"/>
                          <a:ext cx="914400" cy="483870"/>
                        </a:xfrm>
                        <a:prstGeom prst="rect">
                          <a:avLst/>
                        </a:prstGeom>
                        <a:noFill/>
                        <a:ln>
                          <a:noFill/>
                        </a:ln>
                        <a:effectLst/>
                      </wps:spPr>
                      <wps:txbx>
                        <w:txbxContent>
                          <w:p w14:paraId="5F6881C1">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延迟竣工的责任</w:t>
                            </w:r>
                          </w:p>
                        </w:txbxContent>
                      </wps:txbx>
                      <wps:bodyPr upright="1"/>
                    </wps:wsp>
                  </a:graphicData>
                </a:graphic>
              </wp:anchor>
            </w:drawing>
          </mc:Choice>
          <mc:Fallback>
            <w:pict>
              <v:shape id="_x0000_s1026" o:spid="_x0000_s1026" o:spt="202" type="#_x0000_t202" style="position:absolute;left:0pt;margin-left:-9pt;margin-top:21.15pt;height:38.1pt;width:72pt;z-index:251814912;mso-width-relative:page;mso-height-relative:page;" filled="f" stroked="f" coordsize="21600,21600" o:gfxdata="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L5kyQNgAAAAKAQAADwAAAAAAAAABACAAAAAiAAAAZHJzL2Rvd25yZXYueG1sUEsBAhQAFAAAAAgA&#10;h07iQGFc7fSzAQAAXwMAAA4AAAAAAAAAAQAgAAAAJwEAAGRycy9lMm9Eb2MueG1sUEsFBgAAAAAG&#10;AAYAWQEAAEwFAAAAAA==&#10;">
                <v:fill on="f" focussize="0,0"/>
                <v:stroke on="f"/>
                <v:imagedata o:title=""/>
                <o:lock v:ext="edit" aspectratio="f"/>
                <v:textbox>
                  <w:txbxContent>
                    <w:p w14:paraId="5F6881C1">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延迟竣工的责任</w:t>
                      </w:r>
                    </w:p>
                  </w:txbxContent>
                </v:textbox>
              </v:shape>
            </w:pict>
          </mc:Fallback>
        </mc:AlternateContent>
      </w:r>
      <w:r>
        <w:rPr>
          <w:rFonts w:hint="eastAsia" w:ascii="宋体" w:hAnsi="宋体"/>
          <w:color w:val="auto"/>
          <w:sz w:val="24"/>
          <w:szCs w:val="18"/>
        </w:rPr>
        <w:t>因发包人的原因导致实际竣工日期迟于计划竣工日期的，发包人应承担由此增加的费用和（或）延误的工期，并向承包人支付合理利润。</w:t>
      </w:r>
    </w:p>
    <w:p w14:paraId="5570BEE8">
      <w:pPr>
        <w:spacing w:line="360" w:lineRule="auto"/>
        <w:ind w:left="1619" w:leftChars="771" w:firstLine="60" w:firstLineChars="25"/>
        <w:rPr>
          <w:rFonts w:ascii="宋体"/>
          <w:caps/>
          <w:color w:val="auto"/>
          <w:sz w:val="24"/>
          <w:szCs w:val="18"/>
        </w:rPr>
      </w:pPr>
      <w:r>
        <w:rPr>
          <w:rFonts w:hint="eastAsia" w:ascii="宋体" w:hAnsi="宋体"/>
          <w:color w:val="auto"/>
          <w:sz w:val="24"/>
          <w:szCs w:val="18"/>
        </w:rPr>
        <w:t>因承包人的原因导致实际竣工日期迟于计划竣工日期的，承包人应按照第</w:t>
      </w:r>
      <w:r>
        <w:rPr>
          <w:rFonts w:ascii="宋体" w:hAnsi="宋体"/>
          <w:color w:val="auto"/>
          <w:sz w:val="24"/>
          <w:szCs w:val="18"/>
        </w:rPr>
        <w:t>40</w:t>
      </w:r>
      <w:r>
        <w:rPr>
          <w:rFonts w:hint="eastAsia" w:ascii="宋体" w:hAnsi="宋体"/>
          <w:color w:val="auto"/>
          <w:sz w:val="24"/>
          <w:szCs w:val="18"/>
        </w:rPr>
        <w:t>条规定</w:t>
      </w:r>
      <w:r>
        <w:rPr>
          <w:rFonts w:hint="eastAsia" w:ascii="宋体" w:hAnsi="宋体"/>
          <w:caps/>
          <w:color w:val="auto"/>
          <w:sz w:val="24"/>
          <w:szCs w:val="18"/>
        </w:rPr>
        <w:t>赔偿发包人由此造成的损失，并向发包人支付误期赔偿费。</w:t>
      </w:r>
    </w:p>
    <w:p w14:paraId="184FC862">
      <w:pPr>
        <w:spacing w:line="360" w:lineRule="auto"/>
        <w:rPr>
          <w:color w:val="auto"/>
        </w:rPr>
      </w:pPr>
    </w:p>
    <w:p w14:paraId="287D1CC6">
      <w:pPr>
        <w:pStyle w:val="2"/>
        <w:tabs>
          <w:tab w:val="left" w:pos="540"/>
        </w:tabs>
        <w:adjustRightInd w:val="0"/>
        <w:snapToGrid w:val="0"/>
        <w:spacing w:before="240" w:beforeLines="100" w:line="360" w:lineRule="auto"/>
        <w:ind w:right="-238"/>
        <w:rPr>
          <w:rFonts w:hAnsi="宋体"/>
          <w:b/>
          <w:color w:val="auto"/>
          <w:sz w:val="30"/>
          <w:szCs w:val="24"/>
        </w:rPr>
      </w:pPr>
      <w:r>
        <w:rPr>
          <w:rFonts w:hAnsi="宋体"/>
          <w:b/>
          <w:color w:val="auto"/>
          <w:sz w:val="30"/>
          <w:szCs w:val="24"/>
        </w:rPr>
        <w:t xml:space="preserve">39  </w:t>
      </w:r>
      <w:r>
        <w:rPr>
          <w:rFonts w:hint="eastAsia" w:hAnsi="宋体"/>
          <w:b/>
          <w:color w:val="auto"/>
          <w:sz w:val="30"/>
          <w:szCs w:val="24"/>
        </w:rPr>
        <w:t>提前竣工</w:t>
      </w:r>
    </w:p>
    <w:p w14:paraId="5629C210">
      <w:pPr>
        <w:pStyle w:val="2"/>
        <w:adjustRightInd w:val="0"/>
        <w:snapToGrid w:val="0"/>
        <w:spacing w:line="360" w:lineRule="auto"/>
        <w:rPr>
          <w:rFonts w:hAnsi="宋体"/>
          <w:b/>
          <w:color w:val="auto"/>
          <w:sz w:val="24"/>
          <w:szCs w:val="18"/>
        </w:rPr>
      </w:pPr>
      <w:r>
        <w:rPr>
          <w:rFonts w:hAnsi="宋体"/>
          <w:b/>
          <w:color w:val="auto"/>
          <w:sz w:val="24"/>
          <w:szCs w:val="18"/>
        </w:rPr>
        <w:t xml:space="preserve">39.1   </w:t>
      </w:r>
    </w:p>
    <w:p w14:paraId="1F6B63FC">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1815936" behindDoc="0" locked="0" layoutInCell="1" allowOverlap="1">
                <wp:simplePos x="0" y="0"/>
                <wp:positionH relativeFrom="column">
                  <wp:posOffset>-66675</wp:posOffset>
                </wp:positionH>
                <wp:positionV relativeFrom="paragraph">
                  <wp:posOffset>30480</wp:posOffset>
                </wp:positionV>
                <wp:extent cx="977900" cy="396240"/>
                <wp:effectExtent l="0" t="0" r="0" b="0"/>
                <wp:wrapNone/>
                <wp:docPr id="154" name="文本框 154"/>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a:effectLst/>
                      </wps:spPr>
                      <wps:txbx>
                        <w:txbxContent>
                          <w:p w14:paraId="2F13235C">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提前竣工的要求</w:t>
                            </w:r>
                          </w:p>
                        </w:txbxContent>
                      </wps:txbx>
                      <wps:bodyPr upright="1"/>
                    </wps:wsp>
                  </a:graphicData>
                </a:graphic>
              </wp:anchor>
            </w:drawing>
          </mc:Choice>
          <mc:Fallback>
            <w:pict>
              <v:shape id="_x0000_s1026" o:spid="_x0000_s1026" o:spt="202" type="#_x0000_t202" style="position:absolute;left:0pt;margin-left:-5.25pt;margin-top:2.4pt;height:31.2pt;width:77pt;z-index:251815936;mso-width-relative:page;mso-height-relative:page;" filled="f" stroked="f" coordsize="21600,21600" o:gfxdata="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Yd&#10;P4/VAAAACAEAAA8AAAAAAAAAAQAgAAAAIgAAAGRycy9kb3ducmV2LnhtbFBLAQIUABQAAAAIAIdO&#10;4kDmDJDVtAEAAF8DAAAOAAAAAAAAAAEAIAAAACQBAABkcnMvZTJvRG9jLnhtbFBLBQYAAAAABgAG&#10;AFkBAABKBQAAAAA=&#10;">
                <v:fill on="f" focussize="0,0"/>
                <v:stroke on="f"/>
                <v:imagedata o:title=""/>
                <o:lock v:ext="edit" aspectratio="f"/>
                <v:textbox>
                  <w:txbxContent>
                    <w:p w14:paraId="2F13235C">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提前竣工的要求</w:t>
                      </w:r>
                    </w:p>
                  </w:txbxContent>
                </v:textbox>
              </v:shape>
            </w:pict>
          </mc:Fallback>
        </mc:AlternateContent>
      </w:r>
      <w:r>
        <w:rPr>
          <w:rFonts w:hint="eastAsia" w:hAnsi="宋体"/>
          <w:color w:val="auto"/>
          <w:sz w:val="24"/>
          <w:szCs w:val="18"/>
        </w:rPr>
        <w:t>发包人要求承包人提前竣工，或承包人按照第</w:t>
      </w:r>
      <w:r>
        <w:rPr>
          <w:rFonts w:hAnsi="宋体"/>
          <w:color w:val="auto"/>
          <w:sz w:val="24"/>
          <w:szCs w:val="18"/>
        </w:rPr>
        <w:t>37.2</w:t>
      </w:r>
      <w:r>
        <w:rPr>
          <w:rFonts w:hint="eastAsia" w:hAnsi="宋体"/>
          <w:color w:val="auto"/>
          <w:sz w:val="24"/>
          <w:szCs w:val="18"/>
        </w:rPr>
        <w:t>款规定提交提前竣工建议书为发包人接受的，监理工程师应与承包人商定采取加快工程进度的措施，并修订合同工程进度计划。</w:t>
      </w:r>
    </w:p>
    <w:p w14:paraId="1531E3F2">
      <w:pPr>
        <w:pStyle w:val="2"/>
        <w:adjustRightInd w:val="0"/>
        <w:snapToGrid w:val="0"/>
        <w:spacing w:line="360" w:lineRule="auto"/>
        <w:rPr>
          <w:rFonts w:hAnsi="宋体"/>
          <w:b/>
          <w:color w:val="auto"/>
          <w:sz w:val="24"/>
          <w:szCs w:val="18"/>
          <w:u w:val="dotted"/>
        </w:rPr>
      </w:pPr>
      <w:r>
        <w:rPr>
          <w:rFonts w:hAnsi="宋体"/>
          <w:b/>
          <w:color w:val="auto"/>
          <w:sz w:val="24"/>
          <w:szCs w:val="18"/>
        </w:rPr>
        <w:t xml:space="preserve">39.2  </w:t>
      </w:r>
    </w:p>
    <w:p w14:paraId="419E97D3">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1816960" behindDoc="0" locked="0" layoutInCell="1" allowOverlap="1">
                <wp:simplePos x="0" y="0"/>
                <wp:positionH relativeFrom="column">
                  <wp:posOffset>-114300</wp:posOffset>
                </wp:positionH>
                <wp:positionV relativeFrom="paragraph">
                  <wp:posOffset>5715</wp:posOffset>
                </wp:positionV>
                <wp:extent cx="977900" cy="396240"/>
                <wp:effectExtent l="0" t="0" r="0" b="0"/>
                <wp:wrapNone/>
                <wp:docPr id="155" name="文本框 155"/>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a:effectLst/>
                      </wps:spPr>
                      <wps:txbx>
                        <w:txbxContent>
                          <w:p w14:paraId="0A9A6D10">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提前竣工天数的计算</w:t>
                            </w:r>
                          </w:p>
                        </w:txbxContent>
                      </wps:txbx>
                      <wps:bodyPr upright="1"/>
                    </wps:wsp>
                  </a:graphicData>
                </a:graphic>
              </wp:anchor>
            </w:drawing>
          </mc:Choice>
          <mc:Fallback>
            <w:pict>
              <v:shape id="_x0000_s1026" o:spid="_x0000_s1026" o:spt="202" type="#_x0000_t202" style="position:absolute;left:0pt;margin-left:-9pt;margin-top:0.45pt;height:31.2pt;width:77pt;z-index:251816960;mso-width-relative:page;mso-height-relative:page;" filled="f" stroked="f" coordsize="21600,21600"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QJmh&#10;xtUAAAAHAQAADwAAAAAAAAABACAAAAAiAAAAZHJzL2Rvd25yZXYueG1sUEsBAhQAFAAAAAgAh07i&#10;QHkLW3+zAQAAXwMAAA4AAAAAAAAAAQAgAAAAJAEAAGRycy9lMm9Eb2MueG1sUEsFBgAAAAAGAAYA&#10;WQEAAEkFAAAAAA==&#10;">
                <v:fill on="f" focussize="0,0"/>
                <v:stroke on="f"/>
                <v:imagedata o:title=""/>
                <o:lock v:ext="edit" aspectratio="f"/>
                <v:textbox>
                  <w:txbxContent>
                    <w:p w14:paraId="0A9A6D10">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提前竣工天数的计算</w:t>
                      </w:r>
                    </w:p>
                  </w:txbxContent>
                </v:textbox>
              </v:shape>
            </w:pict>
          </mc:Fallback>
        </mc:AlternateContent>
      </w:r>
      <w:r>
        <w:rPr>
          <w:rFonts w:hint="eastAsia" w:hAnsi="宋体"/>
          <w:color w:val="auto"/>
          <w:sz w:val="24"/>
          <w:szCs w:val="18"/>
        </w:rPr>
        <w:t>提前竣工天数按照第</w:t>
      </w:r>
      <w:r>
        <w:rPr>
          <w:rFonts w:hAnsi="宋体"/>
          <w:color w:val="auto"/>
          <w:sz w:val="24"/>
          <w:szCs w:val="18"/>
        </w:rPr>
        <w:t>38.2</w:t>
      </w:r>
      <w:r>
        <w:rPr>
          <w:rFonts w:hint="eastAsia" w:hAnsi="宋体"/>
          <w:color w:val="auto"/>
          <w:sz w:val="24"/>
          <w:szCs w:val="18"/>
        </w:rPr>
        <w:t>款规定确定的计划竣工天数减去实际竣工天数计算，其公式为：</w:t>
      </w:r>
    </w:p>
    <w:p w14:paraId="2FCEAAF5">
      <w:pPr>
        <w:pStyle w:val="2"/>
        <w:adjustRightInd w:val="0"/>
        <w:snapToGrid w:val="0"/>
        <w:spacing w:line="360" w:lineRule="auto"/>
        <w:ind w:firstLine="2160" w:firstLineChars="900"/>
        <w:rPr>
          <w:rFonts w:hAnsi="宋体"/>
          <w:color w:val="auto"/>
          <w:sz w:val="24"/>
          <w:szCs w:val="18"/>
        </w:rPr>
      </w:pPr>
      <w:r>
        <w:rPr>
          <w:rFonts w:hint="eastAsia" w:hAnsi="宋体"/>
          <w:color w:val="auto"/>
          <w:sz w:val="24"/>
          <w:szCs w:val="18"/>
        </w:rPr>
        <w:t>提前竣工天数</w:t>
      </w:r>
      <w:r>
        <w:rPr>
          <w:rFonts w:hAnsi="宋体"/>
          <w:color w:val="auto"/>
          <w:sz w:val="24"/>
          <w:szCs w:val="18"/>
        </w:rPr>
        <w:t>=</w:t>
      </w:r>
      <w:r>
        <w:rPr>
          <w:rFonts w:hint="eastAsia" w:hAnsi="宋体"/>
          <w:color w:val="auto"/>
          <w:sz w:val="24"/>
          <w:szCs w:val="18"/>
        </w:rPr>
        <w:t>计划竣工天数</w:t>
      </w:r>
      <w:r>
        <w:rPr>
          <w:rFonts w:hAnsi="宋体"/>
          <w:color w:val="auto"/>
          <w:sz w:val="24"/>
          <w:szCs w:val="18"/>
        </w:rPr>
        <w:t xml:space="preserve"> — </w:t>
      </w:r>
      <w:r>
        <w:rPr>
          <w:rFonts w:hint="eastAsia" w:hAnsi="宋体"/>
          <w:color w:val="auto"/>
          <w:sz w:val="24"/>
          <w:szCs w:val="18"/>
        </w:rPr>
        <w:t>实际竣工天数</w:t>
      </w:r>
    </w:p>
    <w:p w14:paraId="09D9467F">
      <w:pPr>
        <w:pStyle w:val="2"/>
        <w:tabs>
          <w:tab w:val="left" w:pos="1980"/>
          <w:tab w:val="left" w:pos="2160"/>
        </w:tabs>
        <w:adjustRightInd w:val="0"/>
        <w:snapToGrid w:val="0"/>
        <w:spacing w:line="360" w:lineRule="auto"/>
        <w:ind w:left="1616"/>
        <w:rPr>
          <w:rFonts w:hAnsi="宋体"/>
          <w:color w:val="auto"/>
          <w:sz w:val="24"/>
          <w:szCs w:val="18"/>
        </w:rPr>
      </w:pPr>
      <w:r>
        <w:rPr>
          <w:rFonts w:hint="eastAsia" w:hAnsi="宋体"/>
          <w:color w:val="auto"/>
          <w:sz w:val="24"/>
          <w:szCs w:val="18"/>
        </w:rPr>
        <w:t>合同工程提前竣工，发包人应承担承包人由此增加的费用，并按照第</w:t>
      </w:r>
      <w:r>
        <w:rPr>
          <w:rFonts w:hAnsi="宋体"/>
          <w:color w:val="auto"/>
          <w:sz w:val="24"/>
          <w:szCs w:val="18"/>
        </w:rPr>
        <w:t>66.1</w:t>
      </w:r>
      <w:r>
        <w:rPr>
          <w:rFonts w:hint="eastAsia" w:hAnsi="宋体"/>
          <w:color w:val="auto"/>
          <w:sz w:val="24"/>
          <w:szCs w:val="18"/>
        </w:rPr>
        <w:t>款规定向承包人支付提前竣工奖。</w:t>
      </w:r>
    </w:p>
    <w:p w14:paraId="05A9E3D3">
      <w:pPr>
        <w:pStyle w:val="2"/>
        <w:tabs>
          <w:tab w:val="left" w:pos="540"/>
        </w:tabs>
        <w:adjustRightInd w:val="0"/>
        <w:snapToGrid w:val="0"/>
        <w:spacing w:before="240" w:beforeLines="100" w:line="360" w:lineRule="auto"/>
        <w:rPr>
          <w:rFonts w:hAnsi="宋体"/>
          <w:caps/>
          <w:color w:val="auto"/>
          <w:sz w:val="24"/>
          <w:szCs w:val="18"/>
          <w:u w:val="single"/>
        </w:rPr>
      </w:pPr>
    </w:p>
    <w:p w14:paraId="362EF116">
      <w:pPr>
        <w:pStyle w:val="2"/>
        <w:tabs>
          <w:tab w:val="left" w:pos="540"/>
        </w:tabs>
        <w:adjustRightInd w:val="0"/>
        <w:snapToGrid w:val="0"/>
        <w:spacing w:before="240" w:beforeLines="100" w:line="360" w:lineRule="auto"/>
        <w:rPr>
          <w:rFonts w:hAnsi="宋体"/>
          <w:b/>
          <w:color w:val="auto"/>
          <w:sz w:val="30"/>
          <w:szCs w:val="24"/>
        </w:rPr>
      </w:pPr>
      <w:r>
        <w:rPr>
          <w:rFonts w:hAnsi="宋体"/>
          <w:b/>
          <w:color w:val="auto"/>
          <w:sz w:val="30"/>
          <w:szCs w:val="24"/>
        </w:rPr>
        <w:t xml:space="preserve">40  </w:t>
      </w:r>
      <w:r>
        <w:rPr>
          <w:rFonts w:hint="eastAsia" w:hAnsi="宋体"/>
          <w:b/>
          <w:color w:val="auto"/>
          <w:sz w:val="30"/>
          <w:szCs w:val="24"/>
        </w:rPr>
        <w:t>误期赔偿</w:t>
      </w:r>
    </w:p>
    <w:p w14:paraId="12766384">
      <w:pPr>
        <w:spacing w:line="360" w:lineRule="auto"/>
        <w:rPr>
          <w:rFonts w:ascii="宋体"/>
          <w:b/>
          <w:caps/>
          <w:color w:val="auto"/>
          <w:sz w:val="24"/>
          <w:szCs w:val="18"/>
        </w:rPr>
      </w:pPr>
      <w:r>
        <w:rPr>
          <w:rFonts w:ascii="宋体" w:hAnsi="宋体"/>
          <w:b/>
          <w:color w:val="auto"/>
          <w:sz w:val="24"/>
          <w:szCs w:val="18"/>
        </w:rPr>
        <w:t>40.1</w:t>
      </w:r>
    </w:p>
    <w:p w14:paraId="4351387C">
      <w:pPr>
        <w:spacing w:line="360" w:lineRule="auto"/>
        <w:ind w:left="1619" w:leftChars="771"/>
        <w:rPr>
          <w:rFonts w:ascii="宋体"/>
          <w:caps/>
          <w:color w:val="auto"/>
          <w:sz w:val="24"/>
          <w:szCs w:val="18"/>
        </w:rPr>
      </w:pPr>
      <w:r>
        <w:rPr>
          <w:color w:val="auto"/>
        </w:rPr>
        <mc:AlternateContent>
          <mc:Choice Requires="wps">
            <w:drawing>
              <wp:anchor distT="0" distB="0" distL="114300" distR="114300" simplePos="0" relativeHeight="251817984" behindDoc="0" locked="0" layoutInCell="1" allowOverlap="1">
                <wp:simplePos x="0" y="0"/>
                <wp:positionH relativeFrom="column">
                  <wp:posOffset>-133350</wp:posOffset>
                </wp:positionH>
                <wp:positionV relativeFrom="paragraph">
                  <wp:posOffset>149860</wp:posOffset>
                </wp:positionV>
                <wp:extent cx="977900" cy="335915"/>
                <wp:effectExtent l="0" t="0" r="0" b="0"/>
                <wp:wrapNone/>
                <wp:docPr id="156" name="文本框 156"/>
                <wp:cNvGraphicFramePr/>
                <a:graphic xmlns:a="http://schemas.openxmlformats.org/drawingml/2006/main">
                  <a:graphicData uri="http://schemas.microsoft.com/office/word/2010/wordprocessingShape">
                    <wps:wsp>
                      <wps:cNvSpPr txBox="1"/>
                      <wps:spPr>
                        <a:xfrm>
                          <a:off x="0" y="0"/>
                          <a:ext cx="977900" cy="335915"/>
                        </a:xfrm>
                        <a:prstGeom prst="rect">
                          <a:avLst/>
                        </a:prstGeom>
                        <a:noFill/>
                        <a:ln>
                          <a:noFill/>
                        </a:ln>
                        <a:effectLst/>
                      </wps:spPr>
                      <wps:txbx>
                        <w:txbxContent>
                          <w:p w14:paraId="3CB7B11E">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误期的赔偿</w:t>
                            </w:r>
                          </w:p>
                        </w:txbxContent>
                      </wps:txbx>
                      <wps:bodyPr upright="1"/>
                    </wps:wsp>
                  </a:graphicData>
                </a:graphic>
              </wp:anchor>
            </w:drawing>
          </mc:Choice>
          <mc:Fallback>
            <w:pict>
              <v:shape id="_x0000_s1026" o:spid="_x0000_s1026" o:spt="202" type="#_x0000_t202" style="position:absolute;left:0pt;margin-left:-10.5pt;margin-top:11.8pt;height:26.45pt;width:77pt;z-index:251817984;mso-width-relative:page;mso-height-relative:page;" filled="f" stroked="f" coordsize="21600,21600" o:gfxdata="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w&#10;cMAs1wAAAAkBAAAPAAAAAAAAAAEAIAAAACIAAABkcnMvZG93bnJldi54bWxQSwECFAAUAAAACACH&#10;TuJAhkgSxbMBAABfAwAADgAAAAAAAAABACAAAAAmAQAAZHJzL2Uyb0RvYy54bWxQSwUGAAAAAAYA&#10;BgBZAQAASwUAAAAA&#10;">
                <v:fill on="f" focussize="0,0"/>
                <v:stroke on="f"/>
                <v:imagedata o:title=""/>
                <o:lock v:ext="edit" aspectratio="f"/>
                <v:textbox>
                  <w:txbxContent>
                    <w:p w14:paraId="3CB7B11E">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误期的赔偿</w:t>
                      </w:r>
                    </w:p>
                  </w:txbxContent>
                </v:textbox>
              </v:shape>
            </w:pict>
          </mc:Fallback>
        </mc:AlternateContent>
      </w:r>
      <w:r>
        <w:rPr>
          <w:rFonts w:hint="eastAsia" w:ascii="宋体" w:hAnsi="宋体"/>
          <w:caps/>
          <w:color w:val="auto"/>
          <w:sz w:val="24"/>
          <w:szCs w:val="18"/>
        </w:rPr>
        <w:t>如果承包人未按照第</w:t>
      </w:r>
      <w:r>
        <w:rPr>
          <w:rFonts w:ascii="宋体" w:hAnsi="宋体"/>
          <w:caps/>
          <w:color w:val="auto"/>
          <w:sz w:val="24"/>
          <w:szCs w:val="18"/>
        </w:rPr>
        <w:t>33.4</w:t>
      </w:r>
      <w:r>
        <w:rPr>
          <w:rFonts w:hint="eastAsia" w:ascii="宋体" w:hAnsi="宋体"/>
          <w:caps/>
          <w:color w:val="auto"/>
          <w:sz w:val="24"/>
          <w:szCs w:val="18"/>
        </w:rPr>
        <w:t>款规定按计划进度施工，导致实际进度迟于计划进度的，承包人应向发包人支付误期赔偿费，具体金额可另行约定。即使承包人支付误期赔偿费，也不能免除承包人按照合同约定应承担的任何责任和应履行的任何义务。</w:t>
      </w:r>
    </w:p>
    <w:p w14:paraId="2ECA4B3A">
      <w:pPr>
        <w:spacing w:line="360" w:lineRule="auto"/>
        <w:rPr>
          <w:rFonts w:ascii="宋体"/>
          <w:b/>
          <w:color w:val="auto"/>
          <w:sz w:val="24"/>
          <w:szCs w:val="18"/>
          <w:u w:val="dotted"/>
        </w:rPr>
      </w:pPr>
      <w:r>
        <w:rPr>
          <w:rFonts w:ascii="宋体" w:hAnsi="宋体"/>
          <w:b/>
          <w:color w:val="auto"/>
          <w:sz w:val="24"/>
          <w:szCs w:val="18"/>
        </w:rPr>
        <w:t xml:space="preserve">40.2  </w:t>
      </w:r>
    </w:p>
    <w:p w14:paraId="180A83AE">
      <w:pPr>
        <w:spacing w:line="360" w:lineRule="auto"/>
        <w:ind w:left="1619" w:leftChars="771"/>
        <w:rPr>
          <w:rFonts w:ascii="宋体"/>
          <w:caps/>
          <w:color w:val="auto"/>
          <w:sz w:val="24"/>
          <w:szCs w:val="18"/>
        </w:rPr>
      </w:pPr>
      <w:r>
        <w:rPr>
          <w:color w:val="auto"/>
        </w:rPr>
        <mc:AlternateContent>
          <mc:Choice Requires="wps">
            <w:drawing>
              <wp:anchor distT="0" distB="0" distL="114300" distR="114300" simplePos="0" relativeHeight="251819008" behindDoc="0" locked="0" layoutInCell="1" allowOverlap="1">
                <wp:simplePos x="0" y="0"/>
                <wp:positionH relativeFrom="column">
                  <wp:posOffset>-114300</wp:posOffset>
                </wp:positionH>
                <wp:positionV relativeFrom="paragraph">
                  <wp:posOffset>31750</wp:posOffset>
                </wp:positionV>
                <wp:extent cx="1071245" cy="791845"/>
                <wp:effectExtent l="0" t="0" r="0" b="0"/>
                <wp:wrapNone/>
                <wp:docPr id="157" name="文本框 157"/>
                <wp:cNvGraphicFramePr/>
                <a:graphic xmlns:a="http://schemas.openxmlformats.org/drawingml/2006/main">
                  <a:graphicData uri="http://schemas.microsoft.com/office/word/2010/wordprocessingShape">
                    <wps:wsp>
                      <wps:cNvSpPr txBox="1"/>
                      <wps:spPr>
                        <a:xfrm>
                          <a:off x="0" y="0"/>
                          <a:ext cx="1071245" cy="791845"/>
                        </a:xfrm>
                        <a:prstGeom prst="rect">
                          <a:avLst/>
                        </a:prstGeom>
                        <a:noFill/>
                        <a:ln>
                          <a:noFill/>
                        </a:ln>
                        <a:effectLst/>
                      </wps:spPr>
                      <wps:txbx>
                        <w:txbxContent>
                          <w:p w14:paraId="7E552BD8">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实际延误天数</w:t>
                            </w:r>
                          </w:p>
                          <w:p w14:paraId="13DDD4A1">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的计算</w:t>
                            </w:r>
                          </w:p>
                        </w:txbxContent>
                      </wps:txbx>
                      <wps:bodyPr upright="1"/>
                    </wps:wsp>
                  </a:graphicData>
                </a:graphic>
              </wp:anchor>
            </w:drawing>
          </mc:Choice>
          <mc:Fallback>
            <w:pict>
              <v:shape id="_x0000_s1026" o:spid="_x0000_s1026" o:spt="202" type="#_x0000_t202" style="position:absolute;left:0pt;margin-left:-9pt;margin-top:2.5pt;height:62.35pt;width:84.35pt;z-index:251819008;mso-width-relative:page;mso-height-relative:page;" filled="f" stroked="f" coordsize="21600,21600" o:gfxdata="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b5n7&#10;idYAAAAJAQAADwAAAAAAAAABACAAAAAiAAAAZHJzL2Rvd25yZXYueG1sUEsBAhQAFAAAAAgAh07i&#10;QE2ecq6yAQAAYAMAAA4AAAAAAAAAAQAgAAAAJQEAAGRycy9lMm9Eb2MueG1sUEsFBgAAAAAGAAYA&#10;WQEAAEkFAAAAAA==&#10;">
                <v:fill on="f" focussize="0,0"/>
                <v:stroke on="f"/>
                <v:imagedata o:title=""/>
                <o:lock v:ext="edit" aspectratio="f"/>
                <v:textbox>
                  <w:txbxContent>
                    <w:p w14:paraId="7E552BD8">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实际延误天数</w:t>
                      </w:r>
                    </w:p>
                    <w:p w14:paraId="13DDD4A1">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的计算</w:t>
                      </w:r>
                    </w:p>
                  </w:txbxContent>
                </v:textbox>
              </v:shape>
            </w:pict>
          </mc:Fallback>
        </mc:AlternateContent>
      </w:r>
      <w:r>
        <w:rPr>
          <w:rFonts w:hint="eastAsia" w:ascii="宋体" w:hAnsi="宋体"/>
          <w:caps/>
          <w:color w:val="auto"/>
          <w:sz w:val="24"/>
          <w:szCs w:val="18"/>
        </w:rPr>
        <w:t>误期（实际延误天数）按照实际施工天数减去计划施工天数</w:t>
      </w:r>
      <w:r>
        <w:rPr>
          <w:rFonts w:hint="eastAsia" w:ascii="宋体" w:hAnsi="宋体"/>
          <w:caps/>
          <w:color w:val="auto"/>
          <w:sz w:val="24"/>
        </w:rPr>
        <w:t>计</w:t>
      </w:r>
      <w:r>
        <w:rPr>
          <w:rFonts w:hint="eastAsia" w:ascii="宋体" w:hAnsi="宋体"/>
          <w:caps/>
          <w:color w:val="auto"/>
          <w:sz w:val="24"/>
          <w:szCs w:val="18"/>
        </w:rPr>
        <w:t>算，其公式为：</w:t>
      </w:r>
    </w:p>
    <w:p w14:paraId="5087A197">
      <w:pPr>
        <w:spacing w:line="360" w:lineRule="auto"/>
        <w:ind w:firstLine="2160" w:firstLineChars="900"/>
        <w:rPr>
          <w:rFonts w:ascii="宋体"/>
          <w:caps/>
          <w:color w:val="auto"/>
          <w:sz w:val="24"/>
          <w:szCs w:val="18"/>
        </w:rPr>
      </w:pPr>
      <w:r>
        <w:rPr>
          <w:rFonts w:hint="eastAsia" w:ascii="宋体" w:hAnsi="宋体"/>
          <w:caps/>
          <w:color w:val="auto"/>
          <w:sz w:val="24"/>
          <w:szCs w:val="18"/>
        </w:rPr>
        <w:t>实际延误天数＝实际施工天数－计划施工天数</w:t>
      </w:r>
    </w:p>
    <w:p w14:paraId="61667649">
      <w:pPr>
        <w:spacing w:line="360" w:lineRule="auto"/>
        <w:ind w:left="1619" w:leftChars="771" w:firstLine="60" w:firstLineChars="25"/>
        <w:rPr>
          <w:rFonts w:ascii="宋体"/>
          <w:caps/>
          <w:color w:val="auto"/>
          <w:sz w:val="24"/>
          <w:szCs w:val="18"/>
        </w:rPr>
      </w:pPr>
      <w:r>
        <w:rPr>
          <w:rFonts w:hint="eastAsia" w:ascii="宋体" w:hAnsi="宋体"/>
          <w:caps/>
          <w:color w:val="auto"/>
          <w:sz w:val="24"/>
          <w:szCs w:val="18"/>
        </w:rPr>
        <w:t>合同工程发生误期，承包人应赔偿发包人由此造成的损失，并按照第</w:t>
      </w:r>
      <w:r>
        <w:rPr>
          <w:rFonts w:ascii="宋体" w:hAnsi="宋体"/>
          <w:caps/>
          <w:color w:val="auto"/>
          <w:sz w:val="24"/>
          <w:szCs w:val="18"/>
        </w:rPr>
        <w:t>66.2</w:t>
      </w:r>
      <w:r>
        <w:rPr>
          <w:rFonts w:hint="eastAsia" w:ascii="宋体" w:hAnsi="宋体"/>
          <w:caps/>
          <w:color w:val="auto"/>
          <w:sz w:val="24"/>
          <w:szCs w:val="18"/>
        </w:rPr>
        <w:t>款规定向发包人支付误期赔偿费。</w:t>
      </w:r>
    </w:p>
    <w:p w14:paraId="7C49BF19">
      <w:pPr>
        <w:pStyle w:val="2"/>
        <w:adjustRightInd w:val="0"/>
        <w:snapToGrid w:val="0"/>
        <w:spacing w:line="360" w:lineRule="auto"/>
        <w:ind w:right="-238"/>
        <w:rPr>
          <w:rFonts w:hAnsi="宋体"/>
          <w:b/>
          <w:color w:val="auto"/>
          <w:sz w:val="32"/>
          <w:szCs w:val="28"/>
        </w:rPr>
      </w:pPr>
    </w:p>
    <w:p w14:paraId="4B28E836">
      <w:pPr>
        <w:pStyle w:val="2"/>
        <w:adjustRightInd w:val="0"/>
        <w:snapToGrid w:val="0"/>
        <w:spacing w:line="360" w:lineRule="auto"/>
        <w:ind w:firstLine="3691" w:firstLineChars="1149"/>
        <w:outlineLvl w:val="1"/>
        <w:rPr>
          <w:rFonts w:hAnsi="宋体"/>
          <w:b/>
          <w:color w:val="auto"/>
          <w:sz w:val="32"/>
          <w:szCs w:val="28"/>
        </w:rPr>
      </w:pPr>
      <w:r>
        <w:rPr>
          <w:rFonts w:hint="eastAsia" w:hAnsi="宋体"/>
          <w:b/>
          <w:color w:val="auto"/>
          <w:sz w:val="32"/>
          <w:szCs w:val="28"/>
        </w:rPr>
        <w:t>五、质量与安全</w:t>
      </w:r>
    </w:p>
    <w:p w14:paraId="73407D1C">
      <w:pPr>
        <w:pStyle w:val="2"/>
        <w:adjustRightInd w:val="0"/>
        <w:snapToGrid w:val="0"/>
        <w:spacing w:line="360" w:lineRule="auto"/>
        <w:outlineLvl w:val="1"/>
        <w:rPr>
          <w:rFonts w:hAnsi="宋体"/>
          <w:b/>
          <w:color w:val="auto"/>
          <w:sz w:val="30"/>
          <w:szCs w:val="24"/>
        </w:rPr>
      </w:pPr>
      <w:r>
        <w:rPr>
          <w:rFonts w:hAnsi="宋体"/>
          <w:b/>
          <w:color w:val="auto"/>
          <w:sz w:val="30"/>
          <w:szCs w:val="24"/>
        </w:rPr>
        <w:t xml:space="preserve">41  </w:t>
      </w:r>
      <w:r>
        <w:rPr>
          <w:rFonts w:hint="eastAsia" w:hAnsi="宋体"/>
          <w:b/>
          <w:color w:val="auto"/>
          <w:sz w:val="30"/>
          <w:szCs w:val="24"/>
        </w:rPr>
        <w:t>质量与安全管理</w:t>
      </w:r>
    </w:p>
    <w:p w14:paraId="3F7B22C8">
      <w:pPr>
        <w:tabs>
          <w:tab w:val="left" w:pos="780"/>
        </w:tabs>
        <w:adjustRightInd w:val="0"/>
        <w:snapToGrid w:val="0"/>
        <w:spacing w:line="360" w:lineRule="auto"/>
        <w:rPr>
          <w:rFonts w:ascii="宋体"/>
          <w:b/>
          <w:color w:val="auto"/>
          <w:sz w:val="24"/>
          <w:szCs w:val="18"/>
        </w:rPr>
      </w:pPr>
      <w:r>
        <w:rPr>
          <w:rFonts w:ascii="宋体" w:hAnsi="宋体"/>
          <w:b/>
          <w:color w:val="auto"/>
          <w:sz w:val="24"/>
          <w:szCs w:val="18"/>
        </w:rPr>
        <w:t xml:space="preserve">41.1 </w:t>
      </w:r>
      <w:r>
        <w:rPr>
          <w:rFonts w:ascii="宋体"/>
          <w:b/>
          <w:color w:val="auto"/>
          <w:sz w:val="24"/>
          <w:szCs w:val="18"/>
        </w:rPr>
        <w:tab/>
      </w:r>
    </w:p>
    <w:p w14:paraId="1D9F0DF0">
      <w:pPr>
        <w:adjustRightInd w:val="0"/>
        <w:snapToGrid w:val="0"/>
        <w:spacing w:line="360" w:lineRule="auto"/>
        <w:ind w:left="1619" w:leftChars="771"/>
        <w:rPr>
          <w:rFonts w:ascii="宋体"/>
          <w:color w:val="auto"/>
          <w:sz w:val="24"/>
          <w:szCs w:val="18"/>
        </w:rPr>
      </w:pPr>
      <w:r>
        <w:rPr>
          <w:color w:val="auto"/>
        </w:rPr>
        <mc:AlternateContent>
          <mc:Choice Requires="wps">
            <w:drawing>
              <wp:anchor distT="0" distB="0" distL="114300" distR="114300" simplePos="0" relativeHeight="251820032" behindDoc="0" locked="0" layoutInCell="1" allowOverlap="1">
                <wp:simplePos x="0" y="0"/>
                <wp:positionH relativeFrom="column">
                  <wp:posOffset>-114300</wp:posOffset>
                </wp:positionH>
                <wp:positionV relativeFrom="paragraph">
                  <wp:posOffset>-6350</wp:posOffset>
                </wp:positionV>
                <wp:extent cx="914400" cy="526415"/>
                <wp:effectExtent l="0" t="0" r="0" b="0"/>
                <wp:wrapNone/>
                <wp:docPr id="158" name="文本框 158"/>
                <wp:cNvGraphicFramePr/>
                <a:graphic xmlns:a="http://schemas.openxmlformats.org/drawingml/2006/main">
                  <a:graphicData uri="http://schemas.microsoft.com/office/word/2010/wordprocessingShape">
                    <wps:wsp>
                      <wps:cNvSpPr txBox="1"/>
                      <wps:spPr>
                        <a:xfrm>
                          <a:off x="0" y="0"/>
                          <a:ext cx="914400" cy="526415"/>
                        </a:xfrm>
                        <a:prstGeom prst="rect">
                          <a:avLst/>
                        </a:prstGeom>
                        <a:noFill/>
                        <a:ln>
                          <a:noFill/>
                        </a:ln>
                        <a:effectLst/>
                      </wps:spPr>
                      <wps:txbx>
                        <w:txbxContent>
                          <w:p w14:paraId="370A5BAE">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履行职责和义务</w:t>
                            </w:r>
                          </w:p>
                        </w:txbxContent>
                      </wps:txbx>
                      <wps:bodyPr upright="1"/>
                    </wps:wsp>
                  </a:graphicData>
                </a:graphic>
              </wp:anchor>
            </w:drawing>
          </mc:Choice>
          <mc:Fallback>
            <w:pict>
              <v:shape id="_x0000_s1026" o:spid="_x0000_s1026" o:spt="202" type="#_x0000_t202" style="position:absolute;left:0pt;margin-left:-9pt;margin-top:-0.5pt;height:41.45pt;width:72pt;z-index:251820032;mso-width-relative:page;mso-height-relative:page;" filled="f" stroked="f" coordsize="21600,21600" o:gfxdata="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tZ809&#10;1QAAAAkBAAAPAAAAAAAAAAEAIAAAACIAAABkcnMvZG93bnJldi54bWxQSwECFAAUAAAACACHTuJA&#10;o5In2rIBAABfAwAADgAAAAAAAAABACAAAAAkAQAAZHJzL2Uyb0RvYy54bWxQSwUGAAAAAAYABgBZ&#10;AQAASAUAAAAA&#10;">
                <v:fill on="f" focussize="0,0"/>
                <v:stroke on="f"/>
                <v:imagedata o:title=""/>
                <o:lock v:ext="edit" aspectratio="f"/>
                <v:textbox>
                  <w:txbxContent>
                    <w:p w14:paraId="370A5BAE">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履行职责和义务</w:t>
                      </w:r>
                    </w:p>
                  </w:txbxContent>
                </v:textbox>
              </v:shape>
            </w:pict>
          </mc:Fallback>
        </mc:AlternateContent>
      </w:r>
      <w:r>
        <w:rPr>
          <w:rFonts w:hint="eastAsia" w:ascii="宋体" w:hAnsi="宋体"/>
          <w:color w:val="auto"/>
          <w:sz w:val="24"/>
          <w:szCs w:val="18"/>
        </w:rPr>
        <w:t>合同双方当事人应严格遵守国家、省有关工程质量和施工安全的法律、标准与规范等规定，认真履行合同约定的工程质量和施工安全的职责和义务。</w:t>
      </w:r>
    </w:p>
    <w:p w14:paraId="57C0D65B">
      <w:pPr>
        <w:pStyle w:val="3"/>
        <w:adjustRightInd w:val="0"/>
        <w:snapToGrid w:val="0"/>
        <w:spacing w:line="360" w:lineRule="auto"/>
        <w:ind w:firstLine="0"/>
        <w:rPr>
          <w:rFonts w:ascii="宋体"/>
          <w:b/>
          <w:color w:val="auto"/>
          <w:sz w:val="24"/>
          <w:szCs w:val="18"/>
        </w:rPr>
      </w:pPr>
      <w:r>
        <w:rPr>
          <w:rFonts w:ascii="宋体" w:hAnsi="宋体"/>
          <w:b/>
          <w:color w:val="auto"/>
          <w:sz w:val="24"/>
          <w:szCs w:val="18"/>
        </w:rPr>
        <w:t xml:space="preserve">41.2  </w:t>
      </w:r>
    </w:p>
    <w:p w14:paraId="0C866AE9">
      <w:pPr>
        <w:pStyle w:val="3"/>
        <w:adjustRightInd w:val="0"/>
        <w:snapToGrid w:val="0"/>
        <w:spacing w:line="360" w:lineRule="auto"/>
        <w:ind w:left="1619" w:leftChars="771" w:firstLine="0"/>
        <w:rPr>
          <w:rFonts w:ascii="宋体"/>
          <w:color w:val="auto"/>
          <w:sz w:val="24"/>
          <w:szCs w:val="18"/>
        </w:rPr>
      </w:pPr>
      <w:r>
        <w:rPr>
          <w:color w:val="auto"/>
        </w:rPr>
        <mc:AlternateContent>
          <mc:Choice Requires="wps">
            <w:drawing>
              <wp:anchor distT="0" distB="0" distL="114300" distR="114300" simplePos="0" relativeHeight="251821056" behindDoc="0" locked="0" layoutInCell="1" allowOverlap="1">
                <wp:simplePos x="0" y="0"/>
                <wp:positionH relativeFrom="column">
                  <wp:posOffset>-114300</wp:posOffset>
                </wp:positionH>
                <wp:positionV relativeFrom="paragraph">
                  <wp:posOffset>35560</wp:posOffset>
                </wp:positionV>
                <wp:extent cx="914400" cy="410210"/>
                <wp:effectExtent l="0" t="0" r="0" b="0"/>
                <wp:wrapNone/>
                <wp:docPr id="159" name="文本框 159"/>
                <wp:cNvGraphicFramePr/>
                <a:graphic xmlns:a="http://schemas.openxmlformats.org/drawingml/2006/main">
                  <a:graphicData uri="http://schemas.microsoft.com/office/word/2010/wordprocessingShape">
                    <wps:wsp>
                      <wps:cNvSpPr txBox="1"/>
                      <wps:spPr>
                        <a:xfrm>
                          <a:off x="0" y="0"/>
                          <a:ext cx="914400" cy="410210"/>
                        </a:xfrm>
                        <a:prstGeom prst="rect">
                          <a:avLst/>
                        </a:prstGeom>
                        <a:noFill/>
                        <a:ln>
                          <a:noFill/>
                        </a:ln>
                        <a:effectLst/>
                      </wps:spPr>
                      <wps:txbx>
                        <w:txbxContent>
                          <w:p w14:paraId="486EA14D">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质量与安全的监管</w:t>
                            </w:r>
                          </w:p>
                        </w:txbxContent>
                      </wps:txbx>
                      <wps:bodyPr upright="1"/>
                    </wps:wsp>
                  </a:graphicData>
                </a:graphic>
              </wp:anchor>
            </w:drawing>
          </mc:Choice>
          <mc:Fallback>
            <w:pict>
              <v:shape id="_x0000_s1026" o:spid="_x0000_s1026" o:spt="202" type="#_x0000_t202" style="position:absolute;left:0pt;margin-left:-9pt;margin-top:2.8pt;height:32.3pt;width:72pt;z-index:251821056;mso-width-relative:page;mso-height-relative:page;" filled="f" stroked="f" coordsize="21600,21600" o:gfxdata="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FLuJb&#10;1QAAAAgBAAAPAAAAAAAAAAEAIAAAACIAAABkcnMvZG93bnJldi54bWxQSwECFAAUAAAACACHTuJA&#10;mY8usbIBAABfAwAADgAAAAAAAAABACAAAAAkAQAAZHJzL2Uyb0RvYy54bWxQSwUGAAAAAAYABgBZ&#10;AQAASAUAAAAA&#10;">
                <v:fill on="f" focussize="0,0"/>
                <v:stroke on="f"/>
                <v:imagedata o:title=""/>
                <o:lock v:ext="edit" aspectratio="f"/>
                <v:textbox>
                  <w:txbxContent>
                    <w:p w14:paraId="486EA14D">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质量与安全的监管</w:t>
                      </w:r>
                    </w:p>
                  </w:txbxContent>
                </v:textbox>
              </v:shape>
            </w:pict>
          </mc:Fallback>
        </mc:AlternateContent>
      </w:r>
      <w:r>
        <w:rPr>
          <w:rFonts w:hint="eastAsia" w:ascii="宋体" w:hAnsi="宋体"/>
          <w:color w:val="auto"/>
          <w:sz w:val="24"/>
          <w:szCs w:val="18"/>
        </w:rPr>
        <w:t>发包人在领取施工许可证或者开工报告之前，应按照国家有关规定办理合同工程质量和施工安全监督手续。承包人应在施工场地设置专门的工程质量和施工安全管理机构，配备专职管理人员，建立完善的管理制度。</w:t>
      </w:r>
    </w:p>
    <w:p w14:paraId="10F0B37F">
      <w:pPr>
        <w:pStyle w:val="3"/>
        <w:adjustRightInd w:val="0"/>
        <w:snapToGrid w:val="0"/>
        <w:spacing w:line="360" w:lineRule="auto"/>
        <w:ind w:firstLine="0"/>
        <w:rPr>
          <w:rFonts w:ascii="宋体"/>
          <w:b/>
          <w:color w:val="auto"/>
          <w:sz w:val="24"/>
          <w:szCs w:val="18"/>
        </w:rPr>
      </w:pPr>
      <w:r>
        <w:rPr>
          <w:color w:val="auto"/>
        </w:rPr>
        <mc:AlternateContent>
          <mc:Choice Requires="wps">
            <w:drawing>
              <wp:anchor distT="0" distB="0" distL="114300" distR="114300" simplePos="0" relativeHeight="251822080" behindDoc="0" locked="0" layoutInCell="1" allowOverlap="1">
                <wp:simplePos x="0" y="0"/>
                <wp:positionH relativeFrom="column">
                  <wp:posOffset>-114300</wp:posOffset>
                </wp:positionH>
                <wp:positionV relativeFrom="paragraph">
                  <wp:posOffset>277495</wp:posOffset>
                </wp:positionV>
                <wp:extent cx="914400" cy="342900"/>
                <wp:effectExtent l="0" t="0" r="0" b="0"/>
                <wp:wrapNone/>
                <wp:docPr id="160" name="文本框 160"/>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a:noFill/>
                        </a:ln>
                        <a:effectLst/>
                      </wps:spPr>
                      <wps:txbx>
                        <w:txbxContent>
                          <w:p w14:paraId="27C30FFA">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管理的要求</w:t>
                            </w:r>
                          </w:p>
                        </w:txbxContent>
                      </wps:txbx>
                      <wps:bodyPr upright="1"/>
                    </wps:wsp>
                  </a:graphicData>
                </a:graphic>
              </wp:anchor>
            </w:drawing>
          </mc:Choice>
          <mc:Fallback>
            <w:pict>
              <v:shape id="_x0000_s1026" o:spid="_x0000_s1026" o:spt="202" type="#_x0000_t202" style="position:absolute;left:0pt;margin-left:-9pt;margin-top:21.85pt;height:27pt;width:72pt;z-index:251822080;mso-width-relative:page;mso-height-relative:page;" filled="f" stroked="f" coordsize="21600,21600" o:gfxdata="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P5Az&#10;u9cAAAAJAQAADwAAAAAAAAABACAAAAAiAAAAZHJzL2Rvd25yZXYueG1sUEsBAhQAFAAAAAgAh07i&#10;QBymXCKxAQAAXwMAAA4AAAAAAAAAAQAgAAAAJgEAAGRycy9lMm9Eb2MueG1sUEsFBgAAAAAGAAYA&#10;WQEAAEkFAAAAAA==&#10;">
                <v:fill on="f" focussize="0,0"/>
                <v:stroke on="f"/>
                <v:imagedata o:title=""/>
                <o:lock v:ext="edit" aspectratio="f"/>
                <v:textbox>
                  <w:txbxContent>
                    <w:p w14:paraId="27C30FFA">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管理的要求</w:t>
                      </w:r>
                    </w:p>
                  </w:txbxContent>
                </v:textbox>
              </v:shape>
            </w:pict>
          </mc:Fallback>
        </mc:AlternateContent>
      </w:r>
      <w:r>
        <w:rPr>
          <w:rFonts w:ascii="宋体" w:hAnsi="宋体"/>
          <w:b/>
          <w:color w:val="auto"/>
          <w:sz w:val="24"/>
          <w:szCs w:val="18"/>
        </w:rPr>
        <w:t xml:space="preserve">41.3  </w:t>
      </w:r>
    </w:p>
    <w:p w14:paraId="685091ED">
      <w:pPr>
        <w:pStyle w:val="3"/>
        <w:adjustRightInd w:val="0"/>
        <w:snapToGrid w:val="0"/>
        <w:spacing w:line="360" w:lineRule="auto"/>
        <w:ind w:left="1619" w:leftChars="771" w:firstLine="0"/>
        <w:rPr>
          <w:rFonts w:ascii="宋体"/>
          <w:color w:val="auto"/>
          <w:sz w:val="24"/>
          <w:szCs w:val="18"/>
        </w:rPr>
      </w:pPr>
      <w:r>
        <w:rPr>
          <w:rFonts w:hint="eastAsia" w:ascii="宋体" w:hAnsi="宋体"/>
          <w:color w:val="auto"/>
          <w:sz w:val="24"/>
          <w:szCs w:val="18"/>
        </w:rPr>
        <w:t>发包人不得以任何理由，要求承包人在施工作业中违反法律法规、工程建设强制性标准，以及工程质量和施工安全标准，降低合同工程质量。承包人应加强对施工作业人员的工程质量和施工安全教育培训，定期考核施工作业人员的劳动技能，加强工程质量和施工安全管理。</w:t>
      </w:r>
    </w:p>
    <w:p w14:paraId="294C1E60">
      <w:pPr>
        <w:pStyle w:val="3"/>
        <w:adjustRightInd w:val="0"/>
        <w:snapToGrid w:val="0"/>
        <w:spacing w:line="360" w:lineRule="auto"/>
        <w:ind w:firstLine="0"/>
        <w:rPr>
          <w:rFonts w:ascii="宋体"/>
          <w:color w:val="auto"/>
          <w:sz w:val="24"/>
          <w:szCs w:val="18"/>
        </w:rPr>
      </w:pPr>
      <w:r>
        <w:rPr>
          <w:color w:val="auto"/>
        </w:rPr>
        <mc:AlternateContent>
          <mc:Choice Requires="wps">
            <w:drawing>
              <wp:anchor distT="0" distB="0" distL="114300" distR="114300" simplePos="0" relativeHeight="251823104" behindDoc="0" locked="0" layoutInCell="1" allowOverlap="1">
                <wp:simplePos x="0" y="0"/>
                <wp:positionH relativeFrom="column">
                  <wp:posOffset>-115570</wp:posOffset>
                </wp:positionH>
                <wp:positionV relativeFrom="paragraph">
                  <wp:posOffset>279400</wp:posOffset>
                </wp:positionV>
                <wp:extent cx="914400" cy="389890"/>
                <wp:effectExtent l="0" t="0" r="0" b="0"/>
                <wp:wrapNone/>
                <wp:docPr id="161" name="文本框 161"/>
                <wp:cNvGraphicFramePr/>
                <a:graphic xmlns:a="http://schemas.openxmlformats.org/drawingml/2006/main">
                  <a:graphicData uri="http://schemas.microsoft.com/office/word/2010/wordprocessingShape">
                    <wps:wsp>
                      <wps:cNvSpPr txBox="1"/>
                      <wps:spPr>
                        <a:xfrm>
                          <a:off x="0" y="0"/>
                          <a:ext cx="914400" cy="389890"/>
                        </a:xfrm>
                        <a:prstGeom prst="rect">
                          <a:avLst/>
                        </a:prstGeom>
                        <a:noFill/>
                        <a:ln>
                          <a:noFill/>
                        </a:ln>
                        <a:effectLst/>
                      </wps:spPr>
                      <wps:txbx>
                        <w:txbxContent>
                          <w:p w14:paraId="1457D9F2">
                            <w:pPr>
                              <w:spacing w:line="240" w:lineRule="exact"/>
                              <w:jc w:val="left"/>
                              <w:rPr>
                                <w:rFonts w:ascii="楷体_GB2312" w:hAnsi="宋体" w:eastAsia="楷体_GB2312"/>
                                <w:b/>
                                <w:color w:val="000000"/>
                                <w:sz w:val="18"/>
                                <w:szCs w:val="18"/>
                              </w:rPr>
                            </w:pPr>
                            <w:r>
                              <w:rPr>
                                <w:rFonts w:hint="eastAsia" w:ascii="楷体_GB2312" w:hAnsi="宋体" w:eastAsia="楷体_GB2312"/>
                                <w:b/>
                                <w:color w:val="000000"/>
                                <w:sz w:val="18"/>
                                <w:szCs w:val="18"/>
                              </w:rPr>
                              <w:t>承包人对质量与安全负责</w:t>
                            </w:r>
                          </w:p>
                        </w:txbxContent>
                      </wps:txbx>
                      <wps:bodyPr upright="1"/>
                    </wps:wsp>
                  </a:graphicData>
                </a:graphic>
              </wp:anchor>
            </w:drawing>
          </mc:Choice>
          <mc:Fallback>
            <w:pict>
              <v:shape id="_x0000_s1026" o:spid="_x0000_s1026" o:spt="202" type="#_x0000_t202" style="position:absolute;left:0pt;margin-left:-9.1pt;margin-top:22pt;height:30.7pt;width:72pt;z-index:251823104;mso-width-relative:page;mso-height-relative:page;" filled="f" stroked="f" coordsize="21600,21600" o:gfxdata="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d2&#10;EEvWAAAACgEAAA8AAAAAAAAAAQAgAAAAIgAAAGRycy9kb3ducmV2LnhtbFBLAQIUABQAAAAIAIdO&#10;4kCQYqKsswEAAF8DAAAOAAAAAAAAAAEAIAAAACUBAABkcnMvZTJvRG9jLnhtbFBLBQYAAAAABgAG&#10;AFkBAABKBQAAAAA=&#10;">
                <v:fill on="f" focussize="0,0"/>
                <v:stroke on="f"/>
                <v:imagedata o:title=""/>
                <o:lock v:ext="edit" aspectratio="f"/>
                <v:textbox>
                  <w:txbxContent>
                    <w:p w14:paraId="1457D9F2">
                      <w:pPr>
                        <w:spacing w:line="240" w:lineRule="exact"/>
                        <w:jc w:val="left"/>
                        <w:rPr>
                          <w:rFonts w:ascii="楷体_GB2312" w:hAnsi="宋体" w:eastAsia="楷体_GB2312"/>
                          <w:b/>
                          <w:color w:val="000000"/>
                          <w:sz w:val="18"/>
                          <w:szCs w:val="18"/>
                        </w:rPr>
                      </w:pPr>
                      <w:r>
                        <w:rPr>
                          <w:rFonts w:hint="eastAsia" w:ascii="楷体_GB2312" w:hAnsi="宋体" w:eastAsia="楷体_GB2312"/>
                          <w:b/>
                          <w:color w:val="000000"/>
                          <w:sz w:val="18"/>
                          <w:szCs w:val="18"/>
                        </w:rPr>
                        <w:t>承包人对质量与安全负责</w:t>
                      </w:r>
                    </w:p>
                  </w:txbxContent>
                </v:textbox>
              </v:shape>
            </w:pict>
          </mc:Fallback>
        </mc:AlternateContent>
      </w:r>
      <w:r>
        <w:rPr>
          <w:rFonts w:ascii="宋体" w:hAnsi="宋体"/>
          <w:b/>
          <w:color w:val="auto"/>
          <w:sz w:val="24"/>
          <w:szCs w:val="18"/>
        </w:rPr>
        <w:t xml:space="preserve">41.4  </w:t>
      </w:r>
    </w:p>
    <w:p w14:paraId="20C05A1A">
      <w:pPr>
        <w:pStyle w:val="3"/>
        <w:adjustRightInd w:val="0"/>
        <w:snapToGrid w:val="0"/>
        <w:spacing w:line="360" w:lineRule="auto"/>
        <w:ind w:left="1619" w:leftChars="771" w:firstLine="0"/>
        <w:rPr>
          <w:rFonts w:ascii="宋体"/>
          <w:color w:val="auto"/>
          <w:sz w:val="24"/>
          <w:szCs w:val="18"/>
        </w:rPr>
      </w:pPr>
      <w:r>
        <w:rPr>
          <w:rFonts w:hint="eastAsia" w:ascii="宋体" w:hAnsi="宋体"/>
          <w:color w:val="auto"/>
          <w:sz w:val="24"/>
          <w:szCs w:val="18"/>
        </w:rPr>
        <w:t>承包人应对合同工程质量和施工安全负责，严格执行国家、省有关工程质量和施工安全的操作规程及管理要求，按照施工设计图纸和施工技术标准施工，不得偷工减料，不得擅自修改施工设计图纸，确保合同工程质量和施工安全。</w:t>
      </w:r>
    </w:p>
    <w:p w14:paraId="6ADABDE6">
      <w:pPr>
        <w:pStyle w:val="3"/>
        <w:adjustRightInd w:val="0"/>
        <w:snapToGrid w:val="0"/>
        <w:spacing w:line="360" w:lineRule="auto"/>
        <w:ind w:firstLine="0"/>
        <w:rPr>
          <w:rFonts w:ascii="宋体"/>
          <w:b/>
          <w:color w:val="auto"/>
          <w:u w:val="single"/>
        </w:rPr>
      </w:pPr>
    </w:p>
    <w:p w14:paraId="496A3F1C">
      <w:pPr>
        <w:pStyle w:val="3"/>
        <w:adjustRightInd w:val="0"/>
        <w:snapToGrid w:val="0"/>
        <w:spacing w:line="360" w:lineRule="auto"/>
        <w:ind w:firstLine="0"/>
        <w:rPr>
          <w:rFonts w:ascii="宋体"/>
          <w:b/>
          <w:color w:val="auto"/>
          <w:sz w:val="30"/>
          <w:szCs w:val="30"/>
        </w:rPr>
      </w:pPr>
      <w:r>
        <w:rPr>
          <w:rFonts w:ascii="宋体" w:hAnsi="宋体"/>
          <w:b/>
          <w:color w:val="auto"/>
          <w:sz w:val="30"/>
          <w:szCs w:val="30"/>
        </w:rPr>
        <w:t xml:space="preserve">42  </w:t>
      </w:r>
      <w:r>
        <w:rPr>
          <w:rFonts w:hint="eastAsia" w:ascii="宋体" w:hAnsi="宋体"/>
          <w:b/>
          <w:color w:val="auto"/>
          <w:sz w:val="30"/>
          <w:szCs w:val="30"/>
        </w:rPr>
        <w:t>质量标准</w:t>
      </w:r>
    </w:p>
    <w:p w14:paraId="3AFECD87">
      <w:pPr>
        <w:adjustRightInd w:val="0"/>
        <w:snapToGrid w:val="0"/>
        <w:spacing w:line="360" w:lineRule="auto"/>
        <w:jc w:val="left"/>
        <w:rPr>
          <w:rFonts w:ascii="宋体"/>
          <w:b/>
          <w:color w:val="auto"/>
          <w:sz w:val="24"/>
          <w:szCs w:val="18"/>
        </w:rPr>
      </w:pPr>
      <w:r>
        <w:rPr>
          <w:rFonts w:ascii="宋体" w:hAnsi="宋体"/>
          <w:b/>
          <w:color w:val="auto"/>
          <w:sz w:val="24"/>
          <w:szCs w:val="18"/>
        </w:rPr>
        <w:t xml:space="preserve">42.1 </w:t>
      </w:r>
    </w:p>
    <w:p w14:paraId="54BF48FF">
      <w:pPr>
        <w:adjustRightInd w:val="0"/>
        <w:snapToGrid w:val="0"/>
        <w:spacing w:line="360" w:lineRule="auto"/>
        <w:ind w:left="1619" w:leftChars="771"/>
        <w:jc w:val="left"/>
        <w:rPr>
          <w:rFonts w:ascii="宋体"/>
          <w:color w:val="auto"/>
          <w:sz w:val="24"/>
          <w:szCs w:val="18"/>
        </w:rPr>
      </w:pPr>
      <w:r>
        <w:rPr>
          <w:color w:val="auto"/>
        </w:rPr>
        <mc:AlternateContent>
          <mc:Choice Requires="wps">
            <w:drawing>
              <wp:anchor distT="0" distB="0" distL="114300" distR="114300" simplePos="0" relativeHeight="251824128" behindDoc="0" locked="0" layoutInCell="1" allowOverlap="1">
                <wp:simplePos x="0" y="0"/>
                <wp:positionH relativeFrom="column">
                  <wp:posOffset>-114300</wp:posOffset>
                </wp:positionH>
                <wp:positionV relativeFrom="paragraph">
                  <wp:posOffset>8255</wp:posOffset>
                </wp:positionV>
                <wp:extent cx="914400" cy="389890"/>
                <wp:effectExtent l="0" t="0" r="0" b="0"/>
                <wp:wrapNone/>
                <wp:docPr id="162" name="文本框 162"/>
                <wp:cNvGraphicFramePr/>
                <a:graphic xmlns:a="http://schemas.openxmlformats.org/drawingml/2006/main">
                  <a:graphicData uri="http://schemas.microsoft.com/office/word/2010/wordprocessingShape">
                    <wps:wsp>
                      <wps:cNvSpPr txBox="1"/>
                      <wps:spPr>
                        <a:xfrm>
                          <a:off x="0" y="0"/>
                          <a:ext cx="914400" cy="389890"/>
                        </a:xfrm>
                        <a:prstGeom prst="rect">
                          <a:avLst/>
                        </a:prstGeom>
                        <a:noFill/>
                        <a:ln>
                          <a:noFill/>
                        </a:ln>
                        <a:effectLst/>
                      </wps:spPr>
                      <wps:txbx>
                        <w:txbxContent>
                          <w:p w14:paraId="77B3D36E">
                            <w:pPr>
                              <w:spacing w:line="240" w:lineRule="exact"/>
                              <w:jc w:val="left"/>
                              <w:rPr>
                                <w:rFonts w:ascii="楷体_GB2312" w:hAnsi="宋体" w:eastAsia="楷体_GB2312"/>
                                <w:b/>
                                <w:color w:val="000000"/>
                                <w:sz w:val="18"/>
                                <w:szCs w:val="18"/>
                              </w:rPr>
                            </w:pPr>
                            <w:r>
                              <w:rPr>
                                <w:rFonts w:hint="eastAsia" w:ascii="楷体_GB2312" w:hAnsi="宋体" w:eastAsia="楷体_GB2312"/>
                                <w:b/>
                                <w:color w:val="000000"/>
                                <w:sz w:val="18"/>
                                <w:szCs w:val="18"/>
                              </w:rPr>
                              <w:t>约定工程质量标准</w:t>
                            </w:r>
                          </w:p>
                        </w:txbxContent>
                      </wps:txbx>
                      <wps:bodyPr upright="1"/>
                    </wps:wsp>
                  </a:graphicData>
                </a:graphic>
              </wp:anchor>
            </w:drawing>
          </mc:Choice>
          <mc:Fallback>
            <w:pict>
              <v:shape id="_x0000_s1026" o:spid="_x0000_s1026" o:spt="202" type="#_x0000_t202" style="position:absolute;left:0pt;margin-left:-9pt;margin-top:0.65pt;height:30.7pt;width:72pt;z-index:251824128;mso-width-relative:page;mso-height-relative:page;" filled="f" stroked="f" coordsize="21600,21600" o:gfxdata="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0IwP&#10;89UAAAAIAQAADwAAAAAAAAABACAAAAAiAAAAZHJzL2Rvd25yZXYueG1sUEsBAhQAFAAAAAgAh07i&#10;QHBsjoizAQAAXwMAAA4AAAAAAAAAAQAgAAAAJAEAAGRycy9lMm9Eb2MueG1sUEsFBgAAAAAGAAYA&#10;WQEAAEkFAAAAAA==&#10;">
                <v:fill on="f" focussize="0,0"/>
                <v:stroke on="f"/>
                <v:imagedata o:title=""/>
                <o:lock v:ext="edit" aspectratio="f"/>
                <v:textbox>
                  <w:txbxContent>
                    <w:p w14:paraId="77B3D36E">
                      <w:pPr>
                        <w:spacing w:line="240" w:lineRule="exact"/>
                        <w:jc w:val="left"/>
                        <w:rPr>
                          <w:rFonts w:ascii="楷体_GB2312" w:hAnsi="宋体" w:eastAsia="楷体_GB2312"/>
                          <w:b/>
                          <w:color w:val="000000"/>
                          <w:sz w:val="18"/>
                          <w:szCs w:val="18"/>
                        </w:rPr>
                      </w:pPr>
                      <w:r>
                        <w:rPr>
                          <w:rFonts w:hint="eastAsia" w:ascii="楷体_GB2312" w:hAnsi="宋体" w:eastAsia="楷体_GB2312"/>
                          <w:b/>
                          <w:color w:val="000000"/>
                          <w:sz w:val="18"/>
                          <w:szCs w:val="18"/>
                        </w:rPr>
                        <w:t>约定工程质量标准</w:t>
                      </w:r>
                    </w:p>
                  </w:txbxContent>
                </v:textbox>
              </v:shape>
            </w:pict>
          </mc:Fallback>
        </mc:AlternateContent>
      </w:r>
      <w:r>
        <w:rPr>
          <w:rFonts w:hint="eastAsia" w:ascii="宋体" w:hAnsi="宋体"/>
          <w:color w:val="auto"/>
          <w:sz w:val="24"/>
          <w:szCs w:val="18"/>
        </w:rPr>
        <w:t>合同双方当事人应在专用条款中约定工程质量标准，但不得低于国家或行业的强制性标准。工程质量应当达到专用条款约定的质量标准。</w:t>
      </w:r>
    </w:p>
    <w:p w14:paraId="3BFAD6C7">
      <w:pPr>
        <w:adjustRightInd w:val="0"/>
        <w:snapToGrid w:val="0"/>
        <w:spacing w:line="360" w:lineRule="auto"/>
        <w:ind w:left="1619" w:leftChars="771"/>
        <w:jc w:val="left"/>
        <w:rPr>
          <w:rFonts w:ascii="宋体"/>
          <w:color w:val="auto"/>
          <w:sz w:val="24"/>
          <w:szCs w:val="18"/>
        </w:rPr>
      </w:pPr>
      <w:r>
        <w:rPr>
          <w:rFonts w:hint="eastAsia" w:ascii="宋体" w:hAnsi="宋体"/>
          <w:color w:val="auto"/>
          <w:sz w:val="24"/>
          <w:szCs w:val="18"/>
        </w:rPr>
        <w:t>工程质量验收，按照合同约定的标准执行；合同没有约定的，按照国家或行业的质量验收标准执行。</w:t>
      </w:r>
    </w:p>
    <w:p w14:paraId="1E85B43E">
      <w:pPr>
        <w:adjustRightInd w:val="0"/>
        <w:snapToGrid w:val="0"/>
        <w:spacing w:line="360" w:lineRule="auto"/>
        <w:jc w:val="left"/>
        <w:rPr>
          <w:rFonts w:ascii="宋体"/>
          <w:color w:val="auto"/>
          <w:sz w:val="24"/>
          <w:szCs w:val="18"/>
        </w:rPr>
      </w:pPr>
      <w:r>
        <w:rPr>
          <w:color w:val="auto"/>
        </w:rPr>
        <mc:AlternateContent>
          <mc:Choice Requires="wps">
            <w:drawing>
              <wp:anchor distT="0" distB="0" distL="114300" distR="114300" simplePos="0" relativeHeight="251825152" behindDoc="0" locked="0" layoutInCell="1" allowOverlap="1">
                <wp:simplePos x="0" y="0"/>
                <wp:positionH relativeFrom="column">
                  <wp:posOffset>-114300</wp:posOffset>
                </wp:positionH>
                <wp:positionV relativeFrom="paragraph">
                  <wp:posOffset>256540</wp:posOffset>
                </wp:positionV>
                <wp:extent cx="977900" cy="471805"/>
                <wp:effectExtent l="0" t="0" r="0" b="0"/>
                <wp:wrapNone/>
                <wp:docPr id="163" name="文本框 163"/>
                <wp:cNvGraphicFramePr/>
                <a:graphic xmlns:a="http://schemas.openxmlformats.org/drawingml/2006/main">
                  <a:graphicData uri="http://schemas.microsoft.com/office/word/2010/wordprocessingShape">
                    <wps:wsp>
                      <wps:cNvSpPr txBox="1"/>
                      <wps:spPr>
                        <a:xfrm>
                          <a:off x="0" y="0"/>
                          <a:ext cx="977900" cy="471805"/>
                        </a:xfrm>
                        <a:prstGeom prst="rect">
                          <a:avLst/>
                        </a:prstGeom>
                        <a:noFill/>
                        <a:ln>
                          <a:noFill/>
                        </a:ln>
                        <a:effectLst/>
                      </wps:spPr>
                      <wps:txbx>
                        <w:txbxContent>
                          <w:p w14:paraId="2C87E8EB">
                            <w:pPr>
                              <w:spacing w:line="240" w:lineRule="exact"/>
                              <w:jc w:val="left"/>
                              <w:rPr>
                                <w:rFonts w:ascii="楷体_GB2312" w:hAnsi="宋体" w:eastAsia="楷体_GB2312"/>
                                <w:b/>
                                <w:color w:val="000000"/>
                                <w:sz w:val="18"/>
                                <w:szCs w:val="18"/>
                              </w:rPr>
                            </w:pPr>
                            <w:r>
                              <w:rPr>
                                <w:rFonts w:hint="eastAsia" w:ascii="楷体_GB2312" w:hAnsi="宋体" w:eastAsia="楷体_GB2312"/>
                                <w:b/>
                                <w:color w:val="000000"/>
                                <w:sz w:val="18"/>
                                <w:szCs w:val="18"/>
                              </w:rPr>
                              <w:t>承包人保证工程质量的职责</w:t>
                            </w:r>
                          </w:p>
                        </w:txbxContent>
                      </wps:txbx>
                      <wps:bodyPr upright="1"/>
                    </wps:wsp>
                  </a:graphicData>
                </a:graphic>
              </wp:anchor>
            </w:drawing>
          </mc:Choice>
          <mc:Fallback>
            <w:pict>
              <v:shape id="_x0000_s1026" o:spid="_x0000_s1026" o:spt="202" type="#_x0000_t202" style="position:absolute;left:0pt;margin-left:-9pt;margin-top:20.2pt;height:37.15pt;width:77pt;z-index:251825152;mso-width-relative:page;mso-height-relative:page;" filled="f" stroked="f" coordsize="21600,21600" o:gfxdata="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n&#10;1YIv1wAAAAoBAAAPAAAAAAAAAAEAIAAAACIAAABkcnMvZG93bnJldi54bWxQSwECFAAUAAAACACH&#10;TuJA+eyIzrMBAABfAwAADgAAAAAAAAABACAAAAAmAQAAZHJzL2Uyb0RvYy54bWxQSwUGAAAAAAYA&#10;BgBZAQAASwUAAAAA&#10;">
                <v:fill on="f" focussize="0,0"/>
                <v:stroke on="f"/>
                <v:imagedata o:title=""/>
                <o:lock v:ext="edit" aspectratio="f"/>
                <v:textbox>
                  <w:txbxContent>
                    <w:p w14:paraId="2C87E8EB">
                      <w:pPr>
                        <w:spacing w:line="240" w:lineRule="exact"/>
                        <w:jc w:val="left"/>
                        <w:rPr>
                          <w:rFonts w:ascii="楷体_GB2312" w:hAnsi="宋体" w:eastAsia="楷体_GB2312"/>
                          <w:b/>
                          <w:color w:val="000000"/>
                          <w:sz w:val="18"/>
                          <w:szCs w:val="18"/>
                        </w:rPr>
                      </w:pPr>
                      <w:r>
                        <w:rPr>
                          <w:rFonts w:hint="eastAsia" w:ascii="楷体_GB2312" w:hAnsi="宋体" w:eastAsia="楷体_GB2312"/>
                          <w:b/>
                          <w:color w:val="000000"/>
                          <w:sz w:val="18"/>
                          <w:szCs w:val="18"/>
                        </w:rPr>
                        <w:t>承包人保证工程质量的职责</w:t>
                      </w:r>
                    </w:p>
                  </w:txbxContent>
                </v:textbox>
              </v:shape>
            </w:pict>
          </mc:Fallback>
        </mc:AlternateContent>
      </w:r>
      <w:r>
        <w:rPr>
          <w:rFonts w:ascii="宋体" w:hAnsi="宋体"/>
          <w:b/>
          <w:color w:val="auto"/>
          <w:sz w:val="24"/>
          <w:szCs w:val="18"/>
        </w:rPr>
        <w:t>42.2</w:t>
      </w:r>
    </w:p>
    <w:p w14:paraId="2ED96B7F">
      <w:pPr>
        <w:adjustRightInd w:val="0"/>
        <w:snapToGrid w:val="0"/>
        <w:spacing w:line="360" w:lineRule="auto"/>
        <w:ind w:left="1620"/>
        <w:jc w:val="left"/>
        <w:rPr>
          <w:rFonts w:ascii="宋体"/>
          <w:color w:val="auto"/>
          <w:sz w:val="24"/>
          <w:szCs w:val="18"/>
        </w:rPr>
      </w:pPr>
      <w:r>
        <w:rPr>
          <w:rFonts w:hint="eastAsia" w:ascii="宋体" w:hAnsi="宋体"/>
          <w:color w:val="auto"/>
          <w:sz w:val="24"/>
          <w:szCs w:val="18"/>
        </w:rPr>
        <w:t>承包人对合同工程的质量向发包人负责，其职责包括但不限于下列内容：</w:t>
      </w:r>
    </w:p>
    <w:p w14:paraId="12E078D0">
      <w:pPr>
        <w:adjustRightInd w:val="0"/>
        <w:snapToGrid w:val="0"/>
        <w:spacing w:line="360" w:lineRule="auto"/>
        <w:ind w:left="1620"/>
        <w:jc w:val="left"/>
        <w:rPr>
          <w:rFonts w:ascii="宋体"/>
          <w:color w:val="auto"/>
          <w:sz w:val="24"/>
          <w:szCs w:val="18"/>
        </w:rPr>
      </w:pPr>
      <w:r>
        <w:rPr>
          <w:rFonts w:ascii="宋体" w:hAnsi="宋体"/>
          <w:color w:val="auto"/>
          <w:sz w:val="24"/>
          <w:szCs w:val="18"/>
        </w:rPr>
        <w:t xml:space="preserve">(1) </w:t>
      </w:r>
      <w:r>
        <w:rPr>
          <w:rFonts w:hint="eastAsia" w:ascii="宋体" w:hAnsi="宋体"/>
          <w:color w:val="auto"/>
          <w:sz w:val="24"/>
          <w:szCs w:val="18"/>
        </w:rPr>
        <w:t>编制施工技术方案，确定施工技术措施；</w:t>
      </w:r>
    </w:p>
    <w:p w14:paraId="56BB3AAF">
      <w:pPr>
        <w:adjustRightInd w:val="0"/>
        <w:snapToGrid w:val="0"/>
        <w:spacing w:line="360" w:lineRule="auto"/>
        <w:ind w:left="1620"/>
        <w:jc w:val="left"/>
        <w:rPr>
          <w:rFonts w:ascii="宋体"/>
          <w:color w:val="auto"/>
          <w:sz w:val="24"/>
          <w:szCs w:val="18"/>
        </w:rPr>
      </w:pPr>
      <w:r>
        <w:rPr>
          <w:rFonts w:ascii="宋体" w:hAnsi="宋体"/>
          <w:color w:val="auto"/>
          <w:sz w:val="24"/>
          <w:szCs w:val="18"/>
        </w:rPr>
        <w:t xml:space="preserve">(2) </w:t>
      </w:r>
      <w:r>
        <w:rPr>
          <w:rFonts w:hint="eastAsia" w:ascii="宋体" w:hAnsi="宋体"/>
          <w:color w:val="auto"/>
          <w:sz w:val="24"/>
          <w:szCs w:val="18"/>
        </w:rPr>
        <w:t>提供和组织足够的工程技术人员，检查和控制工程施工质量；</w:t>
      </w:r>
    </w:p>
    <w:p w14:paraId="6A7A3E2F">
      <w:pPr>
        <w:adjustRightInd w:val="0"/>
        <w:snapToGrid w:val="0"/>
        <w:spacing w:line="360" w:lineRule="auto"/>
        <w:ind w:left="1621"/>
        <w:jc w:val="left"/>
        <w:rPr>
          <w:rFonts w:ascii="宋体"/>
          <w:color w:val="auto"/>
          <w:sz w:val="24"/>
          <w:szCs w:val="18"/>
        </w:rPr>
      </w:pPr>
      <w:r>
        <w:rPr>
          <w:rFonts w:ascii="宋体" w:hAnsi="宋体"/>
          <w:color w:val="auto"/>
          <w:sz w:val="24"/>
          <w:szCs w:val="18"/>
        </w:rPr>
        <w:t xml:space="preserve">(3) </w:t>
      </w:r>
      <w:r>
        <w:rPr>
          <w:rFonts w:hint="eastAsia" w:ascii="宋体" w:hAnsi="宋体"/>
          <w:color w:val="auto"/>
          <w:sz w:val="24"/>
          <w:szCs w:val="18"/>
        </w:rPr>
        <w:t>控制施工所用的材料和工程设备，使其符合标准与规范、设计要求及合同约定的标准；</w:t>
      </w:r>
    </w:p>
    <w:p w14:paraId="3A6C19EC">
      <w:pPr>
        <w:tabs>
          <w:tab w:val="right" w:pos="9864"/>
        </w:tabs>
        <w:adjustRightInd w:val="0"/>
        <w:snapToGrid w:val="0"/>
        <w:spacing w:line="360" w:lineRule="auto"/>
        <w:ind w:firstLine="1620" w:firstLineChars="675"/>
        <w:jc w:val="left"/>
        <w:rPr>
          <w:rFonts w:ascii="宋体"/>
          <w:color w:val="auto"/>
          <w:sz w:val="24"/>
          <w:szCs w:val="18"/>
        </w:rPr>
      </w:pPr>
      <w:r>
        <w:rPr>
          <w:rFonts w:ascii="宋体" w:hAnsi="宋体"/>
          <w:color w:val="auto"/>
          <w:sz w:val="24"/>
          <w:szCs w:val="18"/>
        </w:rPr>
        <w:t xml:space="preserve">(4) </w:t>
      </w:r>
      <w:r>
        <w:rPr>
          <w:rFonts w:hint="eastAsia" w:ascii="宋体" w:hAnsi="宋体"/>
          <w:color w:val="auto"/>
          <w:sz w:val="24"/>
          <w:szCs w:val="18"/>
        </w:rPr>
        <w:t>负责合同工程施工中出现质量问题或竣工验收不合格的返修工作；</w:t>
      </w:r>
    </w:p>
    <w:p w14:paraId="5C96D05C">
      <w:pPr>
        <w:adjustRightInd w:val="0"/>
        <w:snapToGrid w:val="0"/>
        <w:spacing w:line="360" w:lineRule="auto"/>
        <w:ind w:left="1617"/>
        <w:jc w:val="left"/>
        <w:rPr>
          <w:rFonts w:ascii="宋体"/>
          <w:color w:val="auto"/>
          <w:sz w:val="24"/>
          <w:szCs w:val="18"/>
        </w:rPr>
      </w:pPr>
      <w:r>
        <w:rPr>
          <w:rFonts w:ascii="宋体" w:hAnsi="宋体"/>
          <w:color w:val="auto"/>
          <w:sz w:val="24"/>
          <w:szCs w:val="18"/>
        </w:rPr>
        <w:t xml:space="preserve">(5) </w:t>
      </w:r>
      <w:r>
        <w:rPr>
          <w:rFonts w:hint="eastAsia" w:ascii="宋体" w:hAnsi="宋体"/>
          <w:color w:val="auto"/>
          <w:sz w:val="24"/>
          <w:szCs w:val="18"/>
        </w:rPr>
        <w:t>参加合同工程的所有验收工作，包括隐蔽验收、中间验收；参加竣工验收，组织分包人参加工程验收工作；</w:t>
      </w:r>
    </w:p>
    <w:p w14:paraId="3ACB3D9C">
      <w:pPr>
        <w:adjustRightInd w:val="0"/>
        <w:snapToGrid w:val="0"/>
        <w:spacing w:line="360" w:lineRule="auto"/>
        <w:ind w:left="1620"/>
        <w:jc w:val="left"/>
        <w:rPr>
          <w:rFonts w:ascii="宋体"/>
          <w:color w:val="auto"/>
          <w:sz w:val="24"/>
          <w:szCs w:val="18"/>
        </w:rPr>
      </w:pPr>
      <w:r>
        <w:rPr>
          <w:rFonts w:ascii="宋体" w:hAnsi="宋体"/>
          <w:color w:val="auto"/>
          <w:sz w:val="24"/>
          <w:szCs w:val="18"/>
        </w:rPr>
        <w:t xml:space="preserve">(6) </w:t>
      </w:r>
      <w:r>
        <w:rPr>
          <w:rFonts w:hint="eastAsia" w:ascii="宋体" w:hAnsi="宋体"/>
          <w:color w:val="auto"/>
          <w:sz w:val="24"/>
          <w:szCs w:val="18"/>
        </w:rPr>
        <w:t>承担质量保修期的工程保修责任；</w:t>
      </w:r>
    </w:p>
    <w:p w14:paraId="3F06D947">
      <w:pPr>
        <w:adjustRightInd w:val="0"/>
        <w:snapToGrid w:val="0"/>
        <w:spacing w:line="360" w:lineRule="auto"/>
        <w:ind w:left="1620"/>
        <w:jc w:val="left"/>
        <w:rPr>
          <w:rFonts w:ascii="宋体"/>
          <w:color w:val="auto"/>
          <w:sz w:val="24"/>
          <w:szCs w:val="18"/>
        </w:rPr>
      </w:pPr>
      <w:r>
        <w:rPr>
          <w:rFonts w:ascii="宋体" w:hAnsi="宋体"/>
          <w:color w:val="auto"/>
          <w:sz w:val="24"/>
          <w:szCs w:val="18"/>
        </w:rPr>
        <w:t xml:space="preserve">(7) </w:t>
      </w:r>
      <w:r>
        <w:rPr>
          <w:rFonts w:hint="eastAsia" w:ascii="宋体" w:hAnsi="宋体"/>
          <w:color w:val="auto"/>
          <w:sz w:val="24"/>
          <w:szCs w:val="18"/>
        </w:rPr>
        <w:t>承担其他工程质量责任。</w:t>
      </w:r>
    </w:p>
    <w:p w14:paraId="3125FDA4">
      <w:pPr>
        <w:adjustRightInd w:val="0"/>
        <w:snapToGrid w:val="0"/>
        <w:spacing w:line="360" w:lineRule="auto"/>
        <w:jc w:val="left"/>
        <w:rPr>
          <w:rFonts w:ascii="宋体"/>
          <w:b/>
          <w:color w:val="auto"/>
          <w:sz w:val="24"/>
          <w:szCs w:val="18"/>
        </w:rPr>
      </w:pPr>
      <w:r>
        <w:rPr>
          <w:color w:val="auto"/>
        </w:rPr>
        <mc:AlternateContent>
          <mc:Choice Requires="wps">
            <w:drawing>
              <wp:anchor distT="0" distB="0" distL="114300" distR="114300" simplePos="0" relativeHeight="251826176" behindDoc="0" locked="0" layoutInCell="1" allowOverlap="1">
                <wp:simplePos x="0" y="0"/>
                <wp:positionH relativeFrom="column">
                  <wp:posOffset>-114300</wp:posOffset>
                </wp:positionH>
                <wp:positionV relativeFrom="paragraph">
                  <wp:posOffset>291465</wp:posOffset>
                </wp:positionV>
                <wp:extent cx="1028700" cy="245745"/>
                <wp:effectExtent l="0" t="0" r="0" b="0"/>
                <wp:wrapNone/>
                <wp:docPr id="164" name="文本框 164"/>
                <wp:cNvGraphicFramePr/>
                <a:graphic xmlns:a="http://schemas.openxmlformats.org/drawingml/2006/main">
                  <a:graphicData uri="http://schemas.microsoft.com/office/word/2010/wordprocessingShape">
                    <wps:wsp>
                      <wps:cNvSpPr txBox="1"/>
                      <wps:spPr>
                        <a:xfrm>
                          <a:off x="0" y="0"/>
                          <a:ext cx="1028700" cy="245745"/>
                        </a:xfrm>
                        <a:prstGeom prst="rect">
                          <a:avLst/>
                        </a:prstGeom>
                        <a:noFill/>
                        <a:ln>
                          <a:noFill/>
                        </a:ln>
                        <a:effectLst/>
                      </wps:spPr>
                      <wps:txbx>
                        <w:txbxContent>
                          <w:p w14:paraId="2E742576">
                            <w:pPr>
                              <w:spacing w:line="240" w:lineRule="exact"/>
                              <w:jc w:val="left"/>
                              <w:rPr>
                                <w:rFonts w:ascii="楷体_GB2312" w:hAnsi="宋体" w:eastAsia="楷体_GB2312"/>
                                <w:b/>
                                <w:color w:val="000000"/>
                                <w:sz w:val="18"/>
                                <w:szCs w:val="18"/>
                              </w:rPr>
                            </w:pPr>
                            <w:r>
                              <w:rPr>
                                <w:rFonts w:hint="eastAsia" w:ascii="楷体_GB2312" w:hAnsi="宋体" w:eastAsia="楷体_GB2312"/>
                                <w:b/>
                                <w:color w:val="000000"/>
                                <w:sz w:val="18"/>
                                <w:szCs w:val="18"/>
                              </w:rPr>
                              <w:t>质量保证体系</w:t>
                            </w:r>
                          </w:p>
                        </w:txbxContent>
                      </wps:txbx>
                      <wps:bodyPr upright="1"/>
                    </wps:wsp>
                  </a:graphicData>
                </a:graphic>
              </wp:anchor>
            </w:drawing>
          </mc:Choice>
          <mc:Fallback>
            <w:pict>
              <v:shape id="_x0000_s1026" o:spid="_x0000_s1026" o:spt="202" type="#_x0000_t202" style="position:absolute;left:0pt;margin-left:-9pt;margin-top:22.95pt;height:19.35pt;width:81pt;z-index:251826176;mso-width-relative:page;mso-height-relative:page;" filled="f" stroked="f" coordsize="21600,21600" o:gfxdata="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gswK&#10;w9YAAAAJAQAADwAAAAAAAAABACAAAAAiAAAAZHJzL2Rvd25yZXYueG1sUEsBAhQAFAAAAAgAh07i&#10;QGgl7gOyAQAAYAMAAA4AAAAAAAAAAQAgAAAAJQEAAGRycy9lMm9Eb2MueG1sUEsFBgAAAAAGAAYA&#10;WQEAAEkFAAAAAA==&#10;">
                <v:fill on="f" focussize="0,0"/>
                <v:stroke on="f"/>
                <v:imagedata o:title=""/>
                <o:lock v:ext="edit" aspectratio="f"/>
                <v:textbox>
                  <w:txbxContent>
                    <w:p w14:paraId="2E742576">
                      <w:pPr>
                        <w:spacing w:line="240" w:lineRule="exact"/>
                        <w:jc w:val="left"/>
                        <w:rPr>
                          <w:rFonts w:ascii="楷体_GB2312" w:hAnsi="宋体" w:eastAsia="楷体_GB2312"/>
                          <w:b/>
                          <w:color w:val="000000"/>
                          <w:sz w:val="18"/>
                          <w:szCs w:val="18"/>
                        </w:rPr>
                      </w:pPr>
                      <w:r>
                        <w:rPr>
                          <w:rFonts w:hint="eastAsia" w:ascii="楷体_GB2312" w:hAnsi="宋体" w:eastAsia="楷体_GB2312"/>
                          <w:b/>
                          <w:color w:val="000000"/>
                          <w:sz w:val="18"/>
                          <w:szCs w:val="18"/>
                        </w:rPr>
                        <w:t>质量保证体系</w:t>
                      </w:r>
                    </w:p>
                  </w:txbxContent>
                </v:textbox>
              </v:shape>
            </w:pict>
          </mc:Fallback>
        </mc:AlternateContent>
      </w:r>
      <w:r>
        <w:rPr>
          <w:rFonts w:ascii="宋体" w:hAnsi="宋体"/>
          <w:b/>
          <w:color w:val="auto"/>
          <w:sz w:val="24"/>
          <w:szCs w:val="18"/>
        </w:rPr>
        <w:t xml:space="preserve">42.3 </w:t>
      </w:r>
    </w:p>
    <w:p w14:paraId="7C85D4AF">
      <w:pPr>
        <w:pStyle w:val="12"/>
        <w:adjustRightInd w:val="0"/>
        <w:snapToGrid w:val="0"/>
        <w:ind w:left="1619" w:leftChars="771"/>
        <w:rPr>
          <w:rFonts w:ascii="宋体"/>
          <w:color w:val="auto"/>
          <w:szCs w:val="18"/>
        </w:rPr>
      </w:pPr>
      <w:r>
        <w:rPr>
          <w:rFonts w:hint="eastAsia" w:ascii="宋体"/>
          <w:color w:val="auto"/>
          <w:szCs w:val="18"/>
        </w:rPr>
        <w:t>承包人应建立健全完善的质量保证体系。在合同工程开工前，监理工程师有权要求承包人提交质量保证体系实施程序、施工质量检验制度和施工质量水平评定考核制度等文件、资料。即使承包人遵守质量保证体系，也不能免除其按照合同约定应承担的任何责任和应履行的任何义务。</w:t>
      </w:r>
    </w:p>
    <w:p w14:paraId="45ADC9FF">
      <w:pPr>
        <w:adjustRightInd w:val="0"/>
        <w:snapToGrid w:val="0"/>
        <w:spacing w:line="360" w:lineRule="auto"/>
        <w:jc w:val="left"/>
        <w:rPr>
          <w:rFonts w:ascii="宋体"/>
          <w:b/>
          <w:color w:val="auto"/>
          <w:sz w:val="24"/>
          <w:szCs w:val="18"/>
        </w:rPr>
      </w:pPr>
      <w:r>
        <w:rPr>
          <w:color w:val="auto"/>
        </w:rPr>
        <mc:AlternateContent>
          <mc:Choice Requires="wps">
            <w:drawing>
              <wp:anchor distT="0" distB="0" distL="114300" distR="114300" simplePos="0" relativeHeight="251827200" behindDoc="0" locked="0" layoutInCell="1" allowOverlap="1">
                <wp:simplePos x="0" y="0"/>
                <wp:positionH relativeFrom="column">
                  <wp:posOffset>-114300</wp:posOffset>
                </wp:positionH>
                <wp:positionV relativeFrom="paragraph">
                  <wp:posOffset>276225</wp:posOffset>
                </wp:positionV>
                <wp:extent cx="800100" cy="449580"/>
                <wp:effectExtent l="0" t="0" r="0" b="0"/>
                <wp:wrapNone/>
                <wp:docPr id="165" name="文本框 165"/>
                <wp:cNvGraphicFramePr/>
                <a:graphic xmlns:a="http://schemas.openxmlformats.org/drawingml/2006/main">
                  <a:graphicData uri="http://schemas.microsoft.com/office/word/2010/wordprocessingShape">
                    <wps:wsp>
                      <wps:cNvSpPr txBox="1"/>
                      <wps:spPr>
                        <a:xfrm>
                          <a:off x="0" y="0"/>
                          <a:ext cx="800100" cy="449580"/>
                        </a:xfrm>
                        <a:prstGeom prst="rect">
                          <a:avLst/>
                        </a:prstGeom>
                        <a:noFill/>
                        <a:ln>
                          <a:noFill/>
                        </a:ln>
                        <a:effectLst/>
                      </wps:spPr>
                      <wps:txbx>
                        <w:txbxContent>
                          <w:p w14:paraId="1F7AB1DD">
                            <w:pPr>
                              <w:spacing w:line="240" w:lineRule="exact"/>
                              <w:jc w:val="left"/>
                              <w:rPr>
                                <w:rFonts w:ascii="楷体_GB2312" w:hAnsi="宋体" w:eastAsia="楷体_GB2312"/>
                                <w:b/>
                                <w:color w:val="000000"/>
                                <w:sz w:val="18"/>
                                <w:szCs w:val="18"/>
                              </w:rPr>
                            </w:pPr>
                            <w:r>
                              <w:rPr>
                                <w:rFonts w:hint="eastAsia" w:ascii="楷体_GB2312" w:hAnsi="宋体" w:eastAsia="楷体_GB2312"/>
                                <w:b/>
                                <w:color w:val="000000"/>
                                <w:sz w:val="18"/>
                                <w:szCs w:val="18"/>
                              </w:rPr>
                              <w:t>工程质量有</w:t>
                            </w:r>
                          </w:p>
                          <w:p w14:paraId="1A5A270E">
                            <w:pPr>
                              <w:spacing w:line="240" w:lineRule="exact"/>
                              <w:jc w:val="left"/>
                              <w:rPr>
                                <w:rFonts w:ascii="楷体_GB2312" w:hAnsi="宋体" w:eastAsia="楷体_GB2312"/>
                                <w:b/>
                                <w:color w:val="000000"/>
                                <w:sz w:val="18"/>
                                <w:szCs w:val="18"/>
                              </w:rPr>
                            </w:pPr>
                            <w:r>
                              <w:rPr>
                                <w:rFonts w:hint="eastAsia" w:ascii="楷体_GB2312" w:hAnsi="宋体" w:eastAsia="楷体_GB2312"/>
                                <w:b/>
                                <w:color w:val="000000"/>
                                <w:sz w:val="18"/>
                                <w:szCs w:val="18"/>
                              </w:rPr>
                              <w:t>争议的处理</w:t>
                            </w:r>
                          </w:p>
                        </w:txbxContent>
                      </wps:txbx>
                      <wps:bodyPr upright="1"/>
                    </wps:wsp>
                  </a:graphicData>
                </a:graphic>
              </wp:anchor>
            </w:drawing>
          </mc:Choice>
          <mc:Fallback>
            <w:pict>
              <v:shape id="_x0000_s1026" o:spid="_x0000_s1026" o:spt="202" type="#_x0000_t202" style="position:absolute;left:0pt;margin-left:-9pt;margin-top:21.75pt;height:35.4pt;width:63pt;z-index:251827200;mso-width-relative:page;mso-height-relative:page;" filled="f" stroked="f" coordsize="21600,21600" o:gfxdata="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7/&#10;7nDXAAAACgEAAA8AAAAAAAAAAQAgAAAAIgAAAGRycy9kb3ducmV2LnhtbFBLAQIUABQAAAAIAIdO&#10;4kCs4dh4sgEAAF8DAAAOAAAAAAAAAAEAIAAAACYBAABkcnMvZTJvRG9jLnhtbFBLBQYAAAAABgAG&#10;AFkBAABKBQAAAAA=&#10;">
                <v:fill on="f" focussize="0,0"/>
                <v:stroke on="f"/>
                <v:imagedata o:title=""/>
                <o:lock v:ext="edit" aspectratio="f"/>
                <v:textbox>
                  <w:txbxContent>
                    <w:p w14:paraId="1F7AB1DD">
                      <w:pPr>
                        <w:spacing w:line="240" w:lineRule="exact"/>
                        <w:jc w:val="left"/>
                        <w:rPr>
                          <w:rFonts w:ascii="楷体_GB2312" w:hAnsi="宋体" w:eastAsia="楷体_GB2312"/>
                          <w:b/>
                          <w:color w:val="000000"/>
                          <w:sz w:val="18"/>
                          <w:szCs w:val="18"/>
                        </w:rPr>
                      </w:pPr>
                      <w:r>
                        <w:rPr>
                          <w:rFonts w:hint="eastAsia" w:ascii="楷体_GB2312" w:hAnsi="宋体" w:eastAsia="楷体_GB2312"/>
                          <w:b/>
                          <w:color w:val="000000"/>
                          <w:sz w:val="18"/>
                          <w:szCs w:val="18"/>
                        </w:rPr>
                        <w:t>工程质量有</w:t>
                      </w:r>
                    </w:p>
                    <w:p w14:paraId="1A5A270E">
                      <w:pPr>
                        <w:spacing w:line="240" w:lineRule="exact"/>
                        <w:jc w:val="left"/>
                        <w:rPr>
                          <w:rFonts w:ascii="楷体_GB2312" w:hAnsi="宋体" w:eastAsia="楷体_GB2312"/>
                          <w:b/>
                          <w:color w:val="000000"/>
                          <w:sz w:val="18"/>
                          <w:szCs w:val="18"/>
                        </w:rPr>
                      </w:pPr>
                      <w:r>
                        <w:rPr>
                          <w:rFonts w:hint="eastAsia" w:ascii="楷体_GB2312" w:hAnsi="宋体" w:eastAsia="楷体_GB2312"/>
                          <w:b/>
                          <w:color w:val="000000"/>
                          <w:sz w:val="18"/>
                          <w:szCs w:val="18"/>
                        </w:rPr>
                        <w:t>争议的处理</w:t>
                      </w:r>
                    </w:p>
                  </w:txbxContent>
                </v:textbox>
              </v:shape>
            </w:pict>
          </mc:Fallback>
        </mc:AlternateContent>
      </w:r>
      <w:r>
        <w:rPr>
          <w:rFonts w:ascii="宋体" w:hAnsi="宋体"/>
          <w:b/>
          <w:color w:val="auto"/>
          <w:sz w:val="24"/>
          <w:szCs w:val="18"/>
        </w:rPr>
        <w:t xml:space="preserve">42.4 </w:t>
      </w:r>
    </w:p>
    <w:p w14:paraId="5D907FDB">
      <w:pPr>
        <w:adjustRightInd w:val="0"/>
        <w:snapToGrid w:val="0"/>
        <w:spacing w:line="360" w:lineRule="auto"/>
        <w:ind w:left="1619" w:leftChars="771"/>
        <w:jc w:val="left"/>
        <w:rPr>
          <w:rFonts w:ascii="宋体"/>
          <w:color w:val="auto"/>
          <w:sz w:val="24"/>
          <w:szCs w:val="18"/>
        </w:rPr>
      </w:pPr>
      <w:r>
        <w:rPr>
          <w:rFonts w:hint="eastAsia" w:ascii="宋体" w:hAnsi="宋体"/>
          <w:color w:val="auto"/>
          <w:sz w:val="24"/>
        </w:rPr>
        <w:t>合同双方当事人对工程质量有争议的，按照第</w:t>
      </w:r>
      <w:r>
        <w:rPr>
          <w:rFonts w:ascii="宋体" w:hAnsi="宋体"/>
          <w:color w:val="auto"/>
          <w:sz w:val="24"/>
        </w:rPr>
        <w:t>86.4</w:t>
      </w:r>
      <w:r>
        <w:rPr>
          <w:rFonts w:hint="eastAsia" w:ascii="宋体" w:hAnsi="宋体"/>
          <w:color w:val="auto"/>
          <w:sz w:val="24"/>
        </w:rPr>
        <w:t>款规定调解或认定，所需的费用及由此造成的损失，由责任方承担。双方均有责任的，由双方根据其责任划分分别承担。</w:t>
      </w:r>
    </w:p>
    <w:p w14:paraId="45697E0C">
      <w:pPr>
        <w:tabs>
          <w:tab w:val="left" w:pos="1620"/>
        </w:tabs>
        <w:adjustRightInd w:val="0"/>
        <w:snapToGrid w:val="0"/>
        <w:spacing w:line="360" w:lineRule="auto"/>
        <w:rPr>
          <w:rFonts w:ascii="宋体"/>
          <w:b/>
          <w:color w:val="auto"/>
          <w:sz w:val="24"/>
          <w:szCs w:val="18"/>
          <w:u w:val="single"/>
        </w:rPr>
      </w:pPr>
    </w:p>
    <w:p w14:paraId="4190A172">
      <w:pPr>
        <w:tabs>
          <w:tab w:val="left" w:pos="1620"/>
        </w:tabs>
        <w:adjustRightInd w:val="0"/>
        <w:snapToGrid w:val="0"/>
        <w:spacing w:line="360" w:lineRule="auto"/>
        <w:rPr>
          <w:rFonts w:ascii="宋体"/>
          <w:b/>
          <w:color w:val="auto"/>
          <w:sz w:val="30"/>
          <w:szCs w:val="30"/>
        </w:rPr>
      </w:pPr>
    </w:p>
    <w:p w14:paraId="191239BC">
      <w:pPr>
        <w:tabs>
          <w:tab w:val="left" w:pos="1620"/>
        </w:tabs>
        <w:adjustRightInd w:val="0"/>
        <w:snapToGrid w:val="0"/>
        <w:spacing w:line="360" w:lineRule="auto"/>
        <w:rPr>
          <w:rFonts w:ascii="宋体"/>
          <w:b/>
          <w:color w:val="auto"/>
          <w:sz w:val="30"/>
          <w:szCs w:val="30"/>
        </w:rPr>
      </w:pPr>
      <w:r>
        <w:rPr>
          <w:rFonts w:ascii="宋体" w:hAnsi="宋体"/>
          <w:b/>
          <w:color w:val="auto"/>
          <w:sz w:val="30"/>
          <w:szCs w:val="30"/>
        </w:rPr>
        <w:t xml:space="preserve">43  </w:t>
      </w:r>
      <w:r>
        <w:rPr>
          <w:rFonts w:hint="eastAsia" w:ascii="宋体" w:hAnsi="宋体"/>
          <w:b/>
          <w:color w:val="auto"/>
          <w:sz w:val="30"/>
          <w:szCs w:val="30"/>
        </w:rPr>
        <w:t>工程质量创优</w:t>
      </w:r>
    </w:p>
    <w:p w14:paraId="7B78179E">
      <w:pPr>
        <w:spacing w:line="360" w:lineRule="auto"/>
        <w:rPr>
          <w:rFonts w:ascii="宋体"/>
          <w:b/>
          <w:caps/>
          <w:color w:val="auto"/>
          <w:sz w:val="24"/>
          <w:szCs w:val="18"/>
        </w:rPr>
      </w:pPr>
      <w:r>
        <w:rPr>
          <w:rFonts w:ascii="宋体" w:hAnsi="宋体"/>
          <w:b/>
          <w:caps/>
          <w:color w:val="auto"/>
          <w:sz w:val="24"/>
          <w:szCs w:val="18"/>
        </w:rPr>
        <w:t>43.1</w:t>
      </w:r>
    </w:p>
    <w:p w14:paraId="0D3BD4F4">
      <w:pPr>
        <w:spacing w:line="360" w:lineRule="auto"/>
        <w:ind w:left="1619" w:leftChars="771"/>
        <w:rPr>
          <w:rFonts w:ascii="宋体"/>
          <w:caps/>
          <w:color w:val="auto"/>
          <w:sz w:val="24"/>
          <w:szCs w:val="18"/>
        </w:rPr>
      </w:pPr>
      <w:r>
        <w:rPr>
          <w:color w:val="auto"/>
        </w:rPr>
        <mc:AlternateContent>
          <mc:Choice Requires="wps">
            <w:drawing>
              <wp:anchor distT="0" distB="0" distL="114300" distR="114300" simplePos="0" relativeHeight="251828224" behindDoc="0" locked="0" layoutInCell="1" allowOverlap="1">
                <wp:simplePos x="0" y="0"/>
                <wp:positionH relativeFrom="column">
                  <wp:posOffset>-114300</wp:posOffset>
                </wp:positionH>
                <wp:positionV relativeFrom="paragraph">
                  <wp:posOffset>38100</wp:posOffset>
                </wp:positionV>
                <wp:extent cx="800100" cy="495300"/>
                <wp:effectExtent l="0" t="0" r="0" b="0"/>
                <wp:wrapNone/>
                <wp:docPr id="166" name="文本框 166"/>
                <wp:cNvGraphicFramePr/>
                <a:graphic xmlns:a="http://schemas.openxmlformats.org/drawingml/2006/main">
                  <a:graphicData uri="http://schemas.microsoft.com/office/word/2010/wordprocessingShape">
                    <wps:wsp>
                      <wps:cNvSpPr txBox="1"/>
                      <wps:spPr>
                        <a:xfrm>
                          <a:off x="0" y="0"/>
                          <a:ext cx="800100" cy="495300"/>
                        </a:xfrm>
                        <a:prstGeom prst="rect">
                          <a:avLst/>
                        </a:prstGeom>
                        <a:noFill/>
                        <a:ln>
                          <a:noFill/>
                        </a:ln>
                        <a:effectLst/>
                      </wps:spPr>
                      <wps:txbx>
                        <w:txbxContent>
                          <w:p w14:paraId="234994C6">
                            <w:pPr>
                              <w:spacing w:line="240" w:lineRule="exact"/>
                              <w:jc w:val="left"/>
                              <w:rPr>
                                <w:rFonts w:ascii="楷体_GB2312" w:hAnsi="宋体" w:eastAsia="楷体_GB2312"/>
                                <w:b/>
                                <w:color w:val="000000"/>
                                <w:sz w:val="18"/>
                                <w:szCs w:val="18"/>
                              </w:rPr>
                            </w:pPr>
                            <w:r>
                              <w:rPr>
                                <w:rFonts w:hint="eastAsia" w:ascii="楷体_GB2312" w:hAnsi="宋体" w:eastAsia="楷体_GB2312"/>
                                <w:b/>
                                <w:color w:val="000000"/>
                                <w:sz w:val="18"/>
                                <w:szCs w:val="18"/>
                              </w:rPr>
                              <w:t>发包人鼓励</w:t>
                            </w:r>
                          </w:p>
                          <w:p w14:paraId="65D43107">
                            <w:pPr>
                              <w:spacing w:line="240" w:lineRule="exact"/>
                              <w:jc w:val="left"/>
                              <w:rPr>
                                <w:rFonts w:ascii="楷体_GB2312" w:hAnsi="宋体" w:eastAsia="楷体_GB2312"/>
                                <w:b/>
                                <w:color w:val="000000"/>
                                <w:sz w:val="18"/>
                                <w:szCs w:val="18"/>
                              </w:rPr>
                            </w:pPr>
                            <w:r>
                              <w:rPr>
                                <w:rFonts w:hint="eastAsia" w:ascii="楷体_GB2312" w:hAnsi="宋体" w:eastAsia="楷体_GB2312"/>
                                <w:b/>
                                <w:color w:val="000000"/>
                                <w:sz w:val="18"/>
                                <w:szCs w:val="18"/>
                              </w:rPr>
                              <w:t>质量创优</w:t>
                            </w:r>
                          </w:p>
                        </w:txbxContent>
                      </wps:txbx>
                      <wps:bodyPr upright="1"/>
                    </wps:wsp>
                  </a:graphicData>
                </a:graphic>
              </wp:anchor>
            </w:drawing>
          </mc:Choice>
          <mc:Fallback>
            <w:pict>
              <v:shape id="_x0000_s1026" o:spid="_x0000_s1026" o:spt="202" type="#_x0000_t202" style="position:absolute;left:0pt;margin-left:-9pt;margin-top:3pt;height:39pt;width:63pt;z-index:251828224;mso-width-relative:page;mso-height-relative:page;" filled="f" stroked="f" coordsize="21600,21600" o:gfxdata="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x0BNw1AAA&#10;AAgBAAAPAAAAAAAAAAEAIAAAACIAAABkcnMvZG93bnJldi54bWxQSwECFAAUAAAACACHTuJAgw45&#10;JLABAABfAwAADgAAAAAAAAABACAAAAAjAQAAZHJzL2Uyb0RvYy54bWxQSwUGAAAAAAYABgBZAQAA&#10;RQUAAAAA&#10;">
                <v:fill on="f" focussize="0,0"/>
                <v:stroke on="f"/>
                <v:imagedata o:title=""/>
                <o:lock v:ext="edit" aspectratio="f"/>
                <v:textbox>
                  <w:txbxContent>
                    <w:p w14:paraId="234994C6">
                      <w:pPr>
                        <w:spacing w:line="240" w:lineRule="exact"/>
                        <w:jc w:val="left"/>
                        <w:rPr>
                          <w:rFonts w:ascii="楷体_GB2312" w:hAnsi="宋体" w:eastAsia="楷体_GB2312"/>
                          <w:b/>
                          <w:color w:val="000000"/>
                          <w:sz w:val="18"/>
                          <w:szCs w:val="18"/>
                        </w:rPr>
                      </w:pPr>
                      <w:r>
                        <w:rPr>
                          <w:rFonts w:hint="eastAsia" w:ascii="楷体_GB2312" w:hAnsi="宋体" w:eastAsia="楷体_GB2312"/>
                          <w:b/>
                          <w:color w:val="000000"/>
                          <w:sz w:val="18"/>
                          <w:szCs w:val="18"/>
                        </w:rPr>
                        <w:t>发包人鼓励</w:t>
                      </w:r>
                    </w:p>
                    <w:p w14:paraId="65D43107">
                      <w:pPr>
                        <w:spacing w:line="240" w:lineRule="exact"/>
                        <w:jc w:val="left"/>
                        <w:rPr>
                          <w:rFonts w:ascii="楷体_GB2312" w:hAnsi="宋体" w:eastAsia="楷体_GB2312"/>
                          <w:b/>
                          <w:color w:val="000000"/>
                          <w:sz w:val="18"/>
                          <w:szCs w:val="18"/>
                        </w:rPr>
                      </w:pPr>
                      <w:r>
                        <w:rPr>
                          <w:rFonts w:hint="eastAsia" w:ascii="楷体_GB2312" w:hAnsi="宋体" w:eastAsia="楷体_GB2312"/>
                          <w:b/>
                          <w:color w:val="000000"/>
                          <w:sz w:val="18"/>
                          <w:szCs w:val="18"/>
                        </w:rPr>
                        <w:t>质量创优</w:t>
                      </w:r>
                    </w:p>
                  </w:txbxContent>
                </v:textbox>
              </v:shape>
            </w:pict>
          </mc:Fallback>
        </mc:AlternateContent>
      </w:r>
      <w:r>
        <w:rPr>
          <w:rFonts w:hint="eastAsia" w:ascii="宋体" w:hAnsi="宋体"/>
          <w:caps/>
          <w:color w:val="auto"/>
          <w:sz w:val="24"/>
          <w:szCs w:val="18"/>
        </w:rPr>
        <w:t>发包人应配合承包人加强合同工程质量与施工安全管理，鼓励承包人实施合同工程质量创优。对于合同工程质量标准高于国家规定或合同约定的质量验收合格标准的，应按照第</w:t>
      </w:r>
      <w:r>
        <w:rPr>
          <w:rFonts w:ascii="宋体" w:hAnsi="宋体"/>
          <w:caps/>
          <w:color w:val="auto"/>
          <w:sz w:val="24"/>
          <w:szCs w:val="18"/>
        </w:rPr>
        <w:t>67</w:t>
      </w:r>
      <w:r>
        <w:rPr>
          <w:rFonts w:hint="eastAsia" w:ascii="宋体" w:hAnsi="宋体"/>
          <w:caps/>
          <w:color w:val="auto"/>
          <w:sz w:val="24"/>
          <w:szCs w:val="18"/>
        </w:rPr>
        <w:t>条规定向承包人支付工程优质费。</w:t>
      </w:r>
    </w:p>
    <w:p w14:paraId="71AE9235">
      <w:pPr>
        <w:spacing w:line="360" w:lineRule="auto"/>
        <w:rPr>
          <w:rFonts w:ascii="宋体"/>
          <w:b/>
          <w:caps/>
          <w:color w:val="auto"/>
          <w:sz w:val="24"/>
          <w:szCs w:val="18"/>
        </w:rPr>
      </w:pPr>
      <w:r>
        <w:rPr>
          <w:rFonts w:ascii="宋体" w:hAnsi="宋体"/>
          <w:b/>
          <w:color w:val="auto"/>
          <w:sz w:val="24"/>
          <w:szCs w:val="18"/>
        </w:rPr>
        <w:t xml:space="preserve">43.2 </w:t>
      </w:r>
    </w:p>
    <w:p w14:paraId="7D4E9280">
      <w:pPr>
        <w:spacing w:line="360" w:lineRule="auto"/>
        <w:ind w:left="1619" w:leftChars="771"/>
        <w:rPr>
          <w:rFonts w:ascii="宋体"/>
          <w:caps/>
          <w:color w:val="auto"/>
          <w:sz w:val="24"/>
          <w:szCs w:val="18"/>
        </w:rPr>
      </w:pPr>
      <w:r>
        <w:rPr>
          <w:color w:val="auto"/>
        </w:rPr>
        <mc:AlternateContent>
          <mc:Choice Requires="wps">
            <w:drawing>
              <wp:anchor distT="0" distB="0" distL="114300" distR="114300" simplePos="0" relativeHeight="251829248" behindDoc="0" locked="0" layoutInCell="1" allowOverlap="1">
                <wp:simplePos x="0" y="0"/>
                <wp:positionH relativeFrom="column">
                  <wp:posOffset>-114300</wp:posOffset>
                </wp:positionH>
                <wp:positionV relativeFrom="paragraph">
                  <wp:posOffset>170815</wp:posOffset>
                </wp:positionV>
                <wp:extent cx="800100" cy="495300"/>
                <wp:effectExtent l="0" t="0" r="0" b="0"/>
                <wp:wrapNone/>
                <wp:docPr id="167" name="文本框 167"/>
                <wp:cNvGraphicFramePr/>
                <a:graphic xmlns:a="http://schemas.openxmlformats.org/drawingml/2006/main">
                  <a:graphicData uri="http://schemas.microsoft.com/office/word/2010/wordprocessingShape">
                    <wps:wsp>
                      <wps:cNvSpPr txBox="1"/>
                      <wps:spPr>
                        <a:xfrm>
                          <a:off x="0" y="0"/>
                          <a:ext cx="800100" cy="495300"/>
                        </a:xfrm>
                        <a:prstGeom prst="rect">
                          <a:avLst/>
                        </a:prstGeom>
                        <a:noFill/>
                        <a:ln>
                          <a:noFill/>
                        </a:ln>
                        <a:effectLst/>
                      </wps:spPr>
                      <wps:txbx>
                        <w:txbxContent>
                          <w:p w14:paraId="6A2616E4">
                            <w:pPr>
                              <w:spacing w:line="240" w:lineRule="exact"/>
                              <w:jc w:val="left"/>
                              <w:rPr>
                                <w:rFonts w:ascii="楷体_GB2312" w:hAnsi="宋体" w:eastAsia="楷体_GB2312"/>
                                <w:b/>
                                <w:color w:val="000000"/>
                                <w:sz w:val="18"/>
                                <w:szCs w:val="18"/>
                              </w:rPr>
                            </w:pPr>
                            <w:r>
                              <w:rPr>
                                <w:rFonts w:hint="eastAsia" w:ascii="楷体_GB2312" w:hAnsi="宋体" w:eastAsia="楷体_GB2312"/>
                                <w:b/>
                                <w:color w:val="000000"/>
                                <w:sz w:val="18"/>
                                <w:szCs w:val="18"/>
                              </w:rPr>
                              <w:t>承包人争取</w:t>
                            </w:r>
                          </w:p>
                          <w:p w14:paraId="7BB1CA30">
                            <w:pPr>
                              <w:spacing w:line="240" w:lineRule="exact"/>
                              <w:jc w:val="left"/>
                              <w:rPr>
                                <w:rFonts w:ascii="楷体_GB2312" w:hAnsi="宋体" w:eastAsia="楷体_GB2312"/>
                                <w:b/>
                                <w:color w:val="000000"/>
                                <w:sz w:val="18"/>
                                <w:szCs w:val="18"/>
                              </w:rPr>
                            </w:pPr>
                            <w:r>
                              <w:rPr>
                                <w:rFonts w:hint="eastAsia" w:ascii="楷体_GB2312" w:hAnsi="宋体" w:eastAsia="楷体_GB2312"/>
                                <w:b/>
                                <w:color w:val="000000"/>
                                <w:sz w:val="18"/>
                                <w:szCs w:val="18"/>
                              </w:rPr>
                              <w:t>质量创优</w:t>
                            </w:r>
                          </w:p>
                        </w:txbxContent>
                      </wps:txbx>
                      <wps:bodyPr upright="1"/>
                    </wps:wsp>
                  </a:graphicData>
                </a:graphic>
              </wp:anchor>
            </w:drawing>
          </mc:Choice>
          <mc:Fallback>
            <w:pict>
              <v:shape id="_x0000_s1026" o:spid="_x0000_s1026" o:spt="202" type="#_x0000_t202" style="position:absolute;left:0pt;margin-left:-9pt;margin-top:13.45pt;height:39pt;width:63pt;z-index:251829248;mso-width-relative:page;mso-height-relative:page;" filled="f" stroked="f" coordsize="21600,21600" o:gfxdata="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ro6uK&#10;1gAAAAoBAAAPAAAAAAAAAAEAIAAAACIAAABkcnMvZG93bnJldi54bWxQSwECFAAUAAAACACHTuJA&#10;HAnyjrEBAABfAwAADgAAAAAAAAABACAAAAAlAQAAZHJzL2Uyb0RvYy54bWxQSwUGAAAAAAYABgBZ&#10;AQAASAUAAAAA&#10;">
                <v:fill on="f" focussize="0,0"/>
                <v:stroke on="f"/>
                <v:imagedata o:title=""/>
                <o:lock v:ext="edit" aspectratio="f"/>
                <v:textbox>
                  <w:txbxContent>
                    <w:p w14:paraId="6A2616E4">
                      <w:pPr>
                        <w:spacing w:line="240" w:lineRule="exact"/>
                        <w:jc w:val="left"/>
                        <w:rPr>
                          <w:rFonts w:ascii="楷体_GB2312" w:hAnsi="宋体" w:eastAsia="楷体_GB2312"/>
                          <w:b/>
                          <w:color w:val="000000"/>
                          <w:sz w:val="18"/>
                          <w:szCs w:val="18"/>
                        </w:rPr>
                      </w:pPr>
                      <w:r>
                        <w:rPr>
                          <w:rFonts w:hint="eastAsia" w:ascii="楷体_GB2312" w:hAnsi="宋体" w:eastAsia="楷体_GB2312"/>
                          <w:b/>
                          <w:color w:val="000000"/>
                          <w:sz w:val="18"/>
                          <w:szCs w:val="18"/>
                        </w:rPr>
                        <w:t>承包人争取</w:t>
                      </w:r>
                    </w:p>
                    <w:p w14:paraId="7BB1CA30">
                      <w:pPr>
                        <w:spacing w:line="240" w:lineRule="exact"/>
                        <w:jc w:val="left"/>
                        <w:rPr>
                          <w:rFonts w:ascii="楷体_GB2312" w:hAnsi="宋体" w:eastAsia="楷体_GB2312"/>
                          <w:b/>
                          <w:color w:val="000000"/>
                          <w:sz w:val="18"/>
                          <w:szCs w:val="18"/>
                        </w:rPr>
                      </w:pPr>
                      <w:r>
                        <w:rPr>
                          <w:rFonts w:hint="eastAsia" w:ascii="楷体_GB2312" w:hAnsi="宋体" w:eastAsia="楷体_GB2312"/>
                          <w:b/>
                          <w:color w:val="000000"/>
                          <w:sz w:val="18"/>
                          <w:szCs w:val="18"/>
                        </w:rPr>
                        <w:t>质量创优</w:t>
                      </w:r>
                    </w:p>
                  </w:txbxContent>
                </v:textbox>
              </v:shape>
            </w:pict>
          </mc:Fallback>
        </mc:AlternateContent>
      </w:r>
      <w:r>
        <w:rPr>
          <w:rFonts w:hint="eastAsia" w:ascii="宋体" w:hAnsi="宋体"/>
          <w:caps/>
          <w:color w:val="auto"/>
          <w:sz w:val="24"/>
          <w:szCs w:val="18"/>
        </w:rPr>
        <w:t>承包人应采取有效措施确保合同工程质量与施工安全，在保证工程质量、施工安全达到国家或行业的强制性标准的前提下，提高工程质量与施工安全管理水平，争取合同工程质量创优。</w:t>
      </w:r>
    </w:p>
    <w:p w14:paraId="7BB8C9A2">
      <w:pPr>
        <w:tabs>
          <w:tab w:val="left" w:pos="1620"/>
        </w:tabs>
        <w:spacing w:line="360" w:lineRule="auto"/>
        <w:rPr>
          <w:rFonts w:ascii="宋体"/>
          <w:color w:val="auto"/>
          <w:sz w:val="24"/>
          <w:szCs w:val="18"/>
        </w:rPr>
      </w:pPr>
    </w:p>
    <w:p w14:paraId="6A03A003">
      <w:pPr>
        <w:pStyle w:val="2"/>
        <w:tabs>
          <w:tab w:val="left" w:pos="540"/>
        </w:tabs>
        <w:adjustRightInd w:val="0"/>
        <w:snapToGrid w:val="0"/>
        <w:spacing w:before="240" w:beforeLines="100" w:line="360" w:lineRule="auto"/>
        <w:ind w:right="-238"/>
        <w:rPr>
          <w:rFonts w:hAnsi="宋体"/>
          <w:b/>
          <w:color w:val="auto"/>
          <w:sz w:val="30"/>
          <w:szCs w:val="24"/>
        </w:rPr>
      </w:pPr>
      <w:r>
        <w:rPr>
          <w:rFonts w:hAnsi="宋体"/>
          <w:b/>
          <w:color w:val="auto"/>
          <w:sz w:val="30"/>
          <w:szCs w:val="24"/>
        </w:rPr>
        <w:t xml:space="preserve">44  </w:t>
      </w:r>
      <w:r>
        <w:rPr>
          <w:rFonts w:hint="eastAsia" w:hAnsi="宋体"/>
          <w:b/>
          <w:color w:val="auto"/>
          <w:sz w:val="30"/>
          <w:szCs w:val="24"/>
        </w:rPr>
        <w:t>工程的照管</w:t>
      </w:r>
    </w:p>
    <w:p w14:paraId="402E4A5A">
      <w:pPr>
        <w:adjustRightInd w:val="0"/>
        <w:snapToGrid w:val="0"/>
        <w:spacing w:line="360" w:lineRule="auto"/>
        <w:rPr>
          <w:rFonts w:ascii="宋体"/>
          <w:b/>
          <w:color w:val="auto"/>
          <w:sz w:val="24"/>
          <w:szCs w:val="18"/>
        </w:rPr>
      </w:pPr>
      <w:r>
        <w:rPr>
          <w:color w:val="auto"/>
        </w:rPr>
        <mc:AlternateContent>
          <mc:Choice Requires="wps">
            <w:drawing>
              <wp:anchor distT="0" distB="0" distL="114300" distR="114300" simplePos="0" relativeHeight="251830272" behindDoc="0" locked="0" layoutInCell="1" allowOverlap="1">
                <wp:simplePos x="0" y="0"/>
                <wp:positionH relativeFrom="column">
                  <wp:posOffset>-114300</wp:posOffset>
                </wp:positionH>
                <wp:positionV relativeFrom="paragraph">
                  <wp:posOffset>264160</wp:posOffset>
                </wp:positionV>
                <wp:extent cx="800100" cy="256540"/>
                <wp:effectExtent l="0" t="0" r="0" b="0"/>
                <wp:wrapNone/>
                <wp:docPr id="168" name="文本框 168"/>
                <wp:cNvGraphicFramePr/>
                <a:graphic xmlns:a="http://schemas.openxmlformats.org/drawingml/2006/main">
                  <a:graphicData uri="http://schemas.microsoft.com/office/word/2010/wordprocessingShape">
                    <wps:wsp>
                      <wps:cNvSpPr txBox="1"/>
                      <wps:spPr>
                        <a:xfrm>
                          <a:off x="0" y="0"/>
                          <a:ext cx="800100" cy="256540"/>
                        </a:xfrm>
                        <a:prstGeom prst="rect">
                          <a:avLst/>
                        </a:prstGeom>
                        <a:noFill/>
                        <a:ln>
                          <a:noFill/>
                        </a:ln>
                        <a:effectLst/>
                      </wps:spPr>
                      <wps:txbx>
                        <w:txbxContent>
                          <w:p w14:paraId="253BEAA1">
                            <w:pPr>
                              <w:spacing w:line="240" w:lineRule="exact"/>
                              <w:jc w:val="left"/>
                              <w:rPr>
                                <w:rFonts w:ascii="楷体_GB2312" w:hAnsi="宋体" w:eastAsia="楷体_GB2312"/>
                                <w:b/>
                                <w:color w:val="000000"/>
                                <w:sz w:val="18"/>
                                <w:szCs w:val="18"/>
                              </w:rPr>
                            </w:pPr>
                            <w:r>
                              <w:rPr>
                                <w:rFonts w:hint="eastAsia" w:ascii="楷体_GB2312" w:hAnsi="宋体" w:eastAsia="楷体_GB2312"/>
                                <w:b/>
                                <w:color w:val="000000"/>
                                <w:sz w:val="18"/>
                                <w:szCs w:val="18"/>
                              </w:rPr>
                              <w:t>工程照管</w:t>
                            </w:r>
                          </w:p>
                        </w:txbxContent>
                      </wps:txbx>
                      <wps:bodyPr upright="1"/>
                    </wps:wsp>
                  </a:graphicData>
                </a:graphic>
              </wp:anchor>
            </w:drawing>
          </mc:Choice>
          <mc:Fallback>
            <w:pict>
              <v:shape id="_x0000_s1026" o:spid="_x0000_s1026" o:spt="202" type="#_x0000_t202" style="position:absolute;left:0pt;margin-left:-9pt;margin-top:20.8pt;height:20.2pt;width:63pt;z-index:251830272;mso-width-relative:page;mso-height-relative:page;" filled="f" stroked="f" coordsize="21600,21600" o:gfxdata="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HgoMTV&#10;AAAACQEAAA8AAAAAAAAAAQAgAAAAIgAAAGRycy9kb3ducmV2LnhtbFBLAQIUABQAAAAIAIdO4kD4&#10;St+9sQEAAF8DAAAOAAAAAAAAAAEAIAAAACQBAABkcnMvZTJvRG9jLnhtbFBLBQYAAAAABgAGAFkB&#10;AABHBQAAAAA=&#10;">
                <v:fill on="f" focussize="0,0"/>
                <v:stroke on="f"/>
                <v:imagedata o:title=""/>
                <o:lock v:ext="edit" aspectratio="f"/>
                <v:textbox>
                  <w:txbxContent>
                    <w:p w14:paraId="253BEAA1">
                      <w:pPr>
                        <w:spacing w:line="240" w:lineRule="exact"/>
                        <w:jc w:val="left"/>
                        <w:rPr>
                          <w:rFonts w:ascii="楷体_GB2312" w:hAnsi="宋体" w:eastAsia="楷体_GB2312"/>
                          <w:b/>
                          <w:color w:val="000000"/>
                          <w:sz w:val="18"/>
                          <w:szCs w:val="18"/>
                        </w:rPr>
                      </w:pPr>
                      <w:r>
                        <w:rPr>
                          <w:rFonts w:hint="eastAsia" w:ascii="楷体_GB2312" w:hAnsi="宋体" w:eastAsia="楷体_GB2312"/>
                          <w:b/>
                          <w:color w:val="000000"/>
                          <w:sz w:val="18"/>
                          <w:szCs w:val="18"/>
                        </w:rPr>
                        <w:t>工程照管</w:t>
                      </w:r>
                    </w:p>
                  </w:txbxContent>
                </v:textbox>
              </v:shape>
            </w:pict>
          </mc:Fallback>
        </mc:AlternateContent>
      </w:r>
      <w:r>
        <w:rPr>
          <w:rFonts w:ascii="宋体" w:hAnsi="宋体"/>
          <w:b/>
          <w:color w:val="auto"/>
          <w:sz w:val="24"/>
          <w:szCs w:val="18"/>
        </w:rPr>
        <w:t xml:space="preserve">44.1  </w:t>
      </w:r>
    </w:p>
    <w:p w14:paraId="1B8A0DDA">
      <w:pPr>
        <w:adjustRightInd w:val="0"/>
        <w:snapToGrid w:val="0"/>
        <w:spacing w:line="360" w:lineRule="auto"/>
        <w:ind w:left="1619" w:leftChars="771"/>
        <w:rPr>
          <w:rFonts w:ascii="宋体"/>
          <w:color w:val="auto"/>
          <w:sz w:val="24"/>
          <w:szCs w:val="18"/>
        </w:rPr>
      </w:pPr>
      <w:r>
        <w:rPr>
          <w:rFonts w:hint="eastAsia" w:ascii="宋体" w:hAnsi="宋体"/>
          <w:color w:val="auto"/>
          <w:sz w:val="24"/>
          <w:szCs w:val="18"/>
        </w:rPr>
        <w:t>从开工之日起，承包人应全面负责照管合同工程及运至现场将用于和安装在合同工程中的材料和工程设备，直到合同双方当事人确认工程移交之日止。此后，工程的照管即转由发包人负责。</w:t>
      </w:r>
    </w:p>
    <w:p w14:paraId="5631617B">
      <w:pPr>
        <w:adjustRightInd w:val="0"/>
        <w:snapToGrid w:val="0"/>
        <w:spacing w:line="360" w:lineRule="auto"/>
        <w:ind w:left="1619" w:leftChars="771"/>
        <w:rPr>
          <w:rFonts w:ascii="宋体"/>
          <w:color w:val="auto"/>
          <w:sz w:val="24"/>
          <w:szCs w:val="18"/>
        </w:rPr>
      </w:pPr>
      <w:r>
        <w:rPr>
          <w:rFonts w:hint="eastAsia" w:ascii="宋体" w:hAnsi="宋体"/>
          <w:color w:val="auto"/>
          <w:sz w:val="24"/>
          <w:szCs w:val="18"/>
        </w:rPr>
        <w:t>如果在整个工程移交前，合同双方当事人已经确认移交或发包人提前使用其中任一单位工程，则从确认移交或提前使用之日起承包人无须对该单位工程负责照管，而转由发包人负责。但是，承包人应继续负责照管尚未完成的工程和将用于或安装在合同工程中的材料和工程设备，直至完成上述工作并经合同双方当事人确认整个工程移交之日止。</w:t>
      </w:r>
    </w:p>
    <w:p w14:paraId="1CE57B76">
      <w:pPr>
        <w:adjustRightInd w:val="0"/>
        <w:snapToGrid w:val="0"/>
        <w:spacing w:line="360" w:lineRule="auto"/>
        <w:rPr>
          <w:rFonts w:ascii="宋体"/>
          <w:color w:val="auto"/>
          <w:sz w:val="24"/>
          <w:szCs w:val="18"/>
        </w:rPr>
      </w:pPr>
      <w:r>
        <w:rPr>
          <w:color w:val="auto"/>
        </w:rPr>
        <mc:AlternateContent>
          <mc:Choice Requires="wps">
            <w:drawing>
              <wp:anchor distT="0" distB="0" distL="114300" distR="114300" simplePos="0" relativeHeight="251831296" behindDoc="0" locked="0" layoutInCell="1" allowOverlap="1">
                <wp:simplePos x="0" y="0"/>
                <wp:positionH relativeFrom="column">
                  <wp:posOffset>-114300</wp:posOffset>
                </wp:positionH>
                <wp:positionV relativeFrom="paragraph">
                  <wp:posOffset>276860</wp:posOffset>
                </wp:positionV>
                <wp:extent cx="914400" cy="718185"/>
                <wp:effectExtent l="0" t="0" r="0" b="0"/>
                <wp:wrapNone/>
                <wp:docPr id="169" name="文本框 169"/>
                <wp:cNvGraphicFramePr/>
                <a:graphic xmlns:a="http://schemas.openxmlformats.org/drawingml/2006/main">
                  <a:graphicData uri="http://schemas.microsoft.com/office/word/2010/wordprocessingShape">
                    <wps:wsp>
                      <wps:cNvSpPr txBox="1"/>
                      <wps:spPr>
                        <a:xfrm>
                          <a:off x="0" y="0"/>
                          <a:ext cx="914400" cy="718185"/>
                        </a:xfrm>
                        <a:prstGeom prst="rect">
                          <a:avLst/>
                        </a:prstGeom>
                        <a:noFill/>
                        <a:ln>
                          <a:noFill/>
                        </a:ln>
                        <a:effectLst/>
                      </wps:spPr>
                      <wps:txbx>
                        <w:txbxContent>
                          <w:p w14:paraId="4CFDC7DD">
                            <w:pPr>
                              <w:spacing w:line="240" w:lineRule="exact"/>
                              <w:jc w:val="left"/>
                              <w:rPr>
                                <w:rFonts w:ascii="楷体_GB2312" w:hAnsi="宋体" w:eastAsia="楷体_GB2312"/>
                                <w:b/>
                                <w:color w:val="000000"/>
                                <w:sz w:val="18"/>
                                <w:szCs w:val="18"/>
                              </w:rPr>
                            </w:pPr>
                            <w:r>
                              <w:rPr>
                                <w:rFonts w:hint="eastAsia" w:ascii="楷体_GB2312" w:hAnsi="宋体" w:eastAsia="楷体_GB2312"/>
                                <w:b/>
                                <w:color w:val="000000"/>
                                <w:sz w:val="18"/>
                                <w:szCs w:val="18"/>
                              </w:rPr>
                              <w:t>照管期间承包人造成损失的责任</w:t>
                            </w:r>
                          </w:p>
                        </w:txbxContent>
                      </wps:txbx>
                      <wps:bodyPr upright="1"/>
                    </wps:wsp>
                  </a:graphicData>
                </a:graphic>
              </wp:anchor>
            </w:drawing>
          </mc:Choice>
          <mc:Fallback>
            <w:pict>
              <v:shape id="_x0000_s1026" o:spid="_x0000_s1026" o:spt="202" type="#_x0000_t202" style="position:absolute;left:0pt;margin-left:-9pt;margin-top:21.8pt;height:56.55pt;width:72pt;z-index:251831296;mso-width-relative:page;mso-height-relative:page;" filled="f" stroked="f" coordsize="21600,21600" o:gfxdata="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A&#10;bKxc2AAAAAoBAAAPAAAAAAAAAAEAIAAAACIAAABkcnMvZG93bnJldi54bWxQSwECFAAUAAAACACH&#10;TuJAxl7wObIBAABfAwAADgAAAAAAAAABACAAAAAnAQAAZHJzL2Uyb0RvYy54bWxQSwUGAAAAAAYA&#10;BgBZAQAASwUAAAAA&#10;">
                <v:fill on="f" focussize="0,0"/>
                <v:stroke on="f"/>
                <v:imagedata o:title=""/>
                <o:lock v:ext="edit" aspectratio="f"/>
                <v:textbox>
                  <w:txbxContent>
                    <w:p w14:paraId="4CFDC7DD">
                      <w:pPr>
                        <w:spacing w:line="240" w:lineRule="exact"/>
                        <w:jc w:val="left"/>
                        <w:rPr>
                          <w:rFonts w:ascii="楷体_GB2312" w:hAnsi="宋体" w:eastAsia="楷体_GB2312"/>
                          <w:b/>
                          <w:color w:val="000000"/>
                          <w:sz w:val="18"/>
                          <w:szCs w:val="18"/>
                        </w:rPr>
                      </w:pPr>
                      <w:r>
                        <w:rPr>
                          <w:rFonts w:hint="eastAsia" w:ascii="楷体_GB2312" w:hAnsi="宋体" w:eastAsia="楷体_GB2312"/>
                          <w:b/>
                          <w:color w:val="000000"/>
                          <w:sz w:val="18"/>
                          <w:szCs w:val="18"/>
                        </w:rPr>
                        <w:t>照管期间承包人造成损失的责任</w:t>
                      </w:r>
                    </w:p>
                  </w:txbxContent>
                </v:textbox>
              </v:shape>
            </w:pict>
          </mc:Fallback>
        </mc:AlternateContent>
      </w:r>
      <w:r>
        <w:rPr>
          <w:rFonts w:ascii="宋体" w:hAnsi="宋体"/>
          <w:b/>
          <w:color w:val="auto"/>
          <w:sz w:val="24"/>
          <w:szCs w:val="18"/>
        </w:rPr>
        <w:t>44.2</w:t>
      </w:r>
    </w:p>
    <w:p w14:paraId="30615009">
      <w:pPr>
        <w:adjustRightInd w:val="0"/>
        <w:snapToGrid w:val="0"/>
        <w:spacing w:line="360" w:lineRule="auto"/>
        <w:ind w:left="1619" w:leftChars="771"/>
        <w:rPr>
          <w:rFonts w:ascii="宋体"/>
          <w:color w:val="auto"/>
          <w:sz w:val="24"/>
          <w:szCs w:val="18"/>
        </w:rPr>
      </w:pPr>
      <w:r>
        <w:rPr>
          <w:rFonts w:hint="eastAsia" w:ascii="宋体" w:hAnsi="宋体"/>
          <w:color w:val="auto"/>
          <w:sz w:val="24"/>
          <w:szCs w:val="18"/>
        </w:rPr>
        <w:t>承包人在负责工程照管期间，如因自身原因造成合同工程或其任何部分，以及材料和工程设备或临时工程的损坏，承包人应自费修复上述损坏，保证合同工程质量达到合同约定的标准。</w:t>
      </w:r>
    </w:p>
    <w:p w14:paraId="0D14FFD1">
      <w:pPr>
        <w:adjustRightInd w:val="0"/>
        <w:snapToGrid w:val="0"/>
        <w:spacing w:line="360" w:lineRule="auto"/>
        <w:rPr>
          <w:rFonts w:ascii="宋体"/>
          <w:b/>
          <w:color w:val="auto"/>
          <w:sz w:val="24"/>
          <w:szCs w:val="18"/>
        </w:rPr>
      </w:pPr>
    </w:p>
    <w:p w14:paraId="2DDBB9FA">
      <w:pPr>
        <w:pStyle w:val="2"/>
        <w:tabs>
          <w:tab w:val="left" w:pos="540"/>
        </w:tabs>
        <w:adjustRightInd w:val="0"/>
        <w:snapToGrid w:val="0"/>
        <w:spacing w:before="240" w:beforeLines="100" w:line="360" w:lineRule="auto"/>
        <w:ind w:right="-238"/>
        <w:rPr>
          <w:rFonts w:hAnsi="宋体"/>
          <w:b/>
          <w:color w:val="auto"/>
          <w:sz w:val="30"/>
          <w:szCs w:val="24"/>
        </w:rPr>
      </w:pPr>
      <w:r>
        <w:rPr>
          <w:rFonts w:hAnsi="宋体"/>
          <w:b/>
          <w:color w:val="auto"/>
          <w:sz w:val="30"/>
          <w:szCs w:val="24"/>
        </w:rPr>
        <w:t xml:space="preserve">45  </w:t>
      </w:r>
      <w:r>
        <w:rPr>
          <w:rFonts w:hint="eastAsia" w:hAnsi="宋体"/>
          <w:b/>
          <w:color w:val="auto"/>
          <w:sz w:val="30"/>
          <w:szCs w:val="24"/>
        </w:rPr>
        <w:t>安全文明施工</w:t>
      </w:r>
    </w:p>
    <w:p w14:paraId="3F51E035">
      <w:pPr>
        <w:adjustRightInd w:val="0"/>
        <w:snapToGrid w:val="0"/>
        <w:spacing w:line="360" w:lineRule="auto"/>
        <w:rPr>
          <w:rFonts w:ascii="宋体"/>
          <w:b/>
          <w:color w:val="auto"/>
          <w:sz w:val="24"/>
          <w:szCs w:val="18"/>
        </w:rPr>
      </w:pPr>
      <w:r>
        <w:rPr>
          <w:color w:val="auto"/>
        </w:rPr>
        <mc:AlternateContent>
          <mc:Choice Requires="wps">
            <w:drawing>
              <wp:anchor distT="0" distB="0" distL="114300" distR="114300" simplePos="0" relativeHeight="251832320" behindDoc="0" locked="0" layoutInCell="1" allowOverlap="1">
                <wp:simplePos x="0" y="0"/>
                <wp:positionH relativeFrom="column">
                  <wp:posOffset>-114300</wp:posOffset>
                </wp:positionH>
                <wp:positionV relativeFrom="paragraph">
                  <wp:posOffset>223520</wp:posOffset>
                </wp:positionV>
                <wp:extent cx="977900" cy="688975"/>
                <wp:effectExtent l="0" t="0" r="0" b="0"/>
                <wp:wrapNone/>
                <wp:docPr id="170" name="文本框 170"/>
                <wp:cNvGraphicFramePr/>
                <a:graphic xmlns:a="http://schemas.openxmlformats.org/drawingml/2006/main">
                  <a:graphicData uri="http://schemas.microsoft.com/office/word/2010/wordprocessingShape">
                    <wps:wsp>
                      <wps:cNvSpPr txBox="1"/>
                      <wps:spPr>
                        <a:xfrm>
                          <a:off x="0" y="0"/>
                          <a:ext cx="977900" cy="688975"/>
                        </a:xfrm>
                        <a:prstGeom prst="rect">
                          <a:avLst/>
                        </a:prstGeom>
                        <a:noFill/>
                        <a:ln>
                          <a:noFill/>
                        </a:ln>
                        <a:effectLst/>
                      </wps:spPr>
                      <wps:txbx>
                        <w:txbxContent>
                          <w:p w14:paraId="3323D46A">
                            <w:pPr>
                              <w:rPr>
                                <w:rFonts w:ascii="楷体_GB2312" w:hAnsi="宋体" w:eastAsia="楷体_GB2312"/>
                                <w:sz w:val="18"/>
                                <w:szCs w:val="18"/>
                              </w:rPr>
                            </w:pPr>
                            <w:r>
                              <w:rPr>
                                <w:rFonts w:hint="eastAsia" w:ascii="楷体_GB2312" w:hAnsi="宋体" w:eastAsia="楷体_GB2312"/>
                                <w:b/>
                                <w:color w:val="000000"/>
                                <w:sz w:val="18"/>
                                <w:szCs w:val="18"/>
                              </w:rPr>
                              <w:t>安全文明施工的要求</w:t>
                            </w:r>
                          </w:p>
                        </w:txbxContent>
                      </wps:txbx>
                      <wps:bodyPr upright="1"/>
                    </wps:wsp>
                  </a:graphicData>
                </a:graphic>
              </wp:anchor>
            </w:drawing>
          </mc:Choice>
          <mc:Fallback>
            <w:pict>
              <v:shape id="_x0000_s1026" o:spid="_x0000_s1026" o:spt="202" type="#_x0000_t202" style="position:absolute;left:0pt;margin-left:-9pt;margin-top:17.6pt;height:54.25pt;width:77pt;z-index:251832320;mso-width-relative:page;mso-height-relative:page;" filled="f" stroked="f" coordsize="21600,21600" o:gfxdata="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Ka+&#10;0RPYAAAACgEAAA8AAAAAAAAAAQAgAAAAIgAAAGRycy9kb3ducmV2LnhtbFBLAQIUABQAAAAIAIdO&#10;4kDAEf69sQEAAF8DAAAOAAAAAAAAAAEAIAAAACcBAABkcnMvZTJvRG9jLnhtbFBLBQYAAAAABgAG&#10;AFkBAABKBQAAAAA=&#10;">
                <v:fill on="f" focussize="0,0"/>
                <v:stroke on="f"/>
                <v:imagedata o:title=""/>
                <o:lock v:ext="edit" aspectratio="f"/>
                <v:textbox>
                  <w:txbxContent>
                    <w:p w14:paraId="3323D46A">
                      <w:pPr>
                        <w:rPr>
                          <w:rFonts w:ascii="楷体_GB2312" w:hAnsi="宋体" w:eastAsia="楷体_GB2312"/>
                          <w:sz w:val="18"/>
                          <w:szCs w:val="18"/>
                        </w:rPr>
                      </w:pPr>
                      <w:r>
                        <w:rPr>
                          <w:rFonts w:hint="eastAsia" w:ascii="楷体_GB2312" w:hAnsi="宋体" w:eastAsia="楷体_GB2312"/>
                          <w:b/>
                          <w:color w:val="000000"/>
                          <w:sz w:val="18"/>
                          <w:szCs w:val="18"/>
                        </w:rPr>
                        <w:t>安全文明施工的要求</w:t>
                      </w:r>
                    </w:p>
                  </w:txbxContent>
                </v:textbox>
              </v:shape>
            </w:pict>
          </mc:Fallback>
        </mc:AlternateContent>
      </w:r>
      <w:r>
        <w:rPr>
          <w:rFonts w:ascii="宋体" w:hAnsi="宋体"/>
          <w:b/>
          <w:color w:val="auto"/>
          <w:sz w:val="24"/>
          <w:szCs w:val="18"/>
        </w:rPr>
        <w:t xml:space="preserve">45.1 </w:t>
      </w:r>
      <w:r>
        <w:rPr>
          <w:rFonts w:ascii="宋体"/>
          <w:b/>
          <w:color w:val="auto"/>
          <w:sz w:val="24"/>
          <w:szCs w:val="18"/>
        </w:rPr>
        <w:tab/>
      </w:r>
    </w:p>
    <w:p w14:paraId="17CF5CB7">
      <w:pPr>
        <w:adjustRightInd w:val="0"/>
        <w:snapToGrid w:val="0"/>
        <w:spacing w:line="360" w:lineRule="auto"/>
        <w:ind w:left="1619" w:leftChars="771"/>
        <w:rPr>
          <w:rFonts w:ascii="宋体"/>
          <w:color w:val="auto"/>
          <w:sz w:val="24"/>
          <w:szCs w:val="18"/>
        </w:rPr>
      </w:pPr>
      <w:r>
        <w:rPr>
          <w:rFonts w:hint="eastAsia" w:ascii="宋体" w:hAnsi="宋体"/>
          <w:color w:val="auto"/>
          <w:sz w:val="24"/>
          <w:szCs w:val="18"/>
        </w:rPr>
        <w:t>发包人应组织承包人和有关单位进行安全检查，授权监理工程师按合同约定的安全文明施工内容监督、检查承包人实施安全文明施工，并按照第</w:t>
      </w:r>
      <w:r>
        <w:rPr>
          <w:rFonts w:ascii="宋体" w:hAnsi="宋体"/>
          <w:color w:val="auto"/>
          <w:sz w:val="24"/>
          <w:szCs w:val="18"/>
        </w:rPr>
        <w:t xml:space="preserve"> 80 </w:t>
      </w:r>
      <w:r>
        <w:rPr>
          <w:rFonts w:hint="eastAsia" w:ascii="宋体" w:hAnsi="宋体"/>
          <w:color w:val="auto"/>
          <w:sz w:val="24"/>
          <w:szCs w:val="18"/>
        </w:rPr>
        <w:t>条规定及时向承包人支付安全文明施工费。</w:t>
      </w:r>
    </w:p>
    <w:p w14:paraId="293F10C2">
      <w:pPr>
        <w:adjustRightInd w:val="0"/>
        <w:snapToGrid w:val="0"/>
        <w:spacing w:line="360" w:lineRule="auto"/>
        <w:ind w:left="1619" w:leftChars="771"/>
        <w:rPr>
          <w:rFonts w:ascii="宋体"/>
          <w:color w:val="auto"/>
          <w:sz w:val="24"/>
          <w:szCs w:val="18"/>
        </w:rPr>
      </w:pPr>
      <w:r>
        <w:rPr>
          <w:rFonts w:hint="eastAsia" w:ascii="宋体" w:hAnsi="宋体"/>
          <w:color w:val="auto"/>
          <w:sz w:val="24"/>
          <w:szCs w:val="18"/>
        </w:rPr>
        <w:t>承包人应及时执行监理工程师发出的安全文明施工的工作指令，并按合同约定的期限和安全文明施工内容编制安全文明施工措施计划，提交给监理工程师并由其报发包人批准后实施。</w:t>
      </w:r>
    </w:p>
    <w:p w14:paraId="2350E1D3">
      <w:pPr>
        <w:adjustRightInd w:val="0"/>
        <w:snapToGrid w:val="0"/>
        <w:spacing w:line="360" w:lineRule="auto"/>
        <w:ind w:left="1679" w:hanging="1679" w:hangingChars="697"/>
        <w:rPr>
          <w:rFonts w:ascii="宋体"/>
          <w:b/>
          <w:color w:val="auto"/>
          <w:sz w:val="24"/>
          <w:szCs w:val="18"/>
        </w:rPr>
      </w:pPr>
      <w:r>
        <w:rPr>
          <w:rFonts w:ascii="宋体" w:hAnsi="宋体"/>
          <w:b/>
          <w:color w:val="auto"/>
          <w:sz w:val="24"/>
          <w:szCs w:val="18"/>
        </w:rPr>
        <w:t xml:space="preserve">45.2  </w:t>
      </w:r>
    </w:p>
    <w:p w14:paraId="3CB73A4C">
      <w:pPr>
        <w:adjustRightInd w:val="0"/>
        <w:snapToGrid w:val="0"/>
        <w:spacing w:line="360" w:lineRule="auto"/>
        <w:ind w:firstLine="1155" w:firstLineChars="550"/>
        <w:rPr>
          <w:rFonts w:ascii="宋体"/>
          <w:color w:val="auto"/>
          <w:sz w:val="24"/>
          <w:szCs w:val="18"/>
        </w:rPr>
      </w:pPr>
      <w:r>
        <w:rPr>
          <w:color w:val="auto"/>
        </w:rPr>
        <mc:AlternateContent>
          <mc:Choice Requires="wps">
            <w:drawing>
              <wp:anchor distT="0" distB="0" distL="114300" distR="114300" simplePos="0" relativeHeight="251833344" behindDoc="0" locked="0" layoutInCell="1" allowOverlap="1">
                <wp:simplePos x="0" y="0"/>
                <wp:positionH relativeFrom="column">
                  <wp:posOffset>-114300</wp:posOffset>
                </wp:positionH>
                <wp:positionV relativeFrom="paragraph">
                  <wp:posOffset>1270</wp:posOffset>
                </wp:positionV>
                <wp:extent cx="800100" cy="396240"/>
                <wp:effectExtent l="0" t="0" r="0" b="0"/>
                <wp:wrapNone/>
                <wp:docPr id="171" name="文本框 171"/>
                <wp:cNvGraphicFramePr/>
                <a:graphic xmlns:a="http://schemas.openxmlformats.org/drawingml/2006/main">
                  <a:graphicData uri="http://schemas.microsoft.com/office/word/2010/wordprocessingShape">
                    <wps:wsp>
                      <wps:cNvSpPr txBox="1"/>
                      <wps:spPr>
                        <a:xfrm>
                          <a:off x="0" y="0"/>
                          <a:ext cx="800100" cy="396240"/>
                        </a:xfrm>
                        <a:prstGeom prst="rect">
                          <a:avLst/>
                        </a:prstGeom>
                        <a:noFill/>
                        <a:ln>
                          <a:noFill/>
                        </a:ln>
                        <a:effectLst/>
                      </wps:spPr>
                      <wps:txbx>
                        <w:txbxContent>
                          <w:p w14:paraId="33AEA95D">
                            <w:pPr>
                              <w:rPr>
                                <w:rFonts w:ascii="楷体_GB2312" w:hAnsi="宋体" w:eastAsia="楷体_GB2312"/>
                                <w:b/>
                                <w:color w:val="000000"/>
                                <w:sz w:val="18"/>
                                <w:szCs w:val="18"/>
                              </w:rPr>
                            </w:pPr>
                            <w:r>
                              <w:rPr>
                                <w:rFonts w:hint="eastAsia" w:ascii="楷体_GB2312" w:hAnsi="宋体" w:eastAsia="楷体_GB2312"/>
                                <w:b/>
                                <w:color w:val="000000"/>
                                <w:sz w:val="18"/>
                                <w:szCs w:val="18"/>
                              </w:rPr>
                              <w:t>发包人责任</w:t>
                            </w:r>
                          </w:p>
                        </w:txbxContent>
                      </wps:txbx>
                      <wps:bodyPr upright="1"/>
                    </wps:wsp>
                  </a:graphicData>
                </a:graphic>
              </wp:anchor>
            </w:drawing>
          </mc:Choice>
          <mc:Fallback>
            <w:pict>
              <v:shape id="_x0000_s1026" o:spid="_x0000_s1026" o:spt="202" type="#_x0000_t202" style="position:absolute;left:0pt;margin-left:-9pt;margin-top:0.1pt;height:31.2pt;width:63pt;z-index:251833344;mso-width-relative:page;mso-height-relative:page;" filled="f" stroked="f" coordsize="21600,21600" o:gfxdata="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maBck0wAA&#10;AAcBAAAPAAAAAAAAAAEAIAAAACIAAABkcnMvZG93bnJldi54bWxQSwECFAAUAAAACACHTuJAN5K0&#10;DLEBAABfAwAADgAAAAAAAAABACAAAAAiAQAAZHJzL2Uyb0RvYy54bWxQSwUGAAAAAAYABgBZAQAA&#10;RQUAAAAA&#10;">
                <v:fill on="f" focussize="0,0"/>
                <v:stroke on="f"/>
                <v:imagedata o:title=""/>
                <o:lock v:ext="edit" aspectratio="f"/>
                <v:textbox>
                  <w:txbxContent>
                    <w:p w14:paraId="33AEA95D">
                      <w:pPr>
                        <w:rPr>
                          <w:rFonts w:ascii="楷体_GB2312" w:hAnsi="宋体" w:eastAsia="楷体_GB2312"/>
                          <w:b/>
                          <w:color w:val="000000"/>
                          <w:sz w:val="18"/>
                          <w:szCs w:val="18"/>
                        </w:rPr>
                      </w:pPr>
                      <w:r>
                        <w:rPr>
                          <w:rFonts w:hint="eastAsia" w:ascii="楷体_GB2312" w:hAnsi="宋体" w:eastAsia="楷体_GB2312"/>
                          <w:b/>
                          <w:color w:val="000000"/>
                          <w:sz w:val="18"/>
                          <w:szCs w:val="18"/>
                        </w:rPr>
                        <w:t>发包人责任</w:t>
                      </w:r>
                    </w:p>
                  </w:txbxContent>
                </v:textbox>
              </v:shape>
            </w:pict>
          </mc:Fallback>
        </mc:AlternateContent>
      </w:r>
      <w:r>
        <w:rPr>
          <w:rFonts w:hint="eastAsia" w:ascii="宋体" w:hAnsi="宋体"/>
          <w:color w:val="auto"/>
          <w:sz w:val="24"/>
          <w:szCs w:val="18"/>
        </w:rPr>
        <w:t>在合同工程实施、完成及保修期间，发包人承担下列责任：</w:t>
      </w:r>
    </w:p>
    <w:p w14:paraId="411EE9D6">
      <w:pPr>
        <w:adjustRightInd w:val="0"/>
        <w:snapToGrid w:val="0"/>
        <w:spacing w:line="360" w:lineRule="auto"/>
        <w:ind w:left="1625" w:leftChars="488" w:hanging="600" w:hangingChars="250"/>
        <w:rPr>
          <w:rFonts w:ascii="宋体"/>
          <w:color w:val="auto"/>
          <w:sz w:val="24"/>
          <w:szCs w:val="18"/>
        </w:rPr>
      </w:pPr>
      <w:r>
        <w:rPr>
          <w:rFonts w:hint="eastAsia" w:ascii="宋体" w:hAnsi="宋体"/>
          <w:color w:val="auto"/>
          <w:sz w:val="24"/>
          <w:szCs w:val="18"/>
        </w:rPr>
        <w:t>（</w:t>
      </w:r>
      <w:r>
        <w:rPr>
          <w:rFonts w:ascii="宋体" w:hAnsi="宋体"/>
          <w:color w:val="auto"/>
          <w:sz w:val="24"/>
          <w:szCs w:val="18"/>
        </w:rPr>
        <w:t>1</w:t>
      </w:r>
      <w:r>
        <w:rPr>
          <w:rFonts w:hint="eastAsia" w:ascii="宋体" w:hAnsi="宋体"/>
          <w:color w:val="auto"/>
          <w:sz w:val="24"/>
          <w:szCs w:val="18"/>
        </w:rPr>
        <w:t>）发包人应配合承包人做好安全文明施工工作，定期对其现场机构雇佣的全部人员进行安全文明施工教育和培训。</w:t>
      </w:r>
    </w:p>
    <w:p w14:paraId="4CEFF009">
      <w:pPr>
        <w:adjustRightInd w:val="0"/>
        <w:snapToGrid w:val="0"/>
        <w:spacing w:line="360" w:lineRule="auto"/>
        <w:ind w:left="1558" w:leftChars="456" w:hanging="600" w:hangingChars="250"/>
        <w:rPr>
          <w:rFonts w:ascii="宋体"/>
          <w:color w:val="auto"/>
          <w:sz w:val="24"/>
          <w:szCs w:val="18"/>
        </w:rPr>
      </w:pPr>
      <w:r>
        <w:rPr>
          <w:rFonts w:hint="eastAsia" w:ascii="宋体" w:hAnsi="宋体"/>
          <w:color w:val="auto"/>
          <w:sz w:val="24"/>
          <w:szCs w:val="18"/>
        </w:rPr>
        <w:t>（</w:t>
      </w:r>
      <w:r>
        <w:rPr>
          <w:rFonts w:ascii="宋体" w:hAnsi="宋体"/>
          <w:color w:val="auto"/>
          <w:sz w:val="24"/>
          <w:szCs w:val="18"/>
        </w:rPr>
        <w:t>2</w:t>
      </w:r>
      <w:r>
        <w:rPr>
          <w:rFonts w:hint="eastAsia" w:ascii="宋体" w:hAnsi="宋体"/>
          <w:color w:val="auto"/>
          <w:sz w:val="24"/>
          <w:szCs w:val="18"/>
        </w:rPr>
        <w:t>）发包人应对其现场机构雇佣的全部人员的安全事故承担责任，但由于承包人原因造成发包人人员安全事故的，应由承包人承担责任。</w:t>
      </w:r>
    </w:p>
    <w:p w14:paraId="436FE574">
      <w:pPr>
        <w:adjustRightInd w:val="0"/>
        <w:snapToGrid w:val="0"/>
        <w:spacing w:line="360" w:lineRule="auto"/>
        <w:ind w:left="1558" w:leftChars="456" w:hanging="600" w:hangingChars="250"/>
        <w:rPr>
          <w:rFonts w:ascii="宋体"/>
          <w:color w:val="auto"/>
          <w:sz w:val="24"/>
          <w:szCs w:val="18"/>
        </w:rPr>
      </w:pPr>
      <w:r>
        <w:rPr>
          <w:rFonts w:hint="eastAsia" w:ascii="宋体" w:hAnsi="宋体"/>
          <w:color w:val="auto"/>
          <w:sz w:val="24"/>
          <w:szCs w:val="18"/>
        </w:rPr>
        <w:t>（</w:t>
      </w:r>
      <w:r>
        <w:rPr>
          <w:rFonts w:ascii="宋体" w:hAnsi="宋体"/>
          <w:color w:val="auto"/>
          <w:sz w:val="24"/>
          <w:szCs w:val="18"/>
        </w:rPr>
        <w:t>3</w:t>
      </w:r>
      <w:r>
        <w:rPr>
          <w:rFonts w:hint="eastAsia" w:ascii="宋体" w:hAnsi="宋体"/>
          <w:color w:val="auto"/>
          <w:sz w:val="24"/>
          <w:szCs w:val="18"/>
        </w:rPr>
        <w:t>）发包人有下列行为之一或由于发包人原因造成安全事故的，由发包人承担责任，由此增加的费用和延误的工期由发包人承担。</w:t>
      </w:r>
    </w:p>
    <w:p w14:paraId="3FD3FA00">
      <w:pPr>
        <w:tabs>
          <w:tab w:val="left" w:pos="1980"/>
        </w:tabs>
        <w:adjustRightInd w:val="0"/>
        <w:snapToGrid w:val="0"/>
        <w:spacing w:line="360" w:lineRule="auto"/>
        <w:ind w:firstLine="1200" w:firstLineChars="500"/>
        <w:rPr>
          <w:rFonts w:ascii="宋体"/>
          <w:color w:val="auto"/>
          <w:sz w:val="24"/>
          <w:szCs w:val="18"/>
        </w:rPr>
      </w:pPr>
      <w:r>
        <w:rPr>
          <w:rFonts w:ascii="宋体" w:hAnsi="宋体"/>
          <w:color w:val="auto"/>
          <w:sz w:val="24"/>
          <w:szCs w:val="18"/>
        </w:rPr>
        <w:t>1</w:t>
      </w:r>
      <w:r>
        <w:rPr>
          <w:rFonts w:hint="eastAsia" w:ascii="宋体" w:hAnsi="宋体"/>
          <w:color w:val="auto"/>
          <w:sz w:val="24"/>
          <w:szCs w:val="18"/>
        </w:rPr>
        <w:t>）要求承包人违反安全文明施工操作规程施工的；</w:t>
      </w:r>
    </w:p>
    <w:p w14:paraId="6B876C46">
      <w:pPr>
        <w:tabs>
          <w:tab w:val="left" w:pos="1980"/>
        </w:tabs>
        <w:adjustRightInd w:val="0"/>
        <w:snapToGrid w:val="0"/>
        <w:spacing w:line="360" w:lineRule="auto"/>
        <w:ind w:left="1437" w:leftChars="570" w:hanging="240" w:hangingChars="100"/>
        <w:rPr>
          <w:rFonts w:ascii="宋体"/>
          <w:color w:val="auto"/>
          <w:sz w:val="24"/>
          <w:szCs w:val="18"/>
        </w:rPr>
      </w:pPr>
      <w:r>
        <w:rPr>
          <w:rFonts w:ascii="宋体" w:hAnsi="宋体"/>
          <w:color w:val="auto"/>
          <w:sz w:val="24"/>
          <w:szCs w:val="18"/>
        </w:rPr>
        <w:t>2</w:t>
      </w:r>
      <w:r>
        <w:rPr>
          <w:rFonts w:hint="eastAsia" w:ascii="宋体" w:hAnsi="宋体"/>
          <w:color w:val="auto"/>
          <w:sz w:val="24"/>
          <w:szCs w:val="18"/>
        </w:rPr>
        <w:t>）对承包人提出不符合国家、省有关安全文明施工法律和强制性标准规定要求的；</w:t>
      </w:r>
    </w:p>
    <w:p w14:paraId="53889D89">
      <w:pPr>
        <w:tabs>
          <w:tab w:val="left" w:pos="1980"/>
        </w:tabs>
        <w:adjustRightInd w:val="0"/>
        <w:snapToGrid w:val="0"/>
        <w:spacing w:line="360" w:lineRule="auto"/>
        <w:ind w:left="1557" w:leftChars="570" w:hanging="360" w:hangingChars="150"/>
        <w:rPr>
          <w:rFonts w:ascii="宋体"/>
          <w:color w:val="auto"/>
          <w:sz w:val="24"/>
          <w:szCs w:val="18"/>
        </w:rPr>
      </w:pPr>
      <w:r>
        <w:rPr>
          <w:rFonts w:ascii="宋体" w:hAnsi="宋体"/>
          <w:color w:val="auto"/>
          <w:sz w:val="24"/>
          <w:szCs w:val="18"/>
        </w:rPr>
        <w:t>3</w:t>
      </w:r>
      <w:r>
        <w:rPr>
          <w:rFonts w:hint="eastAsia" w:ascii="宋体" w:hAnsi="宋体"/>
          <w:color w:val="auto"/>
          <w:sz w:val="24"/>
          <w:szCs w:val="18"/>
        </w:rPr>
        <w:t>）明示或暗示承包人购买、租赁、使用不符合安全施工要求的安全防护用具、机械设备、施工机具及配件、消防设施和器材的。</w:t>
      </w:r>
    </w:p>
    <w:p w14:paraId="15F78E4C">
      <w:pPr>
        <w:adjustRightInd w:val="0"/>
        <w:snapToGrid w:val="0"/>
        <w:spacing w:line="360" w:lineRule="auto"/>
        <w:ind w:firstLine="960" w:firstLineChars="400"/>
        <w:rPr>
          <w:rFonts w:ascii="宋体"/>
          <w:color w:val="auto"/>
          <w:sz w:val="24"/>
          <w:szCs w:val="18"/>
        </w:rPr>
      </w:pPr>
      <w:r>
        <w:rPr>
          <w:rFonts w:hint="eastAsia" w:ascii="宋体" w:hAnsi="宋体"/>
          <w:color w:val="auto"/>
          <w:sz w:val="24"/>
          <w:szCs w:val="18"/>
        </w:rPr>
        <w:t>（</w:t>
      </w:r>
      <w:r>
        <w:rPr>
          <w:rFonts w:ascii="宋体" w:hAnsi="宋体"/>
          <w:color w:val="auto"/>
          <w:sz w:val="24"/>
          <w:szCs w:val="18"/>
        </w:rPr>
        <w:t>4</w:t>
      </w:r>
      <w:r>
        <w:rPr>
          <w:rFonts w:hint="eastAsia" w:ascii="宋体" w:hAnsi="宋体"/>
          <w:color w:val="auto"/>
          <w:sz w:val="24"/>
          <w:szCs w:val="18"/>
        </w:rPr>
        <w:t>）发包人应负责赔偿下列情形造成的第三者人身伤亡和财产损失。</w:t>
      </w:r>
    </w:p>
    <w:p w14:paraId="7E5E7B88">
      <w:pPr>
        <w:adjustRightInd w:val="0"/>
        <w:snapToGrid w:val="0"/>
        <w:spacing w:line="360" w:lineRule="auto"/>
        <w:ind w:firstLine="1200" w:firstLineChars="500"/>
        <w:rPr>
          <w:rFonts w:ascii="宋体"/>
          <w:color w:val="auto"/>
          <w:sz w:val="24"/>
          <w:szCs w:val="18"/>
        </w:rPr>
      </w:pPr>
      <w:r>
        <w:rPr>
          <w:rFonts w:ascii="宋体" w:hAnsi="宋体"/>
          <w:color w:val="auto"/>
          <w:sz w:val="24"/>
          <w:szCs w:val="18"/>
        </w:rPr>
        <w:t>1</w:t>
      </w:r>
      <w:r>
        <w:rPr>
          <w:rFonts w:hint="eastAsia" w:ascii="宋体" w:hAnsi="宋体"/>
          <w:color w:val="auto"/>
          <w:sz w:val="24"/>
          <w:szCs w:val="18"/>
        </w:rPr>
        <w:t>）工程或工程的任何部分对土地的占用所造成的第三者财产损失；</w:t>
      </w:r>
    </w:p>
    <w:p w14:paraId="51D43EC1">
      <w:pPr>
        <w:adjustRightInd w:val="0"/>
        <w:snapToGrid w:val="0"/>
        <w:spacing w:line="360" w:lineRule="auto"/>
        <w:ind w:firstLine="1200" w:firstLineChars="500"/>
        <w:rPr>
          <w:rFonts w:ascii="宋体"/>
          <w:color w:val="auto"/>
          <w:sz w:val="24"/>
          <w:szCs w:val="18"/>
        </w:rPr>
      </w:pPr>
      <w:r>
        <w:rPr>
          <w:rFonts w:ascii="宋体" w:hAnsi="宋体"/>
          <w:color w:val="auto"/>
          <w:sz w:val="24"/>
          <w:szCs w:val="18"/>
        </w:rPr>
        <w:t>2</w:t>
      </w:r>
      <w:r>
        <w:rPr>
          <w:rFonts w:hint="eastAsia" w:ascii="宋体" w:hAnsi="宋体"/>
          <w:color w:val="auto"/>
          <w:sz w:val="24"/>
          <w:szCs w:val="18"/>
        </w:rPr>
        <w:t>）由于发包人原因在施工场地及其毗邻造成的第三者人身伤亡和财产损失。</w:t>
      </w:r>
    </w:p>
    <w:p w14:paraId="758DDB51">
      <w:pPr>
        <w:adjustRightInd w:val="0"/>
        <w:snapToGrid w:val="0"/>
        <w:spacing w:line="360" w:lineRule="auto"/>
        <w:rPr>
          <w:rFonts w:ascii="宋体"/>
          <w:color w:val="auto"/>
          <w:sz w:val="24"/>
          <w:szCs w:val="18"/>
        </w:rPr>
      </w:pPr>
      <w:r>
        <w:rPr>
          <w:rFonts w:ascii="宋体" w:hAnsi="宋体"/>
          <w:b/>
          <w:color w:val="auto"/>
          <w:sz w:val="24"/>
          <w:szCs w:val="18"/>
        </w:rPr>
        <w:t xml:space="preserve">45.3 </w:t>
      </w:r>
    </w:p>
    <w:p w14:paraId="7E77C792">
      <w:pPr>
        <w:adjustRightInd w:val="0"/>
        <w:snapToGrid w:val="0"/>
        <w:spacing w:line="360" w:lineRule="auto"/>
        <w:ind w:left="1619" w:leftChars="771"/>
        <w:rPr>
          <w:rFonts w:ascii="宋体"/>
          <w:color w:val="auto"/>
          <w:sz w:val="24"/>
          <w:szCs w:val="18"/>
        </w:rPr>
      </w:pPr>
      <w:r>
        <w:rPr>
          <w:color w:val="auto"/>
        </w:rPr>
        <mc:AlternateContent>
          <mc:Choice Requires="wps">
            <w:drawing>
              <wp:anchor distT="0" distB="0" distL="114300" distR="114300" simplePos="0" relativeHeight="251834368" behindDoc="0" locked="0" layoutInCell="1" allowOverlap="1">
                <wp:simplePos x="0" y="0"/>
                <wp:positionH relativeFrom="column">
                  <wp:posOffset>-114300</wp:posOffset>
                </wp:positionH>
                <wp:positionV relativeFrom="paragraph">
                  <wp:posOffset>10795</wp:posOffset>
                </wp:positionV>
                <wp:extent cx="800100" cy="302260"/>
                <wp:effectExtent l="0" t="0" r="0" b="0"/>
                <wp:wrapNone/>
                <wp:docPr id="172" name="文本框 172"/>
                <wp:cNvGraphicFramePr/>
                <a:graphic xmlns:a="http://schemas.openxmlformats.org/drawingml/2006/main">
                  <a:graphicData uri="http://schemas.microsoft.com/office/word/2010/wordprocessingShape">
                    <wps:wsp>
                      <wps:cNvSpPr txBox="1"/>
                      <wps:spPr>
                        <a:xfrm>
                          <a:off x="0" y="0"/>
                          <a:ext cx="800100" cy="302260"/>
                        </a:xfrm>
                        <a:prstGeom prst="rect">
                          <a:avLst/>
                        </a:prstGeom>
                        <a:noFill/>
                        <a:ln>
                          <a:noFill/>
                        </a:ln>
                        <a:effectLst/>
                      </wps:spPr>
                      <wps:txbx>
                        <w:txbxContent>
                          <w:p w14:paraId="69677F01">
                            <w:pPr>
                              <w:rPr>
                                <w:rFonts w:ascii="楷体_GB2312" w:hAnsi="宋体" w:eastAsia="楷体_GB2312"/>
                                <w:b/>
                                <w:color w:val="000000"/>
                                <w:sz w:val="18"/>
                                <w:szCs w:val="18"/>
                              </w:rPr>
                            </w:pPr>
                            <w:r>
                              <w:rPr>
                                <w:rFonts w:hint="eastAsia" w:ascii="楷体_GB2312" w:hAnsi="宋体" w:eastAsia="楷体_GB2312"/>
                                <w:b/>
                                <w:color w:val="000000"/>
                                <w:sz w:val="18"/>
                                <w:szCs w:val="18"/>
                              </w:rPr>
                              <w:t>承包人责任</w:t>
                            </w:r>
                          </w:p>
                        </w:txbxContent>
                      </wps:txbx>
                      <wps:bodyPr upright="1"/>
                    </wps:wsp>
                  </a:graphicData>
                </a:graphic>
              </wp:anchor>
            </w:drawing>
          </mc:Choice>
          <mc:Fallback>
            <w:pict>
              <v:shape id="_x0000_s1026" o:spid="_x0000_s1026" o:spt="202" type="#_x0000_t202" style="position:absolute;left:0pt;margin-left:-9pt;margin-top:0.85pt;height:23.8pt;width:63pt;z-index:251834368;mso-width-relative:page;mso-height-relative:page;" filled="f" stroked="f" coordsize="21600,21600" o:gfxdata="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ThedOtQA&#10;AAAIAQAADwAAAAAAAAABACAAAAAiAAAAZHJzL2Rvd25yZXYueG1sUEsBAhQAFAAAAAgAh07iQI+f&#10;6AqxAQAAXwMAAA4AAAAAAAAAAQAgAAAAIwEAAGRycy9lMm9Eb2MueG1sUEsFBgAAAAAGAAYAWQEA&#10;AEYFAAAAAA==&#10;">
                <v:fill on="f" focussize="0,0"/>
                <v:stroke on="f"/>
                <v:imagedata o:title=""/>
                <o:lock v:ext="edit" aspectratio="f"/>
                <v:textbox>
                  <w:txbxContent>
                    <w:p w14:paraId="69677F01">
                      <w:pPr>
                        <w:rPr>
                          <w:rFonts w:ascii="楷体_GB2312" w:hAnsi="宋体" w:eastAsia="楷体_GB2312"/>
                          <w:b/>
                          <w:color w:val="000000"/>
                          <w:sz w:val="18"/>
                          <w:szCs w:val="18"/>
                        </w:rPr>
                      </w:pPr>
                      <w:r>
                        <w:rPr>
                          <w:rFonts w:hint="eastAsia" w:ascii="楷体_GB2312" w:hAnsi="宋体" w:eastAsia="楷体_GB2312"/>
                          <w:b/>
                          <w:color w:val="000000"/>
                          <w:sz w:val="18"/>
                          <w:szCs w:val="18"/>
                        </w:rPr>
                        <w:t>承包人责任</w:t>
                      </w:r>
                    </w:p>
                  </w:txbxContent>
                </v:textbox>
              </v:shape>
            </w:pict>
          </mc:Fallback>
        </mc:AlternateContent>
      </w:r>
      <w:r>
        <w:rPr>
          <w:rFonts w:hint="eastAsia" w:ascii="宋体" w:hAnsi="宋体"/>
          <w:color w:val="auto"/>
          <w:sz w:val="24"/>
          <w:szCs w:val="18"/>
        </w:rPr>
        <w:t>在合同工程实施、完成及保修期间，承包人承担下列责任：</w:t>
      </w:r>
    </w:p>
    <w:p w14:paraId="18DB2144">
      <w:pPr>
        <w:adjustRightInd w:val="0"/>
        <w:snapToGrid w:val="0"/>
        <w:spacing w:line="360" w:lineRule="auto"/>
        <w:ind w:left="1619" w:leftChars="771"/>
        <w:rPr>
          <w:rFonts w:ascii="宋体"/>
          <w:color w:val="auto"/>
          <w:sz w:val="24"/>
          <w:szCs w:val="18"/>
        </w:rPr>
      </w:pPr>
      <w:r>
        <w:rPr>
          <w:rFonts w:hint="eastAsia" w:ascii="宋体" w:hAnsi="宋体"/>
          <w:color w:val="auto"/>
          <w:sz w:val="24"/>
          <w:szCs w:val="18"/>
        </w:rPr>
        <w:t>（</w:t>
      </w:r>
      <w:r>
        <w:rPr>
          <w:rFonts w:ascii="宋体" w:hAnsi="宋体"/>
          <w:color w:val="auto"/>
          <w:sz w:val="24"/>
          <w:szCs w:val="18"/>
        </w:rPr>
        <w:t>1</w:t>
      </w:r>
      <w:r>
        <w:rPr>
          <w:rFonts w:hint="eastAsia" w:ascii="宋体" w:hAnsi="宋体"/>
          <w:color w:val="auto"/>
          <w:sz w:val="24"/>
          <w:szCs w:val="18"/>
        </w:rPr>
        <w:t>）承包人应严格按照国家有关安全文明施工的标准与规范制定安全文明施工操作规程，配备必要的安全生产和劳动保护设施，加强对承包人人员的施工安全教育和培训。</w:t>
      </w:r>
    </w:p>
    <w:p w14:paraId="60551473">
      <w:pPr>
        <w:adjustRightInd w:val="0"/>
        <w:snapToGrid w:val="0"/>
        <w:spacing w:line="360" w:lineRule="auto"/>
        <w:ind w:left="1619" w:leftChars="771"/>
        <w:rPr>
          <w:rFonts w:ascii="宋体"/>
          <w:color w:val="auto"/>
          <w:sz w:val="24"/>
          <w:szCs w:val="18"/>
        </w:rPr>
      </w:pPr>
      <w:r>
        <w:rPr>
          <w:rFonts w:hint="eastAsia" w:ascii="宋体" w:hAnsi="宋体"/>
          <w:color w:val="auto"/>
          <w:sz w:val="24"/>
          <w:szCs w:val="18"/>
        </w:rPr>
        <w:t>（</w:t>
      </w:r>
      <w:r>
        <w:rPr>
          <w:rFonts w:ascii="宋体" w:hAnsi="宋体"/>
          <w:color w:val="auto"/>
          <w:sz w:val="24"/>
          <w:szCs w:val="18"/>
        </w:rPr>
        <w:t>2</w:t>
      </w:r>
      <w:r>
        <w:rPr>
          <w:rFonts w:hint="eastAsia" w:ascii="宋体" w:hAnsi="宋体"/>
          <w:color w:val="auto"/>
          <w:sz w:val="24"/>
          <w:szCs w:val="18"/>
        </w:rPr>
        <w:t>）承包人应对合同工程的安全文明施工负责，采取有效的安全措施消除安全事故隐患，并接受和配合依法实施的监督检查。</w:t>
      </w:r>
    </w:p>
    <w:p w14:paraId="47128103">
      <w:pPr>
        <w:adjustRightInd w:val="0"/>
        <w:snapToGrid w:val="0"/>
        <w:spacing w:line="360" w:lineRule="auto"/>
        <w:ind w:left="1619" w:leftChars="771"/>
        <w:rPr>
          <w:rFonts w:ascii="宋体"/>
          <w:color w:val="auto"/>
          <w:sz w:val="24"/>
          <w:szCs w:val="18"/>
        </w:rPr>
      </w:pPr>
      <w:r>
        <w:rPr>
          <w:rFonts w:hint="eastAsia" w:ascii="宋体" w:hAnsi="宋体"/>
          <w:color w:val="auto"/>
          <w:sz w:val="24"/>
          <w:szCs w:val="18"/>
        </w:rPr>
        <w:t>（</w:t>
      </w:r>
      <w:r>
        <w:rPr>
          <w:rFonts w:ascii="宋体" w:hAnsi="宋体"/>
          <w:color w:val="auto"/>
          <w:sz w:val="24"/>
          <w:szCs w:val="18"/>
        </w:rPr>
        <w:t>3</w:t>
      </w:r>
      <w:r>
        <w:rPr>
          <w:rFonts w:hint="eastAsia" w:ascii="宋体" w:hAnsi="宋体"/>
          <w:color w:val="auto"/>
          <w:sz w:val="24"/>
          <w:szCs w:val="18"/>
        </w:rPr>
        <w:t>）承包人应加强施工作业安全管理，特别应加强经监理工程师同意并由其报发包人批准的输送电线路工程，使用易燃、易爆材料、火工器材、有毒与腐蚀性材料等危险品工程，以及爆破作业和地下工程施工等危险作业的安全管理，尽量避免人员伤亡和财产损失。</w:t>
      </w:r>
    </w:p>
    <w:p w14:paraId="68135236">
      <w:pPr>
        <w:adjustRightInd w:val="0"/>
        <w:snapToGrid w:val="0"/>
        <w:spacing w:line="360" w:lineRule="auto"/>
        <w:ind w:left="1619" w:leftChars="771"/>
        <w:rPr>
          <w:rFonts w:ascii="宋体"/>
          <w:color w:val="auto"/>
          <w:sz w:val="24"/>
          <w:szCs w:val="18"/>
        </w:rPr>
      </w:pPr>
      <w:r>
        <w:rPr>
          <w:rFonts w:hint="eastAsia" w:ascii="宋体" w:hAnsi="宋体"/>
          <w:color w:val="auto"/>
          <w:sz w:val="24"/>
          <w:szCs w:val="18"/>
        </w:rPr>
        <w:t>（</w:t>
      </w:r>
      <w:r>
        <w:rPr>
          <w:rFonts w:ascii="宋体" w:hAnsi="宋体"/>
          <w:color w:val="auto"/>
          <w:sz w:val="24"/>
          <w:szCs w:val="18"/>
        </w:rPr>
        <w:t>4</w:t>
      </w:r>
      <w:r>
        <w:rPr>
          <w:rFonts w:hint="eastAsia" w:ascii="宋体" w:hAnsi="宋体"/>
          <w:color w:val="auto"/>
          <w:sz w:val="24"/>
          <w:szCs w:val="18"/>
        </w:rPr>
        <w:t>）承包人应按监理工程师的指令制定应对灾害的紧急预案，并按预案做好安全检查，配置必要的救助物资和器材，切实保护好有关人员的人身和财产安全。</w:t>
      </w:r>
    </w:p>
    <w:p w14:paraId="72CD3C70">
      <w:pPr>
        <w:adjustRightInd w:val="0"/>
        <w:snapToGrid w:val="0"/>
        <w:spacing w:line="360" w:lineRule="auto"/>
        <w:ind w:left="1619" w:leftChars="771"/>
        <w:rPr>
          <w:rFonts w:ascii="宋体"/>
          <w:color w:val="auto"/>
          <w:sz w:val="24"/>
          <w:szCs w:val="18"/>
        </w:rPr>
      </w:pPr>
      <w:r>
        <w:rPr>
          <w:rFonts w:hint="eastAsia" w:ascii="宋体" w:hAnsi="宋体"/>
          <w:color w:val="auto"/>
          <w:sz w:val="24"/>
          <w:szCs w:val="18"/>
        </w:rPr>
        <w:t>（</w:t>
      </w:r>
      <w:r>
        <w:rPr>
          <w:rFonts w:ascii="宋体" w:hAnsi="宋体"/>
          <w:color w:val="auto"/>
          <w:sz w:val="24"/>
          <w:szCs w:val="18"/>
        </w:rPr>
        <w:t>5</w:t>
      </w:r>
      <w:r>
        <w:rPr>
          <w:rFonts w:hint="eastAsia" w:ascii="宋体" w:hAnsi="宋体"/>
          <w:color w:val="auto"/>
          <w:sz w:val="24"/>
          <w:szCs w:val="18"/>
        </w:rPr>
        <w:t>）承包人违反本条规定或由于承包人原因造成安全事故的，由承包人承担责任，由此增加的费用和延误的工期由承包人承担。</w:t>
      </w:r>
    </w:p>
    <w:p w14:paraId="6F890569">
      <w:pPr>
        <w:adjustRightInd w:val="0"/>
        <w:snapToGrid w:val="0"/>
        <w:spacing w:line="360" w:lineRule="auto"/>
        <w:ind w:left="1619" w:leftChars="771"/>
        <w:rPr>
          <w:rFonts w:ascii="宋体"/>
          <w:color w:val="auto"/>
          <w:sz w:val="24"/>
          <w:szCs w:val="18"/>
        </w:rPr>
      </w:pPr>
      <w:r>
        <w:rPr>
          <w:rFonts w:hint="eastAsia" w:ascii="宋体" w:hAnsi="宋体"/>
          <w:color w:val="auto"/>
          <w:sz w:val="24"/>
          <w:szCs w:val="18"/>
        </w:rPr>
        <w:t>（</w:t>
      </w:r>
      <w:r>
        <w:rPr>
          <w:rFonts w:ascii="宋体" w:hAnsi="宋体"/>
          <w:color w:val="auto"/>
          <w:sz w:val="24"/>
          <w:szCs w:val="18"/>
        </w:rPr>
        <w:t>6</w:t>
      </w:r>
      <w:r>
        <w:rPr>
          <w:rFonts w:hint="eastAsia" w:ascii="宋体" w:hAnsi="宋体"/>
          <w:color w:val="auto"/>
          <w:sz w:val="24"/>
          <w:szCs w:val="18"/>
        </w:rPr>
        <w:t>）承包人应对其履行合同所雇佣的全部人员，包括分包人人员的安全事故承担责任，但由于发包人原因造成承包人人员安全事故的，应由发包人承担责任。</w:t>
      </w:r>
    </w:p>
    <w:p w14:paraId="2DF33D1A">
      <w:pPr>
        <w:adjustRightInd w:val="0"/>
        <w:snapToGrid w:val="0"/>
        <w:spacing w:line="360" w:lineRule="auto"/>
        <w:ind w:left="1619" w:leftChars="771" w:firstLine="60" w:firstLineChars="25"/>
        <w:rPr>
          <w:rFonts w:ascii="宋体"/>
          <w:color w:val="auto"/>
          <w:sz w:val="24"/>
          <w:szCs w:val="18"/>
        </w:rPr>
      </w:pPr>
      <w:r>
        <w:rPr>
          <w:rFonts w:hint="eastAsia" w:ascii="宋体" w:hAnsi="宋体"/>
          <w:color w:val="auto"/>
          <w:sz w:val="24"/>
          <w:szCs w:val="18"/>
        </w:rPr>
        <w:t>（</w:t>
      </w:r>
      <w:r>
        <w:rPr>
          <w:rFonts w:ascii="宋体" w:hAnsi="宋体"/>
          <w:color w:val="auto"/>
          <w:sz w:val="24"/>
          <w:szCs w:val="18"/>
        </w:rPr>
        <w:t>7</w:t>
      </w:r>
      <w:r>
        <w:rPr>
          <w:rFonts w:hint="eastAsia" w:ascii="宋体" w:hAnsi="宋体"/>
          <w:color w:val="auto"/>
          <w:sz w:val="24"/>
          <w:szCs w:val="18"/>
        </w:rPr>
        <w:t>）由于承包人原因在施工场地内及其毗邻造成的第三者人身伤亡和财产损失，由承包人负责赔偿。</w:t>
      </w:r>
    </w:p>
    <w:p w14:paraId="6F54C6B1">
      <w:pPr>
        <w:adjustRightInd w:val="0"/>
        <w:snapToGrid w:val="0"/>
        <w:spacing w:line="360" w:lineRule="auto"/>
        <w:rPr>
          <w:rFonts w:ascii="宋体"/>
          <w:color w:val="auto"/>
          <w:sz w:val="24"/>
          <w:szCs w:val="18"/>
        </w:rPr>
      </w:pPr>
      <w:r>
        <w:rPr>
          <w:rFonts w:ascii="宋体" w:hAnsi="宋体"/>
          <w:b/>
          <w:color w:val="auto"/>
          <w:sz w:val="24"/>
          <w:szCs w:val="18"/>
        </w:rPr>
        <w:t xml:space="preserve">45.4 </w:t>
      </w:r>
    </w:p>
    <w:p w14:paraId="775AAE86">
      <w:pPr>
        <w:adjustRightInd w:val="0"/>
        <w:snapToGrid w:val="0"/>
        <w:spacing w:line="360" w:lineRule="auto"/>
        <w:ind w:left="1619" w:leftChars="771"/>
        <w:rPr>
          <w:rFonts w:ascii="宋体"/>
          <w:color w:val="auto"/>
          <w:sz w:val="24"/>
          <w:szCs w:val="18"/>
        </w:rPr>
      </w:pPr>
      <w:r>
        <w:rPr>
          <w:color w:val="auto"/>
        </w:rPr>
        <mc:AlternateContent>
          <mc:Choice Requires="wps">
            <w:drawing>
              <wp:anchor distT="0" distB="0" distL="114300" distR="114300" simplePos="0" relativeHeight="251835392" behindDoc="0" locked="0" layoutInCell="1" allowOverlap="1">
                <wp:simplePos x="0" y="0"/>
                <wp:positionH relativeFrom="column">
                  <wp:posOffset>-114300</wp:posOffset>
                </wp:positionH>
                <wp:positionV relativeFrom="paragraph">
                  <wp:posOffset>5715</wp:posOffset>
                </wp:positionV>
                <wp:extent cx="800100" cy="396875"/>
                <wp:effectExtent l="0" t="0" r="0" b="0"/>
                <wp:wrapNone/>
                <wp:docPr id="173" name="文本框 173"/>
                <wp:cNvGraphicFramePr/>
                <a:graphic xmlns:a="http://schemas.openxmlformats.org/drawingml/2006/main">
                  <a:graphicData uri="http://schemas.microsoft.com/office/word/2010/wordprocessingShape">
                    <wps:wsp>
                      <wps:cNvSpPr txBox="1"/>
                      <wps:spPr>
                        <a:xfrm>
                          <a:off x="0" y="0"/>
                          <a:ext cx="800100" cy="396875"/>
                        </a:xfrm>
                        <a:prstGeom prst="rect">
                          <a:avLst/>
                        </a:prstGeom>
                        <a:noFill/>
                        <a:ln>
                          <a:noFill/>
                        </a:ln>
                        <a:effectLst/>
                      </wps:spPr>
                      <wps:txbx>
                        <w:txbxContent>
                          <w:p w14:paraId="5E7408E6">
                            <w:pPr>
                              <w:rPr>
                                <w:rFonts w:ascii="楷体_GB2312" w:hAnsi="宋体" w:eastAsia="楷体_GB2312"/>
                                <w:b/>
                                <w:color w:val="000000"/>
                                <w:sz w:val="18"/>
                                <w:szCs w:val="18"/>
                              </w:rPr>
                            </w:pPr>
                            <w:r>
                              <w:rPr>
                                <w:rFonts w:hint="eastAsia" w:ascii="楷体_GB2312" w:hAnsi="宋体" w:eastAsia="楷体_GB2312"/>
                                <w:b/>
                                <w:color w:val="000000"/>
                                <w:sz w:val="18"/>
                                <w:szCs w:val="18"/>
                              </w:rPr>
                              <w:t>施工措施的</w:t>
                            </w:r>
                          </w:p>
                          <w:p w14:paraId="6D2D6EF4">
                            <w:pPr>
                              <w:rPr>
                                <w:rFonts w:ascii="楷体_GB2312" w:hAnsi="宋体" w:eastAsia="楷体_GB2312"/>
                                <w:b/>
                                <w:color w:val="000000"/>
                                <w:sz w:val="18"/>
                                <w:szCs w:val="18"/>
                              </w:rPr>
                            </w:pPr>
                            <w:r>
                              <w:rPr>
                                <w:rFonts w:hint="eastAsia" w:ascii="楷体_GB2312" w:hAnsi="宋体" w:eastAsia="楷体_GB2312"/>
                                <w:b/>
                                <w:color w:val="000000"/>
                                <w:sz w:val="18"/>
                                <w:szCs w:val="18"/>
                              </w:rPr>
                              <w:t>审查与整改</w:t>
                            </w:r>
                          </w:p>
                        </w:txbxContent>
                      </wps:txbx>
                      <wps:bodyPr upright="1"/>
                    </wps:wsp>
                  </a:graphicData>
                </a:graphic>
              </wp:anchor>
            </w:drawing>
          </mc:Choice>
          <mc:Fallback>
            <w:pict>
              <v:shape id="_x0000_s1026" o:spid="_x0000_s1026" o:spt="202" type="#_x0000_t202" style="position:absolute;left:0pt;margin-left:-9pt;margin-top:0.45pt;height:31.25pt;width:63pt;z-index:251835392;mso-width-relative:page;mso-height-relative:page;" filled="f" stroked="f" coordsize="21600,21600" o:gfxdata="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Bn4Qh0wAA&#10;AAcBAAAPAAAAAAAAAAEAIAAAACIAAABkcnMvZG93bnJldi54bWxQSwECFAAUAAAACACHTuJAzM1q&#10;b7EBAABfAwAADgAAAAAAAAABACAAAAAiAQAAZHJzL2Uyb0RvYy54bWxQSwUGAAAAAAYABgBZAQAA&#10;RQUAAAAA&#10;">
                <v:fill on="f" focussize="0,0"/>
                <v:stroke on="f"/>
                <v:imagedata o:title=""/>
                <o:lock v:ext="edit" aspectratio="f"/>
                <v:textbox>
                  <w:txbxContent>
                    <w:p w14:paraId="5E7408E6">
                      <w:pPr>
                        <w:rPr>
                          <w:rFonts w:ascii="楷体_GB2312" w:hAnsi="宋体" w:eastAsia="楷体_GB2312"/>
                          <w:b/>
                          <w:color w:val="000000"/>
                          <w:sz w:val="18"/>
                          <w:szCs w:val="18"/>
                        </w:rPr>
                      </w:pPr>
                      <w:r>
                        <w:rPr>
                          <w:rFonts w:hint="eastAsia" w:ascii="楷体_GB2312" w:hAnsi="宋体" w:eastAsia="楷体_GB2312"/>
                          <w:b/>
                          <w:color w:val="000000"/>
                          <w:sz w:val="18"/>
                          <w:szCs w:val="18"/>
                        </w:rPr>
                        <w:t>施工措施的</w:t>
                      </w:r>
                    </w:p>
                    <w:p w14:paraId="6D2D6EF4">
                      <w:pPr>
                        <w:rPr>
                          <w:rFonts w:ascii="楷体_GB2312" w:hAnsi="宋体" w:eastAsia="楷体_GB2312"/>
                          <w:b/>
                          <w:color w:val="000000"/>
                          <w:sz w:val="18"/>
                          <w:szCs w:val="18"/>
                        </w:rPr>
                      </w:pPr>
                      <w:r>
                        <w:rPr>
                          <w:rFonts w:hint="eastAsia" w:ascii="楷体_GB2312" w:hAnsi="宋体" w:eastAsia="楷体_GB2312"/>
                          <w:b/>
                          <w:color w:val="000000"/>
                          <w:sz w:val="18"/>
                          <w:szCs w:val="18"/>
                        </w:rPr>
                        <w:t>审查与整改</w:t>
                      </w:r>
                    </w:p>
                  </w:txbxContent>
                </v:textbox>
              </v:shape>
            </w:pict>
          </mc:Fallback>
        </mc:AlternateContent>
      </w:r>
      <w:r>
        <w:rPr>
          <w:rFonts w:hint="eastAsia" w:ascii="宋体" w:hAnsi="宋体"/>
          <w:color w:val="auto"/>
          <w:sz w:val="24"/>
          <w:szCs w:val="18"/>
        </w:rPr>
        <w:t>监理工程师应当审查施工组织设计中的安全技术措施或者专项施工方案是否符合建设行政主管部门的有关规定。监理工程师发现承包人未遵守安全生产和文明施工规定或施工现场存在安全事故隐患的，应以书面形式通知承包人整改；情况严重的，应要求承包人暂停施工，并及时报告发包人。承包人在收到监理工程师发出书面通知后的</w:t>
      </w:r>
      <w:r>
        <w:rPr>
          <w:rFonts w:ascii="宋体" w:hAnsi="宋体"/>
          <w:color w:val="auto"/>
          <w:sz w:val="24"/>
          <w:szCs w:val="18"/>
        </w:rPr>
        <w:t>48</w:t>
      </w:r>
      <w:r>
        <w:rPr>
          <w:rFonts w:hint="eastAsia" w:ascii="宋体" w:hAnsi="宋体"/>
          <w:color w:val="auto"/>
          <w:sz w:val="24"/>
          <w:szCs w:val="18"/>
        </w:rPr>
        <w:t>小时内仍未整改的，监理工程师可在报经发包人批准后委托第三方采取措施。该款项经造价工程师核实后，由发包人从应付或将付给承包人的款项中扣除。</w:t>
      </w:r>
    </w:p>
    <w:p w14:paraId="0F7C2361">
      <w:pPr>
        <w:adjustRightInd w:val="0"/>
        <w:snapToGrid w:val="0"/>
        <w:spacing w:line="360" w:lineRule="auto"/>
        <w:rPr>
          <w:rFonts w:ascii="宋体"/>
          <w:color w:val="auto"/>
          <w:sz w:val="24"/>
          <w:szCs w:val="18"/>
        </w:rPr>
      </w:pPr>
      <w:r>
        <w:rPr>
          <w:rFonts w:ascii="宋体" w:hAnsi="宋体"/>
          <w:b/>
          <w:color w:val="auto"/>
          <w:sz w:val="24"/>
          <w:szCs w:val="18"/>
        </w:rPr>
        <w:t>45.5</w:t>
      </w:r>
    </w:p>
    <w:p w14:paraId="0F3169F0">
      <w:pPr>
        <w:adjustRightInd w:val="0"/>
        <w:snapToGrid w:val="0"/>
        <w:spacing w:line="360" w:lineRule="auto"/>
        <w:ind w:left="1619" w:leftChars="771"/>
        <w:rPr>
          <w:rFonts w:ascii="宋体"/>
          <w:color w:val="auto"/>
          <w:sz w:val="24"/>
          <w:szCs w:val="18"/>
        </w:rPr>
      </w:pPr>
      <w:r>
        <w:rPr>
          <w:color w:val="auto"/>
        </w:rPr>
        <mc:AlternateContent>
          <mc:Choice Requires="wps">
            <w:drawing>
              <wp:anchor distT="0" distB="0" distL="114300" distR="114300" simplePos="0" relativeHeight="251836416" behindDoc="0" locked="0" layoutInCell="1" allowOverlap="1">
                <wp:simplePos x="0" y="0"/>
                <wp:positionH relativeFrom="column">
                  <wp:posOffset>-83820</wp:posOffset>
                </wp:positionH>
                <wp:positionV relativeFrom="paragraph">
                  <wp:posOffset>11430</wp:posOffset>
                </wp:positionV>
                <wp:extent cx="800100" cy="720090"/>
                <wp:effectExtent l="0" t="0" r="0" b="0"/>
                <wp:wrapNone/>
                <wp:docPr id="174" name="文本框 174"/>
                <wp:cNvGraphicFramePr/>
                <a:graphic xmlns:a="http://schemas.openxmlformats.org/drawingml/2006/main">
                  <a:graphicData uri="http://schemas.microsoft.com/office/word/2010/wordprocessingShape">
                    <wps:wsp>
                      <wps:cNvSpPr txBox="1"/>
                      <wps:spPr>
                        <a:xfrm>
                          <a:off x="0" y="0"/>
                          <a:ext cx="800100" cy="720090"/>
                        </a:xfrm>
                        <a:prstGeom prst="rect">
                          <a:avLst/>
                        </a:prstGeom>
                        <a:noFill/>
                        <a:ln>
                          <a:noFill/>
                        </a:ln>
                        <a:effectLst/>
                      </wps:spPr>
                      <wps:txbx>
                        <w:txbxContent>
                          <w:p w14:paraId="07342AFC">
                            <w:pPr>
                              <w:rPr>
                                <w:rFonts w:ascii="楷体_GB2312" w:hAnsi="宋体" w:eastAsia="楷体_GB2312"/>
                                <w:b/>
                                <w:color w:val="000000"/>
                                <w:sz w:val="18"/>
                                <w:szCs w:val="18"/>
                              </w:rPr>
                            </w:pPr>
                            <w:r>
                              <w:rPr>
                                <w:rFonts w:hint="eastAsia" w:ascii="楷体_GB2312" w:hAnsi="宋体" w:eastAsia="楷体_GB2312"/>
                                <w:b/>
                                <w:color w:val="000000"/>
                                <w:sz w:val="18"/>
                                <w:szCs w:val="18"/>
                              </w:rPr>
                              <w:t>治安管理</w:t>
                            </w:r>
                          </w:p>
                        </w:txbxContent>
                      </wps:txbx>
                      <wps:bodyPr upright="1"/>
                    </wps:wsp>
                  </a:graphicData>
                </a:graphic>
              </wp:anchor>
            </w:drawing>
          </mc:Choice>
          <mc:Fallback>
            <w:pict>
              <v:shape id="_x0000_s1026" o:spid="_x0000_s1026" o:spt="202" type="#_x0000_t202" style="position:absolute;left:0pt;margin-left:-6.6pt;margin-top:0.9pt;height:56.7pt;width:63pt;z-index:251836416;mso-width-relative:page;mso-height-relative:page;" filled="f" stroked="f" coordsize="21600,21600" o:gfxdata="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YEY0dQA&#10;AAAJAQAADwAAAAAAAAABACAAAAAiAAAAZHJzL2Rvd25yZXYueG1sUEsBAhQAFAAAAAgAh07iQFQ7&#10;5mSxAQAAXwMAAA4AAAAAAAAAAQAgAAAAIwEAAGRycy9lMm9Eb2MueG1sUEsFBgAAAAAGAAYAWQEA&#10;AEYFAAAAAA==&#10;">
                <v:fill on="f" focussize="0,0"/>
                <v:stroke on="f"/>
                <v:imagedata o:title=""/>
                <o:lock v:ext="edit" aspectratio="f"/>
                <v:textbox>
                  <w:txbxContent>
                    <w:p w14:paraId="07342AFC">
                      <w:pPr>
                        <w:rPr>
                          <w:rFonts w:ascii="楷体_GB2312" w:hAnsi="宋体" w:eastAsia="楷体_GB2312"/>
                          <w:b/>
                          <w:color w:val="000000"/>
                          <w:sz w:val="18"/>
                          <w:szCs w:val="18"/>
                        </w:rPr>
                      </w:pPr>
                      <w:r>
                        <w:rPr>
                          <w:rFonts w:hint="eastAsia" w:ascii="楷体_GB2312" w:hAnsi="宋体" w:eastAsia="楷体_GB2312"/>
                          <w:b/>
                          <w:color w:val="000000"/>
                          <w:sz w:val="18"/>
                          <w:szCs w:val="18"/>
                        </w:rPr>
                        <w:t>治安管理</w:t>
                      </w:r>
                    </w:p>
                  </w:txbxContent>
                </v:textbox>
              </v:shape>
            </w:pict>
          </mc:Fallback>
        </mc:AlternateContent>
      </w:r>
      <w:r>
        <w:rPr>
          <w:rFonts w:hint="eastAsia" w:ascii="宋体" w:hAnsi="宋体"/>
          <w:color w:val="auto"/>
          <w:sz w:val="24"/>
          <w:szCs w:val="18"/>
        </w:rPr>
        <w:t>合同双方当事人不仅应协助现场治安管理机构或联防组织维护施工场地的社会治安，而且应做好包括有关人员现场生活、居住场所在内的施工场地内的治安保卫工作。</w:t>
      </w:r>
    </w:p>
    <w:p w14:paraId="42CDD92F">
      <w:pPr>
        <w:adjustRightInd w:val="0"/>
        <w:snapToGrid w:val="0"/>
        <w:spacing w:line="360" w:lineRule="auto"/>
        <w:ind w:left="1575" w:leftChars="750"/>
        <w:rPr>
          <w:rFonts w:ascii="宋体"/>
          <w:color w:val="auto"/>
          <w:sz w:val="24"/>
          <w:szCs w:val="18"/>
        </w:rPr>
      </w:pPr>
      <w:r>
        <w:rPr>
          <w:rFonts w:hint="eastAsia" w:ascii="宋体" w:hAnsi="宋体"/>
          <w:color w:val="auto"/>
          <w:sz w:val="24"/>
          <w:szCs w:val="18"/>
        </w:rPr>
        <w:t>除专用条款另有约定外，合同双方当事人应在工程开工后，共同编制施工场地治安管理计划，并制定应对突发治安事件的紧急预案。在施工过程中，发生暴乱、爆炸等恐怖事件，以及群殴、械斗等群体性突发治安事件的，应立即向当地政府有关部门报告，积极协助当地政府有关部门采取措施平息事件，防止事态扩大，尽量减少财产损失和避免人员伤亡。</w:t>
      </w:r>
    </w:p>
    <w:p w14:paraId="77724B90">
      <w:pPr>
        <w:adjustRightInd w:val="0"/>
        <w:snapToGrid w:val="0"/>
        <w:spacing w:line="360" w:lineRule="auto"/>
        <w:rPr>
          <w:rFonts w:ascii="宋体"/>
          <w:b/>
          <w:color w:val="auto"/>
          <w:sz w:val="24"/>
          <w:szCs w:val="18"/>
        </w:rPr>
      </w:pPr>
      <w:r>
        <w:rPr>
          <w:rFonts w:ascii="宋体" w:hAnsi="宋体"/>
          <w:b/>
          <w:color w:val="auto"/>
          <w:sz w:val="24"/>
          <w:szCs w:val="18"/>
        </w:rPr>
        <w:t xml:space="preserve">45.6  </w:t>
      </w:r>
    </w:p>
    <w:p w14:paraId="152AA21D">
      <w:pPr>
        <w:adjustRightInd w:val="0"/>
        <w:snapToGrid w:val="0"/>
        <w:spacing w:line="360" w:lineRule="auto"/>
        <w:ind w:left="1619" w:leftChars="771"/>
        <w:rPr>
          <w:rFonts w:ascii="宋体"/>
          <w:color w:val="auto"/>
          <w:sz w:val="24"/>
          <w:szCs w:val="18"/>
        </w:rPr>
      </w:pPr>
      <w:r>
        <w:rPr>
          <w:color w:val="auto"/>
        </w:rPr>
        <mc:AlternateContent>
          <mc:Choice Requires="wps">
            <w:drawing>
              <wp:anchor distT="0" distB="0" distL="114300" distR="114300" simplePos="0" relativeHeight="251837440" behindDoc="0" locked="0" layoutInCell="1" allowOverlap="1">
                <wp:simplePos x="0" y="0"/>
                <wp:positionH relativeFrom="column">
                  <wp:posOffset>-73660</wp:posOffset>
                </wp:positionH>
                <wp:positionV relativeFrom="paragraph">
                  <wp:posOffset>15875</wp:posOffset>
                </wp:positionV>
                <wp:extent cx="873760" cy="398780"/>
                <wp:effectExtent l="0" t="0" r="0" b="0"/>
                <wp:wrapNone/>
                <wp:docPr id="175" name="文本框 175"/>
                <wp:cNvGraphicFramePr/>
                <a:graphic xmlns:a="http://schemas.openxmlformats.org/drawingml/2006/main">
                  <a:graphicData uri="http://schemas.microsoft.com/office/word/2010/wordprocessingShape">
                    <wps:wsp>
                      <wps:cNvSpPr txBox="1"/>
                      <wps:spPr>
                        <a:xfrm>
                          <a:off x="0" y="0"/>
                          <a:ext cx="873760" cy="398780"/>
                        </a:xfrm>
                        <a:prstGeom prst="rect">
                          <a:avLst/>
                        </a:prstGeom>
                        <a:noFill/>
                        <a:ln>
                          <a:noFill/>
                        </a:ln>
                        <a:effectLst/>
                      </wps:spPr>
                      <wps:txbx>
                        <w:txbxContent>
                          <w:p w14:paraId="66C4A6C7">
                            <w:pPr>
                              <w:rPr>
                                <w:rFonts w:ascii="楷体_GB2312" w:hAnsi="宋体" w:eastAsia="楷体_GB2312"/>
                                <w:b/>
                                <w:color w:val="000000"/>
                                <w:sz w:val="18"/>
                                <w:szCs w:val="18"/>
                              </w:rPr>
                            </w:pPr>
                            <w:r>
                              <w:rPr>
                                <w:rFonts w:hint="eastAsia" w:ascii="楷体_GB2312" w:hAnsi="宋体" w:eastAsia="楷体_GB2312"/>
                                <w:b/>
                                <w:color w:val="000000"/>
                                <w:sz w:val="18"/>
                                <w:szCs w:val="18"/>
                              </w:rPr>
                              <w:t>施工场地的环保、卫生要求</w:t>
                            </w:r>
                          </w:p>
                        </w:txbxContent>
                      </wps:txbx>
                      <wps:bodyPr upright="1"/>
                    </wps:wsp>
                  </a:graphicData>
                </a:graphic>
              </wp:anchor>
            </w:drawing>
          </mc:Choice>
          <mc:Fallback>
            <w:pict>
              <v:shape id="_x0000_s1026" o:spid="_x0000_s1026" o:spt="202" type="#_x0000_t202" style="position:absolute;left:0pt;margin-left:-5.8pt;margin-top:1.25pt;height:31.4pt;width:68.8pt;z-index:251837440;mso-width-relative:page;mso-height-relative:page;" filled="f" stroked="f" coordsize="21600,21600" o:gfxdata="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VSKD&#10;gdUAAAAIAQAADwAAAAAAAAABACAAAAAiAAAAZHJzL2Rvd25yZXYueG1sUEsBAhQAFAAAAAgAh07i&#10;QFTxh56zAQAAXwMAAA4AAAAAAAAAAQAgAAAAJAEAAGRycy9lMm9Eb2MueG1sUEsFBgAAAAAGAAYA&#10;WQEAAEkFAAAAAA==&#10;">
                <v:fill on="f" focussize="0,0"/>
                <v:stroke on="f"/>
                <v:imagedata o:title=""/>
                <o:lock v:ext="edit" aspectratio="f"/>
                <v:textbox>
                  <w:txbxContent>
                    <w:p w14:paraId="66C4A6C7">
                      <w:pPr>
                        <w:rPr>
                          <w:rFonts w:ascii="楷体_GB2312" w:hAnsi="宋体" w:eastAsia="楷体_GB2312"/>
                          <w:b/>
                          <w:color w:val="000000"/>
                          <w:sz w:val="18"/>
                          <w:szCs w:val="18"/>
                        </w:rPr>
                      </w:pPr>
                      <w:r>
                        <w:rPr>
                          <w:rFonts w:hint="eastAsia" w:ascii="楷体_GB2312" w:hAnsi="宋体" w:eastAsia="楷体_GB2312"/>
                          <w:b/>
                          <w:color w:val="000000"/>
                          <w:sz w:val="18"/>
                          <w:szCs w:val="18"/>
                        </w:rPr>
                        <w:t>施工场地的环保、卫生要求</w:t>
                      </w:r>
                    </w:p>
                  </w:txbxContent>
                </v:textbox>
              </v:shape>
            </w:pict>
          </mc:Fallback>
        </mc:AlternateContent>
      </w:r>
      <w:r>
        <w:rPr>
          <w:rFonts w:hint="eastAsia" w:ascii="宋体" w:hAnsi="宋体"/>
          <w:color w:val="auto"/>
          <w:sz w:val="24"/>
          <w:szCs w:val="18"/>
        </w:rPr>
        <w:t>承包人应遵守国家有关环境保护、卫生监督的法律，按照合同约定采取有效措施，保证施工场地达到环境保护、卫生部门的管理要求，为现场所有人员提供并维护干净卫生的生活设施，并在颁发合同工程接收证书后的</w:t>
      </w:r>
      <w:r>
        <w:rPr>
          <w:rFonts w:ascii="宋体" w:hAnsi="宋体"/>
          <w:color w:val="auto"/>
          <w:sz w:val="24"/>
          <w:szCs w:val="18"/>
        </w:rPr>
        <w:t>28</w:t>
      </w:r>
      <w:r>
        <w:rPr>
          <w:rFonts w:hint="eastAsia" w:ascii="宋体" w:hAnsi="宋体"/>
          <w:color w:val="auto"/>
          <w:sz w:val="24"/>
          <w:szCs w:val="18"/>
        </w:rPr>
        <w:t>天内，清理现场，运走全部施工设备、剩余材料和垃圾，保持施工场地和合同工程的清洁整齐。否则，发包人可自行处理或委托第三方处理留下的物品，所得金额在扣除由此发生的费用之后，将余额退还给承包人。</w:t>
      </w:r>
    </w:p>
    <w:p w14:paraId="00C419EF">
      <w:pPr>
        <w:adjustRightInd w:val="0"/>
        <w:snapToGrid w:val="0"/>
        <w:spacing w:line="360" w:lineRule="auto"/>
        <w:rPr>
          <w:rFonts w:ascii="宋体"/>
          <w:b/>
          <w:color w:val="auto"/>
          <w:sz w:val="24"/>
          <w:szCs w:val="18"/>
        </w:rPr>
      </w:pPr>
    </w:p>
    <w:p w14:paraId="41D83089">
      <w:pPr>
        <w:pStyle w:val="2"/>
        <w:tabs>
          <w:tab w:val="left" w:pos="540"/>
        </w:tabs>
        <w:adjustRightInd w:val="0"/>
        <w:snapToGrid w:val="0"/>
        <w:spacing w:before="240" w:beforeLines="100" w:line="360" w:lineRule="auto"/>
        <w:ind w:right="-238"/>
        <w:rPr>
          <w:rFonts w:hAnsi="宋体"/>
          <w:b/>
          <w:color w:val="auto"/>
          <w:sz w:val="30"/>
          <w:szCs w:val="24"/>
        </w:rPr>
      </w:pPr>
      <w:r>
        <w:rPr>
          <w:rFonts w:hAnsi="宋体"/>
          <w:b/>
          <w:color w:val="auto"/>
          <w:sz w:val="30"/>
          <w:szCs w:val="24"/>
        </w:rPr>
        <w:t xml:space="preserve">46  </w:t>
      </w:r>
      <w:r>
        <w:rPr>
          <w:rFonts w:hint="eastAsia" w:hAnsi="宋体"/>
          <w:b/>
          <w:color w:val="auto"/>
          <w:sz w:val="30"/>
          <w:szCs w:val="24"/>
        </w:rPr>
        <w:t>测量放线</w:t>
      </w:r>
    </w:p>
    <w:p w14:paraId="07D41342">
      <w:pPr>
        <w:pStyle w:val="3"/>
        <w:tabs>
          <w:tab w:val="left" w:pos="1202"/>
        </w:tabs>
        <w:adjustRightInd w:val="0"/>
        <w:snapToGrid w:val="0"/>
        <w:spacing w:line="360" w:lineRule="auto"/>
        <w:ind w:firstLine="0"/>
        <w:rPr>
          <w:rFonts w:ascii="宋体"/>
          <w:b/>
          <w:color w:val="auto"/>
          <w:sz w:val="24"/>
          <w:szCs w:val="18"/>
        </w:rPr>
      </w:pPr>
      <w:r>
        <w:rPr>
          <w:color w:val="auto"/>
        </w:rPr>
        <mc:AlternateContent>
          <mc:Choice Requires="wps">
            <w:drawing>
              <wp:anchor distT="0" distB="0" distL="114300" distR="114300" simplePos="0" relativeHeight="251838464" behindDoc="0" locked="0" layoutInCell="1" allowOverlap="1">
                <wp:simplePos x="0" y="0"/>
                <wp:positionH relativeFrom="column">
                  <wp:posOffset>-114300</wp:posOffset>
                </wp:positionH>
                <wp:positionV relativeFrom="paragraph">
                  <wp:posOffset>286385</wp:posOffset>
                </wp:positionV>
                <wp:extent cx="685800" cy="372745"/>
                <wp:effectExtent l="0" t="0" r="0" b="0"/>
                <wp:wrapNone/>
                <wp:docPr id="176" name="文本框 176"/>
                <wp:cNvGraphicFramePr/>
                <a:graphic xmlns:a="http://schemas.openxmlformats.org/drawingml/2006/main">
                  <a:graphicData uri="http://schemas.microsoft.com/office/word/2010/wordprocessingShape">
                    <wps:wsp>
                      <wps:cNvSpPr txBox="1"/>
                      <wps:spPr>
                        <a:xfrm>
                          <a:off x="0" y="0"/>
                          <a:ext cx="685800" cy="372745"/>
                        </a:xfrm>
                        <a:prstGeom prst="rect">
                          <a:avLst/>
                        </a:prstGeom>
                        <a:noFill/>
                        <a:ln>
                          <a:noFill/>
                        </a:ln>
                        <a:effectLst/>
                      </wps:spPr>
                      <wps:txbx>
                        <w:txbxContent>
                          <w:p w14:paraId="7A19FF33">
                            <w:pPr>
                              <w:rPr>
                                <w:rFonts w:ascii="楷体_GB2312" w:hAnsi="宋体" w:eastAsia="楷体_GB2312"/>
                                <w:b/>
                                <w:color w:val="000000"/>
                                <w:sz w:val="18"/>
                                <w:szCs w:val="18"/>
                              </w:rPr>
                            </w:pPr>
                            <w:r>
                              <w:rPr>
                                <w:rFonts w:hint="eastAsia" w:ascii="楷体_GB2312" w:hAnsi="宋体" w:eastAsia="楷体_GB2312"/>
                                <w:b/>
                                <w:color w:val="000000"/>
                                <w:sz w:val="18"/>
                                <w:szCs w:val="18"/>
                              </w:rPr>
                              <w:t>测设施工</w:t>
                            </w:r>
                          </w:p>
                          <w:p w14:paraId="1B2E8CD4">
                            <w:pPr>
                              <w:rPr>
                                <w:rFonts w:ascii="宋体"/>
                                <w:sz w:val="18"/>
                                <w:szCs w:val="18"/>
                              </w:rPr>
                            </w:pPr>
                            <w:r>
                              <w:rPr>
                                <w:rFonts w:hint="eastAsia" w:ascii="楷体_GB2312" w:hAnsi="宋体" w:eastAsia="楷体_GB2312"/>
                                <w:b/>
                                <w:color w:val="000000"/>
                                <w:sz w:val="18"/>
                                <w:szCs w:val="18"/>
                              </w:rPr>
                              <w:t>控制网</w:t>
                            </w:r>
                          </w:p>
                        </w:txbxContent>
                      </wps:txbx>
                      <wps:bodyPr upright="1"/>
                    </wps:wsp>
                  </a:graphicData>
                </a:graphic>
              </wp:anchor>
            </w:drawing>
          </mc:Choice>
          <mc:Fallback>
            <w:pict>
              <v:shape id="_x0000_s1026" o:spid="_x0000_s1026" o:spt="202" type="#_x0000_t202" style="position:absolute;left:0pt;margin-left:-9pt;margin-top:22.55pt;height:29.35pt;width:54pt;z-index:251838464;mso-width-relative:page;mso-height-relative:page;" filled="f" stroked="f" coordsize="21600,21600" o:gfxdata="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jE5xq&#10;1QAAAAkBAAAPAAAAAAAAAAEAIAAAACIAAABkcnMvZG93bnJldi54bWxQSwECFAAUAAAACACHTuJA&#10;gRCovrIBAABfAwAADgAAAAAAAAABACAAAAAkAQAAZHJzL2Uyb0RvYy54bWxQSwUGAAAAAAYABgBZ&#10;AQAASAUAAAAA&#10;">
                <v:fill on="f" focussize="0,0"/>
                <v:stroke on="f"/>
                <v:imagedata o:title=""/>
                <o:lock v:ext="edit" aspectratio="f"/>
                <v:textbox>
                  <w:txbxContent>
                    <w:p w14:paraId="7A19FF33">
                      <w:pPr>
                        <w:rPr>
                          <w:rFonts w:ascii="楷体_GB2312" w:hAnsi="宋体" w:eastAsia="楷体_GB2312"/>
                          <w:b/>
                          <w:color w:val="000000"/>
                          <w:sz w:val="18"/>
                          <w:szCs w:val="18"/>
                        </w:rPr>
                      </w:pPr>
                      <w:r>
                        <w:rPr>
                          <w:rFonts w:hint="eastAsia" w:ascii="楷体_GB2312" w:hAnsi="宋体" w:eastAsia="楷体_GB2312"/>
                          <w:b/>
                          <w:color w:val="000000"/>
                          <w:sz w:val="18"/>
                          <w:szCs w:val="18"/>
                        </w:rPr>
                        <w:t>测设施工</w:t>
                      </w:r>
                    </w:p>
                    <w:p w14:paraId="1B2E8CD4">
                      <w:pPr>
                        <w:rPr>
                          <w:rFonts w:ascii="宋体"/>
                          <w:sz w:val="18"/>
                          <w:szCs w:val="18"/>
                        </w:rPr>
                      </w:pPr>
                      <w:r>
                        <w:rPr>
                          <w:rFonts w:hint="eastAsia" w:ascii="楷体_GB2312" w:hAnsi="宋体" w:eastAsia="楷体_GB2312"/>
                          <w:b/>
                          <w:color w:val="000000"/>
                          <w:sz w:val="18"/>
                          <w:szCs w:val="18"/>
                        </w:rPr>
                        <w:t>控制网</w:t>
                      </w:r>
                    </w:p>
                  </w:txbxContent>
                </v:textbox>
              </v:shape>
            </w:pict>
          </mc:Fallback>
        </mc:AlternateContent>
      </w:r>
      <w:r>
        <w:rPr>
          <w:rFonts w:ascii="宋体" w:hAnsi="宋体"/>
          <w:b/>
          <w:color w:val="auto"/>
          <w:sz w:val="24"/>
          <w:szCs w:val="18"/>
        </w:rPr>
        <w:t>46.1</w:t>
      </w:r>
    </w:p>
    <w:p w14:paraId="7FE02461">
      <w:pPr>
        <w:adjustRightInd w:val="0"/>
        <w:snapToGrid w:val="0"/>
        <w:spacing w:line="360" w:lineRule="auto"/>
        <w:ind w:left="1619" w:leftChars="771"/>
        <w:rPr>
          <w:rFonts w:ascii="宋体"/>
          <w:color w:val="auto"/>
          <w:sz w:val="24"/>
          <w:szCs w:val="18"/>
        </w:rPr>
      </w:pPr>
      <w:r>
        <w:rPr>
          <w:rFonts w:hint="eastAsia" w:ascii="宋体" w:hAnsi="宋体"/>
          <w:color w:val="auto"/>
          <w:sz w:val="24"/>
          <w:szCs w:val="18"/>
        </w:rPr>
        <w:t>监理工程师应在发出开工令后的</w:t>
      </w:r>
      <w:r>
        <w:rPr>
          <w:rFonts w:ascii="宋体" w:hAnsi="宋体"/>
          <w:color w:val="auto"/>
          <w:sz w:val="24"/>
          <w:szCs w:val="18"/>
        </w:rPr>
        <w:t>7</w:t>
      </w:r>
      <w:r>
        <w:rPr>
          <w:rFonts w:hint="eastAsia" w:ascii="宋体" w:hAnsi="宋体"/>
          <w:color w:val="auto"/>
          <w:sz w:val="24"/>
          <w:szCs w:val="18"/>
        </w:rPr>
        <w:t>天内，向承包人提供原始基准点、基准线、基准高程等书面资料。承包人应根据国家测绘基准、测绘系统和工程测量技术规范，按照上述资料以及合同工程精度要求，测绘施工控制网，并在专用条款约定的期限内，将施工控制网资料提交监理工程师确认。</w:t>
      </w:r>
    </w:p>
    <w:p w14:paraId="3E95F520">
      <w:pPr>
        <w:adjustRightInd w:val="0"/>
        <w:snapToGrid w:val="0"/>
        <w:spacing w:line="360" w:lineRule="auto"/>
        <w:rPr>
          <w:rFonts w:ascii="宋体"/>
          <w:color w:val="auto"/>
          <w:sz w:val="24"/>
          <w:szCs w:val="18"/>
        </w:rPr>
      </w:pPr>
      <w:r>
        <w:rPr>
          <w:color w:val="auto"/>
        </w:rPr>
        <mc:AlternateContent>
          <mc:Choice Requires="wps">
            <w:drawing>
              <wp:anchor distT="0" distB="0" distL="114300" distR="114300" simplePos="0" relativeHeight="251839488" behindDoc="0" locked="0" layoutInCell="1" allowOverlap="1">
                <wp:simplePos x="0" y="0"/>
                <wp:positionH relativeFrom="column">
                  <wp:posOffset>-114300</wp:posOffset>
                </wp:positionH>
                <wp:positionV relativeFrom="paragraph">
                  <wp:posOffset>290195</wp:posOffset>
                </wp:positionV>
                <wp:extent cx="914400" cy="799465"/>
                <wp:effectExtent l="0" t="0" r="0" b="0"/>
                <wp:wrapNone/>
                <wp:docPr id="177" name="文本框 177"/>
                <wp:cNvGraphicFramePr/>
                <a:graphic xmlns:a="http://schemas.openxmlformats.org/drawingml/2006/main">
                  <a:graphicData uri="http://schemas.microsoft.com/office/word/2010/wordprocessingShape">
                    <wps:wsp>
                      <wps:cNvSpPr txBox="1"/>
                      <wps:spPr>
                        <a:xfrm>
                          <a:off x="0" y="0"/>
                          <a:ext cx="914400" cy="799465"/>
                        </a:xfrm>
                        <a:prstGeom prst="rect">
                          <a:avLst/>
                        </a:prstGeom>
                        <a:noFill/>
                        <a:ln>
                          <a:noFill/>
                        </a:ln>
                        <a:effectLst/>
                      </wps:spPr>
                      <wps:txbx>
                        <w:txbxContent>
                          <w:p w14:paraId="21C4DFE5">
                            <w:pPr>
                              <w:jc w:val="left"/>
                              <w:rPr>
                                <w:rFonts w:ascii="楷体_GB2312" w:hAnsi="宋体" w:eastAsia="楷体_GB2312"/>
                                <w:b/>
                                <w:color w:val="000000"/>
                                <w:sz w:val="18"/>
                                <w:szCs w:val="18"/>
                              </w:rPr>
                            </w:pPr>
                            <w:r>
                              <w:rPr>
                                <w:rFonts w:hint="eastAsia" w:ascii="楷体_GB2312" w:hAnsi="宋体" w:eastAsia="楷体_GB2312"/>
                                <w:b/>
                                <w:color w:val="000000"/>
                                <w:sz w:val="18"/>
                                <w:szCs w:val="18"/>
                              </w:rPr>
                              <w:t>施工控制网（点）管理与使用</w:t>
                            </w:r>
                          </w:p>
                        </w:txbxContent>
                      </wps:txbx>
                      <wps:bodyPr upright="1"/>
                    </wps:wsp>
                  </a:graphicData>
                </a:graphic>
              </wp:anchor>
            </w:drawing>
          </mc:Choice>
          <mc:Fallback>
            <w:pict>
              <v:shape id="_x0000_s1026" o:spid="_x0000_s1026" o:spt="202" type="#_x0000_t202" style="position:absolute;left:0pt;margin-left:-9pt;margin-top:22.85pt;height:62.95pt;width:72pt;z-index:251839488;mso-width-relative:page;mso-height-relative:page;" filled="f" stroked="f" coordsize="21600,21600" o:gfxdata="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n&#10;XO6V2AAAAAoBAAAPAAAAAAAAAAEAIAAAACIAAABkcnMvZG93bnJldi54bWxQSwECFAAUAAAACACH&#10;TuJAm5vGuLIBAABfAwAADgAAAAAAAAABACAAAAAnAQAAZHJzL2Uyb0RvYy54bWxQSwUGAAAAAAYA&#10;BgBZAQAASwUAAAAA&#10;">
                <v:fill on="f" focussize="0,0"/>
                <v:stroke on="f"/>
                <v:imagedata o:title=""/>
                <o:lock v:ext="edit" aspectratio="f"/>
                <v:textbox>
                  <w:txbxContent>
                    <w:p w14:paraId="21C4DFE5">
                      <w:pPr>
                        <w:jc w:val="left"/>
                        <w:rPr>
                          <w:rFonts w:ascii="楷体_GB2312" w:hAnsi="宋体" w:eastAsia="楷体_GB2312"/>
                          <w:b/>
                          <w:color w:val="000000"/>
                          <w:sz w:val="18"/>
                          <w:szCs w:val="18"/>
                        </w:rPr>
                      </w:pPr>
                      <w:r>
                        <w:rPr>
                          <w:rFonts w:hint="eastAsia" w:ascii="楷体_GB2312" w:hAnsi="宋体" w:eastAsia="楷体_GB2312"/>
                          <w:b/>
                          <w:color w:val="000000"/>
                          <w:sz w:val="18"/>
                          <w:szCs w:val="18"/>
                        </w:rPr>
                        <w:t>施工控制网（点）管理与使用</w:t>
                      </w:r>
                    </w:p>
                  </w:txbxContent>
                </v:textbox>
              </v:shape>
            </w:pict>
          </mc:Fallback>
        </mc:AlternateContent>
      </w:r>
      <w:r>
        <w:rPr>
          <w:rFonts w:ascii="宋体" w:hAnsi="宋体"/>
          <w:b/>
          <w:color w:val="auto"/>
          <w:sz w:val="24"/>
          <w:szCs w:val="18"/>
        </w:rPr>
        <w:t xml:space="preserve">46.2  </w:t>
      </w:r>
    </w:p>
    <w:p w14:paraId="56F155BD">
      <w:pPr>
        <w:adjustRightInd w:val="0"/>
        <w:snapToGrid w:val="0"/>
        <w:spacing w:line="360" w:lineRule="auto"/>
        <w:ind w:left="1619" w:leftChars="771"/>
        <w:rPr>
          <w:rFonts w:ascii="宋体"/>
          <w:color w:val="auto"/>
          <w:sz w:val="24"/>
          <w:szCs w:val="18"/>
        </w:rPr>
      </w:pPr>
      <w:r>
        <w:rPr>
          <w:rFonts w:hint="eastAsia" w:ascii="宋体" w:hAnsi="宋体"/>
          <w:color w:val="auto"/>
          <w:sz w:val="24"/>
          <w:szCs w:val="18"/>
        </w:rPr>
        <w:t>承包人应负责施工控制网点的管理。施工控制网点丢失或损坏的，承包人应及时修复。承包人应承担施工控制网点的管理与修复费用，并在工程竣工后将施工控制网点移交发包人。</w:t>
      </w:r>
    </w:p>
    <w:p w14:paraId="3164B152">
      <w:pPr>
        <w:adjustRightInd w:val="0"/>
        <w:snapToGrid w:val="0"/>
        <w:spacing w:line="360" w:lineRule="auto"/>
        <w:ind w:left="1619" w:leftChars="771"/>
        <w:rPr>
          <w:rFonts w:ascii="宋体"/>
          <w:color w:val="auto"/>
          <w:sz w:val="24"/>
          <w:szCs w:val="18"/>
        </w:rPr>
      </w:pPr>
      <w:r>
        <w:rPr>
          <w:rFonts w:hint="eastAsia" w:ascii="宋体" w:hAnsi="宋体"/>
          <w:color w:val="auto"/>
          <w:sz w:val="24"/>
          <w:szCs w:val="18"/>
        </w:rPr>
        <w:t>监理工程师需要使用施工控制网的，承包人应提供必要的协助，发包人无需为此支付任何费用。</w:t>
      </w:r>
    </w:p>
    <w:p w14:paraId="6EB3FDB5">
      <w:pPr>
        <w:adjustRightInd w:val="0"/>
        <w:snapToGrid w:val="0"/>
        <w:spacing w:line="360" w:lineRule="auto"/>
        <w:rPr>
          <w:rFonts w:ascii="宋体"/>
          <w:color w:val="auto"/>
          <w:sz w:val="24"/>
          <w:szCs w:val="18"/>
        </w:rPr>
      </w:pPr>
      <w:r>
        <w:rPr>
          <w:rFonts w:ascii="宋体" w:hAnsi="宋体"/>
          <w:b/>
          <w:color w:val="auto"/>
          <w:sz w:val="24"/>
          <w:szCs w:val="18"/>
        </w:rPr>
        <w:t xml:space="preserve">46.3  </w:t>
      </w:r>
    </w:p>
    <w:p w14:paraId="1B1BB64A">
      <w:pPr>
        <w:adjustRightInd w:val="0"/>
        <w:snapToGrid w:val="0"/>
        <w:spacing w:line="360" w:lineRule="auto"/>
        <w:ind w:left="1619" w:leftChars="771"/>
        <w:rPr>
          <w:rFonts w:ascii="宋体"/>
          <w:color w:val="auto"/>
          <w:sz w:val="24"/>
          <w:szCs w:val="18"/>
        </w:rPr>
      </w:pPr>
      <w:r>
        <w:rPr>
          <w:color w:val="auto"/>
        </w:rPr>
        <mc:AlternateContent>
          <mc:Choice Requires="wps">
            <w:drawing>
              <wp:anchor distT="0" distB="0" distL="114300" distR="114300" simplePos="0" relativeHeight="251840512" behindDoc="0" locked="0" layoutInCell="1" allowOverlap="1">
                <wp:simplePos x="0" y="0"/>
                <wp:positionH relativeFrom="column">
                  <wp:posOffset>-114300</wp:posOffset>
                </wp:positionH>
                <wp:positionV relativeFrom="paragraph">
                  <wp:posOffset>-6350</wp:posOffset>
                </wp:positionV>
                <wp:extent cx="914400" cy="541020"/>
                <wp:effectExtent l="0" t="0" r="0" b="0"/>
                <wp:wrapNone/>
                <wp:docPr id="178" name="文本框 178"/>
                <wp:cNvGraphicFramePr/>
                <a:graphic xmlns:a="http://schemas.openxmlformats.org/drawingml/2006/main">
                  <a:graphicData uri="http://schemas.microsoft.com/office/word/2010/wordprocessingShape">
                    <wps:wsp>
                      <wps:cNvSpPr txBox="1"/>
                      <wps:spPr>
                        <a:xfrm>
                          <a:off x="0" y="0"/>
                          <a:ext cx="914400" cy="541020"/>
                        </a:xfrm>
                        <a:prstGeom prst="rect">
                          <a:avLst/>
                        </a:prstGeom>
                        <a:noFill/>
                        <a:ln>
                          <a:noFill/>
                        </a:ln>
                        <a:effectLst/>
                      </wps:spPr>
                      <wps:txbx>
                        <w:txbxContent>
                          <w:p w14:paraId="7E68799D">
                            <w:pPr>
                              <w:spacing w:line="200" w:lineRule="exact"/>
                              <w:rPr>
                                <w:sz w:val="18"/>
                                <w:szCs w:val="18"/>
                              </w:rPr>
                            </w:pPr>
                            <w:r>
                              <w:rPr>
                                <w:rFonts w:hint="eastAsia" w:ascii="楷体_GB2312" w:hAnsi="宋体" w:eastAsia="楷体_GB2312"/>
                                <w:b/>
                                <w:color w:val="000000"/>
                                <w:sz w:val="18"/>
                                <w:szCs w:val="18"/>
                              </w:rPr>
                              <w:t>承包人测量放线的责任</w:t>
                            </w:r>
                          </w:p>
                        </w:txbxContent>
                      </wps:txbx>
                      <wps:bodyPr upright="1"/>
                    </wps:wsp>
                  </a:graphicData>
                </a:graphic>
              </wp:anchor>
            </w:drawing>
          </mc:Choice>
          <mc:Fallback>
            <w:pict>
              <v:shape id="_x0000_s1026" o:spid="_x0000_s1026" o:spt="202" type="#_x0000_t202" style="position:absolute;left:0pt;margin-left:-9pt;margin-top:-0.5pt;height:42.6pt;width:72pt;z-index:251840512;mso-width-relative:page;mso-height-relative:page;" filled="f" stroked="f" coordsize="21600,21600" o:gfxdata="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3iyw&#10;vNUAAAAJAQAADwAAAAAAAAABACAAAAAiAAAAZHJzL2Rvd25yZXYueG1sUEsBAhQAFAAAAAgAh07i&#10;QLCSmuWzAQAAXwMAAA4AAAAAAAAAAQAgAAAAJAEAAGRycy9lMm9Eb2MueG1sUEsFBgAAAAAGAAYA&#10;WQEAAEkFAAAAAA==&#10;">
                <v:fill on="f" focussize="0,0"/>
                <v:stroke on="f"/>
                <v:imagedata o:title=""/>
                <o:lock v:ext="edit" aspectratio="f"/>
                <v:textbox>
                  <w:txbxContent>
                    <w:p w14:paraId="7E68799D">
                      <w:pPr>
                        <w:spacing w:line="200" w:lineRule="exact"/>
                        <w:rPr>
                          <w:sz w:val="18"/>
                          <w:szCs w:val="18"/>
                        </w:rPr>
                      </w:pPr>
                      <w:r>
                        <w:rPr>
                          <w:rFonts w:hint="eastAsia" w:ascii="楷体_GB2312" w:hAnsi="宋体" w:eastAsia="楷体_GB2312"/>
                          <w:b/>
                          <w:color w:val="000000"/>
                          <w:sz w:val="18"/>
                          <w:szCs w:val="18"/>
                        </w:rPr>
                        <w:t>承包人测量放线的责任</w:t>
                      </w:r>
                    </w:p>
                  </w:txbxContent>
                </v:textbox>
              </v:shape>
            </w:pict>
          </mc:Fallback>
        </mc:AlternateContent>
      </w:r>
      <w:r>
        <w:rPr>
          <w:rFonts w:hint="eastAsia" w:ascii="宋体" w:hAnsi="宋体"/>
          <w:color w:val="auto"/>
          <w:sz w:val="24"/>
          <w:szCs w:val="18"/>
        </w:rPr>
        <w:t>承包人应配置合格的人员、仪器、设备和其他物品，根据监理工程师书面确定的原始基准点、基准线、基准高程等资料，准确完成对合同工程的全部施工测量放线工作，并对工程各部分的位置、标高、尺寸或定线的正确性负责。</w:t>
      </w:r>
    </w:p>
    <w:p w14:paraId="35A46B5F">
      <w:pPr>
        <w:pStyle w:val="3"/>
        <w:tabs>
          <w:tab w:val="left" w:pos="720"/>
          <w:tab w:val="left" w:pos="1080"/>
        </w:tabs>
        <w:adjustRightInd w:val="0"/>
        <w:snapToGrid w:val="0"/>
        <w:spacing w:line="360" w:lineRule="auto"/>
        <w:ind w:firstLine="0"/>
        <w:rPr>
          <w:rFonts w:ascii="宋体"/>
          <w:b/>
          <w:color w:val="auto"/>
          <w:sz w:val="24"/>
          <w:szCs w:val="18"/>
        </w:rPr>
      </w:pPr>
      <w:r>
        <w:rPr>
          <w:rFonts w:ascii="宋体" w:hAnsi="宋体"/>
          <w:b/>
          <w:color w:val="auto"/>
          <w:sz w:val="24"/>
          <w:szCs w:val="18"/>
        </w:rPr>
        <w:t xml:space="preserve">46.4 </w:t>
      </w:r>
    </w:p>
    <w:p w14:paraId="1C7F7A33">
      <w:pPr>
        <w:adjustRightInd w:val="0"/>
        <w:snapToGrid w:val="0"/>
        <w:spacing w:line="360" w:lineRule="auto"/>
        <w:ind w:left="1619" w:leftChars="771"/>
        <w:rPr>
          <w:rFonts w:ascii="宋体"/>
          <w:color w:val="auto"/>
          <w:sz w:val="24"/>
          <w:szCs w:val="18"/>
        </w:rPr>
      </w:pPr>
      <w:r>
        <w:rPr>
          <w:color w:val="auto"/>
        </w:rPr>
        <mc:AlternateContent>
          <mc:Choice Requires="wps">
            <w:drawing>
              <wp:anchor distT="0" distB="0" distL="114300" distR="114300" simplePos="0" relativeHeight="251841536" behindDoc="0" locked="0" layoutInCell="1" allowOverlap="1">
                <wp:simplePos x="0" y="0"/>
                <wp:positionH relativeFrom="column">
                  <wp:posOffset>-66675</wp:posOffset>
                </wp:positionH>
                <wp:positionV relativeFrom="paragraph">
                  <wp:posOffset>8255</wp:posOffset>
                </wp:positionV>
                <wp:extent cx="914400" cy="375920"/>
                <wp:effectExtent l="0" t="0" r="0" b="0"/>
                <wp:wrapNone/>
                <wp:docPr id="179" name="文本框 179"/>
                <wp:cNvGraphicFramePr/>
                <a:graphic xmlns:a="http://schemas.openxmlformats.org/drawingml/2006/main">
                  <a:graphicData uri="http://schemas.microsoft.com/office/word/2010/wordprocessingShape">
                    <wps:wsp>
                      <wps:cNvSpPr txBox="1"/>
                      <wps:spPr>
                        <a:xfrm>
                          <a:off x="0" y="0"/>
                          <a:ext cx="914400" cy="375920"/>
                        </a:xfrm>
                        <a:prstGeom prst="rect">
                          <a:avLst/>
                        </a:prstGeom>
                        <a:noFill/>
                        <a:ln>
                          <a:noFill/>
                        </a:ln>
                        <a:effectLst/>
                      </wps:spPr>
                      <wps:txbx>
                        <w:txbxContent>
                          <w:p w14:paraId="6ED525C8">
                            <w:pPr>
                              <w:spacing w:line="200" w:lineRule="exact"/>
                              <w:rPr>
                                <w:rFonts w:ascii="楷体_GB2312" w:hAnsi="宋体" w:eastAsia="楷体_GB2312"/>
                                <w:sz w:val="18"/>
                                <w:szCs w:val="18"/>
                              </w:rPr>
                            </w:pPr>
                            <w:r>
                              <w:rPr>
                                <w:rFonts w:hint="eastAsia" w:ascii="楷体_GB2312" w:hAnsi="宋体" w:eastAsia="楷体_GB2312"/>
                                <w:b/>
                                <w:color w:val="000000"/>
                                <w:sz w:val="18"/>
                                <w:szCs w:val="18"/>
                              </w:rPr>
                              <w:t>测量放线误差的处理</w:t>
                            </w:r>
                          </w:p>
                        </w:txbxContent>
                      </wps:txbx>
                      <wps:bodyPr upright="1"/>
                    </wps:wsp>
                  </a:graphicData>
                </a:graphic>
              </wp:anchor>
            </w:drawing>
          </mc:Choice>
          <mc:Fallback>
            <w:pict>
              <v:shape id="_x0000_s1026" o:spid="_x0000_s1026" o:spt="202" type="#_x0000_t202" style="position:absolute;left:0pt;margin-left:-5.25pt;margin-top:0.65pt;height:29.6pt;width:72pt;z-index:251841536;mso-width-relative:page;mso-height-relative:page;" filled="f" stroked="f" coordsize="21600,21600" o:gfxdata="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OywCzT&#10;AAAACAEAAA8AAAAAAAAAAQAgAAAAIgAAAGRycy9kb3ducmV2LnhtbFBLAQIUABQAAAAIAIdO4kCY&#10;KqmbswEAAF8DAAAOAAAAAAAAAAEAIAAAACIBAABkcnMvZTJvRG9jLnhtbFBLBQYAAAAABgAGAFkB&#10;AABHBQAAAAA=&#10;">
                <v:fill on="f" focussize="0,0"/>
                <v:stroke on="f"/>
                <v:imagedata o:title=""/>
                <o:lock v:ext="edit" aspectratio="f"/>
                <v:textbox>
                  <w:txbxContent>
                    <w:p w14:paraId="6ED525C8">
                      <w:pPr>
                        <w:spacing w:line="200" w:lineRule="exact"/>
                        <w:rPr>
                          <w:rFonts w:ascii="楷体_GB2312" w:hAnsi="宋体" w:eastAsia="楷体_GB2312"/>
                          <w:sz w:val="18"/>
                          <w:szCs w:val="18"/>
                        </w:rPr>
                      </w:pPr>
                      <w:r>
                        <w:rPr>
                          <w:rFonts w:hint="eastAsia" w:ascii="楷体_GB2312" w:hAnsi="宋体" w:eastAsia="楷体_GB2312"/>
                          <w:b/>
                          <w:color w:val="000000"/>
                          <w:sz w:val="18"/>
                          <w:szCs w:val="18"/>
                        </w:rPr>
                        <w:t>测量放线误差的处理</w:t>
                      </w:r>
                    </w:p>
                  </w:txbxContent>
                </v:textbox>
              </v:shape>
            </w:pict>
          </mc:Fallback>
        </mc:AlternateContent>
      </w:r>
      <w:r>
        <w:rPr>
          <w:rFonts w:hint="eastAsia" w:ascii="宋体" w:hAnsi="宋体"/>
          <w:color w:val="auto"/>
          <w:sz w:val="24"/>
          <w:szCs w:val="18"/>
        </w:rPr>
        <w:t>监理工程师有权对承包人施工测量放线工作进行检查验收。如果发现永久工程任何部分的位置、标高、尺寸或定线超过合同约定误差的，承包人应自费纠正，直到监理工程师认为符合合同约定为止。如果这些误差是由于监理工程师书面提供的数据错误导致的，发包人应当承担由此增加的费用和（或）工期延误，并向承包人支付合理利润。</w:t>
      </w:r>
    </w:p>
    <w:p w14:paraId="16599B82">
      <w:pPr>
        <w:pStyle w:val="3"/>
        <w:tabs>
          <w:tab w:val="left" w:pos="720"/>
          <w:tab w:val="left" w:pos="1080"/>
        </w:tabs>
        <w:adjustRightInd w:val="0"/>
        <w:snapToGrid w:val="0"/>
        <w:spacing w:line="360" w:lineRule="auto"/>
        <w:ind w:firstLine="0"/>
        <w:rPr>
          <w:rFonts w:ascii="宋体"/>
          <w:b/>
          <w:color w:val="auto"/>
          <w:sz w:val="24"/>
          <w:szCs w:val="18"/>
        </w:rPr>
      </w:pPr>
      <w:r>
        <w:rPr>
          <w:rFonts w:ascii="宋体" w:hAnsi="宋体"/>
          <w:b/>
          <w:color w:val="auto"/>
          <w:sz w:val="24"/>
          <w:szCs w:val="18"/>
        </w:rPr>
        <w:t xml:space="preserve">46.5 </w:t>
      </w:r>
      <w:r>
        <w:rPr>
          <w:color w:val="auto"/>
        </w:rPr>
        <mc:AlternateContent>
          <mc:Choice Requires="wps">
            <w:drawing>
              <wp:anchor distT="0" distB="0" distL="114300" distR="114300" simplePos="0" relativeHeight="251842560" behindDoc="0" locked="0" layoutInCell="1" allowOverlap="1">
                <wp:simplePos x="0" y="0"/>
                <wp:positionH relativeFrom="column">
                  <wp:posOffset>-114300</wp:posOffset>
                </wp:positionH>
                <wp:positionV relativeFrom="paragraph">
                  <wp:posOffset>278130</wp:posOffset>
                </wp:positionV>
                <wp:extent cx="914400" cy="448310"/>
                <wp:effectExtent l="0" t="0" r="0" b="0"/>
                <wp:wrapNone/>
                <wp:docPr id="180" name="文本框 180"/>
                <wp:cNvGraphicFramePr/>
                <a:graphic xmlns:a="http://schemas.openxmlformats.org/drawingml/2006/main">
                  <a:graphicData uri="http://schemas.microsoft.com/office/word/2010/wordprocessingShape">
                    <wps:wsp>
                      <wps:cNvSpPr txBox="1"/>
                      <wps:spPr>
                        <a:xfrm>
                          <a:off x="0" y="0"/>
                          <a:ext cx="914400" cy="448310"/>
                        </a:xfrm>
                        <a:prstGeom prst="rect">
                          <a:avLst/>
                        </a:prstGeom>
                        <a:noFill/>
                        <a:ln>
                          <a:noFill/>
                        </a:ln>
                        <a:effectLst/>
                      </wps:spPr>
                      <wps:txbx>
                        <w:txbxContent>
                          <w:p w14:paraId="556C9A08">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保护基准点或线等标志</w:t>
                            </w:r>
                          </w:p>
                        </w:txbxContent>
                      </wps:txbx>
                      <wps:bodyPr upright="1"/>
                    </wps:wsp>
                  </a:graphicData>
                </a:graphic>
              </wp:anchor>
            </w:drawing>
          </mc:Choice>
          <mc:Fallback>
            <w:pict>
              <v:shape id="_x0000_s1026" o:spid="_x0000_s1026" o:spt="202" type="#_x0000_t202" style="position:absolute;left:0pt;margin-left:-9pt;margin-top:21.9pt;height:35.3pt;width:72pt;z-index:251842560;mso-width-relative:page;mso-height-relative:page;" filled="f" stroked="f" coordsize="21600,21600" o:gfxdata="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BL&#10;qU/XAAAACgEAAA8AAAAAAAAAAQAgAAAAIgAAAGRycy9kb3ducmV2LnhtbFBLAQIUABQAAAAIAIdO&#10;4kDU8JyosgEAAF8DAAAOAAAAAAAAAAEAIAAAACYBAABkcnMvZTJvRG9jLnhtbFBLBQYAAAAABgAG&#10;AFkBAABKBQAAAAA=&#10;">
                <v:fill on="f" focussize="0,0"/>
                <v:stroke on="f"/>
                <v:imagedata o:title=""/>
                <o:lock v:ext="edit" aspectratio="f"/>
                <v:textbox>
                  <w:txbxContent>
                    <w:p w14:paraId="556C9A08">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保护基准点或线等标志</w:t>
                      </w:r>
                    </w:p>
                  </w:txbxContent>
                </v:textbox>
              </v:shape>
            </w:pict>
          </mc:Fallback>
        </mc:AlternateContent>
      </w:r>
    </w:p>
    <w:p w14:paraId="1E4C0F9C">
      <w:pPr>
        <w:adjustRightInd w:val="0"/>
        <w:snapToGrid w:val="0"/>
        <w:spacing w:line="360" w:lineRule="auto"/>
        <w:ind w:left="1619" w:leftChars="771"/>
        <w:rPr>
          <w:rFonts w:ascii="宋体"/>
          <w:color w:val="auto"/>
          <w:sz w:val="24"/>
          <w:szCs w:val="18"/>
        </w:rPr>
      </w:pPr>
      <w:r>
        <w:rPr>
          <w:rFonts w:hint="eastAsia" w:ascii="宋体" w:hAnsi="宋体"/>
          <w:color w:val="auto"/>
          <w:sz w:val="24"/>
          <w:szCs w:val="18"/>
        </w:rPr>
        <w:t>监理工程师对工程位置、标高、尺寸、定线的检查，不能免除承包人测量放线工作准确性应承担的任何责任和应履行的任何义务。承包人应有效地保护一切基准点、基准线和其他有关的标志，直到永久工程竣工验收合格为止。</w:t>
      </w:r>
    </w:p>
    <w:p w14:paraId="5D63F8FE">
      <w:pPr>
        <w:pStyle w:val="3"/>
        <w:tabs>
          <w:tab w:val="left" w:pos="2070"/>
        </w:tabs>
        <w:adjustRightInd w:val="0"/>
        <w:snapToGrid w:val="0"/>
        <w:spacing w:line="360" w:lineRule="auto"/>
        <w:ind w:firstLine="0"/>
        <w:rPr>
          <w:color w:val="auto"/>
        </w:rPr>
      </w:pPr>
    </w:p>
    <w:p w14:paraId="15940A02">
      <w:pPr>
        <w:pStyle w:val="2"/>
        <w:tabs>
          <w:tab w:val="left" w:pos="540"/>
        </w:tabs>
        <w:adjustRightInd w:val="0"/>
        <w:snapToGrid w:val="0"/>
        <w:spacing w:before="240" w:beforeLines="100" w:line="360" w:lineRule="auto"/>
        <w:ind w:right="-238"/>
        <w:rPr>
          <w:rFonts w:hAnsi="宋体"/>
          <w:b/>
          <w:color w:val="auto"/>
          <w:sz w:val="30"/>
          <w:szCs w:val="24"/>
        </w:rPr>
      </w:pPr>
      <w:r>
        <w:rPr>
          <w:rFonts w:hAnsi="宋体"/>
          <w:b/>
          <w:color w:val="auto"/>
          <w:sz w:val="30"/>
          <w:szCs w:val="24"/>
        </w:rPr>
        <w:t xml:space="preserve">47  </w:t>
      </w:r>
      <w:r>
        <w:rPr>
          <w:rFonts w:hint="eastAsia" w:hAnsi="宋体"/>
          <w:b/>
          <w:color w:val="auto"/>
          <w:sz w:val="30"/>
          <w:szCs w:val="24"/>
        </w:rPr>
        <w:t>钻孔与勘探性开挖</w:t>
      </w:r>
    </w:p>
    <w:p w14:paraId="41F97120">
      <w:pPr>
        <w:pStyle w:val="3"/>
        <w:adjustRightInd w:val="0"/>
        <w:snapToGrid w:val="0"/>
        <w:spacing w:line="360" w:lineRule="auto"/>
        <w:ind w:firstLine="0"/>
        <w:rPr>
          <w:rFonts w:ascii="宋体"/>
          <w:b/>
          <w:color w:val="auto"/>
          <w:sz w:val="24"/>
          <w:szCs w:val="18"/>
        </w:rPr>
      </w:pPr>
      <w:r>
        <w:rPr>
          <w:color w:val="auto"/>
        </w:rPr>
        <mc:AlternateContent>
          <mc:Choice Requires="wps">
            <w:drawing>
              <wp:anchor distT="0" distB="0" distL="114300" distR="114300" simplePos="0" relativeHeight="251843584" behindDoc="0" locked="0" layoutInCell="1" allowOverlap="1">
                <wp:simplePos x="0" y="0"/>
                <wp:positionH relativeFrom="column">
                  <wp:posOffset>-133350</wp:posOffset>
                </wp:positionH>
                <wp:positionV relativeFrom="paragraph">
                  <wp:posOffset>285115</wp:posOffset>
                </wp:positionV>
                <wp:extent cx="914400" cy="648335"/>
                <wp:effectExtent l="0" t="0" r="0" b="0"/>
                <wp:wrapNone/>
                <wp:docPr id="181" name="文本框 181"/>
                <wp:cNvGraphicFramePr/>
                <a:graphic xmlns:a="http://schemas.openxmlformats.org/drawingml/2006/main">
                  <a:graphicData uri="http://schemas.microsoft.com/office/word/2010/wordprocessingShape">
                    <wps:wsp>
                      <wps:cNvSpPr txBox="1"/>
                      <wps:spPr>
                        <a:xfrm>
                          <a:off x="0" y="0"/>
                          <a:ext cx="914400" cy="648335"/>
                        </a:xfrm>
                        <a:prstGeom prst="rect">
                          <a:avLst/>
                        </a:prstGeom>
                        <a:noFill/>
                        <a:ln>
                          <a:noFill/>
                        </a:ln>
                        <a:effectLst/>
                      </wps:spPr>
                      <wps:txbx>
                        <w:txbxContent>
                          <w:p w14:paraId="3C26D492">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发出钻孔和勘探性开挖工作指令</w:t>
                            </w:r>
                          </w:p>
                        </w:txbxContent>
                      </wps:txbx>
                      <wps:bodyPr upright="1"/>
                    </wps:wsp>
                  </a:graphicData>
                </a:graphic>
              </wp:anchor>
            </w:drawing>
          </mc:Choice>
          <mc:Fallback>
            <w:pict>
              <v:shape id="_x0000_s1026" o:spid="_x0000_s1026" o:spt="202" type="#_x0000_t202" style="position:absolute;left:0pt;margin-left:-10.5pt;margin-top:22.45pt;height:51.05pt;width:72pt;z-index:251843584;mso-width-relative:page;mso-height-relative:page;" filled="f" stroked="f" coordsize="21600,21600" o:gfxdata="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I2L&#10;ZqrXAAAACgEAAA8AAAAAAAAAAQAgAAAAIgAAAGRycy9kb3ducmV2LnhtbFBLAQIUABQAAAAIAIdO&#10;4kCZG62osgEAAF8DAAAOAAAAAAAAAAEAIAAAACYBAABkcnMvZTJvRG9jLnhtbFBLBQYAAAAABgAG&#10;AFkBAABKBQAAAAA=&#10;">
                <v:fill on="f" focussize="0,0"/>
                <v:stroke on="f"/>
                <v:imagedata o:title=""/>
                <o:lock v:ext="edit" aspectratio="f"/>
                <v:textbox>
                  <w:txbxContent>
                    <w:p w14:paraId="3C26D492">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发出钻孔和勘探性开挖工作指令</w:t>
                      </w:r>
                    </w:p>
                  </w:txbxContent>
                </v:textbox>
              </v:shape>
            </w:pict>
          </mc:Fallback>
        </mc:AlternateContent>
      </w:r>
      <w:r>
        <w:rPr>
          <w:rFonts w:ascii="宋体" w:hAnsi="宋体"/>
          <w:b/>
          <w:color w:val="auto"/>
          <w:sz w:val="24"/>
          <w:szCs w:val="18"/>
        </w:rPr>
        <w:t>47.1</w:t>
      </w:r>
    </w:p>
    <w:p w14:paraId="62779B23">
      <w:pPr>
        <w:pStyle w:val="3"/>
        <w:adjustRightInd w:val="0"/>
        <w:snapToGrid w:val="0"/>
        <w:spacing w:line="360" w:lineRule="auto"/>
        <w:ind w:left="1619" w:leftChars="771" w:firstLine="0"/>
        <w:rPr>
          <w:rFonts w:ascii="宋体"/>
          <w:color w:val="auto"/>
          <w:sz w:val="24"/>
          <w:szCs w:val="18"/>
        </w:rPr>
      </w:pPr>
      <w:r>
        <w:rPr>
          <w:rFonts w:hint="eastAsia" w:ascii="宋体" w:hAnsi="宋体"/>
          <w:color w:val="auto"/>
          <w:sz w:val="24"/>
          <w:szCs w:val="18"/>
        </w:rPr>
        <w:t>在施工过程中，如果需要承包人进行钻孔或勘探性开挖（含疏浚工作在内）工作的，监理工程师应就此项工作按照第</w:t>
      </w:r>
      <w:r>
        <w:rPr>
          <w:rFonts w:ascii="宋体" w:hAnsi="宋体"/>
          <w:color w:val="auto"/>
          <w:sz w:val="24"/>
          <w:szCs w:val="18"/>
        </w:rPr>
        <w:t>56</w:t>
      </w:r>
      <w:r>
        <w:rPr>
          <w:rFonts w:hint="eastAsia" w:ascii="宋体" w:hAnsi="宋体"/>
          <w:color w:val="auto"/>
          <w:sz w:val="24"/>
          <w:szCs w:val="18"/>
        </w:rPr>
        <w:t>条规定书面发出专项指令。承包人在接到监理工程师指令后，应及时实施相关工作。</w:t>
      </w:r>
    </w:p>
    <w:p w14:paraId="38BB91BE">
      <w:pPr>
        <w:pStyle w:val="3"/>
        <w:tabs>
          <w:tab w:val="left" w:pos="720"/>
          <w:tab w:val="left" w:pos="1080"/>
        </w:tabs>
        <w:adjustRightInd w:val="0"/>
        <w:snapToGrid w:val="0"/>
        <w:spacing w:line="360" w:lineRule="auto"/>
        <w:ind w:firstLine="0"/>
        <w:rPr>
          <w:rFonts w:ascii="宋体"/>
          <w:color w:val="auto"/>
          <w:sz w:val="24"/>
          <w:szCs w:val="18"/>
        </w:rPr>
      </w:pPr>
      <w:r>
        <w:rPr>
          <w:color w:val="auto"/>
        </w:rPr>
        <mc:AlternateContent>
          <mc:Choice Requires="wps">
            <w:drawing>
              <wp:anchor distT="0" distB="0" distL="114300" distR="114300" simplePos="0" relativeHeight="251844608" behindDoc="0" locked="0" layoutInCell="1" allowOverlap="1">
                <wp:simplePos x="0" y="0"/>
                <wp:positionH relativeFrom="column">
                  <wp:posOffset>-133350</wp:posOffset>
                </wp:positionH>
                <wp:positionV relativeFrom="paragraph">
                  <wp:posOffset>199390</wp:posOffset>
                </wp:positionV>
                <wp:extent cx="914400" cy="699135"/>
                <wp:effectExtent l="0" t="0" r="0" b="0"/>
                <wp:wrapNone/>
                <wp:docPr id="182" name="文本框 182"/>
                <wp:cNvGraphicFramePr/>
                <a:graphic xmlns:a="http://schemas.openxmlformats.org/drawingml/2006/main">
                  <a:graphicData uri="http://schemas.microsoft.com/office/word/2010/wordprocessingShape">
                    <wps:wsp>
                      <wps:cNvSpPr txBox="1"/>
                      <wps:spPr>
                        <a:xfrm>
                          <a:off x="0" y="0"/>
                          <a:ext cx="914400" cy="699135"/>
                        </a:xfrm>
                        <a:prstGeom prst="rect">
                          <a:avLst/>
                        </a:prstGeom>
                        <a:noFill/>
                        <a:ln>
                          <a:noFill/>
                        </a:ln>
                        <a:effectLst/>
                      </wps:spPr>
                      <wps:txbx>
                        <w:txbxContent>
                          <w:p w14:paraId="114D75AE">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钻孔和勘探性开挖工作的费用</w:t>
                            </w:r>
                          </w:p>
                          <w:p w14:paraId="08F7B89B">
                            <w:pPr>
                              <w:spacing w:line="200" w:lineRule="exact"/>
                              <w:rPr>
                                <w:sz w:val="18"/>
                                <w:szCs w:val="18"/>
                              </w:rPr>
                            </w:pPr>
                          </w:p>
                        </w:txbxContent>
                      </wps:txbx>
                      <wps:bodyPr upright="1"/>
                    </wps:wsp>
                  </a:graphicData>
                </a:graphic>
              </wp:anchor>
            </w:drawing>
          </mc:Choice>
          <mc:Fallback>
            <w:pict>
              <v:shape id="_x0000_s1026" o:spid="_x0000_s1026" o:spt="202" type="#_x0000_t202" style="position:absolute;left:0pt;margin-left:-10.5pt;margin-top:15.7pt;height:55.05pt;width:72pt;z-index:251844608;mso-width-relative:page;mso-height-relative:page;" filled="f" stroked="f" coordsize="21600,21600" o:gfxdata="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ItD&#10;PMbXAAAACgEAAA8AAAAAAAAAAQAgAAAAIgAAAGRycy9kb3ducmV2LnhtbFBLAQIUABQAAAAIAIdO&#10;4kBSq4ohsgEAAF8DAAAOAAAAAAAAAAEAIAAAACYBAABkcnMvZTJvRG9jLnhtbFBLBQYAAAAABgAG&#10;AFkBAABKBQAAAAA=&#10;">
                <v:fill on="f" focussize="0,0"/>
                <v:stroke on="f"/>
                <v:imagedata o:title=""/>
                <o:lock v:ext="edit" aspectratio="f"/>
                <v:textbox>
                  <w:txbxContent>
                    <w:p w14:paraId="114D75AE">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钻孔和勘探性开挖工作的费用</w:t>
                      </w:r>
                    </w:p>
                    <w:p w14:paraId="08F7B89B">
                      <w:pPr>
                        <w:spacing w:line="200" w:lineRule="exact"/>
                        <w:rPr>
                          <w:sz w:val="18"/>
                          <w:szCs w:val="18"/>
                        </w:rPr>
                      </w:pPr>
                    </w:p>
                  </w:txbxContent>
                </v:textbox>
              </v:shape>
            </w:pict>
          </mc:Fallback>
        </mc:AlternateContent>
      </w:r>
      <w:r>
        <w:rPr>
          <w:rFonts w:ascii="宋体" w:hAnsi="宋体"/>
          <w:b/>
          <w:color w:val="auto"/>
          <w:sz w:val="24"/>
          <w:szCs w:val="18"/>
        </w:rPr>
        <w:t xml:space="preserve">47.2 </w:t>
      </w:r>
    </w:p>
    <w:p w14:paraId="04A56791">
      <w:pPr>
        <w:adjustRightInd w:val="0"/>
        <w:snapToGrid w:val="0"/>
        <w:spacing w:line="360" w:lineRule="auto"/>
        <w:ind w:left="1619" w:leftChars="771"/>
        <w:rPr>
          <w:rFonts w:ascii="宋体"/>
          <w:color w:val="auto"/>
          <w:sz w:val="24"/>
          <w:szCs w:val="18"/>
        </w:rPr>
      </w:pPr>
      <w:r>
        <w:rPr>
          <w:rFonts w:hint="eastAsia" w:ascii="宋体" w:hAnsi="宋体"/>
          <w:color w:val="auto"/>
          <w:sz w:val="24"/>
          <w:szCs w:val="18"/>
        </w:rPr>
        <w:t>除工程量清单中已列有此类工作的支付项目和额度外，此项工作所发生的一切费用，经造价工程师核实后，由合同双方当事人按照第</w:t>
      </w:r>
      <w:r>
        <w:rPr>
          <w:rFonts w:ascii="宋体" w:hAnsi="宋体"/>
          <w:color w:val="auto"/>
          <w:sz w:val="24"/>
          <w:szCs w:val="18"/>
        </w:rPr>
        <w:t>72</w:t>
      </w:r>
      <w:r>
        <w:rPr>
          <w:rFonts w:hint="eastAsia" w:ascii="宋体" w:hAnsi="宋体"/>
          <w:color w:val="auto"/>
          <w:sz w:val="24"/>
          <w:szCs w:val="18"/>
        </w:rPr>
        <w:t>条规定办理。</w:t>
      </w:r>
    </w:p>
    <w:p w14:paraId="28711658">
      <w:pPr>
        <w:pStyle w:val="2"/>
        <w:tabs>
          <w:tab w:val="left" w:pos="540"/>
        </w:tabs>
        <w:adjustRightInd w:val="0"/>
        <w:snapToGrid w:val="0"/>
        <w:spacing w:before="240" w:beforeLines="100" w:line="360" w:lineRule="auto"/>
        <w:ind w:right="-238"/>
        <w:rPr>
          <w:color w:val="auto"/>
        </w:rPr>
      </w:pPr>
    </w:p>
    <w:p w14:paraId="0BF89D4B">
      <w:pPr>
        <w:pStyle w:val="3"/>
        <w:adjustRightInd w:val="0"/>
        <w:snapToGrid w:val="0"/>
        <w:spacing w:line="360" w:lineRule="auto"/>
        <w:ind w:firstLine="0"/>
        <w:rPr>
          <w:rFonts w:ascii="宋体"/>
          <w:b/>
          <w:color w:val="auto"/>
          <w:sz w:val="30"/>
          <w:szCs w:val="30"/>
        </w:rPr>
      </w:pPr>
      <w:r>
        <w:rPr>
          <w:rFonts w:ascii="宋体" w:hAnsi="宋体"/>
          <w:b/>
          <w:color w:val="auto"/>
          <w:sz w:val="30"/>
          <w:szCs w:val="30"/>
        </w:rPr>
        <w:t xml:space="preserve">48  </w:t>
      </w:r>
      <w:r>
        <w:rPr>
          <w:rFonts w:hint="eastAsia" w:ascii="宋体" w:hAnsi="宋体"/>
          <w:b/>
          <w:color w:val="auto"/>
          <w:sz w:val="30"/>
          <w:szCs w:val="30"/>
        </w:rPr>
        <w:t>发包人供应材料和工程设备</w:t>
      </w:r>
    </w:p>
    <w:p w14:paraId="17A34294">
      <w:pPr>
        <w:pStyle w:val="3"/>
        <w:adjustRightInd w:val="0"/>
        <w:snapToGrid w:val="0"/>
        <w:spacing w:line="360" w:lineRule="auto"/>
        <w:ind w:firstLine="0"/>
        <w:rPr>
          <w:rFonts w:ascii="宋体"/>
          <w:b/>
          <w:color w:val="auto"/>
          <w:sz w:val="24"/>
          <w:szCs w:val="18"/>
        </w:rPr>
      </w:pPr>
      <w:r>
        <w:rPr>
          <w:color w:val="auto"/>
        </w:rPr>
        <mc:AlternateContent>
          <mc:Choice Requires="wps">
            <w:drawing>
              <wp:anchor distT="0" distB="0" distL="114300" distR="114300" simplePos="0" relativeHeight="251845632" behindDoc="0" locked="0" layoutInCell="1" allowOverlap="1">
                <wp:simplePos x="0" y="0"/>
                <wp:positionH relativeFrom="column">
                  <wp:posOffset>-114300</wp:posOffset>
                </wp:positionH>
                <wp:positionV relativeFrom="paragraph">
                  <wp:posOffset>278765</wp:posOffset>
                </wp:positionV>
                <wp:extent cx="914400" cy="514985"/>
                <wp:effectExtent l="0" t="0" r="0" b="0"/>
                <wp:wrapNone/>
                <wp:docPr id="183" name="文本框 183"/>
                <wp:cNvGraphicFramePr/>
                <a:graphic xmlns:a="http://schemas.openxmlformats.org/drawingml/2006/main">
                  <a:graphicData uri="http://schemas.microsoft.com/office/word/2010/wordprocessingShape">
                    <wps:wsp>
                      <wps:cNvSpPr txBox="1"/>
                      <wps:spPr>
                        <a:xfrm>
                          <a:off x="0" y="0"/>
                          <a:ext cx="914400" cy="514985"/>
                        </a:xfrm>
                        <a:prstGeom prst="rect">
                          <a:avLst/>
                        </a:prstGeom>
                        <a:noFill/>
                        <a:ln>
                          <a:noFill/>
                        </a:ln>
                        <a:effectLst/>
                      </wps:spPr>
                      <wps:txbx>
                        <w:txbxContent>
                          <w:p w14:paraId="597B310A">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约定供应的材料和工程设备</w:t>
                            </w:r>
                          </w:p>
                        </w:txbxContent>
                      </wps:txbx>
                      <wps:bodyPr upright="1"/>
                    </wps:wsp>
                  </a:graphicData>
                </a:graphic>
              </wp:anchor>
            </w:drawing>
          </mc:Choice>
          <mc:Fallback>
            <w:pict>
              <v:shape id="_x0000_s1026" o:spid="_x0000_s1026" o:spt="202" type="#_x0000_t202" style="position:absolute;left:0pt;margin-left:-9pt;margin-top:21.95pt;height:40.55pt;width:72pt;z-index:251845632;mso-width-relative:page;mso-height-relative:page;" filled="f" stroked="f" coordsize="21600,21600" o:gfxdata="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Djo&#10;SDjXAAAACgEAAA8AAAAAAAAAAQAgAAAAIgAAAGRycy9kb3ducmV2LnhtbFBLAQIUABQAAAAIAIdO&#10;4kAfyn8gsgEAAF8DAAAOAAAAAAAAAAEAIAAAACYBAABkcnMvZTJvRG9jLnhtbFBLBQYAAAAABgAG&#10;AFkBAABKBQAAAAA=&#10;">
                <v:fill on="f" focussize="0,0"/>
                <v:stroke on="f"/>
                <v:imagedata o:title=""/>
                <o:lock v:ext="edit" aspectratio="f"/>
                <v:textbox>
                  <w:txbxContent>
                    <w:p w14:paraId="597B310A">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约定供应的材料和工程设备</w:t>
                      </w:r>
                    </w:p>
                  </w:txbxContent>
                </v:textbox>
              </v:shape>
            </w:pict>
          </mc:Fallback>
        </mc:AlternateContent>
      </w:r>
      <w:r>
        <w:rPr>
          <w:rFonts w:ascii="宋体" w:hAnsi="宋体"/>
          <w:b/>
          <w:color w:val="auto"/>
          <w:sz w:val="24"/>
          <w:szCs w:val="18"/>
        </w:rPr>
        <w:t>48.1</w:t>
      </w:r>
    </w:p>
    <w:p w14:paraId="6C0B8AF2">
      <w:pPr>
        <w:pStyle w:val="3"/>
        <w:adjustRightInd w:val="0"/>
        <w:snapToGrid w:val="0"/>
        <w:spacing w:line="360" w:lineRule="auto"/>
        <w:ind w:left="1619" w:leftChars="771" w:firstLine="0"/>
        <w:rPr>
          <w:rFonts w:ascii="宋体"/>
          <w:color w:val="auto"/>
          <w:sz w:val="24"/>
          <w:szCs w:val="18"/>
        </w:rPr>
      </w:pPr>
      <w:r>
        <w:rPr>
          <w:rFonts w:hint="eastAsia" w:ascii="宋体" w:hAnsi="宋体"/>
          <w:color w:val="auto"/>
          <w:sz w:val="24"/>
          <w:szCs w:val="18"/>
        </w:rPr>
        <w:t>发包人供应材料和工程设备的，应在供应材料和工程设备前，与承包人确认“发包人供应材料和工程设备一览表”，并作为本合同的附件。一览表应包括发包人供应材料和工程设备的品种、规格、型号、数量、单价、质量标准、交货计划和地点等内容。</w:t>
      </w:r>
    </w:p>
    <w:p w14:paraId="52AE007F">
      <w:pPr>
        <w:pStyle w:val="3"/>
        <w:adjustRightInd w:val="0"/>
        <w:snapToGrid w:val="0"/>
        <w:spacing w:line="360" w:lineRule="auto"/>
        <w:ind w:firstLine="0"/>
        <w:rPr>
          <w:rFonts w:ascii="宋体"/>
          <w:color w:val="auto"/>
          <w:sz w:val="24"/>
          <w:szCs w:val="18"/>
        </w:rPr>
      </w:pPr>
      <w:r>
        <w:rPr>
          <w:rFonts w:ascii="宋体" w:hAnsi="宋体"/>
          <w:b/>
          <w:color w:val="auto"/>
          <w:sz w:val="24"/>
          <w:szCs w:val="18"/>
        </w:rPr>
        <w:t xml:space="preserve">48.2 </w:t>
      </w:r>
    </w:p>
    <w:p w14:paraId="539CA536">
      <w:pPr>
        <w:pStyle w:val="3"/>
        <w:adjustRightInd w:val="0"/>
        <w:snapToGrid w:val="0"/>
        <w:spacing w:line="360" w:lineRule="auto"/>
        <w:ind w:left="1575" w:leftChars="750" w:firstLine="0"/>
        <w:rPr>
          <w:rFonts w:ascii="宋体"/>
          <w:b/>
          <w:color w:val="auto"/>
          <w:sz w:val="24"/>
          <w:szCs w:val="18"/>
        </w:rPr>
      </w:pPr>
      <w:r>
        <w:rPr>
          <w:color w:val="auto"/>
        </w:rPr>
        <mc:AlternateContent>
          <mc:Choice Requires="wps">
            <w:drawing>
              <wp:anchor distT="0" distB="0" distL="114300" distR="114300" simplePos="0" relativeHeight="251846656" behindDoc="0" locked="0" layoutInCell="1" allowOverlap="1">
                <wp:simplePos x="0" y="0"/>
                <wp:positionH relativeFrom="column">
                  <wp:posOffset>-66675</wp:posOffset>
                </wp:positionH>
                <wp:positionV relativeFrom="paragraph">
                  <wp:posOffset>47625</wp:posOffset>
                </wp:positionV>
                <wp:extent cx="914400" cy="514985"/>
                <wp:effectExtent l="0" t="0" r="0" b="0"/>
                <wp:wrapNone/>
                <wp:docPr id="184" name="文本框 184"/>
                <wp:cNvGraphicFramePr/>
                <a:graphic xmlns:a="http://schemas.openxmlformats.org/drawingml/2006/main">
                  <a:graphicData uri="http://schemas.microsoft.com/office/word/2010/wordprocessingShape">
                    <wps:wsp>
                      <wps:cNvSpPr txBox="1"/>
                      <wps:spPr>
                        <a:xfrm>
                          <a:off x="0" y="0"/>
                          <a:ext cx="914400" cy="514985"/>
                        </a:xfrm>
                        <a:prstGeom prst="rect">
                          <a:avLst/>
                        </a:prstGeom>
                        <a:noFill/>
                        <a:ln>
                          <a:noFill/>
                        </a:ln>
                        <a:effectLst/>
                      </wps:spPr>
                      <wps:txbx>
                        <w:txbxContent>
                          <w:p w14:paraId="521F0BB9">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发包人交货日期的要求</w:t>
                            </w:r>
                          </w:p>
                        </w:txbxContent>
                      </wps:txbx>
                      <wps:bodyPr upright="1"/>
                    </wps:wsp>
                  </a:graphicData>
                </a:graphic>
              </wp:anchor>
            </w:drawing>
          </mc:Choice>
          <mc:Fallback>
            <w:pict>
              <v:shape id="_x0000_s1026" o:spid="_x0000_s1026" o:spt="202" type="#_x0000_t202" style="position:absolute;left:0pt;margin-left:-5.25pt;margin-top:3.75pt;height:40.55pt;width:72pt;z-index:251846656;mso-width-relative:page;mso-height-relative:page;" filled="f" stroked="f" coordsize="21600,21600" o:gfxdata="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HRngLzV&#10;AAAACAEAAA8AAAAAAAAAAQAgAAAAIgAAAGRycy9kb3ducmV2LnhtbFBLAQIUABQAAAAIAIdO4kBA&#10;0OzCsQEAAF8DAAAOAAAAAAAAAAEAIAAAACQBAABkcnMvZTJvRG9jLnhtbFBLBQYAAAAABgAGAFkB&#10;AABHBQAAAAA=&#10;">
                <v:fill on="f" focussize="0,0"/>
                <v:stroke on="f"/>
                <v:imagedata o:title=""/>
                <o:lock v:ext="edit" aspectratio="f"/>
                <v:textbox>
                  <w:txbxContent>
                    <w:p w14:paraId="521F0BB9">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发包人交货日期的要求</w:t>
                      </w:r>
                    </w:p>
                  </w:txbxContent>
                </v:textbox>
              </v:shape>
            </w:pict>
          </mc:Fallback>
        </mc:AlternateContent>
      </w:r>
      <w:r>
        <w:rPr>
          <w:rFonts w:hint="eastAsia" w:ascii="宋体" w:hAnsi="宋体"/>
          <w:color w:val="auto"/>
          <w:sz w:val="24"/>
          <w:szCs w:val="18"/>
        </w:rPr>
        <w:t>发包人供应材料和工程设备的，承包人应根据合同工程进度计划向监理工程师提交发包人交货的日期计划。经合同双方当事人商定交货日期后，发包人应准时向承包人供应材料和工程设备；否则，发包人应承担由此增加的费用和（或）延误的工期，并向承包人支付合理利润。</w:t>
      </w:r>
    </w:p>
    <w:p w14:paraId="6CAAA9D8">
      <w:pPr>
        <w:pStyle w:val="3"/>
        <w:adjustRightInd w:val="0"/>
        <w:snapToGrid w:val="0"/>
        <w:spacing w:line="360" w:lineRule="auto"/>
        <w:ind w:firstLine="0"/>
        <w:rPr>
          <w:rFonts w:ascii="宋体"/>
          <w:b/>
          <w:color w:val="auto"/>
          <w:sz w:val="24"/>
          <w:szCs w:val="18"/>
        </w:rPr>
      </w:pPr>
      <w:r>
        <w:rPr>
          <w:rFonts w:ascii="宋体" w:hAnsi="宋体"/>
          <w:b/>
          <w:color w:val="auto"/>
          <w:sz w:val="24"/>
          <w:szCs w:val="18"/>
        </w:rPr>
        <w:t xml:space="preserve">48.3  </w:t>
      </w:r>
    </w:p>
    <w:p w14:paraId="384632B5">
      <w:pPr>
        <w:pStyle w:val="3"/>
        <w:adjustRightInd w:val="0"/>
        <w:snapToGrid w:val="0"/>
        <w:spacing w:line="360" w:lineRule="auto"/>
        <w:ind w:left="1619" w:leftChars="771" w:firstLine="0"/>
        <w:rPr>
          <w:rFonts w:ascii="宋体"/>
          <w:color w:val="auto"/>
          <w:sz w:val="24"/>
          <w:szCs w:val="18"/>
        </w:rPr>
      </w:pPr>
      <w:r>
        <w:rPr>
          <w:color w:val="auto"/>
        </w:rPr>
        <mc:AlternateContent>
          <mc:Choice Requires="wps">
            <w:drawing>
              <wp:anchor distT="0" distB="0" distL="114300" distR="114300" simplePos="0" relativeHeight="251847680" behindDoc="0" locked="0" layoutInCell="1" allowOverlap="1">
                <wp:simplePos x="0" y="0"/>
                <wp:positionH relativeFrom="column">
                  <wp:posOffset>-114300</wp:posOffset>
                </wp:positionH>
                <wp:positionV relativeFrom="paragraph">
                  <wp:posOffset>2540</wp:posOffset>
                </wp:positionV>
                <wp:extent cx="967740" cy="452755"/>
                <wp:effectExtent l="0" t="0" r="0" b="0"/>
                <wp:wrapNone/>
                <wp:docPr id="185" name="文本框 185"/>
                <wp:cNvGraphicFramePr/>
                <a:graphic xmlns:a="http://schemas.openxmlformats.org/drawingml/2006/main">
                  <a:graphicData uri="http://schemas.microsoft.com/office/word/2010/wordprocessingShape">
                    <wps:wsp>
                      <wps:cNvSpPr txBox="1"/>
                      <wps:spPr>
                        <a:xfrm>
                          <a:off x="0" y="0"/>
                          <a:ext cx="967740" cy="452755"/>
                        </a:xfrm>
                        <a:prstGeom prst="rect">
                          <a:avLst/>
                        </a:prstGeom>
                        <a:noFill/>
                        <a:ln>
                          <a:noFill/>
                        </a:ln>
                        <a:effectLst/>
                      </wps:spPr>
                      <wps:txbx>
                        <w:txbxContent>
                          <w:p w14:paraId="1412751C">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发包人供应材料和工程设备</w:t>
                            </w:r>
                          </w:p>
                        </w:txbxContent>
                      </wps:txbx>
                      <wps:bodyPr upright="1"/>
                    </wps:wsp>
                  </a:graphicData>
                </a:graphic>
              </wp:anchor>
            </w:drawing>
          </mc:Choice>
          <mc:Fallback>
            <w:pict>
              <v:shape id="_x0000_s1026" o:spid="_x0000_s1026" o:spt="202" type="#_x0000_t202" style="position:absolute;left:0pt;margin-left:-9pt;margin-top:0.2pt;height:35.65pt;width:76.2pt;z-index:251847680;mso-width-relative:page;mso-height-relative:page;" filled="f" stroked="f" coordsize="21600,21600" o:gfxdata="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4813&#10;xdUAAAAHAQAADwAAAAAAAAABACAAAAAiAAAAZHJzL2Rvd25yZXYueG1sUEsBAhQAFAAAAAgAh07i&#10;QAZ9afWzAQAAXwMAAA4AAAAAAAAAAQAgAAAAJAEAAGRycy9lMm9Eb2MueG1sUEsFBgAAAAAGAAYA&#10;WQEAAEkFAAAAAA==&#10;">
                <v:fill on="f" focussize="0,0"/>
                <v:stroke on="f"/>
                <v:imagedata o:title=""/>
                <o:lock v:ext="edit" aspectratio="f"/>
                <v:textbox>
                  <w:txbxContent>
                    <w:p w14:paraId="1412751C">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发包人供应材料和工程设备</w:t>
                      </w:r>
                    </w:p>
                  </w:txbxContent>
                </v:textbox>
              </v:shape>
            </w:pict>
          </mc:Fallback>
        </mc:AlternateContent>
      </w:r>
      <w:r>
        <w:rPr>
          <w:rFonts w:hint="eastAsia" w:ascii="宋体" w:hAnsi="宋体"/>
          <w:color w:val="auto"/>
          <w:sz w:val="24"/>
          <w:szCs w:val="18"/>
        </w:rPr>
        <w:t>发包人应按照一览表内容和第</w:t>
      </w:r>
      <w:r>
        <w:rPr>
          <w:rFonts w:ascii="宋体" w:hAnsi="宋体"/>
          <w:color w:val="auto"/>
          <w:sz w:val="24"/>
          <w:szCs w:val="18"/>
        </w:rPr>
        <w:t>48.2</w:t>
      </w:r>
      <w:r>
        <w:rPr>
          <w:rFonts w:hint="eastAsia" w:ascii="宋体" w:hAnsi="宋体"/>
          <w:color w:val="auto"/>
          <w:sz w:val="24"/>
          <w:szCs w:val="18"/>
        </w:rPr>
        <w:t>款交货日期向承包人供应材料和工程设备，并提供产品质量合格证明文件，对材料和工程设备质量负责。发包人应在材料和工程设备到货前至少提前</w:t>
      </w:r>
      <w:r>
        <w:rPr>
          <w:rFonts w:ascii="宋体" w:hAnsi="宋体"/>
          <w:color w:val="auto"/>
          <w:sz w:val="24"/>
          <w:szCs w:val="18"/>
        </w:rPr>
        <w:t>24</w:t>
      </w:r>
      <w:r>
        <w:rPr>
          <w:rFonts w:hint="eastAsia" w:ascii="宋体" w:hAnsi="宋体"/>
          <w:color w:val="auto"/>
          <w:sz w:val="24"/>
          <w:szCs w:val="18"/>
        </w:rPr>
        <w:t>小时，以书面形式通知承包人和监理工程师，并在监理工程师的见证下与承包人共同清点，同时在施工现场内合理堆放。</w:t>
      </w:r>
    </w:p>
    <w:p w14:paraId="7A7A6543">
      <w:pPr>
        <w:pStyle w:val="3"/>
        <w:adjustRightInd w:val="0"/>
        <w:snapToGrid w:val="0"/>
        <w:spacing w:line="360" w:lineRule="auto"/>
        <w:ind w:firstLine="0"/>
        <w:rPr>
          <w:rFonts w:ascii="宋体"/>
          <w:b/>
          <w:color w:val="auto"/>
          <w:sz w:val="24"/>
          <w:szCs w:val="18"/>
        </w:rPr>
      </w:pPr>
      <w:r>
        <w:rPr>
          <w:rFonts w:ascii="宋体" w:hAnsi="宋体"/>
          <w:b/>
          <w:color w:val="auto"/>
          <w:sz w:val="24"/>
          <w:szCs w:val="18"/>
        </w:rPr>
        <w:t xml:space="preserve">48.4  </w:t>
      </w:r>
    </w:p>
    <w:p w14:paraId="154A1DDB">
      <w:pPr>
        <w:pStyle w:val="3"/>
        <w:adjustRightInd w:val="0"/>
        <w:snapToGrid w:val="0"/>
        <w:spacing w:line="360" w:lineRule="auto"/>
        <w:ind w:left="1619" w:leftChars="771" w:firstLine="0"/>
        <w:rPr>
          <w:rFonts w:ascii="宋体"/>
          <w:color w:val="auto"/>
          <w:sz w:val="24"/>
          <w:szCs w:val="18"/>
        </w:rPr>
      </w:pPr>
      <w:r>
        <w:rPr>
          <w:color w:val="auto"/>
        </w:rPr>
        <mc:AlternateContent>
          <mc:Choice Requires="wps">
            <w:drawing>
              <wp:anchor distT="0" distB="0" distL="114300" distR="114300" simplePos="0" relativeHeight="251848704" behindDoc="0" locked="0" layoutInCell="1" allowOverlap="1">
                <wp:simplePos x="0" y="0"/>
                <wp:positionH relativeFrom="column">
                  <wp:posOffset>-114300</wp:posOffset>
                </wp:positionH>
                <wp:positionV relativeFrom="paragraph">
                  <wp:posOffset>8890</wp:posOffset>
                </wp:positionV>
                <wp:extent cx="914400" cy="1019175"/>
                <wp:effectExtent l="0" t="0" r="0" b="0"/>
                <wp:wrapNone/>
                <wp:docPr id="186" name="文本框 186"/>
                <wp:cNvGraphicFramePr/>
                <a:graphic xmlns:a="http://schemas.openxmlformats.org/drawingml/2006/main">
                  <a:graphicData uri="http://schemas.microsoft.com/office/word/2010/wordprocessingShape">
                    <wps:wsp>
                      <wps:cNvSpPr txBox="1"/>
                      <wps:spPr>
                        <a:xfrm>
                          <a:off x="0" y="0"/>
                          <a:ext cx="914400" cy="1019175"/>
                        </a:xfrm>
                        <a:prstGeom prst="rect">
                          <a:avLst/>
                        </a:prstGeom>
                        <a:noFill/>
                        <a:ln>
                          <a:noFill/>
                        </a:ln>
                        <a:effectLst/>
                      </wps:spPr>
                      <wps:txbx>
                        <w:txbxContent>
                          <w:p w14:paraId="5EA81C7F">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发包人供应材料和工程设备的责任</w:t>
                            </w:r>
                          </w:p>
                        </w:txbxContent>
                      </wps:txbx>
                      <wps:bodyPr upright="1"/>
                    </wps:wsp>
                  </a:graphicData>
                </a:graphic>
              </wp:anchor>
            </w:drawing>
          </mc:Choice>
          <mc:Fallback>
            <w:pict>
              <v:shape id="_x0000_s1026" o:spid="_x0000_s1026" o:spt="202" type="#_x0000_t202" style="position:absolute;left:0pt;margin-left:-9pt;margin-top:0.7pt;height:80.25pt;width:72pt;z-index:251848704;mso-width-relative:page;mso-height-relative:page;" filled="f" stroked="f" coordsize="21600,21600" o:gfxdata="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9nwN&#10;h9UAAAAJAQAADwAAAAAAAAABACAAAAAiAAAAZHJzL2Rvd25yZXYueG1sUEsBAhQAFAAAAAgAh07i&#10;QOKGFWezAQAAYAMAAA4AAAAAAAAAAQAgAAAAJAEAAGRycy9lMm9Eb2MueG1sUEsFBgAAAAAGAAYA&#10;WQEAAEkFAAAAAA==&#10;">
                <v:fill on="f" focussize="0,0"/>
                <v:stroke on="f"/>
                <v:imagedata o:title=""/>
                <o:lock v:ext="edit" aspectratio="f"/>
                <v:textbox>
                  <w:txbxContent>
                    <w:p w14:paraId="5EA81C7F">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发包人供应材料和工程设备的责任</w:t>
                      </w:r>
                    </w:p>
                  </w:txbxContent>
                </v:textbox>
              </v:shape>
            </w:pict>
          </mc:Fallback>
        </mc:AlternateContent>
      </w:r>
      <w:r>
        <w:rPr>
          <w:rFonts w:hint="eastAsia" w:ascii="宋体" w:hAnsi="宋体"/>
          <w:color w:val="auto"/>
          <w:sz w:val="24"/>
          <w:szCs w:val="18"/>
        </w:rPr>
        <w:t>发包人应保证供应的材料和工程设备符合标准与规范、设计要求和合同约定的要求。如不符合要求，承包人有权拒绝，并要求发包人将其运出施工现场，重新供应符合要求的产品，发包人应承担由此增加的费用和（或）延误的工期，并向承包人支付合理利润。</w:t>
      </w:r>
    </w:p>
    <w:p w14:paraId="1973F1FA">
      <w:pPr>
        <w:pStyle w:val="3"/>
        <w:adjustRightInd w:val="0"/>
        <w:snapToGrid w:val="0"/>
        <w:spacing w:line="360" w:lineRule="auto"/>
        <w:ind w:firstLine="0"/>
        <w:rPr>
          <w:rFonts w:ascii="宋体"/>
          <w:color w:val="auto"/>
          <w:sz w:val="24"/>
          <w:szCs w:val="18"/>
        </w:rPr>
      </w:pPr>
      <w:r>
        <w:rPr>
          <w:rFonts w:ascii="宋体" w:hAnsi="宋体"/>
          <w:b/>
          <w:color w:val="auto"/>
          <w:sz w:val="24"/>
          <w:szCs w:val="18"/>
        </w:rPr>
        <w:t xml:space="preserve">48.5  </w:t>
      </w:r>
    </w:p>
    <w:p w14:paraId="2A5BB470">
      <w:pPr>
        <w:pStyle w:val="3"/>
        <w:adjustRightInd w:val="0"/>
        <w:snapToGrid w:val="0"/>
        <w:spacing w:line="360" w:lineRule="auto"/>
        <w:ind w:left="1619" w:leftChars="771" w:firstLine="0"/>
        <w:rPr>
          <w:rFonts w:ascii="宋体"/>
          <w:color w:val="auto"/>
          <w:sz w:val="24"/>
          <w:szCs w:val="18"/>
        </w:rPr>
      </w:pPr>
      <w:r>
        <w:rPr>
          <w:color w:val="auto"/>
        </w:rPr>
        <mc:AlternateContent>
          <mc:Choice Requires="wps">
            <w:drawing>
              <wp:anchor distT="0" distB="0" distL="114300" distR="114300" simplePos="0" relativeHeight="251849728" behindDoc="0" locked="0" layoutInCell="1" allowOverlap="1">
                <wp:simplePos x="0" y="0"/>
                <wp:positionH relativeFrom="column">
                  <wp:posOffset>-114300</wp:posOffset>
                </wp:positionH>
                <wp:positionV relativeFrom="paragraph">
                  <wp:posOffset>8890</wp:posOffset>
                </wp:positionV>
                <wp:extent cx="914400" cy="594360"/>
                <wp:effectExtent l="0" t="0" r="0" b="0"/>
                <wp:wrapNone/>
                <wp:docPr id="187" name="文本框 187"/>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a:effectLst/>
                      </wps:spPr>
                      <wps:txbx>
                        <w:txbxContent>
                          <w:p w14:paraId="18AF7711">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承包人保管发包人供应的材料和工程设备</w:t>
                            </w:r>
                          </w:p>
                        </w:txbxContent>
                      </wps:txbx>
                      <wps:bodyPr upright="1"/>
                    </wps:wsp>
                  </a:graphicData>
                </a:graphic>
              </wp:anchor>
            </w:drawing>
          </mc:Choice>
          <mc:Fallback>
            <w:pict>
              <v:shape id="_x0000_s1026" o:spid="_x0000_s1026" o:spt="202" type="#_x0000_t202" style="position:absolute;left:0pt;margin-left:-9pt;margin-top:0.7pt;height:46.8pt;width:72pt;z-index:251849728;mso-width-relative:page;mso-height-relative:page;" filled="f" stroked="f" coordsize="21600,21600" o:gfxdata="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Tw3Q&#10;SNQAAAAIAQAADwAAAAAAAAABACAAAAAiAAAAZHJzL2Rvd25yZXYueG1sUEsBAhQAFAAAAAgAh07i&#10;QJ/e9Ba0AQAAXwMAAA4AAAAAAAAAAQAgAAAAIwEAAGRycy9lMm9Eb2MueG1sUEsFBgAAAAAGAAYA&#10;WQEAAEkFAAAAAA==&#10;">
                <v:fill on="f" focussize="0,0"/>
                <v:stroke on="f"/>
                <v:imagedata o:title=""/>
                <o:lock v:ext="edit" aspectratio="f"/>
                <v:textbox>
                  <w:txbxContent>
                    <w:p w14:paraId="18AF7711">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承包人保管发包人供应的材料和工程设备</w:t>
                      </w:r>
                    </w:p>
                  </w:txbxContent>
                </v:textbox>
              </v:shape>
            </w:pict>
          </mc:Fallback>
        </mc:AlternateContent>
      </w:r>
      <w:r>
        <w:rPr>
          <w:rFonts w:hint="eastAsia" w:ascii="宋体" w:hAnsi="宋体"/>
          <w:color w:val="auto"/>
          <w:sz w:val="24"/>
          <w:szCs w:val="18"/>
        </w:rPr>
        <w:t>发包人供应材料和工程设备的，经合同双方当事人共同清点后由承包人妥善保管，保管费由发包人承担；因承包人保管不善或承包人其它原因导致丢失或损害的，承包人应予赔偿。除工程量清单中已列有此类工作的支付项目和额度外，造价工程师应与合同双方当事人协商确定保管费，并增加到合同价款中；协商不能达成一致的，由造价工程师暂定，通知承包人并抄报发包人。</w:t>
      </w:r>
    </w:p>
    <w:p w14:paraId="5C6B9E54">
      <w:pPr>
        <w:pStyle w:val="3"/>
        <w:adjustRightInd w:val="0"/>
        <w:snapToGrid w:val="0"/>
        <w:spacing w:line="360" w:lineRule="auto"/>
        <w:ind w:firstLine="0"/>
        <w:rPr>
          <w:rFonts w:ascii="宋体"/>
          <w:b/>
          <w:color w:val="auto"/>
          <w:sz w:val="24"/>
          <w:szCs w:val="18"/>
          <w:u w:val="dotted"/>
        </w:rPr>
      </w:pPr>
      <w:r>
        <w:rPr>
          <w:rFonts w:ascii="宋体" w:hAnsi="宋体"/>
          <w:b/>
          <w:color w:val="auto"/>
          <w:sz w:val="24"/>
          <w:szCs w:val="18"/>
        </w:rPr>
        <w:t xml:space="preserve">48.6  </w:t>
      </w:r>
    </w:p>
    <w:p w14:paraId="70E3B13A">
      <w:pPr>
        <w:pStyle w:val="3"/>
        <w:adjustRightInd w:val="0"/>
        <w:snapToGrid w:val="0"/>
        <w:spacing w:line="360" w:lineRule="auto"/>
        <w:ind w:left="1619" w:leftChars="771" w:firstLine="0"/>
        <w:rPr>
          <w:rFonts w:ascii="宋体"/>
          <w:color w:val="auto"/>
          <w:sz w:val="24"/>
          <w:szCs w:val="18"/>
        </w:rPr>
      </w:pPr>
      <w:r>
        <w:rPr>
          <w:color w:val="auto"/>
        </w:rPr>
        <mc:AlternateContent>
          <mc:Choice Requires="wps">
            <w:drawing>
              <wp:anchor distT="0" distB="0" distL="114300" distR="114300" simplePos="0" relativeHeight="251850752" behindDoc="0" locked="0" layoutInCell="1" allowOverlap="1">
                <wp:simplePos x="0" y="0"/>
                <wp:positionH relativeFrom="column">
                  <wp:posOffset>-114300</wp:posOffset>
                </wp:positionH>
                <wp:positionV relativeFrom="paragraph">
                  <wp:posOffset>18415</wp:posOffset>
                </wp:positionV>
                <wp:extent cx="914400" cy="908685"/>
                <wp:effectExtent l="0" t="0" r="0" b="0"/>
                <wp:wrapNone/>
                <wp:docPr id="188" name="文本框 188"/>
                <wp:cNvGraphicFramePr/>
                <a:graphic xmlns:a="http://schemas.openxmlformats.org/drawingml/2006/main">
                  <a:graphicData uri="http://schemas.microsoft.com/office/word/2010/wordprocessingShape">
                    <wps:wsp>
                      <wps:cNvSpPr txBox="1"/>
                      <wps:spPr>
                        <a:xfrm>
                          <a:off x="0" y="0"/>
                          <a:ext cx="914400" cy="908685"/>
                        </a:xfrm>
                        <a:prstGeom prst="rect">
                          <a:avLst/>
                        </a:prstGeom>
                        <a:noFill/>
                        <a:ln>
                          <a:noFill/>
                        </a:ln>
                        <a:effectLst/>
                      </wps:spPr>
                      <wps:txbx>
                        <w:txbxContent>
                          <w:p w14:paraId="7366880E">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供应材料和工程设备与约定不符时发包人的责任</w:t>
                            </w:r>
                          </w:p>
                        </w:txbxContent>
                      </wps:txbx>
                      <wps:bodyPr upright="1"/>
                    </wps:wsp>
                  </a:graphicData>
                </a:graphic>
              </wp:anchor>
            </w:drawing>
          </mc:Choice>
          <mc:Fallback>
            <w:pict>
              <v:shape id="_x0000_s1026" o:spid="_x0000_s1026" o:spt="202" type="#_x0000_t202" style="position:absolute;left:0pt;margin-left:-9pt;margin-top:1.45pt;height:71.55pt;width:72pt;z-index:251850752;mso-width-relative:page;mso-height-relative:page;" filled="f" stroked="f" coordsize="21600,21600" o:gfxdata="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8qiMj&#10;1QAAAAkBAAAPAAAAAAAAAAEAIAAAACIAAABkcnMvZG93bnJldi54bWxQSwECFAAUAAAACACHTuJA&#10;A4KJKrIBAABfAwAADgAAAAAAAAABACAAAAAkAQAAZHJzL2Uyb0RvYy54bWxQSwUGAAAAAAYABgBZ&#10;AQAASAUAAAAA&#10;">
                <v:fill on="f" focussize="0,0"/>
                <v:stroke on="f"/>
                <v:imagedata o:title=""/>
                <o:lock v:ext="edit" aspectratio="f"/>
                <v:textbox>
                  <w:txbxContent>
                    <w:p w14:paraId="7366880E">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供应材料和工程设备与约定不符时发包人的责任</w:t>
                      </w:r>
                    </w:p>
                  </w:txbxContent>
                </v:textbox>
              </v:shape>
            </w:pict>
          </mc:Fallback>
        </mc:AlternateContent>
      </w:r>
      <w:r>
        <w:rPr>
          <w:rFonts w:hint="eastAsia" w:ascii="宋体" w:hAnsi="宋体"/>
          <w:color w:val="auto"/>
          <w:sz w:val="24"/>
          <w:szCs w:val="18"/>
        </w:rPr>
        <w:t>发包人供应的材料和工程设备与一览表不符时，发包人应按照下列规定承担相应责任：</w:t>
      </w:r>
    </w:p>
    <w:p w14:paraId="703EAA58">
      <w:pPr>
        <w:pStyle w:val="3"/>
        <w:numPr>
          <w:ilvl w:val="0"/>
          <w:numId w:val="22"/>
        </w:numPr>
        <w:tabs>
          <w:tab w:val="left" w:pos="1080"/>
          <w:tab w:val="left" w:pos="2160"/>
        </w:tabs>
        <w:adjustRightInd w:val="0"/>
        <w:snapToGrid w:val="0"/>
        <w:spacing w:line="360" w:lineRule="auto"/>
        <w:ind w:left="1619" w:leftChars="771" w:firstLine="0"/>
        <w:rPr>
          <w:rFonts w:ascii="宋体"/>
          <w:color w:val="auto"/>
          <w:sz w:val="24"/>
          <w:szCs w:val="18"/>
        </w:rPr>
      </w:pPr>
      <w:r>
        <w:rPr>
          <w:rFonts w:hint="eastAsia" w:ascii="宋体" w:hAnsi="宋体"/>
          <w:color w:val="auto"/>
          <w:sz w:val="24"/>
          <w:szCs w:val="18"/>
        </w:rPr>
        <w:t>材料和工程设备的单价与一览表不符，由发包人承担所有价差；</w:t>
      </w:r>
    </w:p>
    <w:p w14:paraId="658763B7">
      <w:pPr>
        <w:pStyle w:val="3"/>
        <w:numPr>
          <w:ilvl w:val="0"/>
          <w:numId w:val="22"/>
        </w:numPr>
        <w:tabs>
          <w:tab w:val="left" w:pos="1080"/>
          <w:tab w:val="left" w:pos="1620"/>
        </w:tabs>
        <w:adjustRightInd w:val="0"/>
        <w:snapToGrid w:val="0"/>
        <w:spacing w:line="360" w:lineRule="auto"/>
        <w:ind w:left="1617" w:leftChars="769" w:hanging="2" w:hangingChars="1"/>
        <w:rPr>
          <w:rFonts w:ascii="宋体"/>
          <w:color w:val="auto"/>
          <w:sz w:val="24"/>
          <w:szCs w:val="18"/>
        </w:rPr>
      </w:pPr>
      <w:r>
        <w:rPr>
          <w:rFonts w:hint="eastAsia" w:ascii="宋体" w:hAnsi="宋体"/>
          <w:color w:val="auto"/>
          <w:sz w:val="24"/>
          <w:szCs w:val="18"/>
        </w:rPr>
        <w:t>材料和工程设备的品种、规格、型号、质量标准与一览表不符，承包人可以拒绝接受保管，由发包人运出施工场地并重新采购；</w:t>
      </w:r>
    </w:p>
    <w:p w14:paraId="1944D04C">
      <w:pPr>
        <w:pStyle w:val="3"/>
        <w:numPr>
          <w:ilvl w:val="0"/>
          <w:numId w:val="22"/>
        </w:numPr>
        <w:tabs>
          <w:tab w:val="left" w:pos="1080"/>
          <w:tab w:val="left" w:pos="1620"/>
        </w:tabs>
        <w:adjustRightInd w:val="0"/>
        <w:snapToGrid w:val="0"/>
        <w:spacing w:line="360" w:lineRule="auto"/>
        <w:ind w:left="1617" w:leftChars="769" w:hanging="2" w:hangingChars="1"/>
        <w:rPr>
          <w:rFonts w:ascii="宋体"/>
          <w:color w:val="auto"/>
          <w:sz w:val="24"/>
          <w:szCs w:val="18"/>
        </w:rPr>
      </w:pPr>
      <w:r>
        <w:rPr>
          <w:rFonts w:hint="eastAsia" w:ascii="宋体" w:hAnsi="宋体"/>
          <w:color w:val="auto"/>
          <w:sz w:val="24"/>
          <w:szCs w:val="18"/>
        </w:rPr>
        <w:t>材料和工程设备的品种、规格、型号、质量标准与一览表不符，经发包人同意，承包人可代为调剂替换，由发包人承担相应费用；</w:t>
      </w:r>
    </w:p>
    <w:p w14:paraId="7F50D7BE">
      <w:pPr>
        <w:pStyle w:val="3"/>
        <w:numPr>
          <w:ilvl w:val="0"/>
          <w:numId w:val="22"/>
        </w:numPr>
        <w:tabs>
          <w:tab w:val="left" w:pos="1620"/>
        </w:tabs>
        <w:adjustRightInd w:val="0"/>
        <w:snapToGrid w:val="0"/>
        <w:spacing w:line="360" w:lineRule="auto"/>
        <w:ind w:left="1618" w:leftChars="770" w:hanging="1"/>
        <w:rPr>
          <w:rFonts w:ascii="宋体"/>
          <w:color w:val="auto"/>
          <w:sz w:val="24"/>
          <w:szCs w:val="18"/>
        </w:rPr>
      </w:pPr>
      <w:r>
        <w:rPr>
          <w:rFonts w:hint="eastAsia" w:ascii="宋体" w:hAnsi="宋体"/>
          <w:color w:val="auto"/>
          <w:sz w:val="24"/>
          <w:szCs w:val="18"/>
        </w:rPr>
        <w:t>交货地点与一览表不符，除合同双方当事人协商确定外，由发包人重新运至一览表指定地点，并承担由此增加的费用和（或）延误的工期；</w:t>
      </w:r>
    </w:p>
    <w:p w14:paraId="5A311C33">
      <w:pPr>
        <w:pStyle w:val="3"/>
        <w:tabs>
          <w:tab w:val="left" w:pos="2160"/>
        </w:tabs>
        <w:adjustRightInd w:val="0"/>
        <w:snapToGrid w:val="0"/>
        <w:spacing w:line="360" w:lineRule="auto"/>
        <w:ind w:left="1678" w:leftChars="750" w:hanging="103" w:hangingChars="43"/>
        <w:rPr>
          <w:rFonts w:ascii="宋体"/>
          <w:color w:val="auto"/>
          <w:sz w:val="24"/>
          <w:szCs w:val="18"/>
        </w:rPr>
      </w:pPr>
      <w:r>
        <w:rPr>
          <w:rFonts w:ascii="宋体" w:hAnsi="宋体"/>
          <w:color w:val="auto"/>
          <w:sz w:val="24"/>
          <w:szCs w:val="18"/>
        </w:rPr>
        <w:t>(5)</w:t>
      </w:r>
      <w:r>
        <w:rPr>
          <w:rFonts w:hint="eastAsia" w:ascii="宋体" w:hAnsi="宋体"/>
          <w:color w:val="auto"/>
          <w:sz w:val="24"/>
          <w:szCs w:val="18"/>
        </w:rPr>
        <w:t>供应数量少于一览表约定的数量时，由发包人补齐；多于一览表约定的数量时，发包人应将多出的部分运出施工场地；</w:t>
      </w:r>
    </w:p>
    <w:p w14:paraId="27A141F9">
      <w:pPr>
        <w:pStyle w:val="3"/>
        <w:tabs>
          <w:tab w:val="left" w:pos="1980"/>
        </w:tabs>
        <w:adjustRightInd w:val="0"/>
        <w:snapToGrid w:val="0"/>
        <w:spacing w:line="360" w:lineRule="auto"/>
        <w:ind w:left="1680" w:leftChars="800" w:firstLine="0"/>
        <w:rPr>
          <w:rFonts w:ascii="宋体"/>
          <w:color w:val="auto"/>
          <w:sz w:val="24"/>
          <w:szCs w:val="18"/>
        </w:rPr>
      </w:pPr>
      <w:r>
        <w:rPr>
          <w:rFonts w:ascii="宋体" w:hAnsi="宋体"/>
          <w:color w:val="auto"/>
          <w:sz w:val="24"/>
          <w:szCs w:val="18"/>
        </w:rPr>
        <w:t>(6)</w:t>
      </w:r>
      <w:r>
        <w:rPr>
          <w:rFonts w:hint="eastAsia" w:ascii="宋体" w:hAnsi="宋体"/>
          <w:color w:val="auto"/>
          <w:sz w:val="24"/>
          <w:szCs w:val="18"/>
        </w:rPr>
        <w:t>交货时间早于一览表约定计划和第</w:t>
      </w:r>
      <w:r>
        <w:rPr>
          <w:rFonts w:ascii="宋体" w:hAnsi="宋体"/>
          <w:color w:val="auto"/>
          <w:sz w:val="24"/>
          <w:szCs w:val="18"/>
        </w:rPr>
        <w:t>48.2</w:t>
      </w:r>
      <w:r>
        <w:rPr>
          <w:rFonts w:hint="eastAsia" w:ascii="宋体" w:hAnsi="宋体"/>
          <w:color w:val="auto"/>
          <w:sz w:val="24"/>
          <w:szCs w:val="18"/>
        </w:rPr>
        <w:t>款交货日期，由发包人承担由此发生的保管费；交货时间迟于一览表约定计划和第</w:t>
      </w:r>
      <w:r>
        <w:rPr>
          <w:rFonts w:ascii="宋体" w:hAnsi="宋体"/>
          <w:color w:val="auto"/>
          <w:sz w:val="24"/>
          <w:szCs w:val="18"/>
        </w:rPr>
        <w:t>48.2</w:t>
      </w:r>
      <w:r>
        <w:rPr>
          <w:rFonts w:hint="eastAsia" w:ascii="宋体" w:hAnsi="宋体"/>
          <w:color w:val="auto"/>
          <w:sz w:val="24"/>
          <w:szCs w:val="18"/>
        </w:rPr>
        <w:t>款交货日期，由发包人承担由此增加的费用和（或）延误的工期。</w:t>
      </w:r>
    </w:p>
    <w:p w14:paraId="71F24E65">
      <w:pPr>
        <w:pStyle w:val="3"/>
        <w:tabs>
          <w:tab w:val="left" w:pos="2160"/>
        </w:tabs>
        <w:adjustRightInd w:val="0"/>
        <w:snapToGrid w:val="0"/>
        <w:spacing w:line="360" w:lineRule="auto"/>
        <w:ind w:firstLine="0"/>
        <w:rPr>
          <w:rFonts w:ascii="宋体"/>
          <w:b/>
          <w:color w:val="auto"/>
          <w:sz w:val="24"/>
          <w:szCs w:val="18"/>
        </w:rPr>
      </w:pPr>
      <w:r>
        <w:rPr>
          <w:rFonts w:ascii="宋体" w:hAnsi="宋体"/>
          <w:b/>
          <w:color w:val="auto"/>
          <w:sz w:val="24"/>
          <w:szCs w:val="18"/>
        </w:rPr>
        <w:t xml:space="preserve">48.7 </w:t>
      </w:r>
    </w:p>
    <w:p w14:paraId="7DC4DA91">
      <w:pPr>
        <w:pStyle w:val="3"/>
        <w:adjustRightInd w:val="0"/>
        <w:snapToGrid w:val="0"/>
        <w:spacing w:line="360" w:lineRule="auto"/>
        <w:ind w:left="1619" w:leftChars="771" w:firstLine="0"/>
        <w:rPr>
          <w:rFonts w:ascii="宋体"/>
          <w:color w:val="auto"/>
          <w:sz w:val="24"/>
          <w:szCs w:val="18"/>
        </w:rPr>
      </w:pPr>
      <w:r>
        <w:rPr>
          <w:color w:val="auto"/>
        </w:rPr>
        <mc:AlternateContent>
          <mc:Choice Requires="wps">
            <w:drawing>
              <wp:anchor distT="0" distB="0" distL="114300" distR="114300" simplePos="0" relativeHeight="251851776" behindDoc="0" locked="0" layoutInCell="1" allowOverlap="1">
                <wp:simplePos x="0" y="0"/>
                <wp:positionH relativeFrom="column">
                  <wp:posOffset>-114300</wp:posOffset>
                </wp:positionH>
                <wp:positionV relativeFrom="paragraph">
                  <wp:posOffset>17145</wp:posOffset>
                </wp:positionV>
                <wp:extent cx="914400" cy="611505"/>
                <wp:effectExtent l="0" t="0" r="0" b="0"/>
                <wp:wrapNone/>
                <wp:docPr id="189" name="文本框 189"/>
                <wp:cNvGraphicFramePr/>
                <a:graphic xmlns:a="http://schemas.openxmlformats.org/drawingml/2006/main">
                  <a:graphicData uri="http://schemas.microsoft.com/office/word/2010/wordprocessingShape">
                    <wps:wsp>
                      <wps:cNvSpPr txBox="1"/>
                      <wps:spPr>
                        <a:xfrm>
                          <a:off x="0" y="0"/>
                          <a:ext cx="914400" cy="611505"/>
                        </a:xfrm>
                        <a:prstGeom prst="rect">
                          <a:avLst/>
                        </a:prstGeom>
                        <a:noFill/>
                        <a:ln>
                          <a:noFill/>
                        </a:ln>
                        <a:effectLst/>
                      </wps:spPr>
                      <wps:txbx>
                        <w:txbxContent>
                          <w:p w14:paraId="1CD9401C">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供应材料和工程设备使用前的检验</w:t>
                            </w:r>
                          </w:p>
                        </w:txbxContent>
                      </wps:txbx>
                      <wps:bodyPr upright="1"/>
                    </wps:wsp>
                  </a:graphicData>
                </a:graphic>
              </wp:anchor>
            </w:drawing>
          </mc:Choice>
          <mc:Fallback>
            <w:pict>
              <v:shape id="_x0000_s1026" o:spid="_x0000_s1026" o:spt="202" type="#_x0000_t202" style="position:absolute;left:0pt;margin-left:-9pt;margin-top:1.35pt;height:48.15pt;width:72pt;z-index:251851776;mso-width-relative:page;mso-height-relative:page;" filled="f" stroked="f" coordsize="21600,21600" o:gfxdata="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6dGel&#10;1QAAAAgBAAAPAAAAAAAAAAEAIAAAACIAAABkcnMvZG93bnJldi54bWxQSwECFAAUAAAACACHTuJA&#10;BuY4aLIBAABfAwAADgAAAAAAAAABACAAAAAkAQAAZHJzL2Uyb0RvYy54bWxQSwUGAAAAAAYABgBZ&#10;AQAASAUAAAAA&#10;">
                <v:fill on="f" focussize="0,0"/>
                <v:stroke on="f"/>
                <v:imagedata o:title=""/>
                <o:lock v:ext="edit" aspectratio="f"/>
                <v:textbox>
                  <w:txbxContent>
                    <w:p w14:paraId="1CD9401C">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供应材料和工程设备使用前的检验</w:t>
                      </w:r>
                    </w:p>
                  </w:txbxContent>
                </v:textbox>
              </v:shape>
            </w:pict>
          </mc:Fallback>
        </mc:AlternateContent>
      </w:r>
      <w:r>
        <w:rPr>
          <w:rFonts w:hint="eastAsia" w:ascii="宋体" w:hAnsi="宋体"/>
          <w:color w:val="auto"/>
          <w:sz w:val="24"/>
          <w:szCs w:val="18"/>
        </w:rPr>
        <w:t>发包人供应的材料和工程设备使用前，由监理工程师会同承包人进行检验试验，查验材料合格证明和产品合格证书。合同双方当事人应做好检验书面记录，并要求指定人选及时办理签认手续。不合格的，禁止在合同工程中使用。</w:t>
      </w:r>
    </w:p>
    <w:p w14:paraId="0D798500">
      <w:pPr>
        <w:pStyle w:val="3"/>
        <w:adjustRightInd w:val="0"/>
        <w:snapToGrid w:val="0"/>
        <w:spacing w:before="120" w:beforeLines="50" w:line="360" w:lineRule="auto"/>
        <w:ind w:firstLine="0"/>
        <w:rPr>
          <w:rFonts w:ascii="宋体"/>
          <w:b/>
          <w:color w:val="auto"/>
          <w:sz w:val="24"/>
          <w:szCs w:val="18"/>
        </w:rPr>
      </w:pPr>
      <w:r>
        <w:rPr>
          <w:rFonts w:ascii="宋体" w:hAnsi="宋体"/>
          <w:b/>
          <w:color w:val="auto"/>
          <w:sz w:val="24"/>
          <w:szCs w:val="18"/>
        </w:rPr>
        <w:t xml:space="preserve">48.8  </w:t>
      </w:r>
    </w:p>
    <w:p w14:paraId="7EF8443C">
      <w:pPr>
        <w:pStyle w:val="3"/>
        <w:adjustRightInd w:val="0"/>
        <w:snapToGrid w:val="0"/>
        <w:spacing w:line="360" w:lineRule="auto"/>
        <w:ind w:left="1619" w:leftChars="771" w:firstLine="0"/>
        <w:rPr>
          <w:rFonts w:ascii="宋体"/>
          <w:color w:val="auto"/>
          <w:sz w:val="24"/>
          <w:szCs w:val="18"/>
        </w:rPr>
      </w:pPr>
      <w:r>
        <w:rPr>
          <w:color w:val="auto"/>
        </w:rPr>
        <mc:AlternateContent>
          <mc:Choice Requires="wps">
            <w:drawing>
              <wp:anchor distT="0" distB="0" distL="114300" distR="114300" simplePos="0" relativeHeight="251852800" behindDoc="0" locked="0" layoutInCell="1" allowOverlap="1">
                <wp:simplePos x="0" y="0"/>
                <wp:positionH relativeFrom="column">
                  <wp:posOffset>-114300</wp:posOffset>
                </wp:positionH>
                <wp:positionV relativeFrom="paragraph">
                  <wp:posOffset>7620</wp:posOffset>
                </wp:positionV>
                <wp:extent cx="1028700" cy="297180"/>
                <wp:effectExtent l="0" t="0" r="0" b="0"/>
                <wp:wrapNone/>
                <wp:docPr id="190" name="文本框 190"/>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a:effectLst/>
                      </wps:spPr>
                      <wps:txbx>
                        <w:txbxContent>
                          <w:p w14:paraId="65A33563">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约定结算方式</w:t>
                            </w:r>
                          </w:p>
                        </w:txbxContent>
                      </wps:txbx>
                      <wps:bodyPr upright="1"/>
                    </wps:wsp>
                  </a:graphicData>
                </a:graphic>
              </wp:anchor>
            </w:drawing>
          </mc:Choice>
          <mc:Fallback>
            <w:pict>
              <v:shape id="_x0000_s1026" o:spid="_x0000_s1026" o:spt="202" type="#_x0000_t202" style="position:absolute;left:0pt;margin-left:-9pt;margin-top:0.6pt;height:23.4pt;width:81pt;z-index:251852800;mso-width-relative:page;mso-height-relative:page;" filled="f" stroked="f" coordsize="21600,21600" o:gfxdata="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uWJoN1AAA&#10;AAgBAAAPAAAAAAAAAAEAIAAAACIAAABkcnMvZG93bnJldi54bWxQSwECFAAUAAAACACHTuJA2vDA&#10;VrABAABgAwAADgAAAAAAAAABACAAAAAjAQAAZHJzL2Uyb0RvYy54bWxQSwUGAAAAAAYABgBZAQAA&#10;RQUAAAAA&#10;">
                <v:fill on="f" focussize="0,0"/>
                <v:stroke on="f"/>
                <v:imagedata o:title=""/>
                <o:lock v:ext="edit" aspectratio="f"/>
                <v:textbox>
                  <w:txbxContent>
                    <w:p w14:paraId="65A33563">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约定结算方式</w:t>
                      </w:r>
                    </w:p>
                  </w:txbxContent>
                </v:textbox>
              </v:shape>
            </w:pict>
          </mc:Fallback>
        </mc:AlternateContent>
      </w:r>
      <w:r>
        <w:rPr>
          <w:rFonts w:hint="eastAsia" w:ascii="宋体" w:hAnsi="宋体"/>
          <w:color w:val="auto"/>
          <w:sz w:val="24"/>
          <w:szCs w:val="18"/>
        </w:rPr>
        <w:t>发包人供应材料和工程设备的结算方式，由合同双方当事人在专用条款中约定。除工程量清单中已列有规费、税金项目的计算方法和额度，可由承包人代收代缴外，该结算方式发包人应按照政府有关部门和税务部门规定缴纳合同工程的规费、税金。</w:t>
      </w:r>
    </w:p>
    <w:p w14:paraId="71D3F932">
      <w:pPr>
        <w:pStyle w:val="3"/>
        <w:adjustRightInd w:val="0"/>
        <w:snapToGrid w:val="0"/>
        <w:spacing w:line="360" w:lineRule="auto"/>
        <w:ind w:firstLine="482"/>
        <w:rPr>
          <w:color w:val="auto"/>
        </w:rPr>
      </w:pPr>
    </w:p>
    <w:p w14:paraId="022AD816">
      <w:pPr>
        <w:pStyle w:val="3"/>
        <w:adjustRightInd w:val="0"/>
        <w:snapToGrid w:val="0"/>
        <w:spacing w:line="360" w:lineRule="auto"/>
        <w:ind w:firstLine="0"/>
        <w:rPr>
          <w:rFonts w:ascii="宋体"/>
          <w:b/>
          <w:color w:val="auto"/>
          <w:sz w:val="30"/>
          <w:szCs w:val="30"/>
        </w:rPr>
      </w:pPr>
      <w:r>
        <w:rPr>
          <w:rFonts w:ascii="宋体" w:hAnsi="宋体"/>
          <w:b/>
          <w:color w:val="auto"/>
          <w:sz w:val="30"/>
          <w:szCs w:val="30"/>
        </w:rPr>
        <w:t xml:space="preserve">49  </w:t>
      </w:r>
      <w:r>
        <w:rPr>
          <w:rFonts w:hint="eastAsia" w:ascii="宋体" w:hAnsi="宋体"/>
          <w:b/>
          <w:color w:val="auto"/>
          <w:sz w:val="30"/>
          <w:szCs w:val="30"/>
        </w:rPr>
        <w:t>承包人采购材料和工程设备</w:t>
      </w:r>
    </w:p>
    <w:p w14:paraId="69DD5BDA">
      <w:pPr>
        <w:pStyle w:val="3"/>
        <w:adjustRightInd w:val="0"/>
        <w:snapToGrid w:val="0"/>
        <w:spacing w:line="360" w:lineRule="auto"/>
        <w:ind w:firstLine="0"/>
        <w:rPr>
          <w:rFonts w:ascii="宋体"/>
          <w:b/>
          <w:color w:val="auto"/>
          <w:sz w:val="24"/>
          <w:szCs w:val="18"/>
        </w:rPr>
      </w:pPr>
      <w:r>
        <w:rPr>
          <w:rFonts w:ascii="宋体" w:hAnsi="宋体"/>
          <w:b/>
          <w:color w:val="auto"/>
          <w:sz w:val="24"/>
          <w:szCs w:val="18"/>
        </w:rPr>
        <w:t xml:space="preserve">49.1 </w:t>
      </w:r>
    </w:p>
    <w:p w14:paraId="50CC6D22">
      <w:pPr>
        <w:pStyle w:val="3"/>
        <w:adjustRightInd w:val="0"/>
        <w:snapToGrid w:val="0"/>
        <w:spacing w:line="360" w:lineRule="auto"/>
        <w:ind w:left="1619" w:leftChars="771" w:firstLine="0"/>
        <w:rPr>
          <w:rFonts w:ascii="宋体"/>
          <w:color w:val="auto"/>
          <w:sz w:val="24"/>
          <w:szCs w:val="18"/>
        </w:rPr>
      </w:pPr>
      <w:r>
        <w:rPr>
          <w:color w:val="auto"/>
        </w:rPr>
        <mc:AlternateContent>
          <mc:Choice Requires="wps">
            <w:drawing>
              <wp:anchor distT="0" distB="0" distL="114300" distR="114300" simplePos="0" relativeHeight="251853824" behindDoc="0" locked="0" layoutInCell="1" allowOverlap="1">
                <wp:simplePos x="0" y="0"/>
                <wp:positionH relativeFrom="column">
                  <wp:posOffset>-114300</wp:posOffset>
                </wp:positionH>
                <wp:positionV relativeFrom="paragraph">
                  <wp:posOffset>17145</wp:posOffset>
                </wp:positionV>
                <wp:extent cx="914400" cy="486410"/>
                <wp:effectExtent l="0" t="0" r="0" b="0"/>
                <wp:wrapNone/>
                <wp:docPr id="191" name="文本框 191"/>
                <wp:cNvGraphicFramePr/>
                <a:graphic xmlns:a="http://schemas.openxmlformats.org/drawingml/2006/main">
                  <a:graphicData uri="http://schemas.microsoft.com/office/word/2010/wordprocessingShape">
                    <wps:wsp>
                      <wps:cNvSpPr txBox="1"/>
                      <wps:spPr>
                        <a:xfrm>
                          <a:off x="0" y="0"/>
                          <a:ext cx="914400" cy="486410"/>
                        </a:xfrm>
                        <a:prstGeom prst="rect">
                          <a:avLst/>
                        </a:prstGeom>
                        <a:noFill/>
                        <a:ln>
                          <a:noFill/>
                        </a:ln>
                        <a:effectLst/>
                      </wps:spPr>
                      <wps:txbx>
                        <w:txbxContent>
                          <w:p w14:paraId="73382FF0">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承包人采购材料和工程设备</w:t>
                            </w:r>
                          </w:p>
                        </w:txbxContent>
                      </wps:txbx>
                      <wps:bodyPr upright="1"/>
                    </wps:wsp>
                  </a:graphicData>
                </a:graphic>
              </wp:anchor>
            </w:drawing>
          </mc:Choice>
          <mc:Fallback>
            <w:pict>
              <v:shape id="_x0000_s1026" o:spid="_x0000_s1026" o:spt="202" type="#_x0000_t202" style="position:absolute;left:0pt;margin-left:-9pt;margin-top:1.35pt;height:38.3pt;width:72pt;z-index:251853824;mso-width-relative:page;mso-height-relative:page;" filled="f" stroked="f" coordsize="21600,21600" o:gfxdata="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I/7+&#10;1dYAAAAIAQAADwAAAAAAAAABACAAAAAiAAAAZHJzL2Rvd25yZXYueG1sUEsBAhQAFAAAAAgAh07i&#10;QHNwiC+yAQAAXwMAAA4AAAAAAAAAAQAgAAAAJQEAAGRycy9lMm9Eb2MueG1sUEsFBgAAAAAGAAYA&#10;WQEAAEkFAAAAAA==&#10;">
                <v:fill on="f" focussize="0,0"/>
                <v:stroke on="f"/>
                <v:imagedata o:title=""/>
                <o:lock v:ext="edit" aspectratio="f"/>
                <v:textbox>
                  <w:txbxContent>
                    <w:p w14:paraId="73382FF0">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承包人采购材料和工程设备</w:t>
                      </w:r>
                    </w:p>
                  </w:txbxContent>
                </v:textbox>
              </v:shape>
            </w:pict>
          </mc:Fallback>
        </mc:AlternateContent>
      </w:r>
      <w:r>
        <w:rPr>
          <w:rFonts w:hint="eastAsia" w:ascii="宋体" w:hAnsi="宋体"/>
          <w:color w:val="auto"/>
          <w:sz w:val="24"/>
          <w:szCs w:val="18"/>
        </w:rPr>
        <w:t>承包人负责采购材料和工程设备的，应按照标准与规范、设计要求和合同约定的要求采购，并提供产品质量合格证明文件，对材料和工程设备质量负责。承包人采购招标工程的材料和工程设备，应与其提交的投标文件相应内容一致。除专用条款另有约定外，上述材料和工程设备均由承包人负责运输和保管。</w:t>
      </w:r>
    </w:p>
    <w:p w14:paraId="576DA3EF">
      <w:pPr>
        <w:pStyle w:val="3"/>
        <w:adjustRightInd w:val="0"/>
        <w:snapToGrid w:val="0"/>
        <w:spacing w:line="360" w:lineRule="auto"/>
        <w:ind w:firstLine="0"/>
        <w:rPr>
          <w:rFonts w:ascii="宋体"/>
          <w:b/>
          <w:color w:val="auto"/>
          <w:sz w:val="24"/>
          <w:szCs w:val="18"/>
        </w:rPr>
      </w:pPr>
      <w:r>
        <w:rPr>
          <w:rFonts w:ascii="宋体" w:hAnsi="宋体"/>
          <w:b/>
          <w:color w:val="auto"/>
          <w:sz w:val="24"/>
          <w:szCs w:val="18"/>
        </w:rPr>
        <w:t xml:space="preserve">49.2 </w:t>
      </w:r>
    </w:p>
    <w:p w14:paraId="3379712C">
      <w:pPr>
        <w:pStyle w:val="3"/>
        <w:adjustRightInd w:val="0"/>
        <w:snapToGrid w:val="0"/>
        <w:spacing w:line="360" w:lineRule="auto"/>
        <w:ind w:left="1619" w:leftChars="771" w:firstLine="0"/>
        <w:rPr>
          <w:rFonts w:ascii="宋体"/>
          <w:color w:val="auto"/>
          <w:sz w:val="24"/>
          <w:szCs w:val="18"/>
        </w:rPr>
      </w:pPr>
      <w:r>
        <w:rPr>
          <w:color w:val="auto"/>
        </w:rPr>
        <mc:AlternateContent>
          <mc:Choice Requires="wps">
            <w:drawing>
              <wp:anchor distT="0" distB="0" distL="114300" distR="114300" simplePos="0" relativeHeight="251854848" behindDoc="0" locked="0" layoutInCell="1" allowOverlap="1">
                <wp:simplePos x="0" y="0"/>
                <wp:positionH relativeFrom="column">
                  <wp:posOffset>-114300</wp:posOffset>
                </wp:positionH>
                <wp:positionV relativeFrom="paragraph">
                  <wp:posOffset>17145</wp:posOffset>
                </wp:positionV>
                <wp:extent cx="914400" cy="486410"/>
                <wp:effectExtent l="0" t="0" r="0" b="0"/>
                <wp:wrapNone/>
                <wp:docPr id="192" name="文本框 192"/>
                <wp:cNvGraphicFramePr/>
                <a:graphic xmlns:a="http://schemas.openxmlformats.org/drawingml/2006/main">
                  <a:graphicData uri="http://schemas.microsoft.com/office/word/2010/wordprocessingShape">
                    <wps:wsp>
                      <wps:cNvSpPr txBox="1"/>
                      <wps:spPr>
                        <a:xfrm>
                          <a:off x="0" y="0"/>
                          <a:ext cx="914400" cy="486410"/>
                        </a:xfrm>
                        <a:prstGeom prst="rect">
                          <a:avLst/>
                        </a:prstGeom>
                        <a:noFill/>
                        <a:ln>
                          <a:noFill/>
                        </a:ln>
                        <a:effectLst/>
                      </wps:spPr>
                      <wps:txbx>
                        <w:txbxContent>
                          <w:p w14:paraId="622B3B07">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承包人供货与清点要求</w:t>
                            </w:r>
                          </w:p>
                        </w:txbxContent>
                      </wps:txbx>
                      <wps:bodyPr upright="1"/>
                    </wps:wsp>
                  </a:graphicData>
                </a:graphic>
              </wp:anchor>
            </w:drawing>
          </mc:Choice>
          <mc:Fallback>
            <w:pict>
              <v:shape id="_x0000_s1026" o:spid="_x0000_s1026" o:spt="202" type="#_x0000_t202" style="position:absolute;left:0pt;margin-left:-9pt;margin-top:1.35pt;height:38.3pt;width:72pt;z-index:251854848;mso-width-relative:page;mso-height-relative:page;" filled="f" stroked="f" coordsize="21600,21600" o:gfxdata="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CP+&#10;/tXWAAAACAEAAA8AAAAAAAAAAQAgAAAAIgAAAGRycy9kb3ducmV2LnhtbFBLAQIUABQAAAAIAIdO&#10;4kCTfqQLswEAAF8DAAAOAAAAAAAAAAEAIAAAACUBAABkcnMvZTJvRG9jLnhtbFBLBQYAAAAABgAG&#10;AFkBAABKBQAAAAA=&#10;">
                <v:fill on="f" focussize="0,0"/>
                <v:stroke on="f"/>
                <v:imagedata o:title=""/>
                <o:lock v:ext="edit" aspectratio="f"/>
                <v:textbox>
                  <w:txbxContent>
                    <w:p w14:paraId="622B3B07">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承包人供货与清点要求</w:t>
                      </w:r>
                    </w:p>
                  </w:txbxContent>
                </v:textbox>
              </v:shape>
            </w:pict>
          </mc:Fallback>
        </mc:AlternateContent>
      </w:r>
      <w:r>
        <w:rPr>
          <w:rFonts w:hint="eastAsia" w:ascii="宋体" w:hAnsi="宋体"/>
          <w:color w:val="auto"/>
          <w:sz w:val="24"/>
          <w:szCs w:val="18"/>
        </w:rPr>
        <w:t>承包人应按照专用条款的约定，将各项材料和工程设备的供货人及品种、规格、数量和供货时间等情况以书面形式提交监理工程师确认，并由其报发包人批准后实施供货。承包人应在材料和工程设备到货前至少提前</w:t>
      </w:r>
      <w:r>
        <w:rPr>
          <w:rFonts w:ascii="宋体" w:hAnsi="宋体"/>
          <w:color w:val="auto"/>
          <w:sz w:val="24"/>
          <w:szCs w:val="18"/>
        </w:rPr>
        <w:t>24</w:t>
      </w:r>
      <w:r>
        <w:rPr>
          <w:rFonts w:hint="eastAsia" w:ascii="宋体" w:hAnsi="宋体"/>
          <w:color w:val="auto"/>
          <w:sz w:val="24"/>
          <w:szCs w:val="18"/>
        </w:rPr>
        <w:t>小时，以书面形式通知发包人和监理工程师，并在监理工程师的见证下与发包人共同清点。</w:t>
      </w:r>
    </w:p>
    <w:p w14:paraId="7E60D755">
      <w:pPr>
        <w:pStyle w:val="3"/>
        <w:adjustRightInd w:val="0"/>
        <w:snapToGrid w:val="0"/>
        <w:spacing w:line="360" w:lineRule="auto"/>
        <w:ind w:firstLine="0"/>
        <w:rPr>
          <w:rFonts w:ascii="宋体"/>
          <w:b/>
          <w:color w:val="auto"/>
          <w:sz w:val="24"/>
          <w:szCs w:val="18"/>
        </w:rPr>
      </w:pPr>
      <w:r>
        <w:rPr>
          <w:rFonts w:ascii="宋体" w:hAnsi="宋体"/>
          <w:b/>
          <w:color w:val="auto"/>
          <w:sz w:val="24"/>
          <w:szCs w:val="18"/>
        </w:rPr>
        <w:t xml:space="preserve">49.3  </w:t>
      </w:r>
    </w:p>
    <w:p w14:paraId="097BC042">
      <w:pPr>
        <w:pStyle w:val="3"/>
        <w:adjustRightInd w:val="0"/>
        <w:snapToGrid w:val="0"/>
        <w:spacing w:line="360" w:lineRule="auto"/>
        <w:ind w:left="1619" w:leftChars="771" w:firstLine="0"/>
        <w:rPr>
          <w:rFonts w:ascii="宋体"/>
          <w:color w:val="auto"/>
          <w:sz w:val="24"/>
          <w:szCs w:val="18"/>
        </w:rPr>
      </w:pPr>
      <w:r>
        <w:rPr>
          <w:color w:val="auto"/>
        </w:rPr>
        <mc:AlternateContent>
          <mc:Choice Requires="wps">
            <w:drawing>
              <wp:anchor distT="0" distB="0" distL="114300" distR="114300" simplePos="0" relativeHeight="251855872" behindDoc="0" locked="0" layoutInCell="1" allowOverlap="1">
                <wp:simplePos x="0" y="0"/>
                <wp:positionH relativeFrom="column">
                  <wp:posOffset>-114300</wp:posOffset>
                </wp:positionH>
                <wp:positionV relativeFrom="paragraph">
                  <wp:posOffset>1270</wp:posOffset>
                </wp:positionV>
                <wp:extent cx="914400" cy="792480"/>
                <wp:effectExtent l="0" t="0" r="0" b="0"/>
                <wp:wrapNone/>
                <wp:docPr id="193" name="文本框 193"/>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a:effectLst/>
                      </wps:spPr>
                      <wps:txbx>
                        <w:txbxContent>
                          <w:p w14:paraId="10B0A2EC">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承包人采购材料和工程设备的责任</w:t>
                            </w:r>
                          </w:p>
                        </w:txbxContent>
                      </wps:txbx>
                      <wps:bodyPr upright="1"/>
                    </wps:wsp>
                  </a:graphicData>
                </a:graphic>
              </wp:anchor>
            </w:drawing>
          </mc:Choice>
          <mc:Fallback>
            <w:pict>
              <v:shape id="_x0000_s1026" o:spid="_x0000_s1026" o:spt="202" type="#_x0000_t202" style="position:absolute;left:0pt;margin-left:-9pt;margin-top:0.1pt;height:62.4pt;width:72pt;z-index:251855872;mso-width-relative:page;mso-height-relative:page;" filled="f" stroked="f" coordsize="21600,21600" o:gfxdata="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WQ8Kq&#10;1AAAAAgBAAAPAAAAAAAAAAEAIAAAACIAAABkcnMvZG93bnJldi54bWxQSwECFAAUAAAACACHTuJA&#10;BoktEbMBAABfAwAADgAAAAAAAAABACAAAAAjAQAAZHJzL2Uyb0RvYy54bWxQSwUGAAAAAAYABgBZ&#10;AQAASAUAAAAA&#10;">
                <v:fill on="f" focussize="0,0"/>
                <v:stroke on="f"/>
                <v:imagedata o:title=""/>
                <o:lock v:ext="edit" aspectratio="f"/>
                <v:textbox>
                  <w:txbxContent>
                    <w:p w14:paraId="10B0A2EC">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承包人采购材料和工程设备的责任</w:t>
                      </w:r>
                    </w:p>
                  </w:txbxContent>
                </v:textbox>
              </v:shape>
            </w:pict>
          </mc:Fallback>
        </mc:AlternateContent>
      </w:r>
      <w:r>
        <w:rPr>
          <w:rFonts w:hint="eastAsia" w:ascii="宋体" w:hAnsi="宋体"/>
          <w:color w:val="auto"/>
          <w:sz w:val="24"/>
          <w:szCs w:val="18"/>
        </w:rPr>
        <w:t>承包人采购的材料和工程设备不符合标准与规范、设计要求和合同约定的要求时，应按照监理工程师的指令将其运出施工场地，重新采购符合要求的产品，由此增加的费用和（或）延误的工期由承包人承担。</w:t>
      </w:r>
    </w:p>
    <w:p w14:paraId="7DF65E6F">
      <w:pPr>
        <w:pStyle w:val="3"/>
        <w:adjustRightInd w:val="0"/>
        <w:snapToGrid w:val="0"/>
        <w:spacing w:line="360" w:lineRule="auto"/>
        <w:ind w:firstLine="0"/>
        <w:rPr>
          <w:rFonts w:ascii="宋体"/>
          <w:b/>
          <w:color w:val="auto"/>
          <w:sz w:val="24"/>
          <w:szCs w:val="18"/>
        </w:rPr>
      </w:pPr>
      <w:r>
        <w:rPr>
          <w:rFonts w:ascii="宋体" w:hAnsi="宋体"/>
          <w:b/>
          <w:color w:val="auto"/>
          <w:sz w:val="24"/>
          <w:szCs w:val="18"/>
        </w:rPr>
        <w:t xml:space="preserve">49.4  </w:t>
      </w:r>
    </w:p>
    <w:p w14:paraId="21F51B6A">
      <w:pPr>
        <w:pStyle w:val="3"/>
        <w:adjustRightInd w:val="0"/>
        <w:snapToGrid w:val="0"/>
        <w:spacing w:line="360" w:lineRule="auto"/>
        <w:ind w:left="1619" w:leftChars="771" w:firstLine="0"/>
        <w:rPr>
          <w:rFonts w:ascii="宋体"/>
          <w:color w:val="auto"/>
          <w:sz w:val="24"/>
          <w:szCs w:val="18"/>
        </w:rPr>
      </w:pPr>
      <w:r>
        <w:rPr>
          <w:color w:val="auto"/>
        </w:rPr>
        <mc:AlternateContent>
          <mc:Choice Requires="wps">
            <w:drawing>
              <wp:anchor distT="0" distB="0" distL="114300" distR="114300" simplePos="0" relativeHeight="251856896" behindDoc="0" locked="0" layoutInCell="1" allowOverlap="1">
                <wp:simplePos x="0" y="0"/>
                <wp:positionH relativeFrom="column">
                  <wp:posOffset>-114300</wp:posOffset>
                </wp:positionH>
                <wp:positionV relativeFrom="paragraph">
                  <wp:posOffset>-5080</wp:posOffset>
                </wp:positionV>
                <wp:extent cx="914400" cy="792480"/>
                <wp:effectExtent l="0" t="0" r="0" b="0"/>
                <wp:wrapNone/>
                <wp:docPr id="194" name="文本框 194"/>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a:effectLst/>
                      </wps:spPr>
                      <wps:txbx>
                        <w:txbxContent>
                          <w:p w14:paraId="4EC98793">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承包人使用采购的材料和工程设备的责任</w:t>
                            </w:r>
                          </w:p>
                        </w:txbxContent>
                      </wps:txbx>
                      <wps:bodyPr upright="1"/>
                    </wps:wsp>
                  </a:graphicData>
                </a:graphic>
              </wp:anchor>
            </w:drawing>
          </mc:Choice>
          <mc:Fallback>
            <w:pict>
              <v:shape id="_x0000_s1026" o:spid="_x0000_s1026" o:spt="202" type="#_x0000_t202" style="position:absolute;left:0pt;margin-left:-9pt;margin-top:-0.4pt;height:62.4pt;width:72pt;z-index:251856896;mso-width-relative:page;mso-height-relative:page;" filled="f" stroked="f" coordsize="21600,21600" o:gfxdata="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uL&#10;1AAAAAkBAAAPAAAAAAAAAAEAIAAAACIAAABkcnMvZG93bnJldi54bWxQSwECFAAUAAAACACHTuJA&#10;WZO+87MBAABfAwAADgAAAAAAAAABACAAAAAjAQAAZHJzL2Uyb0RvYy54bWxQSwUGAAAAAAYABgBZ&#10;AQAASAUAAAAA&#10;">
                <v:fill on="f" focussize="0,0"/>
                <v:stroke on="f"/>
                <v:imagedata o:title=""/>
                <o:lock v:ext="edit" aspectratio="f"/>
                <v:textbox>
                  <w:txbxContent>
                    <w:p w14:paraId="4EC98793">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承包人使用采购的材料和工程设备的责任</w:t>
                      </w:r>
                    </w:p>
                  </w:txbxContent>
                </v:textbox>
              </v:shape>
            </w:pict>
          </mc:Fallback>
        </mc:AlternateContent>
      </w:r>
      <w:r>
        <w:rPr>
          <w:rFonts w:hint="eastAsia" w:ascii="宋体" w:hAnsi="宋体"/>
          <w:color w:val="auto"/>
          <w:sz w:val="24"/>
          <w:szCs w:val="18"/>
        </w:rPr>
        <w:t>监理工程师发现承包人使用不符合标准与规范、设计要求和合同约定要求的材料和工程设备时，应迅速发出指令要求承包人立即停止使用，并拆除、修复或重新采购，由此增加的费用和（或）延误的工期由承包人承担。</w:t>
      </w:r>
    </w:p>
    <w:p w14:paraId="04852DE2">
      <w:pPr>
        <w:pStyle w:val="3"/>
        <w:adjustRightInd w:val="0"/>
        <w:snapToGrid w:val="0"/>
        <w:spacing w:line="360" w:lineRule="auto"/>
        <w:ind w:firstLine="0"/>
        <w:rPr>
          <w:rFonts w:ascii="宋体"/>
          <w:color w:val="auto"/>
          <w:sz w:val="24"/>
          <w:szCs w:val="18"/>
        </w:rPr>
      </w:pPr>
      <w:r>
        <w:rPr>
          <w:color w:val="auto"/>
        </w:rPr>
        <mc:AlternateContent>
          <mc:Choice Requires="wps">
            <w:drawing>
              <wp:anchor distT="0" distB="0" distL="114300" distR="114300" simplePos="0" relativeHeight="251857920" behindDoc="0" locked="0" layoutInCell="1" allowOverlap="1">
                <wp:simplePos x="0" y="0"/>
                <wp:positionH relativeFrom="column">
                  <wp:posOffset>-114300</wp:posOffset>
                </wp:positionH>
                <wp:positionV relativeFrom="paragraph">
                  <wp:posOffset>242570</wp:posOffset>
                </wp:positionV>
                <wp:extent cx="914400" cy="441960"/>
                <wp:effectExtent l="0" t="0" r="0" b="0"/>
                <wp:wrapNone/>
                <wp:docPr id="195" name="文本框 195"/>
                <wp:cNvGraphicFramePr/>
                <a:graphic xmlns:a="http://schemas.openxmlformats.org/drawingml/2006/main">
                  <a:graphicData uri="http://schemas.microsoft.com/office/word/2010/wordprocessingShape">
                    <wps:wsp>
                      <wps:cNvSpPr txBox="1"/>
                      <wps:spPr>
                        <a:xfrm>
                          <a:off x="0" y="0"/>
                          <a:ext cx="914400" cy="441960"/>
                        </a:xfrm>
                        <a:prstGeom prst="rect">
                          <a:avLst/>
                        </a:prstGeom>
                        <a:noFill/>
                        <a:ln>
                          <a:noFill/>
                        </a:ln>
                        <a:effectLst/>
                      </wps:spPr>
                      <wps:txbx>
                        <w:txbxContent>
                          <w:p w14:paraId="40D48208">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承包人不执行指令的责任</w:t>
                            </w:r>
                          </w:p>
                        </w:txbxContent>
                      </wps:txbx>
                      <wps:bodyPr upright="1"/>
                    </wps:wsp>
                  </a:graphicData>
                </a:graphic>
              </wp:anchor>
            </w:drawing>
          </mc:Choice>
          <mc:Fallback>
            <w:pict>
              <v:shape id="_x0000_s1026" o:spid="_x0000_s1026" o:spt="202" type="#_x0000_t202" style="position:absolute;left:0pt;margin-left:-9pt;margin-top:19.1pt;height:34.8pt;width:72pt;z-index:251857920;mso-width-relative:page;mso-height-relative:page;" filled="f" stroked="f" coordsize="21600,21600" o:gfxdata="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9&#10;3mNR1wAAAAoBAAAPAAAAAAAAAAEAIAAAACIAAABkcnMvZG93bnJldi54bWxQSwECFAAUAAAACACH&#10;TuJAvi6wjrMBAABfAwAADgAAAAAAAAABACAAAAAmAQAAZHJzL2Uyb0RvYy54bWxQSwUGAAAAAAYA&#10;BgBZAQAASwUAAAAA&#10;">
                <v:fill on="f" focussize="0,0"/>
                <v:stroke on="f"/>
                <v:imagedata o:title=""/>
                <o:lock v:ext="edit" aspectratio="f"/>
                <v:textbox>
                  <w:txbxContent>
                    <w:p w14:paraId="40D48208">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承包人不执行指令的责任</w:t>
                      </w:r>
                    </w:p>
                  </w:txbxContent>
                </v:textbox>
              </v:shape>
            </w:pict>
          </mc:Fallback>
        </mc:AlternateContent>
      </w:r>
      <w:r>
        <w:rPr>
          <w:rFonts w:ascii="宋体" w:hAnsi="宋体"/>
          <w:b/>
          <w:color w:val="auto"/>
          <w:sz w:val="24"/>
          <w:szCs w:val="18"/>
        </w:rPr>
        <w:t xml:space="preserve">49.5 </w:t>
      </w:r>
    </w:p>
    <w:p w14:paraId="6300D849">
      <w:pPr>
        <w:adjustRightInd w:val="0"/>
        <w:snapToGrid w:val="0"/>
        <w:spacing w:line="360" w:lineRule="auto"/>
        <w:ind w:left="1619" w:leftChars="771"/>
        <w:rPr>
          <w:rFonts w:ascii="宋体"/>
          <w:color w:val="auto"/>
          <w:sz w:val="24"/>
          <w:szCs w:val="18"/>
        </w:rPr>
      </w:pPr>
      <w:r>
        <w:rPr>
          <w:rFonts w:hint="eastAsia" w:ascii="宋体" w:hAnsi="宋体"/>
          <w:color w:val="auto"/>
          <w:sz w:val="24"/>
          <w:szCs w:val="18"/>
        </w:rPr>
        <w:t>如果承包人不执行监理工程师依据第</w:t>
      </w:r>
      <w:r>
        <w:rPr>
          <w:rFonts w:ascii="宋体" w:hAnsi="宋体"/>
          <w:color w:val="auto"/>
          <w:sz w:val="24"/>
          <w:szCs w:val="18"/>
        </w:rPr>
        <w:t>49.3</w:t>
      </w:r>
      <w:r>
        <w:rPr>
          <w:rFonts w:hint="eastAsia" w:ascii="宋体" w:hAnsi="宋体"/>
          <w:color w:val="auto"/>
          <w:sz w:val="24"/>
          <w:szCs w:val="18"/>
        </w:rPr>
        <w:t>款和第</w:t>
      </w:r>
      <w:r>
        <w:rPr>
          <w:rFonts w:ascii="宋体" w:hAnsi="宋体"/>
          <w:color w:val="auto"/>
          <w:sz w:val="24"/>
          <w:szCs w:val="18"/>
        </w:rPr>
        <w:t>49.4</w:t>
      </w:r>
      <w:r>
        <w:rPr>
          <w:rFonts w:hint="eastAsia" w:ascii="宋体" w:hAnsi="宋体"/>
          <w:color w:val="auto"/>
          <w:sz w:val="24"/>
          <w:szCs w:val="18"/>
        </w:rPr>
        <w:t>款规定发出的指令</w:t>
      </w:r>
      <w:r>
        <w:rPr>
          <w:rFonts w:ascii="宋体"/>
          <w:color w:val="auto"/>
          <w:sz w:val="24"/>
          <w:szCs w:val="18"/>
        </w:rPr>
        <w:t>,</w:t>
      </w:r>
      <w:r>
        <w:rPr>
          <w:rFonts w:hint="eastAsia" w:ascii="宋体" w:hAnsi="宋体"/>
          <w:color w:val="auto"/>
          <w:sz w:val="24"/>
          <w:szCs w:val="18"/>
        </w:rPr>
        <w:t>则发包人可自行或委托第三方执行该指令，由此发生的费用由承包人承担。该笔款项经造价工程师核实后，由发包人从应付或将付给或将付给承包人的工程款中扣除。</w:t>
      </w:r>
    </w:p>
    <w:p w14:paraId="7C3F5D1B">
      <w:pPr>
        <w:pStyle w:val="3"/>
        <w:adjustRightInd w:val="0"/>
        <w:snapToGrid w:val="0"/>
        <w:spacing w:line="360" w:lineRule="auto"/>
        <w:ind w:firstLine="0"/>
        <w:rPr>
          <w:rFonts w:ascii="宋体"/>
          <w:b/>
          <w:color w:val="auto"/>
          <w:sz w:val="24"/>
          <w:szCs w:val="18"/>
        </w:rPr>
      </w:pPr>
      <w:r>
        <w:rPr>
          <w:rFonts w:ascii="宋体" w:hAnsi="宋体"/>
          <w:b/>
          <w:color w:val="auto"/>
          <w:sz w:val="24"/>
          <w:szCs w:val="18"/>
        </w:rPr>
        <w:t xml:space="preserve">49.6  </w:t>
      </w:r>
    </w:p>
    <w:p w14:paraId="5C6FA1C7">
      <w:pPr>
        <w:pStyle w:val="3"/>
        <w:tabs>
          <w:tab w:val="left" w:pos="1260"/>
        </w:tabs>
        <w:adjustRightInd w:val="0"/>
        <w:snapToGrid w:val="0"/>
        <w:spacing w:line="360" w:lineRule="auto"/>
        <w:ind w:left="1619" w:leftChars="771" w:firstLine="0"/>
        <w:rPr>
          <w:rFonts w:ascii="宋体"/>
          <w:color w:val="auto"/>
          <w:sz w:val="24"/>
          <w:szCs w:val="18"/>
        </w:rPr>
      </w:pPr>
      <w:r>
        <w:rPr>
          <w:color w:val="auto"/>
        </w:rPr>
        <mc:AlternateContent>
          <mc:Choice Requires="wps">
            <w:drawing>
              <wp:anchor distT="0" distB="0" distL="114300" distR="114300" simplePos="0" relativeHeight="251858944" behindDoc="0" locked="0" layoutInCell="1" allowOverlap="1">
                <wp:simplePos x="0" y="0"/>
                <wp:positionH relativeFrom="column">
                  <wp:posOffset>-114300</wp:posOffset>
                </wp:positionH>
                <wp:positionV relativeFrom="paragraph">
                  <wp:posOffset>45720</wp:posOffset>
                </wp:positionV>
                <wp:extent cx="914400" cy="410845"/>
                <wp:effectExtent l="0" t="0" r="0" b="0"/>
                <wp:wrapNone/>
                <wp:docPr id="196" name="文本框 196"/>
                <wp:cNvGraphicFramePr/>
                <a:graphic xmlns:a="http://schemas.openxmlformats.org/drawingml/2006/main">
                  <a:graphicData uri="http://schemas.microsoft.com/office/word/2010/wordprocessingShape">
                    <wps:wsp>
                      <wps:cNvSpPr txBox="1"/>
                      <wps:spPr>
                        <a:xfrm>
                          <a:off x="0" y="0"/>
                          <a:ext cx="914400" cy="410845"/>
                        </a:xfrm>
                        <a:prstGeom prst="rect">
                          <a:avLst/>
                        </a:prstGeom>
                        <a:noFill/>
                        <a:ln>
                          <a:noFill/>
                        </a:ln>
                        <a:effectLst/>
                      </wps:spPr>
                      <wps:txbx>
                        <w:txbxContent>
                          <w:p w14:paraId="3AFD494E">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使用替换材料的申请与批准</w:t>
                            </w:r>
                          </w:p>
                        </w:txbxContent>
                      </wps:txbx>
                      <wps:bodyPr upright="1"/>
                    </wps:wsp>
                  </a:graphicData>
                </a:graphic>
              </wp:anchor>
            </w:drawing>
          </mc:Choice>
          <mc:Fallback>
            <w:pict>
              <v:shape id="_x0000_s1026" o:spid="_x0000_s1026" o:spt="202" type="#_x0000_t202" style="position:absolute;left:0pt;margin-left:-9pt;margin-top:3.6pt;height:32.35pt;width:72pt;z-index:251858944;mso-width-relative:page;mso-height-relative:page;" filled="f" stroked="f" coordsize="21600,21600" o:gfxdata="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f+s3bU&#10;AAAACAEAAA8AAAAAAAAAAQAgAAAAIgAAAGRycy9kb3ducmV2LnhtbFBLAQIUABQAAAAIAIdO4kDU&#10;rkiSsgEAAF8DAAAOAAAAAAAAAAEAIAAAACMBAABkcnMvZTJvRG9jLnhtbFBLBQYAAAAABgAGAFkB&#10;AABHBQAAAAA=&#10;">
                <v:fill on="f" focussize="0,0"/>
                <v:stroke on="f"/>
                <v:imagedata o:title=""/>
                <o:lock v:ext="edit" aspectratio="f"/>
                <v:textbox>
                  <w:txbxContent>
                    <w:p w14:paraId="3AFD494E">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使用替换材料的申请与批准</w:t>
                      </w:r>
                    </w:p>
                  </w:txbxContent>
                </v:textbox>
              </v:shape>
            </w:pict>
          </mc:Fallback>
        </mc:AlternateContent>
      </w:r>
      <w:r>
        <w:rPr>
          <w:rFonts w:hint="eastAsia" w:ascii="宋体" w:hAnsi="宋体"/>
          <w:color w:val="auto"/>
          <w:sz w:val="24"/>
          <w:szCs w:val="18"/>
        </w:rPr>
        <w:t>承包人需要使用替换材料的，应经监理工程师同意并由其报发包人批准后方可实施，由此引起合同价款的增减由造价工程师与合同双方当事人协商确定；协商不能达成一致的，由造价工程师暂定，通知承包人并抄报发包人。</w:t>
      </w:r>
    </w:p>
    <w:p w14:paraId="0FC3BC75">
      <w:pPr>
        <w:pStyle w:val="3"/>
        <w:adjustRightInd w:val="0"/>
        <w:snapToGrid w:val="0"/>
        <w:spacing w:line="360" w:lineRule="auto"/>
        <w:ind w:firstLine="0"/>
        <w:rPr>
          <w:rFonts w:ascii="宋体"/>
          <w:b/>
          <w:color w:val="auto"/>
          <w:sz w:val="24"/>
          <w:szCs w:val="18"/>
        </w:rPr>
      </w:pPr>
      <w:r>
        <w:rPr>
          <w:rFonts w:ascii="宋体" w:hAnsi="宋体"/>
          <w:b/>
          <w:color w:val="auto"/>
          <w:sz w:val="24"/>
          <w:szCs w:val="18"/>
        </w:rPr>
        <w:t xml:space="preserve">49.7  </w:t>
      </w:r>
    </w:p>
    <w:p w14:paraId="6314C864">
      <w:pPr>
        <w:pStyle w:val="3"/>
        <w:tabs>
          <w:tab w:val="left" w:pos="1800"/>
        </w:tabs>
        <w:adjustRightInd w:val="0"/>
        <w:snapToGrid w:val="0"/>
        <w:spacing w:before="120" w:beforeLines="50" w:line="360" w:lineRule="auto"/>
        <w:ind w:left="1619" w:leftChars="771" w:firstLine="0"/>
        <w:rPr>
          <w:rFonts w:ascii="宋体"/>
          <w:color w:val="auto"/>
          <w:sz w:val="24"/>
          <w:szCs w:val="18"/>
        </w:rPr>
      </w:pPr>
      <w:r>
        <w:rPr>
          <w:color w:val="auto"/>
        </w:rPr>
        <mc:AlternateContent>
          <mc:Choice Requires="wps">
            <w:drawing>
              <wp:anchor distT="0" distB="0" distL="114300" distR="114300" simplePos="0" relativeHeight="251859968" behindDoc="0" locked="0" layoutInCell="1" allowOverlap="1">
                <wp:simplePos x="0" y="0"/>
                <wp:positionH relativeFrom="column">
                  <wp:posOffset>-114300</wp:posOffset>
                </wp:positionH>
                <wp:positionV relativeFrom="paragraph">
                  <wp:posOffset>30480</wp:posOffset>
                </wp:positionV>
                <wp:extent cx="914400" cy="819150"/>
                <wp:effectExtent l="0" t="0" r="0" b="0"/>
                <wp:wrapNone/>
                <wp:docPr id="197" name="文本框 197"/>
                <wp:cNvGraphicFramePr/>
                <a:graphic xmlns:a="http://schemas.openxmlformats.org/drawingml/2006/main">
                  <a:graphicData uri="http://schemas.microsoft.com/office/word/2010/wordprocessingShape">
                    <wps:wsp>
                      <wps:cNvSpPr txBox="1"/>
                      <wps:spPr>
                        <a:xfrm>
                          <a:off x="0" y="0"/>
                          <a:ext cx="914400" cy="819150"/>
                        </a:xfrm>
                        <a:prstGeom prst="rect">
                          <a:avLst/>
                        </a:prstGeom>
                        <a:noFill/>
                        <a:ln>
                          <a:noFill/>
                        </a:ln>
                        <a:effectLst/>
                      </wps:spPr>
                      <wps:txbx>
                        <w:txbxContent>
                          <w:p w14:paraId="1D572449">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采购材料和工程设备使用前的检验</w:t>
                            </w:r>
                          </w:p>
                        </w:txbxContent>
                      </wps:txbx>
                      <wps:bodyPr upright="1"/>
                    </wps:wsp>
                  </a:graphicData>
                </a:graphic>
              </wp:anchor>
            </w:drawing>
          </mc:Choice>
          <mc:Fallback>
            <w:pict>
              <v:shape id="_x0000_s1026" o:spid="_x0000_s1026" o:spt="202" type="#_x0000_t202" style="position:absolute;left:0pt;margin-left:-9pt;margin-top:2.4pt;height:64.5pt;width:72pt;z-index:251859968;mso-width-relative:page;mso-height-relative:page;" filled="f" stroked="f" coordsize="21600,21600" o:gfxdata="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2&#10;z3PWAAAACQEAAA8AAAAAAAAAAQAgAAAAIgAAAGRycy9kb3ducmV2LnhtbFBLAQIUABQAAAAIAIdO&#10;4kDrOvnRswEAAF8DAAAOAAAAAAAAAAEAIAAAACUBAABkcnMvZTJvRG9jLnhtbFBLBQYAAAAABgAG&#10;AFkBAABKBQAAAAA=&#10;">
                <v:fill on="f" focussize="0,0"/>
                <v:stroke on="f"/>
                <v:imagedata o:title=""/>
                <o:lock v:ext="edit" aspectratio="f"/>
                <v:textbox>
                  <w:txbxContent>
                    <w:p w14:paraId="1D572449">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采购材料和工程设备使用前的检验</w:t>
                      </w:r>
                    </w:p>
                  </w:txbxContent>
                </v:textbox>
              </v:shape>
            </w:pict>
          </mc:Fallback>
        </mc:AlternateContent>
      </w:r>
      <w:r>
        <w:rPr>
          <w:rFonts w:hint="eastAsia" w:ascii="宋体" w:hAnsi="宋体"/>
          <w:color w:val="auto"/>
          <w:sz w:val="24"/>
          <w:szCs w:val="18"/>
        </w:rPr>
        <w:t>承包人采购的材料和工程设备在使用前，应会同监理工程师进行检验试验，查验材料合格证明和产品合格证书。合同双方当事人应做好检验书面记录，并要求指定人选及时办理签认手续。不合格的，禁止在合同工程中使用。</w:t>
      </w:r>
    </w:p>
    <w:p w14:paraId="577F5910">
      <w:pPr>
        <w:pStyle w:val="3"/>
        <w:adjustRightInd w:val="0"/>
        <w:snapToGrid w:val="0"/>
        <w:spacing w:line="360" w:lineRule="auto"/>
        <w:ind w:firstLine="0"/>
        <w:rPr>
          <w:rFonts w:ascii="宋体"/>
          <w:b/>
          <w:color w:val="auto"/>
          <w:sz w:val="24"/>
          <w:szCs w:val="18"/>
        </w:rPr>
      </w:pPr>
      <w:r>
        <w:rPr>
          <w:color w:val="auto"/>
        </w:rPr>
        <mc:AlternateContent>
          <mc:Choice Requires="wps">
            <w:drawing>
              <wp:anchor distT="0" distB="0" distL="114300" distR="114300" simplePos="0" relativeHeight="251860992" behindDoc="0" locked="0" layoutInCell="1" allowOverlap="1">
                <wp:simplePos x="0" y="0"/>
                <wp:positionH relativeFrom="column">
                  <wp:posOffset>-114300</wp:posOffset>
                </wp:positionH>
                <wp:positionV relativeFrom="paragraph">
                  <wp:posOffset>207010</wp:posOffset>
                </wp:positionV>
                <wp:extent cx="914400" cy="711835"/>
                <wp:effectExtent l="0" t="0" r="0" b="0"/>
                <wp:wrapNone/>
                <wp:docPr id="198" name="文本框 198"/>
                <wp:cNvGraphicFramePr/>
                <a:graphic xmlns:a="http://schemas.openxmlformats.org/drawingml/2006/main">
                  <a:graphicData uri="http://schemas.microsoft.com/office/word/2010/wordprocessingShape">
                    <wps:wsp>
                      <wps:cNvSpPr txBox="1"/>
                      <wps:spPr>
                        <a:xfrm>
                          <a:off x="0" y="0"/>
                          <a:ext cx="914400" cy="711835"/>
                        </a:xfrm>
                        <a:prstGeom prst="rect">
                          <a:avLst/>
                        </a:prstGeom>
                        <a:noFill/>
                        <a:ln>
                          <a:noFill/>
                        </a:ln>
                        <a:effectLst/>
                      </wps:spPr>
                      <wps:txbx>
                        <w:txbxContent>
                          <w:p w14:paraId="1FE2B4E6">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禁止指定采购材料和工程设备</w:t>
                            </w:r>
                          </w:p>
                        </w:txbxContent>
                      </wps:txbx>
                      <wps:bodyPr upright="1"/>
                    </wps:wsp>
                  </a:graphicData>
                </a:graphic>
              </wp:anchor>
            </w:drawing>
          </mc:Choice>
          <mc:Fallback>
            <w:pict>
              <v:shape id="_x0000_s1026" o:spid="_x0000_s1026" o:spt="202" type="#_x0000_t202" style="position:absolute;left:0pt;margin-left:-9pt;margin-top:16.3pt;height:56.05pt;width:72pt;z-index:251860992;mso-width-relative:page;mso-height-relative:page;" filled="f" stroked="f" coordsize="21600,21600" o:gfxdata="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K5Q&#10;/rbXAAAACgEAAA8AAAAAAAAAAQAgAAAAIgAAAGRycy9kb3ducmV2LnhtbFBLAQIUABQAAAAIAIdO&#10;4kBBVpz/sgEAAF8DAAAOAAAAAAAAAAEAIAAAACYBAABkcnMvZTJvRG9jLnhtbFBLBQYAAAAABgAG&#10;AFkBAABKBQAAAAA=&#10;">
                <v:fill on="f" focussize="0,0"/>
                <v:stroke on="f"/>
                <v:imagedata o:title=""/>
                <o:lock v:ext="edit" aspectratio="f"/>
                <v:textbox>
                  <w:txbxContent>
                    <w:p w14:paraId="1FE2B4E6">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禁止指定采购材料和工程设备</w:t>
                      </w:r>
                    </w:p>
                  </w:txbxContent>
                </v:textbox>
              </v:shape>
            </w:pict>
          </mc:Fallback>
        </mc:AlternateContent>
      </w:r>
      <w:r>
        <w:rPr>
          <w:rFonts w:ascii="宋体" w:hAnsi="宋体"/>
          <w:b/>
          <w:color w:val="auto"/>
          <w:sz w:val="24"/>
          <w:szCs w:val="18"/>
        </w:rPr>
        <w:t xml:space="preserve">49.8  </w:t>
      </w:r>
    </w:p>
    <w:p w14:paraId="2544D009">
      <w:pPr>
        <w:pStyle w:val="3"/>
        <w:adjustRightInd w:val="0"/>
        <w:snapToGrid w:val="0"/>
        <w:spacing w:line="360" w:lineRule="auto"/>
        <w:ind w:left="1619" w:leftChars="771" w:firstLine="0"/>
        <w:rPr>
          <w:rFonts w:ascii="宋体"/>
          <w:color w:val="auto"/>
          <w:sz w:val="24"/>
          <w:szCs w:val="18"/>
        </w:rPr>
      </w:pPr>
      <w:r>
        <w:rPr>
          <w:rFonts w:hint="eastAsia" w:ascii="宋体" w:hAnsi="宋体"/>
          <w:color w:val="auto"/>
          <w:sz w:val="24"/>
          <w:szCs w:val="18"/>
        </w:rPr>
        <w:t>承包人采购材料和工程设备的，除专用条款另有约定外，发包人不得指定生产厂家或供应商。</w:t>
      </w:r>
    </w:p>
    <w:p w14:paraId="00543A7E">
      <w:pPr>
        <w:pStyle w:val="3"/>
        <w:adjustRightInd w:val="0"/>
        <w:snapToGrid w:val="0"/>
        <w:spacing w:line="360" w:lineRule="auto"/>
        <w:ind w:firstLine="0"/>
        <w:rPr>
          <w:color w:val="auto"/>
        </w:rPr>
      </w:pPr>
    </w:p>
    <w:p w14:paraId="549EF769">
      <w:pPr>
        <w:pStyle w:val="2"/>
        <w:tabs>
          <w:tab w:val="left" w:pos="540"/>
        </w:tabs>
        <w:adjustRightInd w:val="0"/>
        <w:snapToGrid w:val="0"/>
        <w:spacing w:before="240" w:beforeLines="100" w:line="360" w:lineRule="auto"/>
        <w:ind w:right="-238"/>
        <w:rPr>
          <w:rFonts w:hAnsi="宋体"/>
          <w:b/>
          <w:color w:val="auto"/>
          <w:sz w:val="30"/>
          <w:szCs w:val="24"/>
        </w:rPr>
      </w:pPr>
      <w:r>
        <w:rPr>
          <w:rFonts w:hAnsi="宋体"/>
          <w:b/>
          <w:color w:val="auto"/>
          <w:sz w:val="30"/>
          <w:szCs w:val="24"/>
        </w:rPr>
        <w:t xml:space="preserve">50  </w:t>
      </w:r>
      <w:r>
        <w:rPr>
          <w:rFonts w:hint="eastAsia" w:hAnsi="宋体"/>
          <w:b/>
          <w:color w:val="auto"/>
          <w:sz w:val="30"/>
          <w:szCs w:val="24"/>
        </w:rPr>
        <w:t>材料和工程设备的检验试验</w:t>
      </w:r>
    </w:p>
    <w:p w14:paraId="62463147">
      <w:pPr>
        <w:pStyle w:val="3"/>
        <w:adjustRightInd w:val="0"/>
        <w:snapToGrid w:val="0"/>
        <w:spacing w:line="360" w:lineRule="auto"/>
        <w:ind w:firstLine="0"/>
        <w:rPr>
          <w:rFonts w:ascii="宋体"/>
          <w:b/>
          <w:color w:val="auto"/>
          <w:sz w:val="24"/>
          <w:szCs w:val="18"/>
        </w:rPr>
      </w:pPr>
      <w:r>
        <w:rPr>
          <w:rFonts w:ascii="宋体" w:hAnsi="宋体"/>
          <w:b/>
          <w:color w:val="auto"/>
          <w:sz w:val="24"/>
          <w:szCs w:val="18"/>
        </w:rPr>
        <w:t>50.1</w:t>
      </w:r>
    </w:p>
    <w:p w14:paraId="581E822F">
      <w:pPr>
        <w:pStyle w:val="3"/>
        <w:adjustRightInd w:val="0"/>
        <w:snapToGrid w:val="0"/>
        <w:spacing w:line="360" w:lineRule="auto"/>
        <w:ind w:left="1619" w:leftChars="771" w:firstLine="0"/>
        <w:rPr>
          <w:rFonts w:ascii="宋体"/>
          <w:color w:val="auto"/>
          <w:sz w:val="24"/>
          <w:szCs w:val="18"/>
        </w:rPr>
      </w:pPr>
      <w:r>
        <w:rPr>
          <w:color w:val="auto"/>
        </w:rPr>
        <mc:AlternateContent>
          <mc:Choice Requires="wps">
            <w:drawing>
              <wp:anchor distT="0" distB="0" distL="114300" distR="114300" simplePos="0" relativeHeight="251862016" behindDoc="0" locked="0" layoutInCell="1" allowOverlap="1">
                <wp:simplePos x="0" y="0"/>
                <wp:positionH relativeFrom="column">
                  <wp:posOffset>-114300</wp:posOffset>
                </wp:positionH>
                <wp:positionV relativeFrom="paragraph">
                  <wp:posOffset>635</wp:posOffset>
                </wp:positionV>
                <wp:extent cx="914400" cy="506095"/>
                <wp:effectExtent l="0" t="0" r="0" b="0"/>
                <wp:wrapNone/>
                <wp:docPr id="199" name="文本框 199"/>
                <wp:cNvGraphicFramePr/>
                <a:graphic xmlns:a="http://schemas.openxmlformats.org/drawingml/2006/main">
                  <a:graphicData uri="http://schemas.microsoft.com/office/word/2010/wordprocessingShape">
                    <wps:wsp>
                      <wps:cNvSpPr txBox="1"/>
                      <wps:spPr>
                        <a:xfrm>
                          <a:off x="0" y="0"/>
                          <a:ext cx="914400" cy="506095"/>
                        </a:xfrm>
                        <a:prstGeom prst="rect">
                          <a:avLst/>
                        </a:prstGeom>
                        <a:noFill/>
                        <a:ln>
                          <a:noFill/>
                        </a:ln>
                        <a:effectLst/>
                      </wps:spPr>
                      <wps:txbx>
                        <w:txbxContent>
                          <w:p w14:paraId="79A4F262">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进入现场检验试验</w:t>
                            </w:r>
                          </w:p>
                        </w:txbxContent>
                      </wps:txbx>
                      <wps:bodyPr upright="1"/>
                    </wps:wsp>
                  </a:graphicData>
                </a:graphic>
              </wp:anchor>
            </w:drawing>
          </mc:Choice>
          <mc:Fallback>
            <w:pict>
              <v:shape id="_x0000_s1026" o:spid="_x0000_s1026" o:spt="202" type="#_x0000_t202" style="position:absolute;left:0pt;margin-left:-9pt;margin-top:0.05pt;height:39.85pt;width:72pt;z-index:251862016;mso-width-relative:page;mso-height-relative:page;" filled="f" stroked="f" coordsize="21600,21600" o:gfxdata="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xkk+t9QA&#10;AAAHAQAADwAAAAAAAAABACAAAAAiAAAAZHJzL2Rvd25yZXYueG1sUEsBAhQAFAAAAAgAh07iQNr7&#10;nPexAQAAXwMAAA4AAAAAAAAAAQAgAAAAIwEAAGRycy9lMm9Eb2MueG1sUEsFBgAAAAAGAAYAWQEA&#10;AEYFAAAAAA==&#10;">
                <v:fill on="f" focussize="0,0"/>
                <v:stroke on="f"/>
                <v:imagedata o:title=""/>
                <o:lock v:ext="edit" aspectratio="f"/>
                <v:textbox>
                  <w:txbxContent>
                    <w:p w14:paraId="79A4F262">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进入现场检验试验</w:t>
                      </w:r>
                    </w:p>
                  </w:txbxContent>
                </v:textbox>
              </v:shape>
            </w:pict>
          </mc:Fallback>
        </mc:AlternateContent>
      </w:r>
      <w:r>
        <w:rPr>
          <w:rFonts w:hint="eastAsia" w:ascii="宋体" w:hAnsi="宋体"/>
          <w:color w:val="auto"/>
          <w:sz w:val="24"/>
          <w:szCs w:val="18"/>
        </w:rPr>
        <w:t>监理工程师及其委派的代表可进入施工场地、材料和工程设备的制造、加工或制配车间等场所参加材料和工程设备等产品的检验试验。承包人应为他们进入上述场所及开展相关工作提供便利和协助。</w:t>
      </w:r>
    </w:p>
    <w:p w14:paraId="00E563DC">
      <w:pPr>
        <w:pStyle w:val="3"/>
        <w:tabs>
          <w:tab w:val="left" w:pos="360"/>
          <w:tab w:val="left" w:pos="720"/>
        </w:tabs>
        <w:adjustRightInd w:val="0"/>
        <w:snapToGrid w:val="0"/>
        <w:spacing w:line="360" w:lineRule="auto"/>
        <w:ind w:firstLine="0"/>
        <w:rPr>
          <w:rFonts w:ascii="宋体"/>
          <w:color w:val="auto"/>
          <w:sz w:val="24"/>
          <w:szCs w:val="18"/>
        </w:rPr>
      </w:pPr>
      <w:r>
        <w:rPr>
          <w:rFonts w:ascii="宋体" w:hAnsi="宋体"/>
          <w:b/>
          <w:color w:val="auto"/>
          <w:sz w:val="24"/>
          <w:szCs w:val="18"/>
        </w:rPr>
        <w:t xml:space="preserve">50.2  </w:t>
      </w:r>
      <w:r>
        <w:rPr>
          <w:color w:val="auto"/>
        </w:rPr>
        <mc:AlternateContent>
          <mc:Choice Requires="wps">
            <w:drawing>
              <wp:anchor distT="0" distB="0" distL="114300" distR="114300" simplePos="0" relativeHeight="251863040" behindDoc="0" locked="0" layoutInCell="1" allowOverlap="1">
                <wp:simplePos x="0" y="0"/>
                <wp:positionH relativeFrom="column">
                  <wp:posOffset>-114300</wp:posOffset>
                </wp:positionH>
                <wp:positionV relativeFrom="paragraph">
                  <wp:posOffset>245110</wp:posOffset>
                </wp:positionV>
                <wp:extent cx="914400" cy="778510"/>
                <wp:effectExtent l="0" t="0" r="0" b="0"/>
                <wp:wrapNone/>
                <wp:docPr id="200" name="文本框 200"/>
                <wp:cNvGraphicFramePr/>
                <a:graphic xmlns:a="http://schemas.openxmlformats.org/drawingml/2006/main">
                  <a:graphicData uri="http://schemas.microsoft.com/office/word/2010/wordprocessingShape">
                    <wps:wsp>
                      <wps:cNvSpPr txBox="1"/>
                      <wps:spPr>
                        <a:xfrm>
                          <a:off x="0" y="0"/>
                          <a:ext cx="914400" cy="778510"/>
                        </a:xfrm>
                        <a:prstGeom prst="rect">
                          <a:avLst/>
                        </a:prstGeom>
                        <a:noFill/>
                        <a:ln>
                          <a:noFill/>
                        </a:ln>
                        <a:effectLst/>
                      </wps:spPr>
                      <wps:txbx>
                        <w:txbxContent>
                          <w:p w14:paraId="0F8DE394">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材料和工程设备的见证取样与不见证取样检验试验</w:t>
                            </w:r>
                          </w:p>
                        </w:txbxContent>
                      </wps:txbx>
                      <wps:bodyPr upright="1"/>
                    </wps:wsp>
                  </a:graphicData>
                </a:graphic>
              </wp:anchor>
            </w:drawing>
          </mc:Choice>
          <mc:Fallback>
            <w:pict>
              <v:shape id="_x0000_s1026" o:spid="_x0000_s1026" o:spt="202" type="#_x0000_t202" style="position:absolute;left:0pt;margin-left:-9pt;margin-top:19.3pt;height:61.3pt;width:72pt;z-index:251863040;mso-width-relative:page;mso-height-relative:page;" filled="f" stroked="f" coordsize="21600,21600" o:gfxdata="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UL&#10;OzDXAAAACgEAAA8AAAAAAAAAAQAgAAAAIgAAAGRycy9kb3ducmV2LnhtbFBLAQIUABQAAAAIAIdO&#10;4kBc6dX5sgEAAF8DAAAOAAAAAAAAAAEAIAAAACYBAABkcnMvZTJvRG9jLnhtbFBLBQYAAAAABgAG&#10;AFkBAABKBQAAAAA=&#10;">
                <v:fill on="f" focussize="0,0"/>
                <v:stroke on="f"/>
                <v:imagedata o:title=""/>
                <o:lock v:ext="edit" aspectratio="f"/>
                <v:textbox>
                  <w:txbxContent>
                    <w:p w14:paraId="0F8DE394">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材料和工程设备的见证取样与不见证取样检验试验</w:t>
                      </w:r>
                    </w:p>
                  </w:txbxContent>
                </v:textbox>
              </v:shape>
            </w:pict>
          </mc:Fallback>
        </mc:AlternateContent>
      </w:r>
    </w:p>
    <w:p w14:paraId="19E25DAB">
      <w:pPr>
        <w:pStyle w:val="3"/>
        <w:adjustRightInd w:val="0"/>
        <w:snapToGrid w:val="0"/>
        <w:spacing w:line="360" w:lineRule="auto"/>
        <w:ind w:left="1619" w:leftChars="771" w:firstLine="0"/>
        <w:rPr>
          <w:rFonts w:ascii="宋体"/>
          <w:color w:val="auto"/>
          <w:sz w:val="24"/>
          <w:szCs w:val="18"/>
        </w:rPr>
      </w:pPr>
      <w:r>
        <w:rPr>
          <w:rFonts w:hint="eastAsia" w:ascii="宋体" w:hAnsi="宋体"/>
          <w:color w:val="auto"/>
          <w:sz w:val="24"/>
          <w:szCs w:val="18"/>
        </w:rPr>
        <w:t>材料和工程设备等产品的检验试验，包括见证取样和不见证取样两种情形：</w:t>
      </w:r>
    </w:p>
    <w:p w14:paraId="34DCDD50">
      <w:pPr>
        <w:pStyle w:val="3"/>
        <w:adjustRightInd w:val="0"/>
        <w:snapToGrid w:val="0"/>
        <w:spacing w:line="360" w:lineRule="auto"/>
        <w:ind w:left="1619" w:leftChars="771" w:firstLine="0"/>
        <w:rPr>
          <w:rFonts w:ascii="宋体"/>
          <w:color w:val="auto"/>
          <w:sz w:val="24"/>
          <w:szCs w:val="18"/>
        </w:rPr>
      </w:pPr>
      <w:r>
        <w:rPr>
          <w:rFonts w:ascii="宋体" w:hAnsi="宋体"/>
          <w:color w:val="auto"/>
          <w:sz w:val="24"/>
          <w:szCs w:val="18"/>
        </w:rPr>
        <w:t>(1)</w:t>
      </w:r>
      <w:r>
        <w:rPr>
          <w:rFonts w:hint="eastAsia" w:ascii="宋体" w:hAnsi="宋体"/>
          <w:color w:val="auto"/>
          <w:sz w:val="24"/>
          <w:szCs w:val="18"/>
        </w:rPr>
        <w:t>标准与规范、涉及结构安全有要求或合同有约定进行见证取样检验试验的材料和工程设备等产品，承包人应在取样前至少提前</w:t>
      </w:r>
      <w:r>
        <w:rPr>
          <w:rFonts w:ascii="宋体" w:hAnsi="宋体"/>
          <w:color w:val="auto"/>
          <w:sz w:val="24"/>
          <w:szCs w:val="18"/>
        </w:rPr>
        <w:t>24</w:t>
      </w:r>
      <w:r>
        <w:rPr>
          <w:rFonts w:hint="eastAsia" w:ascii="宋体" w:hAnsi="宋体"/>
          <w:color w:val="auto"/>
          <w:sz w:val="24"/>
          <w:szCs w:val="18"/>
        </w:rPr>
        <w:t>小时通知监理工程师参加，并在监理工程师的见证下现场取样，同时送至具有相应资质等级的质量检测机构进行检验试验。</w:t>
      </w:r>
    </w:p>
    <w:p w14:paraId="68429DB5">
      <w:pPr>
        <w:pStyle w:val="3"/>
        <w:adjustRightInd w:val="0"/>
        <w:snapToGrid w:val="0"/>
        <w:spacing w:line="360" w:lineRule="auto"/>
        <w:ind w:left="1619" w:leftChars="771" w:firstLine="0"/>
        <w:rPr>
          <w:rFonts w:ascii="宋体"/>
          <w:color w:val="auto"/>
          <w:sz w:val="24"/>
          <w:szCs w:val="18"/>
        </w:rPr>
      </w:pPr>
      <w:r>
        <w:rPr>
          <w:rFonts w:ascii="宋体" w:hAnsi="宋体"/>
          <w:color w:val="auto"/>
          <w:sz w:val="24"/>
          <w:szCs w:val="18"/>
        </w:rPr>
        <w:t>(2)</w:t>
      </w:r>
      <w:r>
        <w:rPr>
          <w:rFonts w:hint="eastAsia" w:ascii="宋体" w:hAnsi="宋体"/>
          <w:color w:val="auto"/>
          <w:sz w:val="24"/>
          <w:szCs w:val="18"/>
        </w:rPr>
        <w:t>标准与规范没要求或合同没约定进行见证取样检验试验的材料和工程设备等产品，承包人和监理工程师应按照合同约定进行材料和工程设备等产品的检验试验。承包人和监理工程师应事先协商确定检验试验的时间和地点，并按时到场参加检验试验。如果监理工程师或其委派的代表不能按时到场参加的，监理工程师应至少提前</w:t>
      </w:r>
      <w:r>
        <w:rPr>
          <w:rFonts w:ascii="宋体" w:hAnsi="宋体"/>
          <w:color w:val="auto"/>
          <w:sz w:val="24"/>
          <w:szCs w:val="18"/>
        </w:rPr>
        <w:t>24</w:t>
      </w:r>
      <w:r>
        <w:rPr>
          <w:rFonts w:hint="eastAsia" w:ascii="宋体" w:hAnsi="宋体"/>
          <w:color w:val="auto"/>
          <w:sz w:val="24"/>
          <w:szCs w:val="18"/>
        </w:rPr>
        <w:t>小时发出延期检验试验指令并书面说明理由，延期不得超过</w:t>
      </w:r>
      <w:r>
        <w:rPr>
          <w:rFonts w:ascii="宋体" w:hAnsi="宋体"/>
          <w:color w:val="auto"/>
          <w:sz w:val="24"/>
          <w:szCs w:val="18"/>
        </w:rPr>
        <w:t>48</w:t>
      </w:r>
      <w:r>
        <w:rPr>
          <w:rFonts w:hint="eastAsia" w:ascii="宋体" w:hAnsi="宋体"/>
          <w:color w:val="auto"/>
          <w:sz w:val="24"/>
          <w:szCs w:val="18"/>
        </w:rPr>
        <w:t>小时。如果监理工程师或其委派的代表未发出延期指令也未能按时到场检验试验，承包人可自行检验试验，并认为该检验试验是经监理工程师同意下完成的；检验试验完成后，承包人应立即向监理工程师提交检验试验结果的有效证据，监理工程师应予认可。</w:t>
      </w:r>
    </w:p>
    <w:p w14:paraId="4693EFF9">
      <w:pPr>
        <w:pStyle w:val="3"/>
        <w:adjustRightInd w:val="0"/>
        <w:snapToGrid w:val="0"/>
        <w:spacing w:line="360" w:lineRule="auto"/>
        <w:ind w:left="1619" w:leftChars="1" w:hanging="1617" w:hangingChars="671"/>
        <w:rPr>
          <w:rFonts w:ascii="宋体"/>
          <w:color w:val="auto"/>
          <w:sz w:val="24"/>
          <w:szCs w:val="18"/>
        </w:rPr>
      </w:pPr>
      <w:r>
        <w:rPr>
          <w:rFonts w:ascii="宋体" w:hAnsi="宋体"/>
          <w:b/>
          <w:color w:val="auto"/>
          <w:sz w:val="24"/>
          <w:szCs w:val="18"/>
        </w:rPr>
        <w:t xml:space="preserve">50.3 </w:t>
      </w:r>
    </w:p>
    <w:p w14:paraId="333553E0">
      <w:pPr>
        <w:pStyle w:val="3"/>
        <w:adjustRightInd w:val="0"/>
        <w:snapToGrid w:val="0"/>
        <w:spacing w:line="360" w:lineRule="auto"/>
        <w:ind w:left="1575" w:leftChars="750" w:firstLine="0"/>
        <w:rPr>
          <w:rFonts w:ascii="宋体"/>
          <w:color w:val="auto"/>
          <w:sz w:val="24"/>
          <w:szCs w:val="18"/>
        </w:rPr>
      </w:pPr>
      <w:r>
        <w:rPr>
          <w:color w:val="auto"/>
        </w:rPr>
        <mc:AlternateContent>
          <mc:Choice Requires="wps">
            <w:drawing>
              <wp:anchor distT="0" distB="0" distL="114300" distR="114300" simplePos="0" relativeHeight="251864064" behindDoc="0" locked="0" layoutInCell="1" allowOverlap="1">
                <wp:simplePos x="0" y="0"/>
                <wp:positionH relativeFrom="column">
                  <wp:posOffset>-66675</wp:posOffset>
                </wp:positionH>
                <wp:positionV relativeFrom="paragraph">
                  <wp:posOffset>11430</wp:posOffset>
                </wp:positionV>
                <wp:extent cx="914400" cy="557530"/>
                <wp:effectExtent l="0" t="0" r="0" b="0"/>
                <wp:wrapNone/>
                <wp:docPr id="201" name="文本框 201"/>
                <wp:cNvGraphicFramePr/>
                <a:graphic xmlns:a="http://schemas.openxmlformats.org/drawingml/2006/main">
                  <a:graphicData uri="http://schemas.microsoft.com/office/word/2010/wordprocessingShape">
                    <wps:wsp>
                      <wps:cNvSpPr txBox="1"/>
                      <wps:spPr>
                        <a:xfrm>
                          <a:off x="0" y="0"/>
                          <a:ext cx="914400" cy="557530"/>
                        </a:xfrm>
                        <a:prstGeom prst="rect">
                          <a:avLst/>
                        </a:prstGeom>
                        <a:noFill/>
                        <a:ln>
                          <a:noFill/>
                        </a:ln>
                        <a:effectLst/>
                      </wps:spPr>
                      <wps:txbx>
                        <w:txbxContent>
                          <w:p w14:paraId="086F1633">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材料和工程设备的使用</w:t>
                            </w:r>
                          </w:p>
                        </w:txbxContent>
                      </wps:txbx>
                      <wps:bodyPr upright="1"/>
                    </wps:wsp>
                  </a:graphicData>
                </a:graphic>
              </wp:anchor>
            </w:drawing>
          </mc:Choice>
          <mc:Fallback>
            <w:pict>
              <v:shape id="_x0000_s1026" o:spid="_x0000_s1026" o:spt="202" type="#_x0000_t202" style="position:absolute;left:0pt;margin-left:-5.25pt;margin-top:0.9pt;height:43.9pt;width:72pt;z-index:251864064;mso-width-relative:page;mso-height-relative:page;" filled="f" stroked="f" coordsize="21600,21600" o:gfxdata="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eH6Ww&#10;1AAAAAgBAAAPAAAAAAAAAAEAIAAAACIAAABkcnMvZG93bnJldi54bWxQSwECFAAUAAAACACHTuJA&#10;MFDBaLMBAABfAwAADgAAAAAAAAABACAAAAAjAQAAZHJzL2Uyb0RvYy54bWxQSwUGAAAAAAYABgBZ&#10;AQAASAUAAAAA&#10;">
                <v:fill on="f" focussize="0,0"/>
                <v:stroke on="f"/>
                <v:imagedata o:title=""/>
                <o:lock v:ext="edit" aspectratio="f"/>
                <v:textbox>
                  <w:txbxContent>
                    <w:p w14:paraId="086F1633">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材料和工程设备的使用</w:t>
                      </w:r>
                    </w:p>
                  </w:txbxContent>
                </v:textbox>
              </v:shape>
            </w:pict>
          </mc:Fallback>
        </mc:AlternateContent>
      </w:r>
      <w:r>
        <w:rPr>
          <w:rFonts w:hint="eastAsia" w:ascii="宋体" w:hAnsi="宋体"/>
          <w:color w:val="auto"/>
          <w:sz w:val="24"/>
          <w:szCs w:val="18"/>
        </w:rPr>
        <w:t>材料和工程设备等产品检验试验合格的，可在合同工程中使用。材料和工程设备等产品检验试验不合格的，禁止在合同工程中使用，并及时清出施工场地。</w:t>
      </w:r>
    </w:p>
    <w:p w14:paraId="7897787F">
      <w:pPr>
        <w:pStyle w:val="3"/>
        <w:tabs>
          <w:tab w:val="left" w:pos="540"/>
        </w:tabs>
        <w:adjustRightInd w:val="0"/>
        <w:snapToGrid w:val="0"/>
        <w:spacing w:line="360" w:lineRule="auto"/>
        <w:ind w:firstLine="0"/>
        <w:rPr>
          <w:rFonts w:ascii="宋体"/>
          <w:color w:val="auto"/>
          <w:sz w:val="24"/>
          <w:szCs w:val="18"/>
          <w:u w:val="dotted"/>
        </w:rPr>
      </w:pPr>
      <w:r>
        <w:rPr>
          <w:rFonts w:ascii="宋体" w:hAnsi="宋体"/>
          <w:b/>
          <w:color w:val="auto"/>
          <w:sz w:val="24"/>
          <w:szCs w:val="18"/>
        </w:rPr>
        <w:t xml:space="preserve">50.4  </w:t>
      </w:r>
    </w:p>
    <w:p w14:paraId="7F423D27">
      <w:pPr>
        <w:pStyle w:val="3"/>
        <w:adjustRightInd w:val="0"/>
        <w:snapToGrid w:val="0"/>
        <w:spacing w:line="360" w:lineRule="auto"/>
        <w:ind w:left="1619" w:leftChars="771" w:firstLine="0"/>
        <w:rPr>
          <w:rFonts w:ascii="宋体"/>
          <w:color w:val="auto"/>
          <w:sz w:val="24"/>
          <w:szCs w:val="18"/>
        </w:rPr>
      </w:pPr>
      <w:r>
        <w:rPr>
          <w:color w:val="auto"/>
        </w:rPr>
        <mc:AlternateContent>
          <mc:Choice Requires="wps">
            <w:drawing>
              <wp:anchor distT="0" distB="0" distL="114300" distR="114300" simplePos="0" relativeHeight="251865088" behindDoc="0" locked="0" layoutInCell="1" allowOverlap="1">
                <wp:simplePos x="0" y="0"/>
                <wp:positionH relativeFrom="column">
                  <wp:posOffset>-114300</wp:posOffset>
                </wp:positionH>
                <wp:positionV relativeFrom="paragraph">
                  <wp:posOffset>15240</wp:posOffset>
                </wp:positionV>
                <wp:extent cx="914400" cy="555625"/>
                <wp:effectExtent l="0" t="0" r="0" b="0"/>
                <wp:wrapNone/>
                <wp:docPr id="202" name="文本框 202"/>
                <wp:cNvGraphicFramePr/>
                <a:graphic xmlns:a="http://schemas.openxmlformats.org/drawingml/2006/main">
                  <a:graphicData uri="http://schemas.microsoft.com/office/word/2010/wordprocessingShape">
                    <wps:wsp>
                      <wps:cNvSpPr txBox="1"/>
                      <wps:spPr>
                        <a:xfrm>
                          <a:off x="0" y="0"/>
                          <a:ext cx="914400" cy="555625"/>
                        </a:xfrm>
                        <a:prstGeom prst="rect">
                          <a:avLst/>
                        </a:prstGeom>
                        <a:noFill/>
                        <a:ln>
                          <a:noFill/>
                        </a:ln>
                        <a:effectLst/>
                      </wps:spPr>
                      <wps:txbx>
                        <w:txbxContent>
                          <w:p w14:paraId="343A973A">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材料和工程设备的检验试验费用</w:t>
                            </w:r>
                          </w:p>
                        </w:txbxContent>
                      </wps:txbx>
                      <wps:bodyPr upright="1"/>
                    </wps:wsp>
                  </a:graphicData>
                </a:graphic>
              </wp:anchor>
            </w:drawing>
          </mc:Choice>
          <mc:Fallback>
            <w:pict>
              <v:shape id="_x0000_s1026" o:spid="_x0000_s1026" o:spt="202" type="#_x0000_t202" style="position:absolute;left:0pt;margin-left:-9pt;margin-top:1.2pt;height:43.75pt;width:72pt;z-index:251865088;mso-width-relative:page;mso-height-relative:page;" filled="f" stroked="f" coordsize="21600,21600" o:gfxdata="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HER6A&#10;1QAAAAgBAAAPAAAAAAAAAAEAIAAAACIAAABkcnMvZG93bnJldi54bWxQSwECFAAUAAAACACHTuJA&#10;qASRErIBAABfAwAADgAAAAAAAAABACAAAAAkAQAAZHJzL2Uyb0RvYy54bWxQSwUGAAAAAAYABgBZ&#10;AQAASAUAAAAA&#10;">
                <v:fill on="f" focussize="0,0"/>
                <v:stroke on="f"/>
                <v:imagedata o:title=""/>
                <o:lock v:ext="edit" aspectratio="f"/>
                <v:textbox>
                  <w:txbxContent>
                    <w:p w14:paraId="343A973A">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材料和工程设备的检验试验费用</w:t>
                      </w:r>
                    </w:p>
                  </w:txbxContent>
                </v:textbox>
              </v:shape>
            </w:pict>
          </mc:Fallback>
        </mc:AlternateContent>
      </w:r>
      <w:r>
        <w:rPr>
          <w:rFonts w:hint="eastAsia" w:ascii="宋体" w:hAnsi="宋体"/>
          <w:color w:val="auto"/>
          <w:sz w:val="24"/>
          <w:szCs w:val="18"/>
        </w:rPr>
        <w:t>除合同价款已包括外，材料和工程设备等产品的检验试验费，按照实际发生的费用计算。</w:t>
      </w:r>
    </w:p>
    <w:p w14:paraId="6D4E5398">
      <w:pPr>
        <w:pStyle w:val="3"/>
        <w:tabs>
          <w:tab w:val="left" w:pos="1620"/>
          <w:tab w:val="left" w:pos="1980"/>
          <w:tab w:val="left" w:pos="2160"/>
        </w:tabs>
        <w:adjustRightInd w:val="0"/>
        <w:snapToGrid w:val="0"/>
        <w:spacing w:line="360" w:lineRule="auto"/>
        <w:ind w:left="1617" w:firstLine="0"/>
        <w:rPr>
          <w:rFonts w:ascii="宋体"/>
          <w:color w:val="auto"/>
          <w:sz w:val="24"/>
          <w:szCs w:val="18"/>
        </w:rPr>
      </w:pPr>
      <w:r>
        <w:rPr>
          <w:rFonts w:hint="eastAsia" w:ascii="宋体" w:hAnsi="宋体"/>
          <w:color w:val="auto"/>
          <w:sz w:val="24"/>
          <w:szCs w:val="18"/>
        </w:rPr>
        <w:t>（</w:t>
      </w:r>
      <w:r>
        <w:rPr>
          <w:rFonts w:ascii="宋体" w:hAnsi="宋体"/>
          <w:color w:val="auto"/>
          <w:sz w:val="24"/>
          <w:szCs w:val="18"/>
        </w:rPr>
        <w:t>1</w:t>
      </w:r>
      <w:r>
        <w:rPr>
          <w:rFonts w:hint="eastAsia" w:ascii="宋体" w:hAnsi="宋体"/>
          <w:color w:val="auto"/>
          <w:sz w:val="24"/>
          <w:szCs w:val="18"/>
        </w:rPr>
        <w:t>）现场使用前材料和工程设备等产品的检验试验，发包人供应的，检验试验费由发包人承担；承包人采购的，检验试验费由承包人承担。</w:t>
      </w:r>
    </w:p>
    <w:p w14:paraId="22B9CB0C">
      <w:pPr>
        <w:pStyle w:val="3"/>
        <w:tabs>
          <w:tab w:val="left" w:pos="1620"/>
          <w:tab w:val="left" w:pos="2160"/>
          <w:tab w:val="left" w:pos="2520"/>
        </w:tabs>
        <w:adjustRightInd w:val="0"/>
        <w:snapToGrid w:val="0"/>
        <w:spacing w:line="360" w:lineRule="auto"/>
        <w:ind w:left="1619" w:firstLine="0"/>
        <w:rPr>
          <w:rFonts w:ascii="宋体"/>
          <w:b/>
          <w:color w:val="auto"/>
          <w:sz w:val="24"/>
          <w:szCs w:val="18"/>
        </w:rPr>
      </w:pPr>
      <w:r>
        <w:rPr>
          <w:rFonts w:hint="eastAsia" w:ascii="宋体" w:hAnsi="宋体"/>
          <w:color w:val="auto"/>
          <w:sz w:val="24"/>
          <w:szCs w:val="18"/>
        </w:rPr>
        <w:t>（</w:t>
      </w:r>
      <w:r>
        <w:rPr>
          <w:rFonts w:ascii="宋体" w:hAnsi="宋体"/>
          <w:color w:val="auto"/>
          <w:sz w:val="24"/>
          <w:szCs w:val="18"/>
        </w:rPr>
        <w:t>2</w:t>
      </w:r>
      <w:r>
        <w:rPr>
          <w:rFonts w:hint="eastAsia" w:ascii="宋体" w:hAnsi="宋体"/>
          <w:color w:val="auto"/>
          <w:sz w:val="24"/>
          <w:szCs w:val="18"/>
        </w:rPr>
        <w:t>）施工过程中材料和工程设备等产品的检验试验，合格的，检验试验费由发包人承担。不合格的，发包人供应的，检验试验费由发包人承担；承包人采购的，检验试验费由承包人承担。</w:t>
      </w:r>
    </w:p>
    <w:p w14:paraId="1A1F1D29">
      <w:pPr>
        <w:pStyle w:val="3"/>
        <w:tabs>
          <w:tab w:val="left" w:pos="1620"/>
          <w:tab w:val="left" w:pos="1980"/>
          <w:tab w:val="left" w:pos="2520"/>
          <w:tab w:val="left" w:pos="2700"/>
        </w:tabs>
        <w:adjustRightInd w:val="0"/>
        <w:snapToGrid w:val="0"/>
        <w:spacing w:line="360" w:lineRule="auto"/>
        <w:ind w:firstLine="0"/>
        <w:rPr>
          <w:rFonts w:ascii="宋体"/>
          <w:b/>
          <w:color w:val="auto"/>
          <w:sz w:val="24"/>
          <w:szCs w:val="18"/>
        </w:rPr>
      </w:pPr>
      <w:r>
        <w:rPr>
          <w:rFonts w:ascii="宋体" w:hAnsi="宋体"/>
          <w:b/>
          <w:color w:val="auto"/>
          <w:sz w:val="24"/>
          <w:szCs w:val="18"/>
        </w:rPr>
        <w:t xml:space="preserve">50.5 </w:t>
      </w:r>
    </w:p>
    <w:p w14:paraId="18CCD567">
      <w:pPr>
        <w:adjustRightInd w:val="0"/>
        <w:snapToGrid w:val="0"/>
        <w:spacing w:line="360" w:lineRule="auto"/>
        <w:ind w:left="1619" w:leftChars="771"/>
        <w:rPr>
          <w:rFonts w:ascii="宋体"/>
          <w:color w:val="auto"/>
          <w:sz w:val="24"/>
          <w:szCs w:val="18"/>
        </w:rPr>
      </w:pPr>
      <w:r>
        <w:rPr>
          <w:color w:val="auto"/>
        </w:rPr>
        <mc:AlternateContent>
          <mc:Choice Requires="wps">
            <w:drawing>
              <wp:anchor distT="0" distB="0" distL="114300" distR="114300" simplePos="0" relativeHeight="251866112"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203" name="文本框 203"/>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7B0AFD5E">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再次检验试验及其费用承担</w:t>
                            </w:r>
                          </w:p>
                        </w:txbxContent>
                      </wps:txbx>
                      <wps:bodyPr upright="1"/>
                    </wps:wsp>
                  </a:graphicData>
                </a:graphic>
              </wp:anchor>
            </w:drawing>
          </mc:Choice>
          <mc:Fallback>
            <w:pict>
              <v:shape id="_x0000_s1026" o:spid="_x0000_s1026" o:spt="202" type="#_x0000_t202" style="position:absolute;left:0pt;margin-left:-9pt;margin-top:0.65pt;height:31.2pt;width:72pt;z-index:251866112;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Ja3&#10;aJbVAAAACAEAAA8AAAAAAAAAAQAgAAAAIgAAAGRycy9kb3ducmV2LnhtbFBLAQIUABQAAAAIAIdO&#10;4kCD6/EvtAEAAF8DAAAOAAAAAAAAAAEAIAAAACQBAABkcnMvZTJvRG9jLnhtbFBLBQYAAAAABgAG&#10;AFkBAABKBQAAAAA=&#10;">
                <v:fill on="f" focussize="0,0"/>
                <v:stroke on="f"/>
                <v:imagedata o:title=""/>
                <o:lock v:ext="edit" aspectratio="f"/>
                <v:textbox>
                  <w:txbxContent>
                    <w:p w14:paraId="7B0AFD5E">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再次检验试验及其费用承担</w:t>
                      </w:r>
                    </w:p>
                  </w:txbxContent>
                </v:textbox>
              </v:shape>
            </w:pict>
          </mc:Fallback>
        </mc:AlternateContent>
      </w:r>
      <w:r>
        <w:rPr>
          <w:rFonts w:hint="eastAsia" w:ascii="宋体" w:hAnsi="宋体"/>
          <w:color w:val="auto"/>
          <w:sz w:val="24"/>
          <w:szCs w:val="18"/>
        </w:rPr>
        <w:t>监理工程师对承包人自行检验试验结果有疑问的，或重新查验检验试验结果的，可要求承包人共同对材料和工程设备等产品再次检验试验。</w:t>
      </w:r>
    </w:p>
    <w:p w14:paraId="022AB40E">
      <w:pPr>
        <w:adjustRightInd w:val="0"/>
        <w:snapToGrid w:val="0"/>
        <w:spacing w:line="360" w:lineRule="auto"/>
        <w:ind w:left="1619" w:leftChars="771"/>
        <w:rPr>
          <w:rFonts w:ascii="宋体"/>
          <w:color w:val="auto"/>
          <w:sz w:val="24"/>
          <w:szCs w:val="18"/>
        </w:rPr>
      </w:pPr>
      <w:r>
        <w:rPr>
          <w:rFonts w:hint="eastAsia" w:ascii="宋体" w:hAnsi="宋体"/>
          <w:color w:val="auto"/>
          <w:sz w:val="24"/>
          <w:szCs w:val="18"/>
        </w:rPr>
        <w:t>（</w:t>
      </w:r>
      <w:r>
        <w:rPr>
          <w:rFonts w:ascii="宋体" w:hAnsi="宋体"/>
          <w:color w:val="auto"/>
          <w:sz w:val="24"/>
          <w:szCs w:val="18"/>
        </w:rPr>
        <w:t>1</w:t>
      </w:r>
      <w:r>
        <w:rPr>
          <w:rFonts w:hint="eastAsia" w:ascii="宋体" w:hAnsi="宋体"/>
          <w:color w:val="auto"/>
          <w:sz w:val="24"/>
          <w:szCs w:val="18"/>
        </w:rPr>
        <w:t>）合格的，再次检验试验费和（或）延误的工期由发包人承担，并向承包人支付合理利润。</w:t>
      </w:r>
    </w:p>
    <w:p w14:paraId="585412C4">
      <w:pPr>
        <w:adjustRightInd w:val="0"/>
        <w:snapToGrid w:val="0"/>
        <w:spacing w:line="360" w:lineRule="auto"/>
        <w:ind w:left="1619" w:leftChars="771"/>
        <w:rPr>
          <w:rFonts w:ascii="宋体"/>
          <w:color w:val="auto"/>
          <w:sz w:val="24"/>
          <w:szCs w:val="18"/>
        </w:rPr>
      </w:pPr>
      <w:r>
        <w:rPr>
          <w:rFonts w:hint="eastAsia" w:ascii="宋体" w:hAnsi="宋体"/>
          <w:color w:val="auto"/>
          <w:sz w:val="24"/>
          <w:szCs w:val="18"/>
        </w:rPr>
        <w:t>（</w:t>
      </w:r>
      <w:r>
        <w:rPr>
          <w:rFonts w:ascii="宋体" w:hAnsi="宋体"/>
          <w:color w:val="auto"/>
          <w:sz w:val="24"/>
          <w:szCs w:val="18"/>
        </w:rPr>
        <w:t>2</w:t>
      </w:r>
      <w:r>
        <w:rPr>
          <w:rFonts w:hint="eastAsia" w:ascii="宋体" w:hAnsi="宋体"/>
          <w:color w:val="auto"/>
          <w:sz w:val="24"/>
          <w:szCs w:val="18"/>
        </w:rPr>
        <w:t>）不合格的，发包人供应的，再次检验试验费和（或）延误的工期由发包人承担，并向承包人支付合理利润；承包人采购的，再次检验试验费和（或）延误的工期由承包人承担。</w:t>
      </w:r>
    </w:p>
    <w:p w14:paraId="6C5D38D9">
      <w:pPr>
        <w:pStyle w:val="3"/>
        <w:tabs>
          <w:tab w:val="left" w:pos="540"/>
        </w:tabs>
        <w:adjustRightInd w:val="0"/>
        <w:snapToGrid w:val="0"/>
        <w:spacing w:line="360" w:lineRule="auto"/>
        <w:ind w:firstLine="0"/>
        <w:rPr>
          <w:rFonts w:ascii="宋体"/>
          <w:color w:val="auto"/>
          <w:sz w:val="24"/>
          <w:szCs w:val="18"/>
        </w:rPr>
      </w:pPr>
      <w:r>
        <w:rPr>
          <w:rFonts w:ascii="宋体" w:hAnsi="宋体"/>
          <w:b/>
          <w:color w:val="auto"/>
          <w:sz w:val="24"/>
          <w:szCs w:val="18"/>
        </w:rPr>
        <w:t xml:space="preserve">50.6 </w:t>
      </w:r>
      <w:r>
        <w:rPr>
          <w:color w:val="auto"/>
        </w:rPr>
        <mc:AlternateContent>
          <mc:Choice Requires="wps">
            <w:drawing>
              <wp:anchor distT="0" distB="0" distL="114300" distR="114300" simplePos="0" relativeHeight="251867136" behindDoc="0" locked="0" layoutInCell="1" allowOverlap="1">
                <wp:simplePos x="0" y="0"/>
                <wp:positionH relativeFrom="column">
                  <wp:posOffset>-114300</wp:posOffset>
                </wp:positionH>
                <wp:positionV relativeFrom="paragraph">
                  <wp:posOffset>245110</wp:posOffset>
                </wp:positionV>
                <wp:extent cx="914400" cy="690245"/>
                <wp:effectExtent l="0" t="0" r="0" b="0"/>
                <wp:wrapNone/>
                <wp:docPr id="204" name="文本框 204"/>
                <wp:cNvGraphicFramePr/>
                <a:graphic xmlns:a="http://schemas.openxmlformats.org/drawingml/2006/main">
                  <a:graphicData uri="http://schemas.microsoft.com/office/word/2010/wordprocessingShape">
                    <wps:wsp>
                      <wps:cNvSpPr txBox="1"/>
                      <wps:spPr>
                        <a:xfrm>
                          <a:off x="0" y="0"/>
                          <a:ext cx="914400" cy="690245"/>
                        </a:xfrm>
                        <a:prstGeom prst="rect">
                          <a:avLst/>
                        </a:prstGeom>
                        <a:noFill/>
                        <a:ln>
                          <a:noFill/>
                        </a:ln>
                        <a:effectLst/>
                      </wps:spPr>
                      <wps:txbx>
                        <w:txbxContent>
                          <w:p w14:paraId="71A93A94">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材料和工程设备质量有争议的处理</w:t>
                            </w:r>
                          </w:p>
                        </w:txbxContent>
                      </wps:txbx>
                      <wps:bodyPr upright="1"/>
                    </wps:wsp>
                  </a:graphicData>
                </a:graphic>
              </wp:anchor>
            </w:drawing>
          </mc:Choice>
          <mc:Fallback>
            <w:pict>
              <v:shape id="_x0000_s1026" o:spid="_x0000_s1026" o:spt="202" type="#_x0000_t202" style="position:absolute;left:0pt;margin-left:-9pt;margin-top:19.3pt;height:54.35pt;width:72pt;z-index:251867136;mso-width-relative:page;mso-height-relative:page;" filled="f" stroked="f" coordsize="21600,21600" o:gfxdata="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V&#10;Fz6H2AAAAAoBAAAPAAAAAAAAAAEAIAAAACIAAABkcnMvZG93bnJldi54bWxQSwECFAAUAAAACACH&#10;TuJAZDMq3bIBAABfAwAADgAAAAAAAAABACAAAAAnAQAAZHJzL2Uyb0RvYy54bWxQSwUGAAAAAAYA&#10;BgBZAQAASwUAAAAA&#10;">
                <v:fill on="f" focussize="0,0"/>
                <v:stroke on="f"/>
                <v:imagedata o:title=""/>
                <o:lock v:ext="edit" aspectratio="f"/>
                <v:textbox>
                  <w:txbxContent>
                    <w:p w14:paraId="71A93A94">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材料和工程设备质量有争议的处理</w:t>
                      </w:r>
                    </w:p>
                  </w:txbxContent>
                </v:textbox>
              </v:shape>
            </w:pict>
          </mc:Fallback>
        </mc:AlternateContent>
      </w:r>
    </w:p>
    <w:p w14:paraId="4D2FA523">
      <w:pPr>
        <w:pStyle w:val="3"/>
        <w:adjustRightInd w:val="0"/>
        <w:snapToGrid w:val="0"/>
        <w:spacing w:line="360" w:lineRule="auto"/>
        <w:ind w:left="1619" w:leftChars="771" w:firstLine="0"/>
        <w:rPr>
          <w:rFonts w:ascii="宋体"/>
          <w:color w:val="auto"/>
          <w:sz w:val="24"/>
          <w:szCs w:val="18"/>
        </w:rPr>
      </w:pPr>
      <w:r>
        <w:rPr>
          <w:rFonts w:hint="eastAsia" w:ascii="宋体" w:hAnsi="宋体"/>
          <w:color w:val="auto"/>
          <w:sz w:val="24"/>
          <w:szCs w:val="18"/>
        </w:rPr>
        <w:t>合同双方当事人对材料和工程设备等产品质量有争议的，所需的检验试验费由责任方承担。双方均有责任的，由双方根据其责任划分分别承担。</w:t>
      </w:r>
    </w:p>
    <w:p w14:paraId="48B23FE8">
      <w:pPr>
        <w:pStyle w:val="3"/>
        <w:adjustRightInd w:val="0"/>
        <w:snapToGrid w:val="0"/>
        <w:spacing w:line="360" w:lineRule="auto"/>
        <w:ind w:firstLine="0"/>
        <w:rPr>
          <w:color w:val="auto"/>
        </w:rPr>
      </w:pPr>
    </w:p>
    <w:p w14:paraId="4CC3D9AF">
      <w:pPr>
        <w:pStyle w:val="3"/>
        <w:adjustRightInd w:val="0"/>
        <w:snapToGrid w:val="0"/>
        <w:spacing w:line="360" w:lineRule="auto"/>
        <w:ind w:firstLine="0"/>
        <w:rPr>
          <w:rFonts w:ascii="宋体"/>
          <w:b/>
          <w:color w:val="auto"/>
          <w:sz w:val="30"/>
          <w:szCs w:val="30"/>
        </w:rPr>
      </w:pPr>
      <w:r>
        <w:rPr>
          <w:rFonts w:ascii="宋体" w:hAnsi="宋体"/>
          <w:b/>
          <w:color w:val="auto"/>
          <w:sz w:val="30"/>
          <w:szCs w:val="30"/>
        </w:rPr>
        <w:t xml:space="preserve">51  </w:t>
      </w:r>
      <w:r>
        <w:rPr>
          <w:rFonts w:hint="eastAsia" w:ascii="宋体" w:hAnsi="宋体"/>
          <w:b/>
          <w:color w:val="auto"/>
          <w:sz w:val="30"/>
          <w:szCs w:val="30"/>
        </w:rPr>
        <w:t>施工设备和临时设施</w:t>
      </w:r>
    </w:p>
    <w:p w14:paraId="040F06E1">
      <w:pPr>
        <w:pStyle w:val="3"/>
        <w:adjustRightInd w:val="0"/>
        <w:snapToGrid w:val="0"/>
        <w:spacing w:line="360" w:lineRule="auto"/>
        <w:ind w:firstLine="0"/>
        <w:rPr>
          <w:rFonts w:ascii="宋体"/>
          <w:b/>
          <w:color w:val="auto"/>
          <w:sz w:val="24"/>
          <w:szCs w:val="18"/>
        </w:rPr>
      </w:pPr>
      <w:r>
        <w:rPr>
          <w:rFonts w:ascii="宋体" w:hAnsi="宋体"/>
          <w:b/>
          <w:color w:val="auto"/>
          <w:sz w:val="24"/>
          <w:szCs w:val="18"/>
        </w:rPr>
        <w:t xml:space="preserve">51.1 </w:t>
      </w:r>
    </w:p>
    <w:p w14:paraId="15168B6A">
      <w:pPr>
        <w:adjustRightInd w:val="0"/>
        <w:snapToGrid w:val="0"/>
        <w:spacing w:line="360" w:lineRule="auto"/>
        <w:ind w:left="1619" w:leftChars="771"/>
        <w:rPr>
          <w:rFonts w:ascii="宋体"/>
          <w:color w:val="auto"/>
          <w:sz w:val="24"/>
          <w:szCs w:val="18"/>
        </w:rPr>
      </w:pPr>
      <w:r>
        <w:rPr>
          <w:color w:val="auto"/>
        </w:rPr>
        <mc:AlternateContent>
          <mc:Choice Requires="wps">
            <w:drawing>
              <wp:anchor distT="0" distB="0" distL="114300" distR="114300" simplePos="0" relativeHeight="251868160" behindDoc="0" locked="0" layoutInCell="1" allowOverlap="1">
                <wp:simplePos x="0" y="0"/>
                <wp:positionH relativeFrom="column">
                  <wp:posOffset>-73660</wp:posOffset>
                </wp:positionH>
                <wp:positionV relativeFrom="paragraph">
                  <wp:posOffset>5715</wp:posOffset>
                </wp:positionV>
                <wp:extent cx="988060" cy="753110"/>
                <wp:effectExtent l="0" t="0" r="0" b="0"/>
                <wp:wrapNone/>
                <wp:docPr id="205" name="文本框 205"/>
                <wp:cNvGraphicFramePr/>
                <a:graphic xmlns:a="http://schemas.openxmlformats.org/drawingml/2006/main">
                  <a:graphicData uri="http://schemas.microsoft.com/office/word/2010/wordprocessingShape">
                    <wps:wsp>
                      <wps:cNvSpPr txBox="1"/>
                      <wps:spPr>
                        <a:xfrm>
                          <a:off x="0" y="0"/>
                          <a:ext cx="988060" cy="753110"/>
                        </a:xfrm>
                        <a:prstGeom prst="rect">
                          <a:avLst/>
                        </a:prstGeom>
                        <a:noFill/>
                        <a:ln>
                          <a:noFill/>
                        </a:ln>
                        <a:effectLst/>
                      </wps:spPr>
                      <wps:txbx>
                        <w:txbxContent>
                          <w:p w14:paraId="7A28EE79">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承包人配置的施工设备和临时设施</w:t>
                            </w:r>
                          </w:p>
                        </w:txbxContent>
                      </wps:txbx>
                      <wps:bodyPr upright="1"/>
                    </wps:wsp>
                  </a:graphicData>
                </a:graphic>
              </wp:anchor>
            </w:drawing>
          </mc:Choice>
          <mc:Fallback>
            <w:pict>
              <v:shape id="_x0000_s1026" o:spid="_x0000_s1026" o:spt="202" type="#_x0000_t202" style="position:absolute;left:0pt;margin-left:-5.8pt;margin-top:0.45pt;height:59.3pt;width:77.8pt;z-index:251868160;mso-width-relative:page;mso-height-relative:page;" filled="f" stroked="f" coordsize="21600,21600" o:gfxdata="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CrW&#10;6xzVAAAACAEAAA8AAAAAAAAAAQAgAAAAIgAAAGRycy9kb3ducmV2LnhtbFBLAQIUABQAAAAIAIdO&#10;4kAWrDR/tAEAAF8DAAAOAAAAAAAAAAEAIAAAACQBAABkcnMvZTJvRG9jLnhtbFBLBQYAAAAABgAG&#10;AFkBAABKBQAAAAA=&#10;">
                <v:fill on="f" focussize="0,0"/>
                <v:stroke on="f"/>
                <v:imagedata o:title=""/>
                <o:lock v:ext="edit" aspectratio="f"/>
                <v:textbox>
                  <w:txbxContent>
                    <w:p w14:paraId="7A28EE79">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承包人配置的施工设备和临时设施</w:t>
                      </w:r>
                    </w:p>
                  </w:txbxContent>
                </v:textbox>
              </v:shape>
            </w:pict>
          </mc:Fallback>
        </mc:AlternateContent>
      </w:r>
      <w:r>
        <w:rPr>
          <w:rFonts w:hint="eastAsia" w:ascii="宋体" w:hAnsi="宋体"/>
          <w:color w:val="auto"/>
          <w:sz w:val="24"/>
          <w:szCs w:val="18"/>
        </w:rPr>
        <w:t>承包人应按合同工程进度计划的要求，及时配置施工设备和修建临时设施。除专用条款另有约定外，承包人应自行承担修建临时设施的费用。需要临时占地的，发包人应办理其申请手续并承担相应费用。</w:t>
      </w:r>
    </w:p>
    <w:p w14:paraId="3D3985AD">
      <w:pPr>
        <w:adjustRightInd w:val="0"/>
        <w:snapToGrid w:val="0"/>
        <w:spacing w:line="360" w:lineRule="auto"/>
        <w:ind w:left="1619" w:leftChars="771"/>
        <w:rPr>
          <w:rFonts w:ascii="宋体"/>
          <w:color w:val="auto"/>
          <w:sz w:val="24"/>
          <w:szCs w:val="18"/>
        </w:rPr>
      </w:pPr>
      <w:r>
        <w:rPr>
          <w:rFonts w:hint="eastAsia" w:ascii="宋体" w:hAnsi="宋体"/>
          <w:color w:val="auto"/>
          <w:sz w:val="24"/>
          <w:szCs w:val="18"/>
        </w:rPr>
        <w:t>进入施工场地的承包人施工设备，需经监理工程师核查后才能投入使用。承包人更换合同约定自身施工设备的，应经监理工程师同意并由其报发包人批准后方可实施。</w:t>
      </w:r>
    </w:p>
    <w:p w14:paraId="0582AD0F">
      <w:pPr>
        <w:pStyle w:val="3"/>
        <w:tabs>
          <w:tab w:val="left" w:pos="540"/>
        </w:tabs>
        <w:adjustRightInd w:val="0"/>
        <w:snapToGrid w:val="0"/>
        <w:spacing w:line="360" w:lineRule="auto"/>
        <w:ind w:firstLine="0"/>
        <w:rPr>
          <w:rFonts w:ascii="宋体"/>
          <w:color w:val="auto"/>
          <w:sz w:val="24"/>
          <w:szCs w:val="18"/>
        </w:rPr>
      </w:pPr>
      <w:r>
        <w:rPr>
          <w:color w:val="auto"/>
        </w:rPr>
        <mc:AlternateContent>
          <mc:Choice Requires="wps">
            <w:drawing>
              <wp:anchor distT="0" distB="0" distL="114300" distR="114300" simplePos="0" relativeHeight="251869184" behindDoc="0" locked="0" layoutInCell="1" allowOverlap="1">
                <wp:simplePos x="0" y="0"/>
                <wp:positionH relativeFrom="column">
                  <wp:posOffset>-66675</wp:posOffset>
                </wp:positionH>
                <wp:positionV relativeFrom="paragraph">
                  <wp:posOffset>215900</wp:posOffset>
                </wp:positionV>
                <wp:extent cx="873760" cy="685800"/>
                <wp:effectExtent l="0" t="0" r="0" b="0"/>
                <wp:wrapNone/>
                <wp:docPr id="206" name="文本框 206"/>
                <wp:cNvGraphicFramePr/>
                <a:graphic xmlns:a="http://schemas.openxmlformats.org/drawingml/2006/main">
                  <a:graphicData uri="http://schemas.microsoft.com/office/word/2010/wordprocessingShape">
                    <wps:wsp>
                      <wps:cNvSpPr txBox="1"/>
                      <wps:spPr>
                        <a:xfrm>
                          <a:off x="0" y="0"/>
                          <a:ext cx="873760" cy="685800"/>
                        </a:xfrm>
                        <a:prstGeom prst="rect">
                          <a:avLst/>
                        </a:prstGeom>
                        <a:noFill/>
                        <a:ln>
                          <a:noFill/>
                        </a:ln>
                        <a:effectLst/>
                      </wps:spPr>
                      <wps:txbx>
                        <w:txbxContent>
                          <w:p w14:paraId="0577684D">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发包人提供的施工设备和临时设施</w:t>
                            </w:r>
                          </w:p>
                          <w:p w14:paraId="0CADBBDD">
                            <w:pPr>
                              <w:spacing w:line="240" w:lineRule="exact"/>
                              <w:rPr>
                                <w:sz w:val="18"/>
                                <w:szCs w:val="18"/>
                              </w:rPr>
                            </w:pPr>
                          </w:p>
                        </w:txbxContent>
                      </wps:txbx>
                      <wps:bodyPr upright="1"/>
                    </wps:wsp>
                  </a:graphicData>
                </a:graphic>
              </wp:anchor>
            </w:drawing>
          </mc:Choice>
          <mc:Fallback>
            <w:pict>
              <v:shape id="_x0000_s1026" o:spid="_x0000_s1026" o:spt="202" type="#_x0000_t202" style="position:absolute;left:0pt;margin-left:-5.25pt;margin-top:17pt;height:54pt;width:68.8pt;z-index:251869184;mso-width-relative:page;mso-height-relative:page;" filled="f" stroked="f" coordsize="21600,21600" o:gfxdata="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i&#10;T7A91wAAAAoBAAAPAAAAAAAAAAEAIAAAACIAAABkcnMvZG93bnJldi54bWxQSwECFAAUAAAACACH&#10;TuJAg92lHrMBAABfAwAADgAAAAAAAAABACAAAAAmAQAAZHJzL2Uyb0RvYy54bWxQSwUGAAAAAAYA&#10;BgBZAQAASwUAAAAA&#10;">
                <v:fill on="f" focussize="0,0"/>
                <v:stroke on="f"/>
                <v:imagedata o:title=""/>
                <o:lock v:ext="edit" aspectratio="f"/>
                <v:textbox>
                  <w:txbxContent>
                    <w:p w14:paraId="0577684D">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发包人提供的施工设备和临时设施</w:t>
                      </w:r>
                    </w:p>
                    <w:p w14:paraId="0CADBBDD">
                      <w:pPr>
                        <w:spacing w:line="240" w:lineRule="exact"/>
                        <w:rPr>
                          <w:sz w:val="18"/>
                          <w:szCs w:val="18"/>
                        </w:rPr>
                      </w:pPr>
                    </w:p>
                  </w:txbxContent>
                </v:textbox>
              </v:shape>
            </w:pict>
          </mc:Fallback>
        </mc:AlternateContent>
      </w:r>
      <w:r>
        <w:rPr>
          <w:rFonts w:ascii="宋体" w:hAnsi="宋体"/>
          <w:b/>
          <w:color w:val="auto"/>
          <w:sz w:val="24"/>
          <w:szCs w:val="18"/>
        </w:rPr>
        <w:t xml:space="preserve">51.2 </w:t>
      </w:r>
    </w:p>
    <w:p w14:paraId="150ABFDA">
      <w:pPr>
        <w:adjustRightInd w:val="0"/>
        <w:snapToGrid w:val="0"/>
        <w:spacing w:line="360" w:lineRule="auto"/>
        <w:ind w:left="1619" w:leftChars="771"/>
        <w:rPr>
          <w:rFonts w:ascii="宋体"/>
          <w:color w:val="auto"/>
          <w:sz w:val="24"/>
        </w:rPr>
      </w:pPr>
      <w:r>
        <w:rPr>
          <w:rFonts w:hint="eastAsia" w:ascii="宋体" w:hAnsi="宋体"/>
          <w:color w:val="auto"/>
          <w:sz w:val="24"/>
          <w:szCs w:val="18"/>
        </w:rPr>
        <w:t>如果发包人提供施工设备或临时设施的，合同双方当事人应在专用条款中约定施工设备或临时设施的品种、规格、型号和提供的时间、地点等内容。</w:t>
      </w:r>
    </w:p>
    <w:p w14:paraId="248F647D">
      <w:pPr>
        <w:pStyle w:val="3"/>
        <w:tabs>
          <w:tab w:val="left" w:pos="540"/>
        </w:tabs>
        <w:adjustRightInd w:val="0"/>
        <w:snapToGrid w:val="0"/>
        <w:spacing w:line="360" w:lineRule="auto"/>
        <w:ind w:firstLine="0"/>
        <w:rPr>
          <w:rFonts w:ascii="宋体"/>
          <w:b/>
          <w:color w:val="auto"/>
          <w:sz w:val="24"/>
          <w:szCs w:val="18"/>
        </w:rPr>
      </w:pPr>
      <w:r>
        <w:rPr>
          <w:rFonts w:ascii="宋体" w:hAnsi="宋体"/>
          <w:b/>
          <w:color w:val="auto"/>
          <w:sz w:val="24"/>
          <w:szCs w:val="18"/>
        </w:rPr>
        <w:t xml:space="preserve">51.3 </w:t>
      </w:r>
    </w:p>
    <w:p w14:paraId="40B53975">
      <w:pPr>
        <w:adjustRightInd w:val="0"/>
        <w:snapToGrid w:val="0"/>
        <w:spacing w:line="360" w:lineRule="auto"/>
        <w:ind w:left="1619" w:leftChars="771"/>
        <w:rPr>
          <w:rFonts w:ascii="宋体"/>
          <w:color w:val="auto"/>
          <w:sz w:val="24"/>
          <w:szCs w:val="18"/>
        </w:rPr>
      </w:pPr>
      <w:r>
        <w:rPr>
          <w:color w:val="auto"/>
        </w:rPr>
        <mc:AlternateContent>
          <mc:Choice Requires="wps">
            <w:drawing>
              <wp:anchor distT="0" distB="0" distL="114300" distR="114300" simplePos="0" relativeHeight="251870208" behindDoc="0" locked="0" layoutInCell="1" allowOverlap="1">
                <wp:simplePos x="0" y="0"/>
                <wp:positionH relativeFrom="column">
                  <wp:posOffset>-73660</wp:posOffset>
                </wp:positionH>
                <wp:positionV relativeFrom="paragraph">
                  <wp:posOffset>8890</wp:posOffset>
                </wp:positionV>
                <wp:extent cx="873760" cy="659765"/>
                <wp:effectExtent l="0" t="0" r="0" b="0"/>
                <wp:wrapNone/>
                <wp:docPr id="207" name="文本框 207"/>
                <wp:cNvGraphicFramePr/>
                <a:graphic xmlns:a="http://schemas.openxmlformats.org/drawingml/2006/main">
                  <a:graphicData uri="http://schemas.microsoft.com/office/word/2010/wordprocessingShape">
                    <wps:wsp>
                      <wps:cNvSpPr txBox="1"/>
                      <wps:spPr>
                        <a:xfrm>
                          <a:off x="0" y="0"/>
                          <a:ext cx="873760" cy="659765"/>
                        </a:xfrm>
                        <a:prstGeom prst="rect">
                          <a:avLst/>
                        </a:prstGeom>
                        <a:noFill/>
                        <a:ln>
                          <a:noFill/>
                        </a:ln>
                        <a:effectLst/>
                      </wps:spPr>
                      <wps:txbx>
                        <w:txbxContent>
                          <w:p w14:paraId="77F75BA3">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承包人增加或更换施工设备</w:t>
                            </w:r>
                          </w:p>
                        </w:txbxContent>
                      </wps:txbx>
                      <wps:bodyPr upright="1"/>
                    </wps:wsp>
                  </a:graphicData>
                </a:graphic>
              </wp:anchor>
            </w:drawing>
          </mc:Choice>
          <mc:Fallback>
            <w:pict>
              <v:shape id="_x0000_s1026" o:spid="_x0000_s1026" o:spt="202" type="#_x0000_t202" style="position:absolute;left:0pt;margin-left:-5.8pt;margin-top:0.7pt;height:51.95pt;width:68.8pt;z-index:251870208;mso-width-relative:page;mso-height-relative:page;" filled="f" stroked="f" coordsize="21600,21600" o:gfxdata="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mFI&#10;AdUAAAAJAQAADwAAAAAAAAABACAAAAAiAAAAZHJzL2Rvd25yZXYueG1sUEsBAhQAFAAAAAgAh07i&#10;QDKC+qWzAQAAXwMAAA4AAAAAAAAAAQAgAAAAJAEAAGRycy9lMm9Eb2MueG1sUEsFBgAAAAAGAAYA&#10;WQEAAEkFAAAAAA==&#10;">
                <v:fill on="f" focussize="0,0"/>
                <v:stroke on="f"/>
                <v:imagedata o:title=""/>
                <o:lock v:ext="edit" aspectratio="f"/>
                <v:textbox>
                  <w:txbxContent>
                    <w:p w14:paraId="77F75BA3">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承包人增加或更换施工设备</w:t>
                      </w:r>
                    </w:p>
                  </w:txbxContent>
                </v:textbox>
              </v:shape>
            </w:pict>
          </mc:Fallback>
        </mc:AlternateContent>
      </w:r>
      <w:r>
        <w:rPr>
          <w:rFonts w:hint="eastAsia" w:ascii="宋体" w:hAnsi="宋体"/>
          <w:color w:val="auto"/>
          <w:sz w:val="24"/>
          <w:szCs w:val="18"/>
        </w:rPr>
        <w:t>如果承包人使用的施工设备不能满足合同工程进度计划和（或）质量要求的，监理工程师有权要求承包人增加或更换施工设备，承包人应及时增加或更换，由此增加的费用和（或）延误的工期由承包人承担。</w:t>
      </w:r>
    </w:p>
    <w:p w14:paraId="164BCAAA">
      <w:pPr>
        <w:pStyle w:val="3"/>
        <w:tabs>
          <w:tab w:val="left" w:pos="540"/>
        </w:tabs>
        <w:adjustRightInd w:val="0"/>
        <w:snapToGrid w:val="0"/>
        <w:spacing w:line="360" w:lineRule="auto"/>
        <w:ind w:firstLine="0"/>
        <w:rPr>
          <w:rFonts w:ascii="宋体"/>
          <w:b/>
          <w:color w:val="auto"/>
          <w:sz w:val="24"/>
          <w:szCs w:val="18"/>
        </w:rPr>
      </w:pPr>
      <w:r>
        <w:rPr>
          <w:rFonts w:ascii="宋体" w:hAnsi="宋体"/>
          <w:b/>
          <w:color w:val="auto"/>
          <w:sz w:val="24"/>
          <w:szCs w:val="18"/>
        </w:rPr>
        <w:t xml:space="preserve">51.4  </w:t>
      </w:r>
    </w:p>
    <w:p w14:paraId="28746F3C">
      <w:pPr>
        <w:adjustRightInd w:val="0"/>
        <w:snapToGrid w:val="0"/>
        <w:spacing w:line="360" w:lineRule="auto"/>
        <w:ind w:left="1619" w:leftChars="771"/>
        <w:rPr>
          <w:rFonts w:ascii="宋体"/>
          <w:color w:val="auto"/>
          <w:sz w:val="24"/>
          <w:szCs w:val="18"/>
        </w:rPr>
      </w:pPr>
      <w:r>
        <w:rPr>
          <w:rFonts w:hint="eastAsia" w:ascii="宋体" w:hAnsi="宋体"/>
          <w:color w:val="auto"/>
          <w:sz w:val="24"/>
          <w:szCs w:val="18"/>
        </w:rPr>
        <w:t>运至施工现场的施工设备和在施工现场修建的临时设施，均应视为专门用于实施合同工程。除经监理工程师同意并由其报发包人批准，承包人可根据合同工程进度计划撤走闲置的施工设备</w:t>
      </w:r>
      <w:r>
        <w:rPr>
          <w:color w:val="auto"/>
        </w:rPr>
        <mc:AlternateContent>
          <mc:Choice Requires="wps">
            <w:drawing>
              <wp:anchor distT="0" distB="0" distL="114300" distR="114300" simplePos="0" relativeHeight="251871232" behindDoc="0" locked="0" layoutInCell="1" allowOverlap="1">
                <wp:simplePos x="0" y="0"/>
                <wp:positionH relativeFrom="column">
                  <wp:posOffset>-114300</wp:posOffset>
                </wp:positionH>
                <wp:positionV relativeFrom="paragraph">
                  <wp:posOffset>46355</wp:posOffset>
                </wp:positionV>
                <wp:extent cx="914400" cy="659130"/>
                <wp:effectExtent l="0" t="0" r="0" b="0"/>
                <wp:wrapNone/>
                <wp:docPr id="208" name="文本框 208"/>
                <wp:cNvGraphicFramePr/>
                <a:graphic xmlns:a="http://schemas.openxmlformats.org/drawingml/2006/main">
                  <a:graphicData uri="http://schemas.microsoft.com/office/word/2010/wordprocessingShape">
                    <wps:wsp>
                      <wps:cNvSpPr txBox="1"/>
                      <wps:spPr>
                        <a:xfrm>
                          <a:off x="0" y="0"/>
                          <a:ext cx="914400" cy="659130"/>
                        </a:xfrm>
                        <a:prstGeom prst="rect">
                          <a:avLst/>
                        </a:prstGeom>
                        <a:noFill/>
                        <a:ln>
                          <a:noFill/>
                        </a:ln>
                        <a:effectLst/>
                      </wps:spPr>
                      <wps:txbx>
                        <w:txbxContent>
                          <w:p w14:paraId="6250A47D">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施工设备和临时设施的使用要求</w:t>
                            </w:r>
                          </w:p>
                        </w:txbxContent>
                      </wps:txbx>
                      <wps:bodyPr upright="1"/>
                    </wps:wsp>
                  </a:graphicData>
                </a:graphic>
              </wp:anchor>
            </w:drawing>
          </mc:Choice>
          <mc:Fallback>
            <w:pict>
              <v:shape id="_x0000_s1026" o:spid="_x0000_s1026" o:spt="202" type="#_x0000_t202" style="position:absolute;left:0pt;margin-left:-9pt;margin-top:3.65pt;height:51.9pt;width:72pt;z-index:251871232;mso-width-relative:page;mso-height-relative:page;" filled="f" stroked="f" coordsize="21600,21600" o:gfxdata="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Oo6p&#10;SNUAAAAJAQAADwAAAAAAAAABACAAAAAiAAAAZHJzL2Rvd25yZXYueG1sUEsBAhQAFAAAAAgAh07i&#10;QPREbWuzAQAAXwMAAA4AAAAAAAAAAQAgAAAAJAEAAGRycy9lMm9Eb2MueG1sUEsFBgAAAAAGAAYA&#10;WQEAAEkFAAAAAA==&#10;">
                <v:fill on="f" focussize="0,0"/>
                <v:stroke on="f"/>
                <v:imagedata o:title=""/>
                <o:lock v:ext="edit" aspectratio="f"/>
                <v:textbox>
                  <w:txbxContent>
                    <w:p w14:paraId="6250A47D">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施工设备和临时设施的使用要求</w:t>
                      </w:r>
                    </w:p>
                  </w:txbxContent>
                </v:textbox>
              </v:shape>
            </w:pict>
          </mc:Fallback>
        </mc:AlternateContent>
      </w:r>
      <w:r>
        <w:rPr>
          <w:rFonts w:hint="eastAsia" w:ascii="宋体" w:hAnsi="宋体"/>
          <w:color w:val="auto"/>
          <w:sz w:val="24"/>
          <w:szCs w:val="18"/>
        </w:rPr>
        <w:t>外，承包人不得将上述施工设备和临时设施中的任何部分运出施工场地或挪作他用。</w:t>
      </w:r>
    </w:p>
    <w:p w14:paraId="71E83343">
      <w:pPr>
        <w:pStyle w:val="2"/>
        <w:tabs>
          <w:tab w:val="left" w:pos="540"/>
        </w:tabs>
        <w:adjustRightInd w:val="0"/>
        <w:snapToGrid w:val="0"/>
        <w:spacing w:before="240" w:beforeLines="100" w:line="360" w:lineRule="auto"/>
        <w:rPr>
          <w:rFonts w:hAnsi="宋体"/>
          <w:b/>
          <w:color w:val="auto"/>
          <w:sz w:val="30"/>
          <w:szCs w:val="24"/>
        </w:rPr>
      </w:pPr>
    </w:p>
    <w:p w14:paraId="70843DB4">
      <w:pPr>
        <w:pStyle w:val="2"/>
        <w:tabs>
          <w:tab w:val="left" w:pos="540"/>
        </w:tabs>
        <w:adjustRightInd w:val="0"/>
        <w:snapToGrid w:val="0"/>
        <w:spacing w:before="240" w:beforeLines="100" w:line="360" w:lineRule="auto"/>
        <w:ind w:right="-238"/>
        <w:rPr>
          <w:rFonts w:hAnsi="宋体"/>
          <w:b/>
          <w:color w:val="auto"/>
          <w:sz w:val="30"/>
          <w:szCs w:val="24"/>
        </w:rPr>
      </w:pPr>
      <w:r>
        <w:rPr>
          <w:rFonts w:hAnsi="宋体"/>
          <w:b/>
          <w:color w:val="auto"/>
          <w:sz w:val="30"/>
          <w:szCs w:val="24"/>
        </w:rPr>
        <w:t xml:space="preserve">52  </w:t>
      </w:r>
      <w:r>
        <w:rPr>
          <w:rFonts w:hint="eastAsia" w:hAnsi="宋体"/>
          <w:b/>
          <w:color w:val="auto"/>
          <w:sz w:val="30"/>
          <w:szCs w:val="24"/>
        </w:rPr>
        <w:t>工程质量检查</w:t>
      </w:r>
    </w:p>
    <w:p w14:paraId="1FB9CA4E">
      <w:pPr>
        <w:pStyle w:val="3"/>
        <w:adjustRightInd w:val="0"/>
        <w:snapToGrid w:val="0"/>
        <w:spacing w:line="360" w:lineRule="auto"/>
        <w:ind w:firstLine="0"/>
        <w:rPr>
          <w:rFonts w:ascii="宋体"/>
          <w:b/>
          <w:color w:val="auto"/>
          <w:sz w:val="24"/>
          <w:szCs w:val="18"/>
        </w:rPr>
      </w:pPr>
      <w:r>
        <w:rPr>
          <w:rFonts w:ascii="宋体" w:hAnsi="宋体"/>
          <w:b/>
          <w:color w:val="auto"/>
          <w:sz w:val="24"/>
          <w:szCs w:val="18"/>
        </w:rPr>
        <w:t xml:space="preserve">52.1 </w:t>
      </w:r>
    </w:p>
    <w:p w14:paraId="0600CF2A">
      <w:pPr>
        <w:adjustRightInd w:val="0"/>
        <w:snapToGrid w:val="0"/>
        <w:spacing w:line="360" w:lineRule="auto"/>
        <w:ind w:left="1619" w:leftChars="771"/>
        <w:rPr>
          <w:rFonts w:ascii="宋体"/>
          <w:color w:val="auto"/>
          <w:sz w:val="24"/>
          <w:szCs w:val="18"/>
        </w:rPr>
      </w:pPr>
      <w:r>
        <w:rPr>
          <w:color w:val="auto"/>
        </w:rPr>
        <mc:AlternateContent>
          <mc:Choice Requires="wps">
            <w:drawing>
              <wp:anchor distT="0" distB="0" distL="114300" distR="114300" simplePos="0" relativeHeight="251872256" behindDoc="0" locked="0" layoutInCell="1" allowOverlap="1">
                <wp:simplePos x="0" y="0"/>
                <wp:positionH relativeFrom="column">
                  <wp:posOffset>-73660</wp:posOffset>
                </wp:positionH>
                <wp:positionV relativeFrom="paragraph">
                  <wp:posOffset>5715</wp:posOffset>
                </wp:positionV>
                <wp:extent cx="988060" cy="522605"/>
                <wp:effectExtent l="0" t="0" r="0" b="0"/>
                <wp:wrapNone/>
                <wp:docPr id="209" name="文本框 209"/>
                <wp:cNvGraphicFramePr/>
                <a:graphic xmlns:a="http://schemas.openxmlformats.org/drawingml/2006/main">
                  <a:graphicData uri="http://schemas.microsoft.com/office/word/2010/wordprocessingShape">
                    <wps:wsp>
                      <wps:cNvSpPr txBox="1"/>
                      <wps:spPr>
                        <a:xfrm>
                          <a:off x="0" y="0"/>
                          <a:ext cx="988060" cy="522605"/>
                        </a:xfrm>
                        <a:prstGeom prst="rect">
                          <a:avLst/>
                        </a:prstGeom>
                        <a:noFill/>
                        <a:ln>
                          <a:noFill/>
                        </a:ln>
                        <a:effectLst/>
                      </wps:spPr>
                      <wps:txbx>
                        <w:txbxContent>
                          <w:p w14:paraId="6D202573">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承包人对工程</w:t>
                            </w:r>
                          </w:p>
                          <w:p w14:paraId="0734F73E">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质量检查的义</w:t>
                            </w:r>
                          </w:p>
                          <w:p w14:paraId="2DDAA901">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务</w:t>
                            </w:r>
                          </w:p>
                        </w:txbxContent>
                      </wps:txbx>
                      <wps:bodyPr upright="1"/>
                    </wps:wsp>
                  </a:graphicData>
                </a:graphic>
              </wp:anchor>
            </w:drawing>
          </mc:Choice>
          <mc:Fallback>
            <w:pict>
              <v:shape id="_x0000_s1026" o:spid="_x0000_s1026" o:spt="202" type="#_x0000_t202" style="position:absolute;left:0pt;margin-left:-5.8pt;margin-top:0.45pt;height:41.15pt;width:77.8pt;z-index:251872256;mso-width-relative:page;mso-height-relative:page;" filled="f" stroked="f" coordsize="21600,21600" o:gfxdata="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pu+lR&#10;1QAAAAcBAAAPAAAAAAAAAAEAIAAAACIAAABkcnMvZG93bnJldi54bWxQSwECFAAUAAAACACHTuJA&#10;HDcn67IBAABfAwAADgAAAAAAAAABACAAAAAkAQAAZHJzL2Uyb0RvYy54bWxQSwUGAAAAAAYABgBZ&#10;AQAASAUAAAAA&#10;">
                <v:fill on="f" focussize="0,0"/>
                <v:stroke on="f"/>
                <v:imagedata o:title=""/>
                <o:lock v:ext="edit" aspectratio="f"/>
                <v:textbox>
                  <w:txbxContent>
                    <w:p w14:paraId="6D202573">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承包人对工程</w:t>
                      </w:r>
                    </w:p>
                    <w:p w14:paraId="0734F73E">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质量检查的义</w:t>
                      </w:r>
                    </w:p>
                    <w:p w14:paraId="2DDAA901">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务</w:t>
                      </w:r>
                    </w:p>
                  </w:txbxContent>
                </v:textbox>
              </v:shape>
            </w:pict>
          </mc:Fallback>
        </mc:AlternateContent>
      </w:r>
      <w:r>
        <w:rPr>
          <w:rFonts w:hint="eastAsia" w:ascii="宋体" w:hAnsi="宋体"/>
          <w:color w:val="auto"/>
          <w:sz w:val="24"/>
          <w:szCs w:val="18"/>
        </w:rPr>
        <w:t>承包人应按照标准与规范、设计要求以及监理工程师依据合同约定发出的指令施工，确保工程质量，随时接受监理工程师的检查，并为监理工程师的检查（包括监理工程师到施工场地，或合同约定的其他地方察看和查阅施工原始记录等）提供便利和协助。</w:t>
      </w:r>
    </w:p>
    <w:p w14:paraId="156D0F52">
      <w:pPr>
        <w:pStyle w:val="3"/>
        <w:tabs>
          <w:tab w:val="left" w:pos="540"/>
        </w:tabs>
        <w:adjustRightInd w:val="0"/>
        <w:snapToGrid w:val="0"/>
        <w:spacing w:line="360" w:lineRule="auto"/>
        <w:ind w:firstLine="0"/>
        <w:rPr>
          <w:rFonts w:ascii="宋体"/>
          <w:b/>
          <w:color w:val="auto"/>
          <w:sz w:val="24"/>
          <w:szCs w:val="18"/>
        </w:rPr>
      </w:pPr>
      <w:r>
        <w:rPr>
          <w:rFonts w:ascii="宋体" w:hAnsi="宋体"/>
          <w:b/>
          <w:color w:val="auto"/>
          <w:sz w:val="24"/>
          <w:szCs w:val="18"/>
        </w:rPr>
        <w:t xml:space="preserve">52.2 </w:t>
      </w:r>
    </w:p>
    <w:p w14:paraId="1CE7CC58">
      <w:pPr>
        <w:adjustRightInd w:val="0"/>
        <w:snapToGrid w:val="0"/>
        <w:spacing w:line="360" w:lineRule="auto"/>
        <w:ind w:left="1619" w:leftChars="771"/>
        <w:rPr>
          <w:rFonts w:ascii="宋体"/>
          <w:color w:val="auto"/>
          <w:sz w:val="24"/>
          <w:szCs w:val="18"/>
        </w:rPr>
      </w:pPr>
      <w:r>
        <w:rPr>
          <w:color w:val="auto"/>
        </w:rPr>
        <mc:AlternateContent>
          <mc:Choice Requires="wps">
            <w:drawing>
              <wp:anchor distT="0" distB="0" distL="114300" distR="114300" simplePos="0" relativeHeight="251873280" behindDoc="0" locked="0" layoutInCell="1" allowOverlap="1">
                <wp:simplePos x="0" y="0"/>
                <wp:positionH relativeFrom="column">
                  <wp:posOffset>-73660</wp:posOffset>
                </wp:positionH>
                <wp:positionV relativeFrom="paragraph">
                  <wp:posOffset>8890</wp:posOffset>
                </wp:positionV>
                <wp:extent cx="873760" cy="448310"/>
                <wp:effectExtent l="0" t="0" r="0" b="0"/>
                <wp:wrapNone/>
                <wp:docPr id="210" name="文本框 210"/>
                <wp:cNvGraphicFramePr/>
                <a:graphic xmlns:a="http://schemas.openxmlformats.org/drawingml/2006/main">
                  <a:graphicData uri="http://schemas.microsoft.com/office/word/2010/wordprocessingShape">
                    <wps:wsp>
                      <wps:cNvSpPr txBox="1"/>
                      <wps:spPr>
                        <a:xfrm>
                          <a:off x="0" y="0"/>
                          <a:ext cx="873760" cy="448310"/>
                        </a:xfrm>
                        <a:prstGeom prst="rect">
                          <a:avLst/>
                        </a:prstGeom>
                        <a:noFill/>
                        <a:ln>
                          <a:noFill/>
                        </a:ln>
                        <a:effectLst/>
                      </wps:spPr>
                      <wps:txbx>
                        <w:txbxContent>
                          <w:p w14:paraId="5A445FE9">
                            <w:pPr>
                              <w:spacing w:line="240" w:lineRule="exact"/>
                              <w:rPr>
                                <w:rFonts w:ascii="楷体_GB2312" w:hAnsi="宋体" w:eastAsia="楷体_GB2312"/>
                                <w:sz w:val="18"/>
                                <w:szCs w:val="18"/>
                              </w:rPr>
                            </w:pPr>
                            <w:r>
                              <w:rPr>
                                <w:rFonts w:hint="eastAsia" w:ascii="楷体_GB2312" w:hAnsi="宋体" w:eastAsia="楷体_GB2312"/>
                                <w:b/>
                                <w:color w:val="000000"/>
                                <w:sz w:val="18"/>
                                <w:szCs w:val="18"/>
                              </w:rPr>
                              <w:t>工程质量检查的要求</w:t>
                            </w:r>
                          </w:p>
                        </w:txbxContent>
                      </wps:txbx>
                      <wps:bodyPr upright="1"/>
                    </wps:wsp>
                  </a:graphicData>
                </a:graphic>
              </wp:anchor>
            </w:drawing>
          </mc:Choice>
          <mc:Fallback>
            <w:pict>
              <v:shape id="_x0000_s1026" o:spid="_x0000_s1026" o:spt="202" type="#_x0000_t202" style="position:absolute;left:0pt;margin-left:-5.8pt;margin-top:0.7pt;height:35.3pt;width:68.8pt;z-index:251873280;mso-width-relative:page;mso-height-relative:page;" filled="f" stroked="f" coordsize="21600,21600" o:gfxdata="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EalqT&#10;1QAAAAgBAAAPAAAAAAAAAAEAIAAAACIAAABkcnMvZG93bnJldi54bWxQSwECFAAUAAAACACHTuJA&#10;4cpZjLIBAABfAwAADgAAAAAAAAABACAAAAAkAQAAZHJzL2Uyb0RvYy54bWxQSwUGAAAAAAYABgBZ&#10;AQAASAUAAAAA&#10;">
                <v:fill on="f" focussize="0,0"/>
                <v:stroke on="f"/>
                <v:imagedata o:title=""/>
                <o:lock v:ext="edit" aspectratio="f"/>
                <v:textbox>
                  <w:txbxContent>
                    <w:p w14:paraId="5A445FE9">
                      <w:pPr>
                        <w:spacing w:line="240" w:lineRule="exact"/>
                        <w:rPr>
                          <w:rFonts w:ascii="楷体_GB2312" w:hAnsi="宋体" w:eastAsia="楷体_GB2312"/>
                          <w:sz w:val="18"/>
                          <w:szCs w:val="18"/>
                        </w:rPr>
                      </w:pPr>
                      <w:r>
                        <w:rPr>
                          <w:rFonts w:hint="eastAsia" w:ascii="楷体_GB2312" w:hAnsi="宋体" w:eastAsia="楷体_GB2312"/>
                          <w:b/>
                          <w:color w:val="000000"/>
                          <w:sz w:val="18"/>
                          <w:szCs w:val="18"/>
                        </w:rPr>
                        <w:t>工程质量检查的要求</w:t>
                      </w:r>
                    </w:p>
                  </w:txbxContent>
                </v:textbox>
              </v:shape>
            </w:pict>
          </mc:Fallback>
        </mc:AlternateContent>
      </w:r>
      <w:r>
        <w:rPr>
          <w:rFonts w:hint="eastAsia" w:ascii="宋体" w:hAnsi="宋体"/>
          <w:color w:val="auto"/>
          <w:sz w:val="24"/>
          <w:szCs w:val="18"/>
        </w:rPr>
        <w:t>承包人应按照合同约定对合同工程的所有部位及其施工工艺进行全过程的质量检查，并做好详细记录，编制工程质量报表，提交监理工程师核实并由其报发包人审批。发包人应通知监理工程师及时对合同工程的所有部位及其施工工艺进行检查；发现质量不合格的，监理工程师应迅速向承包人发出书面指令，通知承包人立即拆除和重新施工。即使经监理工程师检查，也不能免除承包人按照合同约定应承担的任何责任和应履行的任何义务。</w:t>
      </w:r>
    </w:p>
    <w:p w14:paraId="42B53CBD">
      <w:pPr>
        <w:pStyle w:val="3"/>
        <w:tabs>
          <w:tab w:val="left" w:pos="540"/>
        </w:tabs>
        <w:adjustRightInd w:val="0"/>
        <w:snapToGrid w:val="0"/>
        <w:spacing w:line="360" w:lineRule="auto"/>
        <w:ind w:firstLine="0"/>
        <w:rPr>
          <w:rFonts w:ascii="宋体"/>
          <w:b/>
          <w:color w:val="auto"/>
          <w:sz w:val="24"/>
          <w:szCs w:val="18"/>
        </w:rPr>
      </w:pPr>
      <w:r>
        <w:rPr>
          <w:rFonts w:ascii="宋体" w:hAnsi="宋体"/>
          <w:b/>
          <w:color w:val="auto"/>
          <w:sz w:val="24"/>
          <w:szCs w:val="18"/>
        </w:rPr>
        <w:t xml:space="preserve">52.3 </w:t>
      </w:r>
    </w:p>
    <w:p w14:paraId="58F56750">
      <w:pPr>
        <w:pStyle w:val="3"/>
        <w:adjustRightInd w:val="0"/>
        <w:snapToGrid w:val="0"/>
        <w:spacing w:line="360" w:lineRule="auto"/>
        <w:ind w:left="1619" w:leftChars="771" w:firstLine="0"/>
        <w:rPr>
          <w:rFonts w:ascii="宋体"/>
          <w:color w:val="auto"/>
          <w:sz w:val="24"/>
          <w:szCs w:val="18"/>
        </w:rPr>
      </w:pPr>
      <w:r>
        <w:rPr>
          <w:color w:val="auto"/>
        </w:rPr>
        <mc:AlternateContent>
          <mc:Choice Requires="wps">
            <w:drawing>
              <wp:anchor distT="0" distB="0" distL="114300" distR="114300" simplePos="0" relativeHeight="251874304" behindDoc="0" locked="0" layoutInCell="1" allowOverlap="1">
                <wp:simplePos x="0" y="0"/>
                <wp:positionH relativeFrom="column">
                  <wp:posOffset>-73660</wp:posOffset>
                </wp:positionH>
                <wp:positionV relativeFrom="paragraph">
                  <wp:posOffset>8890</wp:posOffset>
                </wp:positionV>
                <wp:extent cx="873760" cy="659765"/>
                <wp:effectExtent l="0" t="0" r="0" b="0"/>
                <wp:wrapNone/>
                <wp:docPr id="211" name="文本框 211"/>
                <wp:cNvGraphicFramePr/>
                <a:graphic xmlns:a="http://schemas.openxmlformats.org/drawingml/2006/main">
                  <a:graphicData uri="http://schemas.microsoft.com/office/word/2010/wordprocessingShape">
                    <wps:wsp>
                      <wps:cNvSpPr txBox="1"/>
                      <wps:spPr>
                        <a:xfrm>
                          <a:off x="0" y="0"/>
                          <a:ext cx="873760" cy="659765"/>
                        </a:xfrm>
                        <a:prstGeom prst="rect">
                          <a:avLst/>
                        </a:prstGeom>
                        <a:noFill/>
                        <a:ln>
                          <a:noFill/>
                        </a:ln>
                        <a:effectLst/>
                      </wps:spPr>
                      <wps:txbx>
                        <w:txbxContent>
                          <w:p w14:paraId="0F5CCD97">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工程质量不达标准的处理和责任</w:t>
                            </w:r>
                          </w:p>
                        </w:txbxContent>
                      </wps:txbx>
                      <wps:bodyPr upright="1"/>
                    </wps:wsp>
                  </a:graphicData>
                </a:graphic>
              </wp:anchor>
            </w:drawing>
          </mc:Choice>
          <mc:Fallback>
            <w:pict>
              <v:shape id="_x0000_s1026" o:spid="_x0000_s1026" o:spt="202" type="#_x0000_t202" style="position:absolute;left:0pt;margin-left:-5.8pt;margin-top:0.7pt;height:51.95pt;width:68.8pt;z-index:251874304;mso-width-relative:page;mso-height-relative:page;" filled="f" stroked="f" coordsize="21600,21600" o:gfxdata="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mFI&#10;AdUAAAAJAQAADwAAAAAAAAABACAAAAAiAAAAZHJzL2Rvd25yZXYueG1sUEsBAhQAFAAAAAgAh07i&#10;QCDauI2zAQAAXwMAAA4AAAAAAAAAAQAgAAAAJAEAAGRycy9lMm9Eb2MueG1sUEsFBgAAAAAGAAYA&#10;WQEAAEkFAAAAAA==&#10;">
                <v:fill on="f" focussize="0,0"/>
                <v:stroke on="f"/>
                <v:imagedata o:title=""/>
                <o:lock v:ext="edit" aspectratio="f"/>
                <v:textbox>
                  <w:txbxContent>
                    <w:p w14:paraId="0F5CCD97">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工程质量不达标准的处理和责任</w:t>
                      </w:r>
                    </w:p>
                  </w:txbxContent>
                </v:textbox>
              </v:shape>
            </w:pict>
          </mc:Fallback>
        </mc:AlternateContent>
      </w:r>
      <w:r>
        <w:rPr>
          <w:rFonts w:hint="eastAsia" w:ascii="宋体" w:hAnsi="宋体"/>
          <w:color w:val="auto"/>
          <w:sz w:val="24"/>
          <w:szCs w:val="18"/>
        </w:rPr>
        <w:t>发现工程质量达不到合同约定验收标准，承包人应拆除和重新施工，直到符合合同约定验收标准为止。因承包人的原因达不到合同约定验收标准的，由此增加的费用和（或）延误的工期由承包人承担；因发包人的原因达不到合同约定验收标准的，包括承包人拆除和重新施工费用在内的由此增加的费用和（或）延误的工期由发包人承担，并向承包人支付合理利润。</w:t>
      </w:r>
    </w:p>
    <w:p w14:paraId="2A6AF416">
      <w:pPr>
        <w:pStyle w:val="3"/>
        <w:tabs>
          <w:tab w:val="left" w:pos="540"/>
        </w:tabs>
        <w:adjustRightInd w:val="0"/>
        <w:snapToGrid w:val="0"/>
        <w:spacing w:line="360" w:lineRule="auto"/>
        <w:ind w:firstLine="0"/>
        <w:rPr>
          <w:rFonts w:ascii="宋体"/>
          <w:b/>
          <w:color w:val="auto"/>
          <w:sz w:val="24"/>
          <w:szCs w:val="18"/>
        </w:rPr>
      </w:pPr>
      <w:r>
        <w:rPr>
          <w:rFonts w:ascii="宋体" w:hAnsi="宋体"/>
          <w:b/>
          <w:color w:val="auto"/>
          <w:sz w:val="24"/>
          <w:szCs w:val="18"/>
        </w:rPr>
        <w:t xml:space="preserve">52.4  </w:t>
      </w:r>
    </w:p>
    <w:p w14:paraId="25350BA2">
      <w:pPr>
        <w:pStyle w:val="3"/>
        <w:adjustRightInd w:val="0"/>
        <w:snapToGrid w:val="0"/>
        <w:spacing w:line="360" w:lineRule="auto"/>
        <w:ind w:left="1619" w:leftChars="771" w:firstLine="0"/>
        <w:rPr>
          <w:rFonts w:ascii="宋体"/>
          <w:color w:val="auto"/>
          <w:sz w:val="24"/>
          <w:szCs w:val="18"/>
        </w:rPr>
      </w:pPr>
      <w:r>
        <w:rPr>
          <w:color w:val="auto"/>
        </w:rPr>
        <mc:AlternateContent>
          <mc:Choice Requires="wps">
            <w:drawing>
              <wp:anchor distT="0" distB="0" distL="114300" distR="114300" simplePos="0" relativeHeight="251875328" behindDoc="0" locked="0" layoutInCell="1" allowOverlap="1">
                <wp:simplePos x="0" y="0"/>
                <wp:positionH relativeFrom="column">
                  <wp:posOffset>-114300</wp:posOffset>
                </wp:positionH>
                <wp:positionV relativeFrom="paragraph">
                  <wp:posOffset>46355</wp:posOffset>
                </wp:positionV>
                <wp:extent cx="914400" cy="440055"/>
                <wp:effectExtent l="0" t="0" r="0" b="0"/>
                <wp:wrapNone/>
                <wp:docPr id="212" name="文本框 212"/>
                <wp:cNvGraphicFramePr/>
                <a:graphic xmlns:a="http://schemas.openxmlformats.org/drawingml/2006/main">
                  <a:graphicData uri="http://schemas.microsoft.com/office/word/2010/wordprocessingShape">
                    <wps:wsp>
                      <wps:cNvSpPr txBox="1"/>
                      <wps:spPr>
                        <a:xfrm>
                          <a:off x="0" y="0"/>
                          <a:ext cx="914400" cy="440055"/>
                        </a:xfrm>
                        <a:prstGeom prst="rect">
                          <a:avLst/>
                        </a:prstGeom>
                        <a:noFill/>
                        <a:ln>
                          <a:noFill/>
                        </a:ln>
                        <a:effectLst/>
                      </wps:spPr>
                      <wps:txbx>
                        <w:txbxContent>
                          <w:p w14:paraId="61FC1C29">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质量检查不得影响施工</w:t>
                            </w:r>
                          </w:p>
                        </w:txbxContent>
                      </wps:txbx>
                      <wps:bodyPr upright="1"/>
                    </wps:wsp>
                  </a:graphicData>
                </a:graphic>
              </wp:anchor>
            </w:drawing>
          </mc:Choice>
          <mc:Fallback>
            <w:pict>
              <v:shape id="_x0000_s1026" o:spid="_x0000_s1026" o:spt="202" type="#_x0000_t202" style="position:absolute;left:0pt;margin-left:-9pt;margin-top:3.65pt;height:34.65pt;width:72pt;z-index:251875328;mso-width-relative:page;mso-height-relative:page;" filled="f" stroked="f" coordsize="21600,21600" o:gfxdata="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PGhhB1AAA&#10;AAgBAAAPAAAAAAAAAAEAIAAAACIAAABkcnMvZG93bnJldi54bWxQSwECFAAUAAAACACHTuJAc9+X&#10;ArABAABfAwAADgAAAAAAAAABACAAAAAjAQAAZHJzL2Uyb0RvYy54bWxQSwUGAAAAAAYABgBZAQAA&#10;RQUAAAAA&#10;">
                <v:fill on="f" focussize="0,0"/>
                <v:stroke on="f"/>
                <v:imagedata o:title=""/>
                <o:lock v:ext="edit" aspectratio="f"/>
                <v:textbox>
                  <w:txbxContent>
                    <w:p w14:paraId="61FC1C29">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质量检查不得影响施工</w:t>
                      </w:r>
                    </w:p>
                  </w:txbxContent>
                </v:textbox>
              </v:shape>
            </w:pict>
          </mc:Fallback>
        </mc:AlternateContent>
      </w:r>
      <w:r>
        <w:rPr>
          <w:rFonts w:hint="eastAsia" w:ascii="宋体" w:hAnsi="宋体"/>
          <w:color w:val="auto"/>
          <w:sz w:val="24"/>
          <w:szCs w:val="18"/>
        </w:rPr>
        <w:t>监理工程师对合同工程质量的检查，不得影响承包人的正常施工。如影响施工正常进行，承包人应向发包人、监理工程师发出书面改正通知；监理工程师应及时予以改正，否则承包人有权提出并得到补偿。</w:t>
      </w:r>
    </w:p>
    <w:p w14:paraId="3F1FF516">
      <w:pPr>
        <w:pStyle w:val="3"/>
        <w:tabs>
          <w:tab w:val="left" w:pos="540"/>
        </w:tabs>
        <w:adjustRightInd w:val="0"/>
        <w:snapToGrid w:val="0"/>
        <w:spacing w:line="360" w:lineRule="auto"/>
        <w:ind w:firstLine="0"/>
        <w:rPr>
          <w:rFonts w:ascii="宋体"/>
          <w:b/>
          <w:color w:val="auto"/>
          <w:sz w:val="24"/>
          <w:szCs w:val="18"/>
        </w:rPr>
      </w:pPr>
      <w:r>
        <w:rPr>
          <w:rFonts w:ascii="宋体" w:hAnsi="宋体"/>
          <w:b/>
          <w:color w:val="auto"/>
          <w:sz w:val="24"/>
          <w:szCs w:val="18"/>
        </w:rPr>
        <w:t xml:space="preserve">52.5  </w:t>
      </w:r>
    </w:p>
    <w:p w14:paraId="68640168">
      <w:pPr>
        <w:pStyle w:val="3"/>
        <w:adjustRightInd w:val="0"/>
        <w:snapToGrid w:val="0"/>
        <w:spacing w:line="360" w:lineRule="auto"/>
        <w:ind w:left="1619" w:leftChars="771" w:firstLine="0"/>
        <w:rPr>
          <w:rFonts w:ascii="宋体"/>
          <w:color w:val="auto"/>
          <w:sz w:val="24"/>
          <w:szCs w:val="18"/>
        </w:rPr>
      </w:pPr>
      <w:r>
        <w:rPr>
          <w:color w:val="auto"/>
        </w:rPr>
        <mc:AlternateContent>
          <mc:Choice Requires="wps">
            <w:drawing>
              <wp:anchor distT="0" distB="0" distL="114300" distR="114300" simplePos="0" relativeHeight="251876352" behindDoc="0" locked="0" layoutInCell="1" allowOverlap="1">
                <wp:simplePos x="0" y="0"/>
                <wp:positionH relativeFrom="column">
                  <wp:posOffset>-114300</wp:posOffset>
                </wp:positionH>
                <wp:positionV relativeFrom="paragraph">
                  <wp:posOffset>46355</wp:posOffset>
                </wp:positionV>
                <wp:extent cx="914400" cy="440055"/>
                <wp:effectExtent l="0" t="0" r="0" b="0"/>
                <wp:wrapNone/>
                <wp:docPr id="213" name="文本框 213"/>
                <wp:cNvGraphicFramePr/>
                <a:graphic xmlns:a="http://schemas.openxmlformats.org/drawingml/2006/main">
                  <a:graphicData uri="http://schemas.microsoft.com/office/word/2010/wordprocessingShape">
                    <wps:wsp>
                      <wps:cNvSpPr txBox="1"/>
                      <wps:spPr>
                        <a:xfrm>
                          <a:off x="0" y="0"/>
                          <a:ext cx="914400" cy="440055"/>
                        </a:xfrm>
                        <a:prstGeom prst="rect">
                          <a:avLst/>
                        </a:prstGeom>
                        <a:noFill/>
                        <a:ln>
                          <a:noFill/>
                        </a:ln>
                        <a:effectLst/>
                      </wps:spPr>
                      <wps:txbx>
                        <w:txbxContent>
                          <w:p w14:paraId="06B6A117">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现场工艺试验</w:t>
                            </w:r>
                          </w:p>
                        </w:txbxContent>
                      </wps:txbx>
                      <wps:bodyPr upright="1"/>
                    </wps:wsp>
                  </a:graphicData>
                </a:graphic>
              </wp:anchor>
            </w:drawing>
          </mc:Choice>
          <mc:Fallback>
            <w:pict>
              <v:shape id="_x0000_s1026" o:spid="_x0000_s1026" o:spt="202" type="#_x0000_t202" style="position:absolute;left:0pt;margin-left:-9pt;margin-top:3.65pt;height:34.65pt;width:72pt;z-index:251876352;mso-width-relative:page;mso-height-relative:page;" filled="f" stroked="f" coordsize="21600,21600" o:gfxdata="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PGhhB1AAA&#10;AAgBAAAPAAAAAAAAAAEAIAAAACIAAABkcnMvZG93bnJldi54bWxQSwECFAAUAAAACACHTuJA7Nhc&#10;qLABAABfAwAADgAAAAAAAAABACAAAAAjAQAAZHJzL2Uyb0RvYy54bWxQSwUGAAAAAAYABgBZAQAA&#10;RQUAAAAA&#10;">
                <v:fill on="f" focussize="0,0"/>
                <v:stroke on="f"/>
                <v:imagedata o:title=""/>
                <o:lock v:ext="edit" aspectratio="f"/>
                <v:textbox>
                  <w:txbxContent>
                    <w:p w14:paraId="06B6A117">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现场工艺试验</w:t>
                      </w:r>
                    </w:p>
                  </w:txbxContent>
                </v:textbox>
              </v:shape>
            </w:pict>
          </mc:Fallback>
        </mc:AlternateContent>
      </w:r>
      <w:r>
        <w:rPr>
          <w:rFonts w:hint="eastAsia" w:ascii="宋体" w:hAnsi="宋体"/>
          <w:color w:val="auto"/>
          <w:sz w:val="24"/>
          <w:szCs w:val="18"/>
        </w:rPr>
        <w:t>如合同有约定或监理工程师发出书面指令，承包人应进行现场工艺试验。监理工程师报发包人批准后，认为有必要进行大型现场工艺试验的，承包人应根据监理工程师提出的书面要求，编制工艺试验措施计划，提交监理工程师确认并由其报发包人审批。除工程量清单中已经列有此类工作的支付项目和额度外，由此增加的费用和（或）延误的工期由发包人承担。</w:t>
      </w:r>
    </w:p>
    <w:p w14:paraId="5FDADCF6">
      <w:pPr>
        <w:pStyle w:val="3"/>
        <w:adjustRightInd w:val="0"/>
        <w:snapToGrid w:val="0"/>
        <w:spacing w:line="360" w:lineRule="auto"/>
        <w:ind w:firstLine="0"/>
        <w:rPr>
          <w:color w:val="auto"/>
        </w:rPr>
      </w:pPr>
    </w:p>
    <w:p w14:paraId="54EEB1E9">
      <w:pPr>
        <w:pStyle w:val="2"/>
        <w:tabs>
          <w:tab w:val="left" w:pos="540"/>
        </w:tabs>
        <w:adjustRightInd w:val="0"/>
        <w:snapToGrid w:val="0"/>
        <w:spacing w:before="240" w:beforeLines="100" w:line="360" w:lineRule="auto"/>
        <w:ind w:right="-238"/>
        <w:rPr>
          <w:rFonts w:hAnsi="宋体"/>
          <w:b/>
          <w:color w:val="auto"/>
          <w:sz w:val="30"/>
          <w:szCs w:val="24"/>
        </w:rPr>
      </w:pPr>
      <w:r>
        <w:rPr>
          <w:rFonts w:hAnsi="宋体"/>
          <w:b/>
          <w:color w:val="auto"/>
          <w:sz w:val="30"/>
          <w:szCs w:val="24"/>
        </w:rPr>
        <w:t xml:space="preserve">53  </w:t>
      </w:r>
      <w:r>
        <w:rPr>
          <w:rFonts w:hint="eastAsia" w:hAnsi="宋体"/>
          <w:b/>
          <w:color w:val="auto"/>
          <w:sz w:val="30"/>
          <w:szCs w:val="24"/>
        </w:rPr>
        <w:t>隐蔽工程和中间验收</w:t>
      </w:r>
    </w:p>
    <w:p w14:paraId="1DA07395">
      <w:pPr>
        <w:pStyle w:val="3"/>
        <w:tabs>
          <w:tab w:val="left" w:pos="1320"/>
        </w:tabs>
        <w:adjustRightInd w:val="0"/>
        <w:snapToGrid w:val="0"/>
        <w:spacing w:line="360" w:lineRule="auto"/>
        <w:ind w:firstLine="0"/>
        <w:rPr>
          <w:rFonts w:ascii="宋体"/>
          <w:b/>
          <w:color w:val="auto"/>
          <w:sz w:val="24"/>
          <w:szCs w:val="18"/>
        </w:rPr>
      </w:pPr>
      <w:r>
        <w:rPr>
          <w:rFonts w:ascii="宋体" w:hAnsi="宋体"/>
          <w:b/>
          <w:color w:val="auto"/>
          <w:sz w:val="24"/>
          <w:szCs w:val="18"/>
        </w:rPr>
        <w:t>53.1</w:t>
      </w:r>
    </w:p>
    <w:p w14:paraId="44A28478">
      <w:pPr>
        <w:pStyle w:val="3"/>
        <w:adjustRightInd w:val="0"/>
        <w:snapToGrid w:val="0"/>
        <w:spacing w:line="360" w:lineRule="auto"/>
        <w:ind w:left="1619" w:leftChars="771" w:firstLine="0"/>
        <w:rPr>
          <w:rFonts w:ascii="宋体"/>
          <w:color w:val="auto"/>
          <w:sz w:val="24"/>
          <w:szCs w:val="18"/>
        </w:rPr>
      </w:pPr>
      <w:r>
        <w:rPr>
          <w:color w:val="auto"/>
        </w:rPr>
        <mc:AlternateContent>
          <mc:Choice Requires="wps">
            <w:drawing>
              <wp:anchor distT="0" distB="0" distL="114300" distR="114300" simplePos="0" relativeHeight="251877376" behindDoc="0" locked="0" layoutInCell="1" allowOverlap="1">
                <wp:simplePos x="0" y="0"/>
                <wp:positionH relativeFrom="column">
                  <wp:posOffset>-73660</wp:posOffset>
                </wp:positionH>
                <wp:positionV relativeFrom="paragraph">
                  <wp:posOffset>17780</wp:posOffset>
                </wp:positionV>
                <wp:extent cx="873760" cy="454660"/>
                <wp:effectExtent l="0" t="0" r="0" b="0"/>
                <wp:wrapNone/>
                <wp:docPr id="214" name="文本框 214"/>
                <wp:cNvGraphicFramePr/>
                <a:graphic xmlns:a="http://schemas.openxmlformats.org/drawingml/2006/main">
                  <a:graphicData uri="http://schemas.microsoft.com/office/word/2010/wordprocessingShape">
                    <wps:wsp>
                      <wps:cNvSpPr txBox="1"/>
                      <wps:spPr>
                        <a:xfrm>
                          <a:off x="0" y="0"/>
                          <a:ext cx="873760" cy="454660"/>
                        </a:xfrm>
                        <a:prstGeom prst="rect">
                          <a:avLst/>
                        </a:prstGeom>
                        <a:noFill/>
                        <a:ln>
                          <a:noFill/>
                        </a:ln>
                        <a:effectLst/>
                      </wps:spPr>
                      <wps:txbx>
                        <w:txbxContent>
                          <w:p w14:paraId="2E338BAF">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隐蔽工程和中间验收的通知</w:t>
                            </w:r>
                          </w:p>
                        </w:txbxContent>
                      </wps:txbx>
                      <wps:bodyPr upright="1"/>
                    </wps:wsp>
                  </a:graphicData>
                </a:graphic>
              </wp:anchor>
            </w:drawing>
          </mc:Choice>
          <mc:Fallback>
            <w:pict>
              <v:shape id="_x0000_s1026" o:spid="_x0000_s1026" o:spt="202" type="#_x0000_t202" style="position:absolute;left:0pt;margin-left:-5.8pt;margin-top:1.4pt;height:35.8pt;width:68.8pt;z-index:251877376;mso-width-relative:page;mso-height-relative:page;" filled="f" stroked="f" coordsize="21600,21600" o:gfxdata="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qLIDs&#10;1AAAAAgBAAAPAAAAAAAAAAEAIAAAACIAAABkcnMvZG93bnJldi54bWxQSwECFAAUAAAACACHTuJA&#10;uEgAJ7MBAABfAwAADgAAAAAAAAABACAAAAAjAQAAZHJzL2Uyb0RvYy54bWxQSwUGAAAAAAYABgBZ&#10;AQAASAUAAAAA&#10;">
                <v:fill on="f" focussize="0,0"/>
                <v:stroke on="f"/>
                <v:imagedata o:title=""/>
                <o:lock v:ext="edit" aspectratio="f"/>
                <v:textbox>
                  <w:txbxContent>
                    <w:p w14:paraId="2E338BAF">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隐蔽工程和中间验收的通知</w:t>
                      </w:r>
                    </w:p>
                  </w:txbxContent>
                </v:textbox>
              </v:shape>
            </w:pict>
          </mc:Fallback>
        </mc:AlternateContent>
      </w:r>
      <w:r>
        <w:rPr>
          <w:rFonts w:hint="eastAsia" w:ascii="宋体" w:hAnsi="宋体"/>
          <w:color w:val="auto"/>
          <w:sz w:val="24"/>
          <w:szCs w:val="18"/>
        </w:rPr>
        <w:t>没有经监理工程师验收同意，任何工程均不得覆盖或隐蔽。隐蔽工程覆盖前或中间验收部位具备专用条款约定的验收条件时，承包人应进行自检，并在隐蔽或中间验收前</w:t>
      </w:r>
      <w:r>
        <w:rPr>
          <w:rFonts w:ascii="宋体" w:hAnsi="宋体"/>
          <w:color w:val="auto"/>
          <w:sz w:val="24"/>
          <w:szCs w:val="18"/>
        </w:rPr>
        <w:t>48</w:t>
      </w:r>
      <w:r>
        <w:rPr>
          <w:rFonts w:hint="eastAsia" w:ascii="宋体" w:hAnsi="宋体"/>
          <w:color w:val="auto"/>
          <w:sz w:val="24"/>
          <w:szCs w:val="18"/>
        </w:rPr>
        <w:t>小时向监理工程师提出隐蔽工程或中间验收申请，通知监理工程师验收。通知的内容包括工程隐蔽或中间验收的内容、时间、地点，以及自检记录和必要的验收资料。承包人应准备验收记录，并提供必要的资料和协助。</w:t>
      </w:r>
    </w:p>
    <w:p w14:paraId="5F80CC28">
      <w:pPr>
        <w:pStyle w:val="3"/>
        <w:tabs>
          <w:tab w:val="left" w:pos="720"/>
        </w:tabs>
        <w:adjustRightInd w:val="0"/>
        <w:snapToGrid w:val="0"/>
        <w:spacing w:line="360" w:lineRule="auto"/>
        <w:ind w:firstLine="0"/>
        <w:rPr>
          <w:rFonts w:ascii="宋体"/>
          <w:color w:val="auto"/>
          <w:sz w:val="24"/>
          <w:szCs w:val="18"/>
        </w:rPr>
      </w:pPr>
      <w:r>
        <w:rPr>
          <w:rFonts w:ascii="宋体" w:hAnsi="宋体"/>
          <w:b/>
          <w:color w:val="auto"/>
          <w:sz w:val="24"/>
          <w:szCs w:val="18"/>
        </w:rPr>
        <w:t xml:space="preserve">53.2 </w:t>
      </w:r>
    </w:p>
    <w:p w14:paraId="13E952B7">
      <w:pPr>
        <w:pStyle w:val="3"/>
        <w:adjustRightInd w:val="0"/>
        <w:snapToGrid w:val="0"/>
        <w:spacing w:line="360" w:lineRule="auto"/>
        <w:ind w:left="1619" w:leftChars="771" w:firstLine="0"/>
        <w:rPr>
          <w:rFonts w:ascii="宋体"/>
          <w:color w:val="auto"/>
          <w:sz w:val="24"/>
          <w:szCs w:val="18"/>
        </w:rPr>
      </w:pPr>
      <w:r>
        <w:rPr>
          <w:color w:val="auto"/>
        </w:rPr>
        <mc:AlternateContent>
          <mc:Choice Requires="wps">
            <w:drawing>
              <wp:anchor distT="0" distB="0" distL="114300" distR="114300" simplePos="0" relativeHeight="251878400" behindDoc="0" locked="0" layoutInCell="1" allowOverlap="1">
                <wp:simplePos x="0" y="0"/>
                <wp:positionH relativeFrom="column">
                  <wp:posOffset>-114300</wp:posOffset>
                </wp:positionH>
                <wp:positionV relativeFrom="paragraph">
                  <wp:posOffset>52070</wp:posOffset>
                </wp:positionV>
                <wp:extent cx="914400" cy="466725"/>
                <wp:effectExtent l="0" t="0" r="0" b="0"/>
                <wp:wrapNone/>
                <wp:docPr id="215" name="文本框 215"/>
                <wp:cNvGraphicFramePr/>
                <a:graphic xmlns:a="http://schemas.openxmlformats.org/drawingml/2006/main">
                  <a:graphicData uri="http://schemas.microsoft.com/office/word/2010/wordprocessingShape">
                    <wps:wsp>
                      <wps:cNvSpPr txBox="1"/>
                      <wps:spPr>
                        <a:xfrm>
                          <a:off x="0" y="0"/>
                          <a:ext cx="914400" cy="466725"/>
                        </a:xfrm>
                        <a:prstGeom prst="rect">
                          <a:avLst/>
                        </a:prstGeom>
                        <a:noFill/>
                        <a:ln>
                          <a:noFill/>
                        </a:ln>
                        <a:effectLst/>
                      </wps:spPr>
                      <wps:txbx>
                        <w:txbxContent>
                          <w:p w14:paraId="2F921ED8">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参加验收的限制</w:t>
                            </w:r>
                          </w:p>
                        </w:txbxContent>
                      </wps:txbx>
                      <wps:bodyPr upright="1"/>
                    </wps:wsp>
                  </a:graphicData>
                </a:graphic>
              </wp:anchor>
            </w:drawing>
          </mc:Choice>
          <mc:Fallback>
            <w:pict>
              <v:shape id="_x0000_s1026" o:spid="_x0000_s1026" o:spt="202" type="#_x0000_t202" style="position:absolute;left:0pt;margin-left:-9pt;margin-top:4.1pt;height:36.75pt;width:72pt;z-index:251878400;mso-width-relative:page;mso-height-relative:page;" filled="f" stroked="f" coordsize="21600,21600" o:gfxdata="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XqNP&#10;RtUAAAAIAQAADwAAAAAAAAABACAAAAAiAAAAZHJzL2Rvd25yZXYueG1sUEsBAhQAFAAAAAgAh07i&#10;QJ5AuzuzAQAAXwMAAA4AAAAAAAAAAQAgAAAAJAEAAGRycy9lMm9Eb2MueG1sUEsFBgAAAAAGAAYA&#10;WQEAAEkFAAAAAA==&#10;">
                <v:fill on="f" focussize="0,0"/>
                <v:stroke on="f"/>
                <v:imagedata o:title=""/>
                <o:lock v:ext="edit" aspectratio="f"/>
                <v:textbox>
                  <w:txbxContent>
                    <w:p w14:paraId="2F921ED8">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参加验收的限制</w:t>
                      </w:r>
                    </w:p>
                  </w:txbxContent>
                </v:textbox>
              </v:shape>
            </w:pict>
          </mc:Fallback>
        </mc:AlternateContent>
      </w:r>
      <w:r>
        <w:rPr>
          <w:rFonts w:hint="eastAsia" w:ascii="宋体" w:hAnsi="宋体"/>
          <w:color w:val="auto"/>
          <w:sz w:val="24"/>
          <w:szCs w:val="18"/>
        </w:rPr>
        <w:t>如果监理工程师不能按时参加验收，应至少提前</w:t>
      </w:r>
      <w:r>
        <w:rPr>
          <w:rFonts w:ascii="宋体" w:hAnsi="宋体"/>
          <w:color w:val="auto"/>
          <w:sz w:val="24"/>
          <w:szCs w:val="18"/>
        </w:rPr>
        <w:t>24</w:t>
      </w:r>
      <w:r>
        <w:rPr>
          <w:rFonts w:hint="eastAsia" w:ascii="宋体" w:hAnsi="宋体"/>
          <w:color w:val="auto"/>
          <w:sz w:val="24"/>
          <w:szCs w:val="18"/>
        </w:rPr>
        <w:t>小时发出延期验收指令并书面说明理由，延期不得超过</w:t>
      </w:r>
      <w:r>
        <w:rPr>
          <w:rFonts w:ascii="宋体" w:hAnsi="宋体"/>
          <w:color w:val="auto"/>
          <w:sz w:val="24"/>
          <w:szCs w:val="18"/>
        </w:rPr>
        <w:t>48</w:t>
      </w:r>
      <w:r>
        <w:rPr>
          <w:rFonts w:hint="eastAsia" w:ascii="宋体" w:hAnsi="宋体"/>
          <w:color w:val="auto"/>
          <w:sz w:val="24"/>
          <w:szCs w:val="18"/>
        </w:rPr>
        <w:t>小时。如果监理工程师或其委派的代表未发出延期验收指令也未到场验收，承包人可自行验收，并认为该验收是经监理工程师同意下完成的；由此增加的费用和（或）延误的工期由发包人承担，并向承包人支付合理利润。验收完成后，承包人应立即向监理工程师提交验收记录，监理工程师应予认可。监理工程师事后对验收记录有疑问的，可按照第</w:t>
      </w:r>
      <w:r>
        <w:rPr>
          <w:rFonts w:ascii="宋体" w:hAnsi="宋体"/>
          <w:color w:val="auto"/>
          <w:sz w:val="24"/>
          <w:szCs w:val="18"/>
        </w:rPr>
        <w:t>54.1</w:t>
      </w:r>
      <w:r>
        <w:rPr>
          <w:rFonts w:hint="eastAsia" w:ascii="宋体" w:hAnsi="宋体"/>
          <w:color w:val="auto"/>
          <w:sz w:val="24"/>
          <w:szCs w:val="18"/>
        </w:rPr>
        <w:t>款规定重新验收。</w:t>
      </w:r>
    </w:p>
    <w:p w14:paraId="610BE769">
      <w:pPr>
        <w:pStyle w:val="3"/>
        <w:tabs>
          <w:tab w:val="left" w:pos="720"/>
        </w:tabs>
        <w:adjustRightInd w:val="0"/>
        <w:snapToGrid w:val="0"/>
        <w:spacing w:line="360" w:lineRule="auto"/>
        <w:ind w:firstLine="0"/>
        <w:rPr>
          <w:rFonts w:ascii="宋体"/>
          <w:color w:val="auto"/>
          <w:sz w:val="24"/>
          <w:szCs w:val="18"/>
        </w:rPr>
      </w:pPr>
      <w:r>
        <w:rPr>
          <w:rFonts w:ascii="宋体" w:hAnsi="宋体"/>
          <w:b/>
          <w:color w:val="auto"/>
          <w:sz w:val="24"/>
          <w:szCs w:val="18"/>
        </w:rPr>
        <w:t xml:space="preserve">53.3 </w:t>
      </w:r>
    </w:p>
    <w:p w14:paraId="54DBAE9B">
      <w:pPr>
        <w:pStyle w:val="3"/>
        <w:tabs>
          <w:tab w:val="left" w:pos="2160"/>
        </w:tabs>
        <w:adjustRightInd w:val="0"/>
        <w:snapToGrid w:val="0"/>
        <w:spacing w:line="360" w:lineRule="auto"/>
        <w:ind w:left="1619" w:leftChars="771" w:firstLine="0"/>
        <w:rPr>
          <w:rFonts w:ascii="宋体"/>
          <w:color w:val="auto"/>
          <w:sz w:val="24"/>
          <w:szCs w:val="18"/>
        </w:rPr>
      </w:pPr>
      <w:r>
        <w:rPr>
          <w:color w:val="auto"/>
        </w:rPr>
        <mc:AlternateContent>
          <mc:Choice Requires="wps">
            <w:drawing>
              <wp:anchor distT="0" distB="0" distL="114300" distR="114300" simplePos="0" relativeHeight="251879424" behindDoc="0" locked="0" layoutInCell="1" allowOverlap="1">
                <wp:simplePos x="0" y="0"/>
                <wp:positionH relativeFrom="column">
                  <wp:posOffset>-114300</wp:posOffset>
                </wp:positionH>
                <wp:positionV relativeFrom="paragraph">
                  <wp:posOffset>3810</wp:posOffset>
                </wp:positionV>
                <wp:extent cx="914400" cy="476250"/>
                <wp:effectExtent l="0" t="0" r="0" b="0"/>
                <wp:wrapNone/>
                <wp:docPr id="216" name="文本框 216"/>
                <wp:cNvGraphicFramePr/>
                <a:graphic xmlns:a="http://schemas.openxmlformats.org/drawingml/2006/main">
                  <a:graphicData uri="http://schemas.microsoft.com/office/word/2010/wordprocessingShape">
                    <wps:wsp>
                      <wps:cNvSpPr txBox="1"/>
                      <wps:spPr>
                        <a:xfrm>
                          <a:off x="0" y="0"/>
                          <a:ext cx="914400" cy="476250"/>
                        </a:xfrm>
                        <a:prstGeom prst="rect">
                          <a:avLst/>
                        </a:prstGeom>
                        <a:noFill/>
                        <a:ln>
                          <a:noFill/>
                        </a:ln>
                        <a:effectLst/>
                      </wps:spPr>
                      <wps:txbx>
                        <w:txbxContent>
                          <w:p w14:paraId="784C61C9">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验收结果的确认</w:t>
                            </w:r>
                          </w:p>
                        </w:txbxContent>
                      </wps:txbx>
                      <wps:bodyPr upright="1"/>
                    </wps:wsp>
                  </a:graphicData>
                </a:graphic>
              </wp:anchor>
            </w:drawing>
          </mc:Choice>
          <mc:Fallback>
            <w:pict>
              <v:shape id="_x0000_s1026" o:spid="_x0000_s1026" o:spt="202" type="#_x0000_t202" style="position:absolute;left:0pt;margin-left:-9pt;margin-top:0.3pt;height:37.5pt;width:72pt;z-index:251879424;mso-width-relative:page;mso-height-relative:page;" filled="f" stroked="f" coordsize="21600,21600" o:gfxdata="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0kHF&#10;rNQAAAAHAQAADwAAAAAAAAABACAAAAAiAAAAZHJzL2Rvd25yZXYueG1sUEsBAhQAFAAAAAgAh07i&#10;QAFOJoK0AQAAXwMAAA4AAAAAAAAAAQAgAAAAIwEAAGRycy9lMm9Eb2MueG1sUEsFBgAAAAAGAAYA&#10;WQEAAEkFAAAAAA==&#10;">
                <v:fill on="f" focussize="0,0"/>
                <v:stroke on="f"/>
                <v:imagedata o:title=""/>
                <o:lock v:ext="edit" aspectratio="f"/>
                <v:textbox>
                  <w:txbxContent>
                    <w:p w14:paraId="784C61C9">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验收结果的确认</w:t>
                      </w:r>
                    </w:p>
                  </w:txbxContent>
                </v:textbox>
              </v:shape>
            </w:pict>
          </mc:Fallback>
        </mc:AlternateContent>
      </w:r>
      <w:r>
        <w:rPr>
          <w:rFonts w:hint="eastAsia" w:ascii="宋体" w:hAnsi="宋体"/>
          <w:color w:val="auto"/>
          <w:sz w:val="24"/>
          <w:szCs w:val="18"/>
        </w:rPr>
        <w:t>验收合格的，监理工程师应在验收记录上签字，并形成验收文件，承包人可进行隐蔽或继续施工。验收合格</w:t>
      </w:r>
      <w:r>
        <w:rPr>
          <w:rFonts w:ascii="宋体" w:hAnsi="宋体"/>
          <w:color w:val="auto"/>
          <w:sz w:val="24"/>
          <w:szCs w:val="18"/>
        </w:rPr>
        <w:t>24</w:t>
      </w:r>
      <w:r>
        <w:rPr>
          <w:rFonts w:hint="eastAsia" w:ascii="宋体" w:hAnsi="宋体"/>
          <w:color w:val="auto"/>
          <w:sz w:val="24"/>
          <w:szCs w:val="18"/>
        </w:rPr>
        <w:t>小时后，监理工程师仍不在验收记录上签字，视为监理工程师已认可验收记录。</w:t>
      </w:r>
    </w:p>
    <w:p w14:paraId="2F575087">
      <w:pPr>
        <w:pStyle w:val="3"/>
        <w:tabs>
          <w:tab w:val="left" w:pos="2160"/>
        </w:tabs>
        <w:adjustRightInd w:val="0"/>
        <w:snapToGrid w:val="0"/>
        <w:spacing w:line="360" w:lineRule="auto"/>
        <w:ind w:left="1619" w:leftChars="771" w:firstLine="0"/>
        <w:rPr>
          <w:rFonts w:ascii="宋体"/>
          <w:color w:val="auto"/>
          <w:sz w:val="24"/>
          <w:szCs w:val="18"/>
        </w:rPr>
      </w:pPr>
      <w:r>
        <w:rPr>
          <w:rFonts w:hint="eastAsia" w:ascii="宋体" w:hAnsi="宋体"/>
          <w:color w:val="auto"/>
          <w:sz w:val="24"/>
          <w:szCs w:val="18"/>
        </w:rPr>
        <w:t>验收不合格的，承包人应按照监理工程师的指令修改后重新验收，由此增加的费用和（或）延误的工期由承包人承担。</w:t>
      </w:r>
    </w:p>
    <w:p w14:paraId="4BD7DF56">
      <w:pPr>
        <w:pStyle w:val="3"/>
        <w:tabs>
          <w:tab w:val="left" w:pos="540"/>
        </w:tabs>
        <w:adjustRightInd w:val="0"/>
        <w:snapToGrid w:val="0"/>
        <w:spacing w:line="360" w:lineRule="auto"/>
        <w:ind w:firstLine="0"/>
        <w:rPr>
          <w:rFonts w:ascii="宋体"/>
          <w:color w:val="auto"/>
          <w:sz w:val="24"/>
          <w:szCs w:val="18"/>
        </w:rPr>
      </w:pPr>
      <w:r>
        <w:rPr>
          <w:color w:val="auto"/>
        </w:rPr>
        <mc:AlternateContent>
          <mc:Choice Requires="wps">
            <w:drawing>
              <wp:anchor distT="0" distB="0" distL="114300" distR="114300" simplePos="0" relativeHeight="251880448" behindDoc="0" locked="0" layoutInCell="1" allowOverlap="1">
                <wp:simplePos x="0" y="0"/>
                <wp:positionH relativeFrom="column">
                  <wp:posOffset>-114300</wp:posOffset>
                </wp:positionH>
                <wp:positionV relativeFrom="paragraph">
                  <wp:posOffset>245110</wp:posOffset>
                </wp:positionV>
                <wp:extent cx="914400" cy="396240"/>
                <wp:effectExtent l="0" t="0" r="0" b="0"/>
                <wp:wrapNone/>
                <wp:docPr id="217" name="文本框 217"/>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3ACB8CC2">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隐蔽工程的拍摄或照相</w:t>
                            </w:r>
                          </w:p>
                        </w:txbxContent>
                      </wps:txbx>
                      <wps:bodyPr upright="1"/>
                    </wps:wsp>
                  </a:graphicData>
                </a:graphic>
              </wp:anchor>
            </w:drawing>
          </mc:Choice>
          <mc:Fallback>
            <w:pict>
              <v:shape id="_x0000_s1026" o:spid="_x0000_s1026" o:spt="202" type="#_x0000_t202" style="position:absolute;left:0pt;margin-left:-9pt;margin-top:19.3pt;height:31.2pt;width:72pt;z-index:251880448;mso-width-relative:page;mso-height-relative:page;" filled="f" stroked="f" coordsize="21600,21600" o:gfxdata="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UgiystcAAAAKAQAADwAAAAAAAAABACAAAAAiAAAAZHJzL2Rvd25yZXYueG1sUEsBAhQAFAAAAAgA&#10;h07iQO66VIm0AQAAXwMAAA4AAAAAAAAAAQAgAAAAJgEAAGRycy9lMm9Eb2MueG1sUEsFBgAAAAAG&#10;AAYAWQEAAEwFAAAAAA==&#10;">
                <v:fill on="f" focussize="0,0"/>
                <v:stroke on="f"/>
                <v:imagedata o:title=""/>
                <o:lock v:ext="edit" aspectratio="f"/>
                <v:textbox>
                  <w:txbxContent>
                    <w:p w14:paraId="3ACB8CC2">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隐蔽工程的拍摄或照相</w:t>
                      </w:r>
                    </w:p>
                  </w:txbxContent>
                </v:textbox>
              </v:shape>
            </w:pict>
          </mc:Fallback>
        </mc:AlternateContent>
      </w:r>
      <w:r>
        <w:rPr>
          <w:rFonts w:ascii="宋体" w:hAnsi="宋体"/>
          <w:b/>
          <w:color w:val="auto"/>
          <w:sz w:val="24"/>
          <w:szCs w:val="18"/>
        </w:rPr>
        <w:t xml:space="preserve">53.4 </w:t>
      </w:r>
    </w:p>
    <w:p w14:paraId="1019FAD3">
      <w:pPr>
        <w:pStyle w:val="3"/>
        <w:adjustRightInd w:val="0"/>
        <w:snapToGrid w:val="0"/>
        <w:spacing w:line="360" w:lineRule="auto"/>
        <w:ind w:left="1619" w:leftChars="771" w:firstLine="0"/>
        <w:rPr>
          <w:rFonts w:ascii="宋体"/>
          <w:color w:val="auto"/>
          <w:sz w:val="24"/>
          <w:szCs w:val="18"/>
        </w:rPr>
      </w:pPr>
      <w:r>
        <w:rPr>
          <w:rFonts w:hint="eastAsia" w:ascii="宋体" w:hAnsi="宋体"/>
          <w:color w:val="auto"/>
          <w:sz w:val="24"/>
          <w:szCs w:val="18"/>
        </w:rPr>
        <w:t>如监理工程师有指令，承包人应对隐蔽工程进行拍摄或照相，保证监理工程师能充分检查和测量隐蔽的工程。</w:t>
      </w:r>
    </w:p>
    <w:p w14:paraId="33B1DF0E">
      <w:pPr>
        <w:pStyle w:val="3"/>
        <w:tabs>
          <w:tab w:val="left" w:pos="540"/>
        </w:tabs>
        <w:adjustRightInd w:val="0"/>
        <w:snapToGrid w:val="0"/>
        <w:spacing w:line="360" w:lineRule="auto"/>
        <w:ind w:firstLine="0"/>
        <w:rPr>
          <w:rFonts w:ascii="宋体"/>
          <w:b/>
          <w:color w:val="auto"/>
          <w:sz w:val="24"/>
          <w:szCs w:val="18"/>
        </w:rPr>
      </w:pPr>
      <w:r>
        <w:rPr>
          <w:color w:val="auto"/>
        </w:rPr>
        <mc:AlternateContent>
          <mc:Choice Requires="wps">
            <w:drawing>
              <wp:anchor distT="0" distB="0" distL="114300" distR="114300" simplePos="0" relativeHeight="251881472" behindDoc="0" locked="0" layoutInCell="1" allowOverlap="1">
                <wp:simplePos x="0" y="0"/>
                <wp:positionH relativeFrom="column">
                  <wp:posOffset>-114300</wp:posOffset>
                </wp:positionH>
                <wp:positionV relativeFrom="paragraph">
                  <wp:posOffset>245110</wp:posOffset>
                </wp:positionV>
                <wp:extent cx="914400" cy="396240"/>
                <wp:effectExtent l="0" t="0" r="0" b="0"/>
                <wp:wrapNone/>
                <wp:docPr id="218" name="文本框 218"/>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62C66D76">
                            <w:pPr>
                              <w:spacing w:line="240" w:lineRule="exact"/>
                              <w:rPr>
                                <w:rFonts w:ascii="宋体"/>
                                <w:sz w:val="18"/>
                                <w:szCs w:val="18"/>
                              </w:rPr>
                            </w:pPr>
                            <w:r>
                              <w:rPr>
                                <w:rFonts w:hint="eastAsia" w:ascii="楷体_GB2312" w:hAnsi="宋体" w:eastAsia="楷体_GB2312"/>
                                <w:b/>
                                <w:color w:val="000000"/>
                                <w:sz w:val="18"/>
                                <w:szCs w:val="18"/>
                              </w:rPr>
                              <w:t>承包人私自隐蔽</w:t>
                            </w:r>
                          </w:p>
                        </w:txbxContent>
                      </wps:txbx>
                      <wps:bodyPr upright="1"/>
                    </wps:wsp>
                  </a:graphicData>
                </a:graphic>
              </wp:anchor>
            </w:drawing>
          </mc:Choice>
          <mc:Fallback>
            <w:pict>
              <v:shape id="_x0000_s1026" o:spid="_x0000_s1026" o:spt="202" type="#_x0000_t202" style="position:absolute;left:0pt;margin-left:-9pt;margin-top:19.3pt;height:31.2pt;width:72pt;z-index:251881472;mso-width-relative:page;mso-height-relative:page;" filled="f" stroked="f" coordsize="21600,21600" o:gfxdata="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S&#10;CLKy1wAAAAoBAAAPAAAAAAAAAAEAIAAAACIAAABkcnMvZG93bnJldi54bWxQSwECFAAUAAAACACH&#10;TuJAjo/IPbMBAABfAwAADgAAAAAAAAABACAAAAAmAQAAZHJzL2Uyb0RvYy54bWxQSwUGAAAAAAYA&#10;BgBZAQAASwUAAAAA&#10;">
                <v:fill on="f" focussize="0,0"/>
                <v:stroke on="f"/>
                <v:imagedata o:title=""/>
                <o:lock v:ext="edit" aspectratio="f"/>
                <v:textbox>
                  <w:txbxContent>
                    <w:p w14:paraId="62C66D76">
                      <w:pPr>
                        <w:spacing w:line="240" w:lineRule="exact"/>
                        <w:rPr>
                          <w:rFonts w:ascii="宋体"/>
                          <w:sz w:val="18"/>
                          <w:szCs w:val="18"/>
                        </w:rPr>
                      </w:pPr>
                      <w:r>
                        <w:rPr>
                          <w:rFonts w:hint="eastAsia" w:ascii="楷体_GB2312" w:hAnsi="宋体" w:eastAsia="楷体_GB2312"/>
                          <w:b/>
                          <w:color w:val="000000"/>
                          <w:sz w:val="18"/>
                          <w:szCs w:val="18"/>
                        </w:rPr>
                        <w:t>承包人私自隐蔽</w:t>
                      </w:r>
                    </w:p>
                  </w:txbxContent>
                </v:textbox>
              </v:shape>
            </w:pict>
          </mc:Fallback>
        </mc:AlternateContent>
      </w:r>
      <w:r>
        <w:rPr>
          <w:rFonts w:ascii="宋体" w:hAnsi="宋体"/>
          <w:b/>
          <w:color w:val="auto"/>
          <w:sz w:val="24"/>
          <w:szCs w:val="18"/>
        </w:rPr>
        <w:t xml:space="preserve">53.5  </w:t>
      </w:r>
    </w:p>
    <w:p w14:paraId="46B4DCF7">
      <w:pPr>
        <w:pStyle w:val="3"/>
        <w:adjustRightInd w:val="0"/>
        <w:snapToGrid w:val="0"/>
        <w:spacing w:line="360" w:lineRule="auto"/>
        <w:ind w:left="1619" w:leftChars="771" w:firstLine="0"/>
        <w:rPr>
          <w:rFonts w:ascii="宋体"/>
          <w:color w:val="auto"/>
          <w:sz w:val="24"/>
          <w:szCs w:val="18"/>
          <w:u w:val="single"/>
        </w:rPr>
      </w:pPr>
      <w:r>
        <w:rPr>
          <w:rFonts w:hint="eastAsia" w:ascii="宋体" w:hAnsi="宋体"/>
          <w:color w:val="auto"/>
          <w:sz w:val="24"/>
          <w:szCs w:val="18"/>
        </w:rPr>
        <w:t>承包人未通知监理工程师到场验收，私自将隐蔽工程覆盖的，监理工程师有权指令承包人进行钻孔探测或剥露验收，由此增加的费用和（或）延误的工期由承包人承担。</w:t>
      </w:r>
    </w:p>
    <w:p w14:paraId="6314D1E3">
      <w:pPr>
        <w:pStyle w:val="3"/>
        <w:adjustRightInd w:val="0"/>
        <w:snapToGrid w:val="0"/>
        <w:spacing w:line="360" w:lineRule="auto"/>
        <w:ind w:firstLine="0"/>
        <w:rPr>
          <w:color w:val="auto"/>
        </w:rPr>
      </w:pPr>
    </w:p>
    <w:p w14:paraId="24F187DE">
      <w:pPr>
        <w:pStyle w:val="2"/>
        <w:tabs>
          <w:tab w:val="left" w:pos="540"/>
        </w:tabs>
        <w:adjustRightInd w:val="0"/>
        <w:snapToGrid w:val="0"/>
        <w:spacing w:before="240" w:beforeLines="100" w:line="360" w:lineRule="auto"/>
        <w:ind w:right="-238"/>
        <w:rPr>
          <w:rFonts w:hAnsi="宋体"/>
          <w:b/>
          <w:color w:val="auto"/>
          <w:sz w:val="30"/>
          <w:szCs w:val="24"/>
        </w:rPr>
      </w:pPr>
      <w:r>
        <w:rPr>
          <w:rFonts w:hAnsi="宋体"/>
          <w:b/>
          <w:color w:val="auto"/>
          <w:sz w:val="30"/>
          <w:szCs w:val="24"/>
        </w:rPr>
        <w:t xml:space="preserve">54  </w:t>
      </w:r>
      <w:r>
        <w:rPr>
          <w:rFonts w:hint="eastAsia" w:hAnsi="宋体"/>
          <w:b/>
          <w:color w:val="auto"/>
          <w:sz w:val="30"/>
          <w:szCs w:val="24"/>
        </w:rPr>
        <w:t>重新验收和额外检查检验</w:t>
      </w:r>
    </w:p>
    <w:p w14:paraId="4674B528">
      <w:pPr>
        <w:pStyle w:val="3"/>
        <w:adjustRightInd w:val="0"/>
        <w:snapToGrid w:val="0"/>
        <w:spacing w:line="360" w:lineRule="auto"/>
        <w:ind w:firstLine="0"/>
        <w:rPr>
          <w:rFonts w:ascii="宋体"/>
          <w:b/>
          <w:color w:val="auto"/>
          <w:sz w:val="24"/>
          <w:szCs w:val="18"/>
        </w:rPr>
      </w:pPr>
      <w:r>
        <w:rPr>
          <w:color w:val="auto"/>
        </w:rPr>
        <mc:AlternateContent>
          <mc:Choice Requires="wps">
            <w:drawing>
              <wp:anchor distT="0" distB="0" distL="114300" distR="114300" simplePos="0" relativeHeight="251882496" behindDoc="0" locked="0" layoutInCell="1" allowOverlap="1">
                <wp:simplePos x="0" y="0"/>
                <wp:positionH relativeFrom="column">
                  <wp:posOffset>-114300</wp:posOffset>
                </wp:positionH>
                <wp:positionV relativeFrom="paragraph">
                  <wp:posOffset>246380</wp:posOffset>
                </wp:positionV>
                <wp:extent cx="800100" cy="285750"/>
                <wp:effectExtent l="0" t="0" r="0" b="0"/>
                <wp:wrapNone/>
                <wp:docPr id="219" name="文本框 219"/>
                <wp:cNvGraphicFramePr/>
                <a:graphic xmlns:a="http://schemas.openxmlformats.org/drawingml/2006/main">
                  <a:graphicData uri="http://schemas.microsoft.com/office/word/2010/wordprocessingShape">
                    <wps:wsp>
                      <wps:cNvSpPr txBox="1"/>
                      <wps:spPr>
                        <a:xfrm>
                          <a:off x="0" y="0"/>
                          <a:ext cx="800100" cy="285750"/>
                        </a:xfrm>
                        <a:prstGeom prst="rect">
                          <a:avLst/>
                        </a:prstGeom>
                        <a:noFill/>
                        <a:ln>
                          <a:noFill/>
                        </a:ln>
                        <a:effectLst/>
                      </wps:spPr>
                      <wps:txbx>
                        <w:txbxContent>
                          <w:p w14:paraId="51C02F68">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重新验收</w:t>
                            </w:r>
                          </w:p>
                        </w:txbxContent>
                      </wps:txbx>
                      <wps:bodyPr upright="1"/>
                    </wps:wsp>
                  </a:graphicData>
                </a:graphic>
              </wp:anchor>
            </w:drawing>
          </mc:Choice>
          <mc:Fallback>
            <w:pict>
              <v:shape id="_x0000_s1026" o:spid="_x0000_s1026" o:spt="202" type="#_x0000_t202" style="position:absolute;left:0pt;margin-left:-9pt;margin-top:19.4pt;height:22.5pt;width:63pt;z-index:251882496;mso-width-relative:page;mso-height-relative:page;" filled="f" stroked="f" coordsize="21600,21600" o:gfxdata="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txwhb&#10;1QAAAAkBAAAPAAAAAAAAAAEAIAAAACIAAABkcnMvZG93bnJldi54bWxQSwECFAAUAAAACACHTuJA&#10;arcTkbIBAABfAwAADgAAAAAAAAABACAAAAAkAQAAZHJzL2Uyb0RvYy54bWxQSwUGAAAAAAYABgBZ&#10;AQAASAUAAAAA&#10;">
                <v:fill on="f" focussize="0,0"/>
                <v:stroke on="f"/>
                <v:imagedata o:title=""/>
                <o:lock v:ext="edit" aspectratio="f"/>
                <v:textbox>
                  <w:txbxContent>
                    <w:p w14:paraId="51C02F68">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重新验收</w:t>
                      </w:r>
                    </w:p>
                  </w:txbxContent>
                </v:textbox>
              </v:shape>
            </w:pict>
          </mc:Fallback>
        </mc:AlternateContent>
      </w:r>
      <w:r>
        <w:rPr>
          <w:rFonts w:ascii="宋体" w:hAnsi="宋体"/>
          <w:b/>
          <w:color w:val="auto"/>
          <w:sz w:val="24"/>
          <w:szCs w:val="18"/>
        </w:rPr>
        <w:t>54.1</w:t>
      </w:r>
    </w:p>
    <w:p w14:paraId="7575CB85">
      <w:pPr>
        <w:pStyle w:val="3"/>
        <w:adjustRightInd w:val="0"/>
        <w:snapToGrid w:val="0"/>
        <w:spacing w:line="360" w:lineRule="auto"/>
        <w:ind w:left="1619" w:leftChars="771" w:firstLine="0"/>
        <w:rPr>
          <w:rFonts w:ascii="宋体"/>
          <w:color w:val="auto"/>
          <w:sz w:val="24"/>
          <w:szCs w:val="18"/>
        </w:rPr>
      </w:pPr>
      <w:r>
        <w:rPr>
          <w:rFonts w:hint="eastAsia" w:ascii="宋体" w:hAnsi="宋体"/>
          <w:color w:val="auto"/>
          <w:sz w:val="24"/>
          <w:szCs w:val="18"/>
        </w:rPr>
        <w:t>当监理工程师对已经覆盖的隐蔽工程有疑问，要求重新验收时，承包人应按照要求对已覆盖的部位进行钻孔探测或剥露，并在验收后重新覆盖恢复原状。验收合格的，由此增加的费用和（或）延误的工期由发包人承担，并向承包人支付合理利润；验收不合格的，承包人应按照监理工程师的指令重新返工，直到验收合格为止，由此增加的费用和（或）延误的工期由承包人承担。</w:t>
      </w:r>
    </w:p>
    <w:p w14:paraId="66532747">
      <w:pPr>
        <w:pStyle w:val="3"/>
        <w:tabs>
          <w:tab w:val="left" w:pos="540"/>
          <w:tab w:val="left" w:pos="720"/>
        </w:tabs>
        <w:adjustRightInd w:val="0"/>
        <w:snapToGrid w:val="0"/>
        <w:spacing w:line="360" w:lineRule="auto"/>
        <w:ind w:firstLine="0"/>
        <w:rPr>
          <w:rFonts w:ascii="宋体"/>
          <w:b/>
          <w:color w:val="auto"/>
          <w:sz w:val="24"/>
          <w:szCs w:val="18"/>
        </w:rPr>
      </w:pPr>
      <w:r>
        <w:rPr>
          <w:rFonts w:ascii="宋体" w:hAnsi="宋体"/>
          <w:b/>
          <w:color w:val="auto"/>
          <w:sz w:val="24"/>
          <w:szCs w:val="18"/>
        </w:rPr>
        <w:t xml:space="preserve">54.2 </w:t>
      </w:r>
    </w:p>
    <w:p w14:paraId="4B9BBB5A">
      <w:pPr>
        <w:pStyle w:val="3"/>
        <w:adjustRightInd w:val="0"/>
        <w:snapToGrid w:val="0"/>
        <w:spacing w:line="360" w:lineRule="auto"/>
        <w:ind w:left="1619" w:leftChars="771" w:firstLine="0"/>
        <w:rPr>
          <w:rFonts w:ascii="宋体"/>
          <w:color w:val="auto"/>
          <w:sz w:val="24"/>
          <w:szCs w:val="18"/>
        </w:rPr>
      </w:pPr>
      <w:r>
        <w:rPr>
          <w:color w:val="auto"/>
        </w:rPr>
        <mc:AlternateContent>
          <mc:Choice Requires="wps">
            <w:drawing>
              <wp:anchor distT="0" distB="0" distL="114300" distR="114300" simplePos="0" relativeHeight="251883520" behindDoc="0" locked="0" layoutInCell="1" allowOverlap="1">
                <wp:simplePos x="0" y="0"/>
                <wp:positionH relativeFrom="column">
                  <wp:posOffset>-114300</wp:posOffset>
                </wp:positionH>
                <wp:positionV relativeFrom="paragraph">
                  <wp:posOffset>7620</wp:posOffset>
                </wp:positionV>
                <wp:extent cx="970280" cy="627380"/>
                <wp:effectExtent l="0" t="0" r="0" b="0"/>
                <wp:wrapNone/>
                <wp:docPr id="220" name="文本框 220"/>
                <wp:cNvGraphicFramePr/>
                <a:graphic xmlns:a="http://schemas.openxmlformats.org/drawingml/2006/main">
                  <a:graphicData uri="http://schemas.microsoft.com/office/word/2010/wordprocessingShape">
                    <wps:wsp>
                      <wps:cNvSpPr txBox="1"/>
                      <wps:spPr>
                        <a:xfrm>
                          <a:off x="0" y="0"/>
                          <a:ext cx="970280" cy="627380"/>
                        </a:xfrm>
                        <a:prstGeom prst="rect">
                          <a:avLst/>
                        </a:prstGeom>
                        <a:noFill/>
                        <a:ln>
                          <a:noFill/>
                        </a:ln>
                        <a:effectLst/>
                      </wps:spPr>
                      <wps:txbx>
                        <w:txbxContent>
                          <w:p w14:paraId="4B0A8BF2">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额外检查检验</w:t>
                            </w:r>
                          </w:p>
                        </w:txbxContent>
                      </wps:txbx>
                      <wps:bodyPr upright="1"/>
                    </wps:wsp>
                  </a:graphicData>
                </a:graphic>
              </wp:anchor>
            </w:drawing>
          </mc:Choice>
          <mc:Fallback>
            <w:pict>
              <v:shape id="_x0000_s1026" o:spid="_x0000_s1026" o:spt="202" type="#_x0000_t202" style="position:absolute;left:0pt;margin-left:-9pt;margin-top:0.6pt;height:49.4pt;width:76.4pt;z-index:251883520;mso-width-relative:page;mso-height-relative:page;" filled="f" stroked="f" coordsize="21600,21600" o:gfxdata="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MYFonV&#10;AAAACQEAAA8AAAAAAAAAAQAgAAAAIgAAAGRycy9kb3ducmV2LnhtbFBLAQIUABQAAAAIAIdO4kAH&#10;ItBHsQEAAF8DAAAOAAAAAAAAAAEAIAAAACQBAABkcnMvZTJvRG9jLnhtbFBLBQYAAAAABgAGAFkB&#10;AABHBQAAAAA=&#10;">
                <v:fill on="f" focussize="0,0"/>
                <v:stroke on="f"/>
                <v:imagedata o:title=""/>
                <o:lock v:ext="edit" aspectratio="f"/>
                <v:textbox>
                  <w:txbxContent>
                    <w:p w14:paraId="4B0A8BF2">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额外检查检验</w:t>
                      </w:r>
                    </w:p>
                  </w:txbxContent>
                </v:textbox>
              </v:shape>
            </w:pict>
          </mc:Fallback>
        </mc:AlternateContent>
      </w:r>
      <w:r>
        <w:rPr>
          <w:rFonts w:hint="eastAsia" w:ascii="宋体" w:hAnsi="宋体"/>
          <w:color w:val="auto"/>
          <w:sz w:val="24"/>
          <w:szCs w:val="18"/>
        </w:rPr>
        <w:t>当监理工程师指令承包人进行合同中没有约定的检查检验，以核实合同工程某一部位或某种材料和工程设备等产品是否有缺陷时，承包人应按照要求进行检查检验。存在缺陷的，分别按照第</w:t>
      </w:r>
      <w:r>
        <w:rPr>
          <w:rFonts w:ascii="宋体" w:hAnsi="宋体"/>
          <w:color w:val="auto"/>
          <w:sz w:val="24"/>
          <w:szCs w:val="18"/>
        </w:rPr>
        <w:t>50.5</w:t>
      </w:r>
      <w:r>
        <w:rPr>
          <w:rFonts w:hint="eastAsia" w:ascii="宋体" w:hAnsi="宋体"/>
          <w:color w:val="auto"/>
          <w:sz w:val="24"/>
          <w:szCs w:val="18"/>
        </w:rPr>
        <w:t>款、第</w:t>
      </w:r>
      <w:r>
        <w:rPr>
          <w:rFonts w:ascii="宋体" w:hAnsi="宋体"/>
          <w:color w:val="auto"/>
          <w:sz w:val="24"/>
          <w:szCs w:val="18"/>
        </w:rPr>
        <w:t>52.3</w:t>
      </w:r>
      <w:r>
        <w:rPr>
          <w:rFonts w:hint="eastAsia" w:ascii="宋体" w:hAnsi="宋体"/>
          <w:color w:val="auto"/>
          <w:sz w:val="24"/>
          <w:szCs w:val="18"/>
        </w:rPr>
        <w:t>款规定处理；没有缺陷的，检查检验的费用和（或）延误的工期由发包人承担，并向承包人支付合理利润。</w:t>
      </w:r>
    </w:p>
    <w:p w14:paraId="0121487D">
      <w:pPr>
        <w:adjustRightInd w:val="0"/>
        <w:snapToGrid w:val="0"/>
        <w:spacing w:line="360" w:lineRule="auto"/>
        <w:rPr>
          <w:rFonts w:ascii="宋体"/>
          <w:b/>
          <w:color w:val="auto"/>
          <w:sz w:val="24"/>
          <w:szCs w:val="18"/>
          <w:u w:val="single"/>
        </w:rPr>
      </w:pPr>
    </w:p>
    <w:p w14:paraId="3A916022">
      <w:pPr>
        <w:pStyle w:val="2"/>
        <w:tabs>
          <w:tab w:val="left" w:pos="540"/>
        </w:tabs>
        <w:adjustRightInd w:val="0"/>
        <w:snapToGrid w:val="0"/>
        <w:spacing w:before="240" w:beforeLines="100" w:line="360" w:lineRule="auto"/>
        <w:ind w:right="-238"/>
        <w:rPr>
          <w:rFonts w:hAnsi="宋体"/>
          <w:b/>
          <w:color w:val="auto"/>
          <w:sz w:val="30"/>
          <w:szCs w:val="24"/>
        </w:rPr>
      </w:pPr>
      <w:r>
        <w:rPr>
          <w:rFonts w:hAnsi="宋体"/>
          <w:b/>
          <w:color w:val="auto"/>
          <w:sz w:val="30"/>
          <w:szCs w:val="24"/>
        </w:rPr>
        <w:t xml:space="preserve">55  </w:t>
      </w:r>
      <w:r>
        <w:rPr>
          <w:rFonts w:hint="eastAsia" w:hAnsi="宋体"/>
          <w:b/>
          <w:color w:val="auto"/>
          <w:sz w:val="30"/>
          <w:szCs w:val="24"/>
        </w:rPr>
        <w:t>工程试车</w:t>
      </w:r>
    </w:p>
    <w:p w14:paraId="052A9E47">
      <w:pPr>
        <w:adjustRightInd w:val="0"/>
        <w:snapToGrid w:val="0"/>
        <w:spacing w:line="360" w:lineRule="auto"/>
        <w:ind w:left="-2" w:leftChars="-1" w:firstLine="1"/>
        <w:rPr>
          <w:rFonts w:ascii="宋体"/>
          <w:b/>
          <w:color w:val="auto"/>
          <w:sz w:val="24"/>
          <w:szCs w:val="18"/>
        </w:rPr>
      </w:pPr>
      <w:r>
        <w:rPr>
          <w:rFonts w:ascii="宋体" w:hAnsi="宋体"/>
          <w:b/>
          <w:color w:val="auto"/>
          <w:sz w:val="24"/>
          <w:szCs w:val="18"/>
        </w:rPr>
        <w:t xml:space="preserve">55.1 </w:t>
      </w:r>
    </w:p>
    <w:p w14:paraId="3A8DB8CF">
      <w:pPr>
        <w:adjustRightInd w:val="0"/>
        <w:snapToGrid w:val="0"/>
        <w:spacing w:line="360" w:lineRule="auto"/>
        <w:ind w:left="1620"/>
        <w:rPr>
          <w:rFonts w:ascii="宋体"/>
          <w:color w:val="auto"/>
          <w:sz w:val="24"/>
          <w:szCs w:val="18"/>
        </w:rPr>
      </w:pPr>
      <w:r>
        <w:rPr>
          <w:color w:val="auto"/>
        </w:rPr>
        <mc:AlternateContent>
          <mc:Choice Requires="wps">
            <w:drawing>
              <wp:anchor distT="0" distB="0" distL="114300" distR="114300" simplePos="0" relativeHeight="251884544" behindDoc="0" locked="0" layoutInCell="1" allowOverlap="1">
                <wp:simplePos x="0" y="0"/>
                <wp:positionH relativeFrom="column">
                  <wp:posOffset>-114300</wp:posOffset>
                </wp:positionH>
                <wp:positionV relativeFrom="paragraph">
                  <wp:posOffset>16510</wp:posOffset>
                </wp:positionV>
                <wp:extent cx="800100" cy="297180"/>
                <wp:effectExtent l="0" t="0" r="0" b="0"/>
                <wp:wrapNone/>
                <wp:docPr id="221" name="文本框 221"/>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a:effectLst/>
                      </wps:spPr>
                      <wps:txbx>
                        <w:txbxContent>
                          <w:p w14:paraId="77A5B8CB">
                            <w:pPr>
                              <w:rPr>
                                <w:rFonts w:ascii="楷体_GB2312" w:hAnsi="宋体" w:eastAsia="楷体_GB2312"/>
                                <w:sz w:val="18"/>
                                <w:szCs w:val="18"/>
                              </w:rPr>
                            </w:pPr>
                            <w:r>
                              <w:rPr>
                                <w:rFonts w:hint="eastAsia" w:ascii="楷体_GB2312" w:hAnsi="宋体" w:eastAsia="楷体_GB2312"/>
                                <w:b/>
                                <w:color w:val="000000"/>
                                <w:sz w:val="18"/>
                                <w:szCs w:val="18"/>
                              </w:rPr>
                              <w:t>试车内容</w:t>
                            </w:r>
                          </w:p>
                        </w:txbxContent>
                      </wps:txbx>
                      <wps:bodyPr upright="1"/>
                    </wps:wsp>
                  </a:graphicData>
                </a:graphic>
              </wp:anchor>
            </w:drawing>
          </mc:Choice>
          <mc:Fallback>
            <w:pict>
              <v:shape id="_x0000_s1026" o:spid="_x0000_s1026" o:spt="202" type="#_x0000_t202" style="position:absolute;left:0pt;margin-left:-9pt;margin-top:1.3pt;height:23.4pt;width:63pt;z-index:251884544;mso-width-relative:page;mso-height-relative:page;" filled="f" stroked="f" coordsize="21600,21600" o:gfxdata="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B3sr/U&#10;AAAACAEAAA8AAAAAAAAAAQAgAAAAIgAAAGRycy9kb3ducmV2LnhtbFBLAQIUABQAAAAIAIdO4kA7&#10;DTBIsgEAAF8DAAAOAAAAAAAAAAEAIAAAACMBAABkcnMvZTJvRG9jLnhtbFBLBQYAAAAABgAGAFkB&#10;AABHBQAAAAA=&#10;">
                <v:fill on="f" focussize="0,0"/>
                <v:stroke on="f"/>
                <v:imagedata o:title=""/>
                <o:lock v:ext="edit" aspectratio="f"/>
                <v:textbox>
                  <w:txbxContent>
                    <w:p w14:paraId="77A5B8CB">
                      <w:pPr>
                        <w:rPr>
                          <w:rFonts w:ascii="楷体_GB2312" w:hAnsi="宋体" w:eastAsia="楷体_GB2312"/>
                          <w:sz w:val="18"/>
                          <w:szCs w:val="18"/>
                        </w:rPr>
                      </w:pPr>
                      <w:r>
                        <w:rPr>
                          <w:rFonts w:hint="eastAsia" w:ascii="楷体_GB2312" w:hAnsi="宋体" w:eastAsia="楷体_GB2312"/>
                          <w:b/>
                          <w:color w:val="000000"/>
                          <w:sz w:val="18"/>
                          <w:szCs w:val="18"/>
                        </w:rPr>
                        <w:t>试车内容</w:t>
                      </w:r>
                    </w:p>
                  </w:txbxContent>
                </v:textbox>
              </v:shape>
            </w:pict>
          </mc:Fallback>
        </mc:AlternateContent>
      </w:r>
      <w:r>
        <w:rPr>
          <w:rFonts w:hint="eastAsia" w:ascii="宋体" w:hAnsi="宋体"/>
          <w:color w:val="auto"/>
          <w:sz w:val="24"/>
          <w:szCs w:val="18"/>
        </w:rPr>
        <w:t>按照合同约定需要试车的，试车的内容应与承包人承包的安装范围相一致。</w:t>
      </w:r>
    </w:p>
    <w:p w14:paraId="302885FC">
      <w:pPr>
        <w:tabs>
          <w:tab w:val="left" w:pos="540"/>
        </w:tabs>
        <w:adjustRightInd w:val="0"/>
        <w:snapToGrid w:val="0"/>
        <w:spacing w:line="360" w:lineRule="auto"/>
        <w:rPr>
          <w:rFonts w:ascii="宋体"/>
          <w:b/>
          <w:color w:val="auto"/>
          <w:sz w:val="24"/>
          <w:szCs w:val="18"/>
          <w:u w:val="dotted"/>
        </w:rPr>
      </w:pPr>
      <w:r>
        <w:rPr>
          <w:rFonts w:ascii="宋体" w:hAnsi="宋体"/>
          <w:b/>
          <w:color w:val="auto"/>
          <w:sz w:val="24"/>
          <w:szCs w:val="18"/>
        </w:rPr>
        <w:t xml:space="preserve">55.2  </w:t>
      </w:r>
    </w:p>
    <w:p w14:paraId="3361F8C1">
      <w:pPr>
        <w:adjustRightInd w:val="0"/>
        <w:snapToGrid w:val="0"/>
        <w:spacing w:line="360" w:lineRule="auto"/>
        <w:ind w:left="1619" w:leftChars="771"/>
        <w:rPr>
          <w:rFonts w:ascii="宋体"/>
          <w:color w:val="auto"/>
          <w:sz w:val="24"/>
          <w:szCs w:val="18"/>
        </w:rPr>
      </w:pPr>
      <w:r>
        <w:rPr>
          <w:color w:val="auto"/>
        </w:rPr>
        <mc:AlternateContent>
          <mc:Choice Requires="wps">
            <w:drawing>
              <wp:anchor distT="0" distB="0" distL="114300" distR="114300" simplePos="0" relativeHeight="251885568" behindDoc="0" locked="0" layoutInCell="1" allowOverlap="1">
                <wp:simplePos x="0" y="0"/>
                <wp:positionH relativeFrom="column">
                  <wp:posOffset>-114300</wp:posOffset>
                </wp:positionH>
                <wp:positionV relativeFrom="paragraph">
                  <wp:posOffset>3175</wp:posOffset>
                </wp:positionV>
                <wp:extent cx="914400" cy="469265"/>
                <wp:effectExtent l="0" t="0" r="0" b="0"/>
                <wp:wrapNone/>
                <wp:docPr id="222" name="文本框 222"/>
                <wp:cNvGraphicFramePr/>
                <a:graphic xmlns:a="http://schemas.openxmlformats.org/drawingml/2006/main">
                  <a:graphicData uri="http://schemas.microsoft.com/office/word/2010/wordprocessingShape">
                    <wps:wsp>
                      <wps:cNvSpPr txBox="1"/>
                      <wps:spPr>
                        <a:xfrm>
                          <a:off x="0" y="0"/>
                          <a:ext cx="914400" cy="469265"/>
                        </a:xfrm>
                        <a:prstGeom prst="rect">
                          <a:avLst/>
                        </a:prstGeom>
                        <a:noFill/>
                        <a:ln>
                          <a:noFill/>
                        </a:ln>
                        <a:effectLst/>
                      </wps:spPr>
                      <wps:txbx>
                        <w:txbxContent>
                          <w:p w14:paraId="3915C033">
                            <w:pPr>
                              <w:jc w:val="left"/>
                              <w:rPr>
                                <w:rFonts w:ascii="楷体_GB2312" w:hAnsi="宋体" w:eastAsia="楷体_GB2312"/>
                                <w:b/>
                                <w:color w:val="000000"/>
                                <w:sz w:val="18"/>
                                <w:szCs w:val="18"/>
                              </w:rPr>
                            </w:pPr>
                            <w:r>
                              <w:rPr>
                                <w:rFonts w:hint="eastAsia" w:ascii="楷体_GB2312" w:hAnsi="宋体" w:eastAsia="楷体_GB2312"/>
                                <w:b/>
                                <w:color w:val="000000"/>
                                <w:sz w:val="18"/>
                                <w:szCs w:val="18"/>
                              </w:rPr>
                              <w:t>单机试车的通知和限制</w:t>
                            </w:r>
                          </w:p>
                        </w:txbxContent>
                      </wps:txbx>
                      <wps:bodyPr upright="1"/>
                    </wps:wsp>
                  </a:graphicData>
                </a:graphic>
              </wp:anchor>
            </w:drawing>
          </mc:Choice>
          <mc:Fallback>
            <w:pict>
              <v:shape id="_x0000_s1026" o:spid="_x0000_s1026" o:spt="202" type="#_x0000_t202" style="position:absolute;left:0pt;margin-left:-9pt;margin-top:0.25pt;height:36.95pt;width:72pt;z-index:251885568;mso-width-relative:page;mso-height-relative:page;" filled="f" stroked="f" coordsize="21600,21600" o:gfxdata="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sH9tnU&#10;AAAABwEAAA8AAAAAAAAAAQAgAAAAIgAAAGRycy9kb3ducmV2LnhtbFBLAQIUABQAAAAIAIdO4kDn&#10;UvRdsgEAAF8DAAAOAAAAAAAAAAEAIAAAACMBAABkcnMvZTJvRG9jLnhtbFBLBQYAAAAABgAGAFkB&#10;AABHBQAAAAA=&#10;">
                <v:fill on="f" focussize="0,0"/>
                <v:stroke on="f"/>
                <v:imagedata o:title=""/>
                <o:lock v:ext="edit" aspectratio="f"/>
                <v:textbox>
                  <w:txbxContent>
                    <w:p w14:paraId="3915C033">
                      <w:pPr>
                        <w:jc w:val="left"/>
                        <w:rPr>
                          <w:rFonts w:ascii="楷体_GB2312" w:hAnsi="宋体" w:eastAsia="楷体_GB2312"/>
                          <w:b/>
                          <w:color w:val="000000"/>
                          <w:sz w:val="18"/>
                          <w:szCs w:val="18"/>
                        </w:rPr>
                      </w:pPr>
                      <w:r>
                        <w:rPr>
                          <w:rFonts w:hint="eastAsia" w:ascii="楷体_GB2312" w:hAnsi="宋体" w:eastAsia="楷体_GB2312"/>
                          <w:b/>
                          <w:color w:val="000000"/>
                          <w:sz w:val="18"/>
                          <w:szCs w:val="18"/>
                        </w:rPr>
                        <w:t>单机试车的通知和限制</w:t>
                      </w:r>
                    </w:p>
                  </w:txbxContent>
                </v:textbox>
              </v:shape>
            </w:pict>
          </mc:Fallback>
        </mc:AlternateContent>
      </w:r>
      <w:r>
        <w:rPr>
          <w:rFonts w:hint="eastAsia" w:ascii="宋体" w:hAnsi="宋体"/>
          <w:color w:val="auto"/>
          <w:sz w:val="24"/>
          <w:szCs w:val="18"/>
        </w:rPr>
        <w:t>设备安装工程具备单机无负荷试车条件时，承包人应组织试车，并在试车前</w:t>
      </w:r>
      <w:r>
        <w:rPr>
          <w:rFonts w:ascii="宋体" w:hAnsi="宋体"/>
          <w:color w:val="auto"/>
          <w:sz w:val="24"/>
          <w:szCs w:val="18"/>
        </w:rPr>
        <w:t>48</w:t>
      </w:r>
      <w:r>
        <w:rPr>
          <w:rFonts w:hint="eastAsia" w:ascii="宋体" w:hAnsi="宋体"/>
          <w:color w:val="auto"/>
          <w:sz w:val="24"/>
          <w:szCs w:val="18"/>
        </w:rPr>
        <w:t>小时以书面形式通知监理工程师。通知包括试车内容、时间和地点。承包人应自行准备试车记录，发包人应为承包人试车提供便利和协助。</w:t>
      </w:r>
    </w:p>
    <w:p w14:paraId="0710BCE1">
      <w:pPr>
        <w:adjustRightInd w:val="0"/>
        <w:snapToGrid w:val="0"/>
        <w:spacing w:line="360" w:lineRule="auto"/>
        <w:ind w:left="1619" w:leftChars="771"/>
        <w:rPr>
          <w:rFonts w:ascii="宋体"/>
          <w:color w:val="auto"/>
          <w:sz w:val="24"/>
          <w:szCs w:val="18"/>
        </w:rPr>
      </w:pPr>
      <w:r>
        <w:rPr>
          <w:rFonts w:hint="eastAsia" w:ascii="宋体" w:hAnsi="宋体"/>
          <w:color w:val="auto"/>
          <w:sz w:val="24"/>
          <w:szCs w:val="18"/>
        </w:rPr>
        <w:t>监理工程师不能按时参加试车的，应在开始试车前至少提前</w:t>
      </w:r>
      <w:r>
        <w:rPr>
          <w:rFonts w:ascii="宋体" w:hAnsi="宋体"/>
          <w:color w:val="auto"/>
          <w:sz w:val="24"/>
          <w:szCs w:val="18"/>
        </w:rPr>
        <w:t>24</w:t>
      </w:r>
      <w:r>
        <w:rPr>
          <w:rFonts w:hint="eastAsia" w:ascii="宋体" w:hAnsi="宋体"/>
          <w:color w:val="auto"/>
          <w:sz w:val="24"/>
          <w:szCs w:val="18"/>
        </w:rPr>
        <w:t>小时发出延期试车指令并书面说明理由，延期不能超过</w:t>
      </w:r>
      <w:r>
        <w:rPr>
          <w:rFonts w:ascii="宋体" w:hAnsi="宋体"/>
          <w:color w:val="auto"/>
          <w:sz w:val="24"/>
          <w:szCs w:val="18"/>
        </w:rPr>
        <w:t>48</w:t>
      </w:r>
      <w:r>
        <w:rPr>
          <w:rFonts w:hint="eastAsia" w:ascii="宋体" w:hAnsi="宋体"/>
          <w:color w:val="auto"/>
          <w:sz w:val="24"/>
          <w:szCs w:val="18"/>
        </w:rPr>
        <w:t>小时。监理工程师未发出延期试车指令也未能按时参加试车的，承包人可自行试车，并认为试车是经监理工程师同意下完成的。试车完成后，承包人应立即向监理工程师提交试车记录，监理工程师应予认可。</w:t>
      </w:r>
    </w:p>
    <w:p w14:paraId="77938E6F">
      <w:pPr>
        <w:adjustRightInd w:val="0"/>
        <w:snapToGrid w:val="0"/>
        <w:spacing w:line="360" w:lineRule="auto"/>
        <w:rPr>
          <w:rFonts w:ascii="宋体"/>
          <w:color w:val="auto"/>
          <w:sz w:val="24"/>
          <w:szCs w:val="18"/>
          <w:u w:val="dotted"/>
        </w:rPr>
      </w:pPr>
      <w:r>
        <w:rPr>
          <w:rFonts w:ascii="宋体" w:hAnsi="宋体"/>
          <w:b/>
          <w:color w:val="auto"/>
          <w:sz w:val="24"/>
          <w:szCs w:val="18"/>
        </w:rPr>
        <w:t xml:space="preserve">55.3 </w:t>
      </w:r>
    </w:p>
    <w:p w14:paraId="30BC8A9D">
      <w:pPr>
        <w:adjustRightInd w:val="0"/>
        <w:snapToGrid w:val="0"/>
        <w:spacing w:line="360" w:lineRule="auto"/>
        <w:ind w:left="1619" w:leftChars="771"/>
        <w:rPr>
          <w:rFonts w:ascii="宋体"/>
          <w:color w:val="auto"/>
          <w:sz w:val="24"/>
          <w:szCs w:val="18"/>
        </w:rPr>
      </w:pPr>
      <w:r>
        <w:rPr>
          <w:color w:val="auto"/>
        </w:rPr>
        <mc:AlternateContent>
          <mc:Choice Requires="wps">
            <w:drawing>
              <wp:anchor distT="0" distB="0" distL="114300" distR="114300" simplePos="0" relativeHeight="251886592" behindDoc="0" locked="0" layoutInCell="1" allowOverlap="1">
                <wp:simplePos x="0" y="0"/>
                <wp:positionH relativeFrom="column">
                  <wp:posOffset>-73660</wp:posOffset>
                </wp:positionH>
                <wp:positionV relativeFrom="paragraph">
                  <wp:posOffset>635</wp:posOffset>
                </wp:positionV>
                <wp:extent cx="873760" cy="471805"/>
                <wp:effectExtent l="0" t="0" r="0" b="0"/>
                <wp:wrapNone/>
                <wp:docPr id="223" name="文本框 223"/>
                <wp:cNvGraphicFramePr/>
                <a:graphic xmlns:a="http://schemas.openxmlformats.org/drawingml/2006/main">
                  <a:graphicData uri="http://schemas.microsoft.com/office/word/2010/wordprocessingShape">
                    <wps:wsp>
                      <wps:cNvSpPr txBox="1"/>
                      <wps:spPr>
                        <a:xfrm>
                          <a:off x="0" y="0"/>
                          <a:ext cx="873760" cy="471805"/>
                        </a:xfrm>
                        <a:prstGeom prst="rect">
                          <a:avLst/>
                        </a:prstGeom>
                        <a:noFill/>
                        <a:ln>
                          <a:noFill/>
                        </a:ln>
                        <a:effectLst/>
                      </wps:spPr>
                      <wps:txbx>
                        <w:txbxContent>
                          <w:p w14:paraId="789EB1D5">
                            <w:pPr>
                              <w:jc w:val="left"/>
                              <w:rPr>
                                <w:rFonts w:ascii="楷体_GB2312" w:hAnsi="宋体" w:eastAsia="楷体_GB2312"/>
                                <w:b/>
                                <w:color w:val="000000"/>
                                <w:sz w:val="18"/>
                                <w:szCs w:val="18"/>
                              </w:rPr>
                            </w:pPr>
                            <w:r>
                              <w:rPr>
                                <w:rFonts w:hint="eastAsia" w:ascii="楷体_GB2312" w:hAnsi="宋体" w:eastAsia="楷体_GB2312"/>
                                <w:b/>
                                <w:color w:val="000000"/>
                                <w:sz w:val="18"/>
                                <w:szCs w:val="18"/>
                              </w:rPr>
                              <w:t>单机试车结果的确认</w:t>
                            </w:r>
                          </w:p>
                        </w:txbxContent>
                      </wps:txbx>
                      <wps:bodyPr upright="1"/>
                    </wps:wsp>
                  </a:graphicData>
                </a:graphic>
              </wp:anchor>
            </w:drawing>
          </mc:Choice>
          <mc:Fallback>
            <w:pict>
              <v:shape id="_x0000_s1026" o:spid="_x0000_s1026" o:spt="202" type="#_x0000_t202" style="position:absolute;left:0pt;margin-left:-5.8pt;margin-top:0.05pt;height:37.15pt;width:68.8pt;z-index:251886592;mso-width-relative:page;mso-height-relative:page;" filled="f" stroked="f" coordsize="21600,21600" o:gfxdata="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KAs6D&#10;1AAAAAcBAAAPAAAAAAAAAAEAIAAAACIAAABkcnMvZG93bnJldi54bWxQSwECFAAUAAAACACHTuJA&#10;I/NJ/bMBAABfAwAADgAAAAAAAAABACAAAAAjAQAAZHJzL2Uyb0RvYy54bWxQSwUGAAAAAAYABgBZ&#10;AQAASAUAAAAA&#10;">
                <v:fill on="f" focussize="0,0"/>
                <v:stroke on="f"/>
                <v:imagedata o:title=""/>
                <o:lock v:ext="edit" aspectratio="f"/>
                <v:textbox>
                  <w:txbxContent>
                    <w:p w14:paraId="789EB1D5">
                      <w:pPr>
                        <w:jc w:val="left"/>
                        <w:rPr>
                          <w:rFonts w:ascii="楷体_GB2312" w:hAnsi="宋体" w:eastAsia="楷体_GB2312"/>
                          <w:b/>
                          <w:color w:val="000000"/>
                          <w:sz w:val="18"/>
                          <w:szCs w:val="18"/>
                        </w:rPr>
                      </w:pPr>
                      <w:r>
                        <w:rPr>
                          <w:rFonts w:hint="eastAsia" w:ascii="楷体_GB2312" w:hAnsi="宋体" w:eastAsia="楷体_GB2312"/>
                          <w:b/>
                          <w:color w:val="000000"/>
                          <w:sz w:val="18"/>
                          <w:szCs w:val="18"/>
                        </w:rPr>
                        <w:t>单机试车结果的确认</w:t>
                      </w:r>
                    </w:p>
                  </w:txbxContent>
                </v:textbox>
              </v:shape>
            </w:pict>
          </mc:Fallback>
        </mc:AlternateContent>
      </w:r>
      <w:r>
        <w:rPr>
          <w:rFonts w:hint="eastAsia" w:ascii="宋体" w:hAnsi="宋体"/>
          <w:color w:val="auto"/>
          <w:sz w:val="24"/>
          <w:szCs w:val="18"/>
        </w:rPr>
        <w:t>单机试车合格，监理工程师应在试车记录上签字，承包人可继续施工或申请办理竣工验收手续。单机试车合格</w:t>
      </w:r>
      <w:r>
        <w:rPr>
          <w:rFonts w:ascii="宋体" w:hAnsi="宋体"/>
          <w:color w:val="auto"/>
          <w:sz w:val="24"/>
          <w:szCs w:val="18"/>
        </w:rPr>
        <w:t>24</w:t>
      </w:r>
      <w:r>
        <w:rPr>
          <w:rFonts w:hint="eastAsia" w:ascii="宋体" w:hAnsi="宋体"/>
          <w:color w:val="auto"/>
          <w:sz w:val="24"/>
          <w:szCs w:val="18"/>
        </w:rPr>
        <w:t>小时后，监理工程师仍不在试车记录上签字的，视为监理工程师已认可试车记录。</w:t>
      </w:r>
    </w:p>
    <w:p w14:paraId="24645319">
      <w:pPr>
        <w:adjustRightInd w:val="0"/>
        <w:snapToGrid w:val="0"/>
        <w:spacing w:line="360" w:lineRule="auto"/>
        <w:rPr>
          <w:rFonts w:ascii="宋体"/>
          <w:b/>
          <w:color w:val="auto"/>
          <w:sz w:val="24"/>
          <w:szCs w:val="18"/>
          <w:u w:val="dotted"/>
        </w:rPr>
      </w:pPr>
      <w:r>
        <w:rPr>
          <w:rFonts w:ascii="宋体" w:hAnsi="宋体"/>
          <w:b/>
          <w:color w:val="auto"/>
          <w:sz w:val="24"/>
          <w:szCs w:val="18"/>
        </w:rPr>
        <w:t xml:space="preserve">55.4  </w:t>
      </w:r>
    </w:p>
    <w:p w14:paraId="2C2BA3C5">
      <w:pPr>
        <w:adjustRightInd w:val="0"/>
        <w:snapToGrid w:val="0"/>
        <w:spacing w:line="360" w:lineRule="auto"/>
        <w:ind w:left="1619" w:leftChars="771"/>
        <w:rPr>
          <w:rFonts w:ascii="宋体"/>
          <w:color w:val="auto"/>
          <w:sz w:val="24"/>
          <w:szCs w:val="18"/>
        </w:rPr>
      </w:pPr>
      <w:r>
        <w:rPr>
          <w:color w:val="auto"/>
        </w:rPr>
        <mc:AlternateContent>
          <mc:Choice Requires="wps">
            <w:drawing>
              <wp:anchor distT="0" distB="0" distL="114300" distR="114300" simplePos="0" relativeHeight="251887616" behindDoc="0" locked="0" layoutInCell="1" allowOverlap="1">
                <wp:simplePos x="0" y="0"/>
                <wp:positionH relativeFrom="column">
                  <wp:posOffset>-73660</wp:posOffset>
                </wp:positionH>
                <wp:positionV relativeFrom="paragraph">
                  <wp:posOffset>11430</wp:posOffset>
                </wp:positionV>
                <wp:extent cx="873760" cy="492760"/>
                <wp:effectExtent l="0" t="0" r="0" b="0"/>
                <wp:wrapNone/>
                <wp:docPr id="224" name="文本框 224"/>
                <wp:cNvGraphicFramePr/>
                <a:graphic xmlns:a="http://schemas.openxmlformats.org/drawingml/2006/main">
                  <a:graphicData uri="http://schemas.microsoft.com/office/word/2010/wordprocessingShape">
                    <wps:wsp>
                      <wps:cNvSpPr txBox="1"/>
                      <wps:spPr>
                        <a:xfrm>
                          <a:off x="0" y="0"/>
                          <a:ext cx="873760" cy="492760"/>
                        </a:xfrm>
                        <a:prstGeom prst="rect">
                          <a:avLst/>
                        </a:prstGeom>
                        <a:noFill/>
                        <a:ln>
                          <a:noFill/>
                        </a:ln>
                        <a:effectLst/>
                      </wps:spPr>
                      <wps:txbx>
                        <w:txbxContent>
                          <w:p w14:paraId="07336B90">
                            <w:pPr>
                              <w:jc w:val="left"/>
                              <w:rPr>
                                <w:rFonts w:ascii="楷体_GB2312" w:hAnsi="宋体" w:eastAsia="楷体_GB2312"/>
                                <w:b/>
                                <w:color w:val="000000"/>
                                <w:sz w:val="18"/>
                                <w:szCs w:val="18"/>
                              </w:rPr>
                            </w:pPr>
                            <w:r>
                              <w:rPr>
                                <w:rFonts w:hint="eastAsia" w:ascii="楷体_GB2312" w:hAnsi="宋体" w:eastAsia="楷体_GB2312"/>
                                <w:b/>
                                <w:color w:val="000000"/>
                                <w:sz w:val="18"/>
                                <w:szCs w:val="18"/>
                              </w:rPr>
                              <w:t>联动试车通知和结果的确认</w:t>
                            </w:r>
                          </w:p>
                        </w:txbxContent>
                      </wps:txbx>
                      <wps:bodyPr upright="1"/>
                    </wps:wsp>
                  </a:graphicData>
                </a:graphic>
              </wp:anchor>
            </w:drawing>
          </mc:Choice>
          <mc:Fallback>
            <w:pict>
              <v:shape id="_x0000_s1026" o:spid="_x0000_s1026" o:spt="202" type="#_x0000_t202" style="position:absolute;left:0pt;margin-left:-5.8pt;margin-top:0.9pt;height:38.8pt;width:68.8pt;z-index:251887616;mso-width-relative:page;mso-height-relative:page;" filled="f" stroked="f" coordsize="21600,21600" o:gfxdata="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nFbAA&#10;1QAAAAgBAAAPAAAAAAAAAAEAIAAAACIAAABkcnMvZG93bnJldi54bWxQSwECFAAUAAAACACHTuJA&#10;L6EOwLIBAABfAwAADgAAAAAAAAABACAAAAAkAQAAZHJzL2Uyb0RvYy54bWxQSwUGAAAAAAYABgBZ&#10;AQAASAUAAAAA&#10;">
                <v:fill on="f" focussize="0,0"/>
                <v:stroke on="f"/>
                <v:imagedata o:title=""/>
                <o:lock v:ext="edit" aspectratio="f"/>
                <v:textbox>
                  <w:txbxContent>
                    <w:p w14:paraId="07336B90">
                      <w:pPr>
                        <w:jc w:val="left"/>
                        <w:rPr>
                          <w:rFonts w:ascii="楷体_GB2312" w:hAnsi="宋体" w:eastAsia="楷体_GB2312"/>
                          <w:b/>
                          <w:color w:val="000000"/>
                          <w:sz w:val="18"/>
                          <w:szCs w:val="18"/>
                        </w:rPr>
                      </w:pPr>
                      <w:r>
                        <w:rPr>
                          <w:rFonts w:hint="eastAsia" w:ascii="楷体_GB2312" w:hAnsi="宋体" w:eastAsia="楷体_GB2312"/>
                          <w:b/>
                          <w:color w:val="000000"/>
                          <w:sz w:val="18"/>
                          <w:szCs w:val="18"/>
                        </w:rPr>
                        <w:t>联动试车通知和结果的确认</w:t>
                      </w:r>
                    </w:p>
                  </w:txbxContent>
                </v:textbox>
              </v:shape>
            </w:pict>
          </mc:Fallback>
        </mc:AlternateContent>
      </w:r>
      <w:r>
        <w:rPr>
          <w:rFonts w:hint="eastAsia" w:ascii="宋体" w:hAnsi="宋体"/>
          <w:color w:val="auto"/>
          <w:sz w:val="24"/>
          <w:szCs w:val="18"/>
        </w:rPr>
        <w:t>设备安装工程具备联动无负荷试车条件时，发包人应组织试车，并在试车前</w:t>
      </w:r>
      <w:r>
        <w:rPr>
          <w:rFonts w:ascii="宋体" w:hAnsi="宋体"/>
          <w:color w:val="auto"/>
          <w:sz w:val="24"/>
          <w:szCs w:val="18"/>
        </w:rPr>
        <w:t>48</w:t>
      </w:r>
      <w:r>
        <w:rPr>
          <w:rFonts w:hint="eastAsia" w:ascii="宋体" w:hAnsi="宋体"/>
          <w:color w:val="auto"/>
          <w:sz w:val="24"/>
          <w:szCs w:val="18"/>
        </w:rPr>
        <w:t>小时以书面形式通知承包人。通知包括试车内容、时间、地点和对承包人的要求，承包人应按照要求做好准备工作。试车合格，合同双方当事人均应在试车记录上签字。</w:t>
      </w:r>
    </w:p>
    <w:p w14:paraId="7A225114">
      <w:pPr>
        <w:adjustRightInd w:val="0"/>
        <w:snapToGrid w:val="0"/>
        <w:spacing w:line="360" w:lineRule="auto"/>
        <w:rPr>
          <w:rFonts w:ascii="宋体"/>
          <w:b/>
          <w:color w:val="auto"/>
          <w:sz w:val="24"/>
          <w:szCs w:val="18"/>
          <w:u w:val="dotted"/>
        </w:rPr>
      </w:pPr>
      <w:r>
        <w:rPr>
          <w:rFonts w:ascii="宋体" w:hAnsi="宋体"/>
          <w:b/>
          <w:color w:val="auto"/>
          <w:sz w:val="24"/>
          <w:szCs w:val="18"/>
        </w:rPr>
        <w:t xml:space="preserve">55.5  </w:t>
      </w:r>
    </w:p>
    <w:p w14:paraId="7C113137">
      <w:pPr>
        <w:adjustRightInd w:val="0"/>
        <w:snapToGrid w:val="0"/>
        <w:spacing w:line="360" w:lineRule="auto"/>
        <w:ind w:left="1620"/>
        <w:rPr>
          <w:rFonts w:ascii="宋体"/>
          <w:color w:val="auto"/>
          <w:sz w:val="24"/>
          <w:szCs w:val="18"/>
        </w:rPr>
      </w:pPr>
      <w:r>
        <w:rPr>
          <w:color w:val="auto"/>
        </w:rPr>
        <mc:AlternateContent>
          <mc:Choice Requires="wps">
            <w:drawing>
              <wp:anchor distT="0" distB="0" distL="114300" distR="114300" simplePos="0" relativeHeight="251888640" behindDoc="0" locked="0" layoutInCell="1" allowOverlap="1">
                <wp:simplePos x="0" y="0"/>
                <wp:positionH relativeFrom="column">
                  <wp:posOffset>-114300</wp:posOffset>
                </wp:positionH>
                <wp:positionV relativeFrom="paragraph">
                  <wp:posOffset>-6350</wp:posOffset>
                </wp:positionV>
                <wp:extent cx="883920" cy="427990"/>
                <wp:effectExtent l="0" t="0" r="0" b="0"/>
                <wp:wrapNone/>
                <wp:docPr id="225" name="文本框 225"/>
                <wp:cNvGraphicFramePr/>
                <a:graphic xmlns:a="http://schemas.openxmlformats.org/drawingml/2006/main">
                  <a:graphicData uri="http://schemas.microsoft.com/office/word/2010/wordprocessingShape">
                    <wps:wsp>
                      <wps:cNvSpPr txBox="1"/>
                      <wps:spPr>
                        <a:xfrm>
                          <a:off x="0" y="0"/>
                          <a:ext cx="883920" cy="427990"/>
                        </a:xfrm>
                        <a:prstGeom prst="rect">
                          <a:avLst/>
                        </a:prstGeom>
                        <a:noFill/>
                        <a:ln>
                          <a:noFill/>
                        </a:ln>
                        <a:effectLst/>
                      </wps:spPr>
                      <wps:txbx>
                        <w:txbxContent>
                          <w:p w14:paraId="34E83966">
                            <w:pPr>
                              <w:spacing w:line="240" w:lineRule="exact"/>
                              <w:rPr>
                                <w:rFonts w:ascii="楷体_GB2312" w:hAnsi="宋体" w:eastAsia="楷体_GB2312"/>
                                <w:sz w:val="18"/>
                                <w:szCs w:val="18"/>
                              </w:rPr>
                            </w:pPr>
                            <w:r>
                              <w:rPr>
                                <w:rFonts w:hint="eastAsia" w:ascii="楷体_GB2312" w:hAnsi="宋体" w:eastAsia="楷体_GB2312"/>
                                <w:b/>
                                <w:color w:val="000000"/>
                                <w:sz w:val="18"/>
                                <w:szCs w:val="18"/>
                              </w:rPr>
                              <w:t>试车费用和不达要求处理</w:t>
                            </w:r>
                          </w:p>
                        </w:txbxContent>
                      </wps:txbx>
                      <wps:bodyPr upright="1"/>
                    </wps:wsp>
                  </a:graphicData>
                </a:graphic>
              </wp:anchor>
            </w:drawing>
          </mc:Choice>
          <mc:Fallback>
            <w:pict>
              <v:shape id="_x0000_s1026" o:spid="_x0000_s1026" o:spt="202" type="#_x0000_t202" style="position:absolute;left:0pt;margin-left:-9pt;margin-top:-0.5pt;height:33.7pt;width:69.6pt;z-index:251888640;mso-width-relative:page;mso-height-relative:page;" filled="f" stroked="f" coordsize="21600,21600" o:gfxdata="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g&#10;mHzh1gAAAAkBAAAPAAAAAAAAAAEAIAAAACIAAABkcnMvZG93bnJldi54bWxQSwECFAAUAAAACACH&#10;TuJAMhBVqbQBAABfAwAADgAAAAAAAAABACAAAAAlAQAAZHJzL2Uyb0RvYy54bWxQSwUGAAAAAAYA&#10;BgBZAQAASwUAAAAA&#10;">
                <v:fill on="f" focussize="0,0"/>
                <v:stroke on="f"/>
                <v:imagedata o:title=""/>
                <o:lock v:ext="edit" aspectratio="f"/>
                <v:textbox>
                  <w:txbxContent>
                    <w:p w14:paraId="34E83966">
                      <w:pPr>
                        <w:spacing w:line="240" w:lineRule="exact"/>
                        <w:rPr>
                          <w:rFonts w:ascii="楷体_GB2312" w:hAnsi="宋体" w:eastAsia="楷体_GB2312"/>
                          <w:sz w:val="18"/>
                          <w:szCs w:val="18"/>
                        </w:rPr>
                      </w:pPr>
                      <w:r>
                        <w:rPr>
                          <w:rFonts w:hint="eastAsia" w:ascii="楷体_GB2312" w:hAnsi="宋体" w:eastAsia="楷体_GB2312"/>
                          <w:b/>
                          <w:color w:val="000000"/>
                          <w:sz w:val="18"/>
                          <w:szCs w:val="18"/>
                        </w:rPr>
                        <w:t>试车费用和不达要求处理</w:t>
                      </w:r>
                    </w:p>
                  </w:txbxContent>
                </v:textbox>
              </v:shape>
            </w:pict>
          </mc:Fallback>
        </mc:AlternateContent>
      </w:r>
      <w:r>
        <w:rPr>
          <w:rFonts w:hint="eastAsia" w:ascii="宋体" w:hAnsi="宋体"/>
          <w:color w:val="auto"/>
          <w:sz w:val="24"/>
          <w:szCs w:val="18"/>
        </w:rPr>
        <w:t>试车费用，除已含在合同价款外，由发包人承担。试车达不到验收要求的，按照下列规定处理：</w:t>
      </w:r>
    </w:p>
    <w:p w14:paraId="5D72C1AC">
      <w:pPr>
        <w:numPr>
          <w:ilvl w:val="0"/>
          <w:numId w:val="23"/>
        </w:numPr>
        <w:tabs>
          <w:tab w:val="left" w:pos="1080"/>
          <w:tab w:val="left" w:pos="1620"/>
        </w:tabs>
        <w:adjustRightInd w:val="0"/>
        <w:snapToGrid w:val="0"/>
        <w:spacing w:line="360" w:lineRule="auto"/>
        <w:ind w:left="1619" w:leftChars="771" w:firstLine="0"/>
        <w:rPr>
          <w:rFonts w:ascii="宋体"/>
          <w:color w:val="auto"/>
          <w:sz w:val="24"/>
          <w:szCs w:val="18"/>
        </w:rPr>
      </w:pPr>
      <w:r>
        <w:rPr>
          <w:rFonts w:hint="eastAsia" w:ascii="宋体" w:hAnsi="宋体"/>
          <w:color w:val="auto"/>
          <w:sz w:val="24"/>
          <w:szCs w:val="18"/>
        </w:rPr>
        <w:t>由于设计原因试车达不到验收要求，发包人应要求设计人修改设计，承包人按照修改后的设计重新安装。发包人承担修改设计、拆除及重新安装的全部费用和延误的工期。</w:t>
      </w:r>
    </w:p>
    <w:p w14:paraId="65F14F6B">
      <w:pPr>
        <w:numPr>
          <w:ilvl w:val="0"/>
          <w:numId w:val="23"/>
        </w:numPr>
        <w:tabs>
          <w:tab w:val="left" w:pos="1080"/>
          <w:tab w:val="left" w:pos="1620"/>
        </w:tabs>
        <w:adjustRightInd w:val="0"/>
        <w:snapToGrid w:val="0"/>
        <w:spacing w:line="360" w:lineRule="auto"/>
        <w:ind w:left="1619" w:leftChars="771" w:firstLine="0"/>
        <w:rPr>
          <w:rFonts w:ascii="宋体"/>
          <w:color w:val="auto"/>
          <w:sz w:val="24"/>
          <w:szCs w:val="18"/>
        </w:rPr>
      </w:pPr>
      <w:r>
        <w:rPr>
          <w:rFonts w:hint="eastAsia" w:ascii="宋体" w:hAnsi="宋体"/>
          <w:color w:val="auto"/>
          <w:sz w:val="24"/>
          <w:szCs w:val="18"/>
        </w:rPr>
        <w:t>由于设备制造质量原因试车达不到验收要求，由该责任方重新购置或修理，承包人负责拆除和重新安装。设备由承包人采购的，由承包人承担修理或重新采购、拆除及重新安装的费用和延误的工期；设备由发包人供应的，发包人承担上述各项费用和延误的工期。</w:t>
      </w:r>
    </w:p>
    <w:p w14:paraId="32BD0AA0">
      <w:pPr>
        <w:numPr>
          <w:ilvl w:val="0"/>
          <w:numId w:val="23"/>
        </w:numPr>
        <w:tabs>
          <w:tab w:val="left" w:pos="1080"/>
          <w:tab w:val="left" w:pos="1980"/>
        </w:tabs>
        <w:adjustRightInd w:val="0"/>
        <w:snapToGrid w:val="0"/>
        <w:spacing w:line="360" w:lineRule="auto"/>
        <w:ind w:left="1617" w:leftChars="770" w:firstLine="0"/>
        <w:rPr>
          <w:rFonts w:ascii="宋体"/>
          <w:color w:val="auto"/>
          <w:sz w:val="24"/>
          <w:szCs w:val="18"/>
        </w:rPr>
      </w:pPr>
      <w:r>
        <w:rPr>
          <w:rFonts w:hint="eastAsia" w:ascii="宋体" w:hAnsi="宋体"/>
          <w:color w:val="auto"/>
          <w:sz w:val="24"/>
          <w:szCs w:val="18"/>
        </w:rPr>
        <w:t>由于承包人施工原因试车达不到验收要求，承包人应按照监理工程师要求重新安装和试车，并承担拆除、重新安装和重新试车的费用和延误的工期。</w:t>
      </w:r>
    </w:p>
    <w:p w14:paraId="4ADF6A80">
      <w:pPr>
        <w:adjustRightInd w:val="0"/>
        <w:snapToGrid w:val="0"/>
        <w:spacing w:line="360" w:lineRule="auto"/>
        <w:rPr>
          <w:rFonts w:ascii="宋体"/>
          <w:b/>
          <w:color w:val="auto"/>
          <w:sz w:val="24"/>
          <w:szCs w:val="18"/>
          <w:u w:val="dotted"/>
        </w:rPr>
      </w:pPr>
      <w:r>
        <w:rPr>
          <w:rFonts w:ascii="宋体" w:hAnsi="宋体"/>
          <w:b/>
          <w:color w:val="auto"/>
          <w:sz w:val="24"/>
          <w:szCs w:val="18"/>
        </w:rPr>
        <w:t xml:space="preserve">55.6  </w:t>
      </w:r>
    </w:p>
    <w:p w14:paraId="048C8E96">
      <w:pPr>
        <w:pStyle w:val="12"/>
        <w:adjustRightInd w:val="0"/>
        <w:snapToGrid w:val="0"/>
        <w:ind w:left="1619" w:leftChars="771"/>
        <w:rPr>
          <w:rFonts w:ascii="宋体"/>
          <w:color w:val="auto"/>
          <w:szCs w:val="18"/>
        </w:rPr>
      </w:pPr>
      <w:r>
        <w:rPr>
          <w:color w:val="auto"/>
        </w:rPr>
        <mc:AlternateContent>
          <mc:Choice Requires="wps">
            <w:drawing>
              <wp:anchor distT="0" distB="0" distL="114300" distR="114300" simplePos="0" relativeHeight="251889664" behindDoc="0" locked="0" layoutInCell="1" allowOverlap="1">
                <wp:simplePos x="0" y="0"/>
                <wp:positionH relativeFrom="column">
                  <wp:posOffset>-114300</wp:posOffset>
                </wp:positionH>
                <wp:positionV relativeFrom="paragraph">
                  <wp:posOffset>10160</wp:posOffset>
                </wp:positionV>
                <wp:extent cx="800100" cy="297180"/>
                <wp:effectExtent l="0" t="0" r="0" b="0"/>
                <wp:wrapNone/>
                <wp:docPr id="226" name="文本框 226"/>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a:effectLst/>
                      </wps:spPr>
                      <wps:txbx>
                        <w:txbxContent>
                          <w:p w14:paraId="22AB16D7">
                            <w:pPr>
                              <w:spacing w:line="240" w:lineRule="exact"/>
                              <w:rPr>
                                <w:rFonts w:ascii="楷体_GB2312" w:hAnsi="宋体" w:eastAsia="楷体_GB2312"/>
                                <w:b/>
                                <w:color w:val="000000"/>
                                <w:sz w:val="18"/>
                                <w:szCs w:val="18"/>
                              </w:rPr>
                            </w:pPr>
                            <w:r>
                              <w:rPr>
                                <w:rFonts w:hint="eastAsia" w:ascii="楷体_GB2312" w:eastAsia="楷体_GB2312"/>
                                <w:b/>
                                <w:color w:val="000000"/>
                                <w:sz w:val="18"/>
                                <w:szCs w:val="18"/>
                              </w:rPr>
                              <w:t>投料试车</w:t>
                            </w:r>
                          </w:p>
                        </w:txbxContent>
                      </wps:txbx>
                      <wps:bodyPr upright="1"/>
                    </wps:wsp>
                  </a:graphicData>
                </a:graphic>
              </wp:anchor>
            </w:drawing>
          </mc:Choice>
          <mc:Fallback>
            <w:pict>
              <v:shape id="_x0000_s1026" o:spid="_x0000_s1026" o:spt="202" type="#_x0000_t202" style="position:absolute;left:0pt;margin-left:-9pt;margin-top:0.8pt;height:23.4pt;width:63pt;z-index:251889664;mso-width-relative:page;mso-height-relative:page;" filled="f" stroked="f" coordsize="21600,21600" o:gfxdata="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ZztIDU&#10;AAAACAEAAA8AAAAAAAAAAQAgAAAAIgAAAGRycy9kb3ducmV2LnhtbFBLAQIUABQAAAAIAIdO4kBk&#10;F6OqsgEAAF8DAAAOAAAAAAAAAAEAIAAAACMBAABkcnMvZTJvRG9jLnhtbFBLBQYAAAAABgAGAFkB&#10;AABHBQAAAAA=&#10;">
                <v:fill on="f" focussize="0,0"/>
                <v:stroke on="f"/>
                <v:imagedata o:title=""/>
                <o:lock v:ext="edit" aspectratio="f"/>
                <v:textbox>
                  <w:txbxContent>
                    <w:p w14:paraId="22AB16D7">
                      <w:pPr>
                        <w:spacing w:line="240" w:lineRule="exact"/>
                        <w:rPr>
                          <w:rFonts w:ascii="楷体_GB2312" w:hAnsi="宋体" w:eastAsia="楷体_GB2312"/>
                          <w:b/>
                          <w:color w:val="000000"/>
                          <w:sz w:val="18"/>
                          <w:szCs w:val="18"/>
                        </w:rPr>
                      </w:pPr>
                      <w:r>
                        <w:rPr>
                          <w:rFonts w:hint="eastAsia" w:ascii="楷体_GB2312" w:eastAsia="楷体_GB2312"/>
                          <w:b/>
                          <w:color w:val="000000"/>
                          <w:sz w:val="18"/>
                          <w:szCs w:val="18"/>
                        </w:rPr>
                        <w:t>投料试车</w:t>
                      </w:r>
                    </w:p>
                  </w:txbxContent>
                </v:textbox>
              </v:shape>
            </w:pict>
          </mc:Fallback>
        </mc:AlternateContent>
      </w:r>
      <w:r>
        <w:rPr>
          <w:rFonts w:hint="eastAsia" w:ascii="宋体"/>
          <w:color w:val="auto"/>
          <w:szCs w:val="18"/>
        </w:rPr>
        <w:t>投料试车应在永久工程竣工验收后，由发包人负责。如果发包人要求在永久工程竣工验收前进行试车或需要承包人配合时，应事先取得承包人同意，并另行签订补充协议。</w:t>
      </w:r>
    </w:p>
    <w:p w14:paraId="3B9B1721">
      <w:pPr>
        <w:pStyle w:val="3"/>
        <w:adjustRightInd w:val="0"/>
        <w:snapToGrid w:val="0"/>
        <w:spacing w:line="360" w:lineRule="auto"/>
        <w:ind w:firstLine="0"/>
        <w:rPr>
          <w:color w:val="auto"/>
        </w:rPr>
      </w:pPr>
    </w:p>
    <w:p w14:paraId="463097F1">
      <w:pPr>
        <w:pStyle w:val="2"/>
        <w:tabs>
          <w:tab w:val="left" w:pos="540"/>
        </w:tabs>
        <w:adjustRightInd w:val="0"/>
        <w:snapToGrid w:val="0"/>
        <w:spacing w:before="240" w:beforeLines="100" w:line="360" w:lineRule="auto"/>
        <w:ind w:right="-238"/>
        <w:rPr>
          <w:rFonts w:hAnsi="宋体"/>
          <w:b/>
          <w:color w:val="auto"/>
          <w:sz w:val="30"/>
          <w:szCs w:val="24"/>
        </w:rPr>
      </w:pPr>
      <w:r>
        <w:rPr>
          <w:rFonts w:hAnsi="宋体"/>
          <w:b/>
          <w:color w:val="auto"/>
          <w:sz w:val="30"/>
          <w:szCs w:val="24"/>
        </w:rPr>
        <w:t xml:space="preserve">56  </w:t>
      </w:r>
      <w:r>
        <w:rPr>
          <w:rFonts w:hint="eastAsia" w:hAnsi="宋体"/>
          <w:b/>
          <w:color w:val="auto"/>
          <w:sz w:val="30"/>
          <w:szCs w:val="24"/>
        </w:rPr>
        <w:t>工程变更</w:t>
      </w:r>
    </w:p>
    <w:p w14:paraId="628352DC">
      <w:pPr>
        <w:pStyle w:val="2"/>
        <w:adjustRightInd w:val="0"/>
        <w:snapToGrid w:val="0"/>
        <w:spacing w:line="360" w:lineRule="auto"/>
        <w:rPr>
          <w:rFonts w:hAnsi="宋体"/>
          <w:b/>
          <w:color w:val="auto"/>
          <w:sz w:val="24"/>
          <w:szCs w:val="18"/>
        </w:rPr>
      </w:pPr>
      <w:r>
        <w:rPr>
          <w:rFonts w:hAnsi="宋体"/>
          <w:b/>
          <w:color w:val="auto"/>
          <w:sz w:val="24"/>
          <w:szCs w:val="18"/>
        </w:rPr>
        <w:t>56.1</w:t>
      </w:r>
    </w:p>
    <w:p w14:paraId="165E6DF7">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1890688" behindDoc="0" locked="0" layoutInCell="1" allowOverlap="1">
                <wp:simplePos x="0" y="0"/>
                <wp:positionH relativeFrom="column">
                  <wp:posOffset>-114300</wp:posOffset>
                </wp:positionH>
                <wp:positionV relativeFrom="paragraph">
                  <wp:posOffset>1270</wp:posOffset>
                </wp:positionV>
                <wp:extent cx="1028700" cy="297180"/>
                <wp:effectExtent l="0" t="0" r="0" b="0"/>
                <wp:wrapNone/>
                <wp:docPr id="227" name="文本框 227"/>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a:effectLst/>
                      </wps:spPr>
                      <wps:txbx>
                        <w:txbxContent>
                          <w:p w14:paraId="642E96EB">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工程变更权限</w:t>
                            </w:r>
                          </w:p>
                        </w:txbxContent>
                      </wps:txbx>
                      <wps:bodyPr upright="1"/>
                    </wps:wsp>
                  </a:graphicData>
                </a:graphic>
              </wp:anchor>
            </w:drawing>
          </mc:Choice>
          <mc:Fallback>
            <w:pict>
              <v:shape id="_x0000_s1026" o:spid="_x0000_s1026" o:spt="202" type="#_x0000_t202" style="position:absolute;left:0pt;margin-left:-9pt;margin-top:0.1pt;height:23.4pt;width:81pt;z-index:251890688;mso-width-relative:page;mso-height-relative:page;" filled="f" stroked="f" coordsize="21600,21600" o:gfxdata="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msyTKtMA&#10;AAAHAQAADwAAAAAAAAABACAAAAAiAAAAZHJzL2Rvd25yZXYueG1sUEsBAhQAFAAAAAgAh07iQOEF&#10;huKyAQAAYAMAAA4AAAAAAAAAAQAgAAAAIgEAAGRycy9lMm9Eb2MueG1sUEsFBgAAAAAGAAYAWQEA&#10;AEYFAAAAAA==&#10;">
                <v:fill on="f" focussize="0,0"/>
                <v:stroke on="f"/>
                <v:imagedata o:title=""/>
                <o:lock v:ext="edit" aspectratio="f"/>
                <v:textbox>
                  <w:txbxContent>
                    <w:p w14:paraId="642E96EB">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工程变更权限</w:t>
                      </w:r>
                    </w:p>
                  </w:txbxContent>
                </v:textbox>
              </v:shape>
            </w:pict>
          </mc:Fallback>
        </mc:AlternateContent>
      </w:r>
      <w:r>
        <w:rPr>
          <w:rFonts w:hint="eastAsia" w:hAnsi="宋体"/>
          <w:color w:val="auto"/>
          <w:sz w:val="24"/>
          <w:szCs w:val="18"/>
        </w:rPr>
        <w:t>合同履行期间，经发包人批准，监理工程师可按照第</w:t>
      </w:r>
      <w:r>
        <w:rPr>
          <w:rFonts w:hAnsi="宋体"/>
          <w:color w:val="auto"/>
          <w:sz w:val="24"/>
          <w:szCs w:val="18"/>
        </w:rPr>
        <w:t>56.3</w:t>
      </w:r>
      <w:r>
        <w:rPr>
          <w:rFonts w:hint="eastAsia" w:hAnsi="宋体"/>
          <w:color w:val="auto"/>
          <w:sz w:val="24"/>
          <w:szCs w:val="18"/>
        </w:rPr>
        <w:t>款约定的变更程序向承包人发出变更指令，承包人应按照合同约定实施变更工作。</w:t>
      </w:r>
    </w:p>
    <w:p w14:paraId="6E20C2B2">
      <w:pPr>
        <w:pStyle w:val="2"/>
        <w:adjustRightInd w:val="0"/>
        <w:snapToGrid w:val="0"/>
        <w:spacing w:line="360" w:lineRule="auto"/>
        <w:ind w:left="1619" w:leftChars="771"/>
        <w:rPr>
          <w:rFonts w:hAnsi="宋体"/>
          <w:color w:val="auto"/>
          <w:sz w:val="24"/>
          <w:szCs w:val="18"/>
        </w:rPr>
      </w:pPr>
      <w:r>
        <w:rPr>
          <w:rFonts w:hint="eastAsia" w:hAnsi="宋体"/>
          <w:color w:val="auto"/>
          <w:sz w:val="24"/>
          <w:szCs w:val="18"/>
        </w:rPr>
        <w:t>没有经发包人批准也没有监理工程师的工程变更指令，承包人应按照合同约定施工，无权对合同工程作出任何变更。</w:t>
      </w:r>
    </w:p>
    <w:p w14:paraId="7960D09E">
      <w:pPr>
        <w:pStyle w:val="2"/>
        <w:adjustRightInd w:val="0"/>
        <w:snapToGrid w:val="0"/>
        <w:spacing w:line="360" w:lineRule="auto"/>
        <w:ind w:left="1619" w:leftChars="771"/>
        <w:rPr>
          <w:rFonts w:hAnsi="宋体"/>
          <w:color w:val="auto"/>
          <w:sz w:val="24"/>
          <w:szCs w:val="18"/>
        </w:rPr>
      </w:pPr>
      <w:r>
        <w:rPr>
          <w:rFonts w:hint="eastAsia" w:hAnsi="宋体"/>
          <w:color w:val="auto"/>
          <w:sz w:val="24"/>
          <w:szCs w:val="18"/>
        </w:rPr>
        <w:t>工程量偏差不属于工程变更，该项工程量增减不需要任何指令。</w:t>
      </w:r>
    </w:p>
    <w:p w14:paraId="2942761F">
      <w:pPr>
        <w:pStyle w:val="2"/>
        <w:adjustRightInd w:val="0"/>
        <w:snapToGrid w:val="0"/>
        <w:spacing w:line="360" w:lineRule="auto"/>
        <w:rPr>
          <w:rFonts w:hAnsi="宋体"/>
          <w:color w:val="auto"/>
          <w:sz w:val="24"/>
          <w:szCs w:val="18"/>
        </w:rPr>
      </w:pPr>
      <w:r>
        <w:rPr>
          <w:rFonts w:hAnsi="宋体"/>
          <w:b/>
          <w:color w:val="auto"/>
          <w:sz w:val="24"/>
          <w:szCs w:val="18"/>
        </w:rPr>
        <w:t xml:space="preserve">56.2 </w:t>
      </w:r>
    </w:p>
    <w:p w14:paraId="5FAFE634">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1891712" behindDoc="0" locked="0" layoutInCell="1" allowOverlap="1">
                <wp:simplePos x="0" y="0"/>
                <wp:positionH relativeFrom="column">
                  <wp:posOffset>-114300</wp:posOffset>
                </wp:positionH>
                <wp:positionV relativeFrom="paragraph">
                  <wp:posOffset>69850</wp:posOffset>
                </wp:positionV>
                <wp:extent cx="914400" cy="396240"/>
                <wp:effectExtent l="0" t="0" r="0" b="0"/>
                <wp:wrapNone/>
                <wp:docPr id="228" name="文本框 228"/>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57E80A61">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工程变更内容</w:t>
                            </w:r>
                          </w:p>
                        </w:txbxContent>
                      </wps:txbx>
                      <wps:bodyPr upright="1"/>
                    </wps:wsp>
                  </a:graphicData>
                </a:graphic>
              </wp:anchor>
            </w:drawing>
          </mc:Choice>
          <mc:Fallback>
            <w:pict>
              <v:shape id="_x0000_s1026" o:spid="_x0000_s1026" o:spt="202" type="#_x0000_t202" style="position:absolute;left:0pt;margin-left:-9pt;margin-top:5.5pt;height:31.2pt;width:72pt;z-index:251891712;mso-width-relative:page;mso-height-relative:page;" filled="f" stroked="f" coordsize="21600,21600" o:gfxdata="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D6&#10;XtXWAAAACQEAAA8AAAAAAAAAAQAgAAAAIgAAAGRycy9kb3ducmV2LnhtbFBLAQIUABQAAAAIAIdO&#10;4kD4QeadswEAAF8DAAAOAAAAAAAAAAEAIAAAACUBAABkcnMvZTJvRG9jLnhtbFBLBQYAAAAABgAG&#10;AFkBAABKBQAAAAA=&#10;">
                <v:fill on="f" focussize="0,0"/>
                <v:stroke on="f"/>
                <v:imagedata o:title=""/>
                <o:lock v:ext="edit" aspectratio="f"/>
                <v:textbox>
                  <w:txbxContent>
                    <w:p w14:paraId="57E80A61">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工程变更内容</w:t>
                      </w:r>
                    </w:p>
                  </w:txbxContent>
                </v:textbox>
              </v:shape>
            </w:pict>
          </mc:Fallback>
        </mc:AlternateContent>
      </w:r>
      <w:r>
        <w:rPr>
          <w:rFonts w:hint="eastAsia" w:hAnsi="宋体"/>
          <w:color w:val="auto"/>
          <w:sz w:val="24"/>
          <w:szCs w:val="18"/>
        </w:rPr>
        <w:t>合同履行期间，发包人可对合同工程或其任何部分的形式、质量或数量作出变更。发生下列情形之一，应按照本条规定进行变更。</w:t>
      </w:r>
    </w:p>
    <w:p w14:paraId="64967257">
      <w:pPr>
        <w:pStyle w:val="2"/>
        <w:adjustRightInd w:val="0"/>
        <w:snapToGrid w:val="0"/>
        <w:spacing w:line="360" w:lineRule="auto"/>
        <w:ind w:left="1619" w:leftChars="771"/>
        <w:rPr>
          <w:rFonts w:hAnsi="宋体"/>
          <w:color w:val="auto"/>
          <w:sz w:val="24"/>
          <w:szCs w:val="18"/>
        </w:rPr>
      </w:pPr>
      <w:r>
        <w:rPr>
          <w:rFonts w:hAnsi="宋体"/>
          <w:color w:val="auto"/>
          <w:sz w:val="24"/>
          <w:szCs w:val="18"/>
        </w:rPr>
        <w:t xml:space="preserve">(1) </w:t>
      </w:r>
      <w:r>
        <w:rPr>
          <w:rFonts w:hint="eastAsia" w:hAnsi="宋体"/>
          <w:color w:val="auto"/>
          <w:sz w:val="24"/>
          <w:szCs w:val="18"/>
        </w:rPr>
        <w:t>改变合同工程中任何工程数量（不含工程量的偏差）；</w:t>
      </w:r>
    </w:p>
    <w:p w14:paraId="798F2FDA">
      <w:pPr>
        <w:pStyle w:val="2"/>
        <w:adjustRightInd w:val="0"/>
        <w:snapToGrid w:val="0"/>
        <w:spacing w:line="360" w:lineRule="auto"/>
        <w:ind w:left="1619" w:leftChars="771"/>
        <w:rPr>
          <w:rFonts w:hAnsi="宋体"/>
          <w:color w:val="auto"/>
          <w:sz w:val="24"/>
          <w:szCs w:val="18"/>
        </w:rPr>
      </w:pPr>
      <w:r>
        <w:rPr>
          <w:rFonts w:hAnsi="宋体"/>
          <w:color w:val="auto"/>
          <w:sz w:val="24"/>
          <w:szCs w:val="18"/>
        </w:rPr>
        <w:t xml:space="preserve">(2) </w:t>
      </w:r>
      <w:r>
        <w:rPr>
          <w:rFonts w:hint="eastAsia" w:hAnsi="宋体"/>
          <w:color w:val="auto"/>
          <w:sz w:val="24"/>
          <w:szCs w:val="18"/>
        </w:rPr>
        <w:t>删减任何工作，但删减的工作不能转由发包人或其他人实施；</w:t>
      </w:r>
    </w:p>
    <w:p w14:paraId="3C313A0A">
      <w:pPr>
        <w:pStyle w:val="2"/>
        <w:adjustRightInd w:val="0"/>
        <w:snapToGrid w:val="0"/>
        <w:spacing w:line="360" w:lineRule="auto"/>
        <w:ind w:left="1619" w:leftChars="771"/>
        <w:rPr>
          <w:rFonts w:hAnsi="宋体"/>
          <w:color w:val="auto"/>
          <w:sz w:val="24"/>
          <w:szCs w:val="18"/>
        </w:rPr>
      </w:pPr>
      <w:r>
        <w:rPr>
          <w:rFonts w:hAnsi="宋体"/>
          <w:color w:val="auto"/>
          <w:sz w:val="24"/>
          <w:szCs w:val="18"/>
        </w:rPr>
        <w:t xml:space="preserve">(3) </w:t>
      </w:r>
      <w:r>
        <w:rPr>
          <w:rFonts w:hint="eastAsia" w:hAnsi="宋体"/>
          <w:color w:val="auto"/>
          <w:sz w:val="24"/>
          <w:szCs w:val="18"/>
        </w:rPr>
        <w:t>改变任何工作内容的性质、质量或其他特征；</w:t>
      </w:r>
    </w:p>
    <w:p w14:paraId="7A2E7A46">
      <w:pPr>
        <w:pStyle w:val="2"/>
        <w:adjustRightInd w:val="0"/>
        <w:snapToGrid w:val="0"/>
        <w:spacing w:line="360" w:lineRule="auto"/>
        <w:ind w:left="1619" w:leftChars="771" w:firstLine="1"/>
        <w:rPr>
          <w:rFonts w:hAnsi="宋体"/>
          <w:color w:val="auto"/>
          <w:sz w:val="24"/>
          <w:szCs w:val="18"/>
        </w:rPr>
      </w:pPr>
      <w:r>
        <w:rPr>
          <w:rFonts w:hAnsi="宋体"/>
          <w:color w:val="auto"/>
          <w:sz w:val="24"/>
          <w:szCs w:val="18"/>
        </w:rPr>
        <w:t xml:space="preserve">(4) </w:t>
      </w:r>
      <w:r>
        <w:rPr>
          <w:rFonts w:hint="eastAsia" w:hAnsi="宋体"/>
          <w:color w:val="auto"/>
          <w:sz w:val="24"/>
          <w:szCs w:val="18"/>
        </w:rPr>
        <w:t>改变工程任何部分的标高、基线、位置和</w:t>
      </w:r>
      <w:r>
        <w:rPr>
          <w:rFonts w:hAnsi="宋体"/>
          <w:color w:val="auto"/>
          <w:sz w:val="24"/>
          <w:szCs w:val="18"/>
        </w:rPr>
        <w:t>(</w:t>
      </w:r>
      <w:r>
        <w:rPr>
          <w:rFonts w:hint="eastAsia" w:hAnsi="宋体"/>
          <w:color w:val="auto"/>
          <w:sz w:val="24"/>
          <w:szCs w:val="18"/>
        </w:rPr>
        <w:t>或</w:t>
      </w:r>
      <w:r>
        <w:rPr>
          <w:rFonts w:hAnsi="宋体"/>
          <w:color w:val="auto"/>
          <w:sz w:val="24"/>
          <w:szCs w:val="18"/>
        </w:rPr>
        <w:t>)</w:t>
      </w:r>
      <w:r>
        <w:rPr>
          <w:rFonts w:hint="eastAsia" w:hAnsi="宋体"/>
          <w:color w:val="auto"/>
          <w:sz w:val="24"/>
          <w:szCs w:val="18"/>
        </w:rPr>
        <w:t>尺寸；</w:t>
      </w:r>
    </w:p>
    <w:p w14:paraId="2BD842DB">
      <w:pPr>
        <w:pStyle w:val="2"/>
        <w:adjustRightInd w:val="0"/>
        <w:snapToGrid w:val="0"/>
        <w:spacing w:line="360" w:lineRule="auto"/>
        <w:ind w:left="1619" w:leftChars="771" w:firstLine="1"/>
        <w:rPr>
          <w:rFonts w:hAnsi="宋体"/>
          <w:color w:val="auto"/>
          <w:sz w:val="24"/>
          <w:szCs w:val="18"/>
        </w:rPr>
      </w:pPr>
      <w:r>
        <w:rPr>
          <w:rFonts w:hAnsi="宋体"/>
          <w:color w:val="auto"/>
          <w:sz w:val="24"/>
          <w:szCs w:val="18"/>
        </w:rPr>
        <w:t xml:space="preserve">(5) </w:t>
      </w:r>
      <w:r>
        <w:rPr>
          <w:rFonts w:hint="eastAsia" w:hAnsi="宋体"/>
          <w:color w:val="auto"/>
          <w:sz w:val="24"/>
          <w:szCs w:val="18"/>
        </w:rPr>
        <w:t>为完成永久工程所必须的任何额外工作；</w:t>
      </w:r>
    </w:p>
    <w:p w14:paraId="33DE4671">
      <w:pPr>
        <w:pStyle w:val="2"/>
        <w:adjustRightInd w:val="0"/>
        <w:snapToGrid w:val="0"/>
        <w:spacing w:line="360" w:lineRule="auto"/>
        <w:ind w:left="1619" w:leftChars="771" w:firstLine="1"/>
        <w:rPr>
          <w:rFonts w:hAnsi="宋体"/>
          <w:color w:val="auto"/>
          <w:sz w:val="24"/>
          <w:szCs w:val="18"/>
        </w:rPr>
      </w:pPr>
      <w:r>
        <w:rPr>
          <w:rFonts w:hAnsi="宋体"/>
          <w:color w:val="auto"/>
          <w:sz w:val="24"/>
          <w:szCs w:val="18"/>
        </w:rPr>
        <w:t xml:space="preserve">(6) </w:t>
      </w:r>
      <w:r>
        <w:rPr>
          <w:rFonts w:hint="eastAsia" w:hAnsi="宋体"/>
          <w:color w:val="auto"/>
          <w:sz w:val="24"/>
          <w:szCs w:val="18"/>
        </w:rPr>
        <w:t>改变合同工程的施工时间和已批准的施工工艺或顺序。</w:t>
      </w:r>
    </w:p>
    <w:p w14:paraId="7D64D213">
      <w:pPr>
        <w:pStyle w:val="2"/>
        <w:adjustRightInd w:val="0"/>
        <w:snapToGrid w:val="0"/>
        <w:spacing w:line="360" w:lineRule="auto"/>
        <w:ind w:left="1619" w:leftChars="771" w:firstLine="1"/>
        <w:rPr>
          <w:rFonts w:hAnsi="宋体"/>
          <w:color w:val="auto"/>
          <w:sz w:val="24"/>
          <w:szCs w:val="18"/>
        </w:rPr>
      </w:pPr>
      <w:r>
        <w:rPr>
          <w:rFonts w:hint="eastAsia" w:hAnsi="宋体"/>
          <w:color w:val="auto"/>
          <w:sz w:val="24"/>
          <w:szCs w:val="18"/>
        </w:rPr>
        <w:t>但对合同工程工期、质量标准等实质性变更的，应在作出变更前，与承包人签订补充协议书，作为本合同的补充文件。</w:t>
      </w:r>
    </w:p>
    <w:p w14:paraId="65840E5F">
      <w:pPr>
        <w:pStyle w:val="2"/>
        <w:adjustRightInd w:val="0"/>
        <w:snapToGrid w:val="0"/>
        <w:spacing w:line="360" w:lineRule="auto"/>
        <w:rPr>
          <w:rFonts w:hAnsi="宋体"/>
          <w:b/>
          <w:color w:val="auto"/>
          <w:sz w:val="24"/>
          <w:szCs w:val="18"/>
        </w:rPr>
      </w:pPr>
      <w:r>
        <w:rPr>
          <w:rFonts w:hAnsi="宋体"/>
          <w:b/>
          <w:color w:val="auto"/>
          <w:sz w:val="24"/>
          <w:szCs w:val="18"/>
        </w:rPr>
        <w:t xml:space="preserve">56.3  </w:t>
      </w:r>
    </w:p>
    <w:p w14:paraId="26FF0B69">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1892736" behindDoc="0" locked="0" layoutInCell="1" allowOverlap="1">
                <wp:simplePos x="0" y="0"/>
                <wp:positionH relativeFrom="column">
                  <wp:posOffset>-114300</wp:posOffset>
                </wp:positionH>
                <wp:positionV relativeFrom="paragraph">
                  <wp:posOffset>15875</wp:posOffset>
                </wp:positionV>
                <wp:extent cx="914400" cy="556895"/>
                <wp:effectExtent l="0" t="0" r="0" b="0"/>
                <wp:wrapNone/>
                <wp:docPr id="229" name="文本框 229"/>
                <wp:cNvGraphicFramePr/>
                <a:graphic xmlns:a="http://schemas.openxmlformats.org/drawingml/2006/main">
                  <a:graphicData uri="http://schemas.microsoft.com/office/word/2010/wordprocessingShape">
                    <wps:wsp>
                      <wps:cNvSpPr txBox="1"/>
                      <wps:spPr>
                        <a:xfrm>
                          <a:off x="0" y="0"/>
                          <a:ext cx="914400" cy="556895"/>
                        </a:xfrm>
                        <a:prstGeom prst="rect">
                          <a:avLst/>
                        </a:prstGeom>
                        <a:noFill/>
                        <a:ln>
                          <a:noFill/>
                        </a:ln>
                        <a:effectLst/>
                      </wps:spPr>
                      <wps:txbx>
                        <w:txbxContent>
                          <w:p w14:paraId="3224C8DF">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工程变更程序</w:t>
                            </w:r>
                          </w:p>
                        </w:txbxContent>
                      </wps:txbx>
                      <wps:bodyPr upright="1"/>
                    </wps:wsp>
                  </a:graphicData>
                </a:graphic>
              </wp:anchor>
            </w:drawing>
          </mc:Choice>
          <mc:Fallback>
            <w:pict>
              <v:shape id="_x0000_s1026" o:spid="_x0000_s1026" o:spt="202" type="#_x0000_t202" style="position:absolute;left:0pt;margin-left:-9pt;margin-top:1.25pt;height:43.85pt;width:72pt;z-index:251892736;mso-width-relative:page;mso-height-relative:page;" filled="f" stroked="f" coordsize="21600,21600" o:gfxdata="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VDD/&#10;2NUAAAAIAQAADwAAAAAAAAABACAAAAAiAAAAZHJzL2Rvd25yZXYueG1sUEsBAhQAFAAAAAgAh07i&#10;QDzFUY6zAQAAXwMAAA4AAAAAAAAAAQAgAAAAJAEAAGRycy9lMm9Eb2MueG1sUEsFBgAAAAAGAAYA&#10;WQEAAEkFAAAAAA==&#10;">
                <v:fill on="f" focussize="0,0"/>
                <v:stroke on="f"/>
                <v:imagedata o:title=""/>
                <o:lock v:ext="edit" aspectratio="f"/>
                <v:textbox>
                  <w:txbxContent>
                    <w:p w14:paraId="3224C8DF">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工程变更程序</w:t>
                      </w:r>
                    </w:p>
                  </w:txbxContent>
                </v:textbox>
              </v:shape>
            </w:pict>
          </mc:Fallback>
        </mc:AlternateContent>
      </w:r>
      <w:bookmarkStart w:id="23" w:name="OLE_LINK1"/>
      <w:r>
        <w:rPr>
          <w:rFonts w:hint="eastAsia" w:hAnsi="宋体"/>
          <w:color w:val="auto"/>
          <w:sz w:val="24"/>
          <w:szCs w:val="18"/>
        </w:rPr>
        <w:t>合同工程发生变更</w:t>
      </w:r>
      <w:bookmarkEnd w:id="23"/>
      <w:r>
        <w:rPr>
          <w:rFonts w:hint="eastAsia" w:hAnsi="宋体"/>
          <w:color w:val="auto"/>
          <w:sz w:val="24"/>
          <w:szCs w:val="18"/>
        </w:rPr>
        <w:t>，合同双方当事人以及监理工程师、造价工程师应遵循下列程序实施工程变更的相关工作。</w:t>
      </w:r>
    </w:p>
    <w:p w14:paraId="1CE97887">
      <w:pPr>
        <w:pStyle w:val="2"/>
        <w:adjustRightInd w:val="0"/>
        <w:snapToGrid w:val="0"/>
        <w:spacing w:line="360" w:lineRule="auto"/>
        <w:ind w:left="1619" w:leftChars="771"/>
        <w:rPr>
          <w:rFonts w:hAnsi="宋体"/>
          <w:color w:val="auto"/>
          <w:sz w:val="24"/>
          <w:szCs w:val="18"/>
        </w:rPr>
      </w:pPr>
      <w:r>
        <w:rPr>
          <w:rFonts w:hAnsi="宋体"/>
          <w:color w:val="auto"/>
          <w:sz w:val="24"/>
          <w:szCs w:val="18"/>
        </w:rPr>
        <w:t>(1)</w:t>
      </w:r>
      <w:r>
        <w:rPr>
          <w:rFonts w:hint="eastAsia" w:hAnsi="宋体"/>
          <w:color w:val="auto"/>
          <w:sz w:val="24"/>
          <w:szCs w:val="18"/>
        </w:rPr>
        <w:t>合同工程可能发生或发生工程变更时，监理工程师或承包人可依据下列情况及时提出。</w:t>
      </w:r>
    </w:p>
    <w:p w14:paraId="2E4C8AD6">
      <w:pPr>
        <w:pStyle w:val="2"/>
        <w:adjustRightInd w:val="0"/>
        <w:snapToGrid w:val="0"/>
        <w:spacing w:line="360" w:lineRule="auto"/>
        <w:ind w:left="1620"/>
        <w:rPr>
          <w:rFonts w:hAnsi="宋体"/>
          <w:color w:val="auto"/>
          <w:sz w:val="24"/>
          <w:szCs w:val="18"/>
        </w:rPr>
      </w:pPr>
      <w:r>
        <w:rPr>
          <w:rFonts w:hAnsi="宋体"/>
          <w:color w:val="auto"/>
          <w:sz w:val="24"/>
          <w:szCs w:val="18"/>
        </w:rPr>
        <w:t>1</w:t>
      </w:r>
      <w:r>
        <w:rPr>
          <w:rFonts w:hint="eastAsia" w:hAnsi="宋体"/>
          <w:color w:val="auto"/>
          <w:sz w:val="24"/>
          <w:szCs w:val="18"/>
        </w:rPr>
        <w:t>）合同工程可能发生第</w:t>
      </w:r>
      <w:r>
        <w:rPr>
          <w:rFonts w:hAnsi="宋体"/>
          <w:color w:val="auto"/>
          <w:sz w:val="24"/>
          <w:szCs w:val="18"/>
        </w:rPr>
        <w:t>56.2</w:t>
      </w:r>
      <w:r>
        <w:rPr>
          <w:rFonts w:hint="eastAsia" w:hAnsi="宋体"/>
          <w:color w:val="auto"/>
          <w:sz w:val="24"/>
          <w:szCs w:val="18"/>
        </w:rPr>
        <w:t>款所列情形的，监理工程师可向承包人发出变更意向书，并附必要的施工设计图纸及其说明等资料。承包人应在收到变更意向书后的</w:t>
      </w:r>
      <w:r>
        <w:rPr>
          <w:rFonts w:hAnsi="宋体"/>
          <w:color w:val="auto"/>
          <w:sz w:val="24"/>
          <w:szCs w:val="18"/>
        </w:rPr>
        <w:t>7</w:t>
      </w:r>
      <w:r>
        <w:rPr>
          <w:rFonts w:hint="eastAsia" w:hAnsi="宋体"/>
          <w:color w:val="auto"/>
          <w:sz w:val="24"/>
          <w:szCs w:val="18"/>
        </w:rPr>
        <w:t>天内，向监理工程师书面提交包括拟实施变更工作的计划、措施、竣工时间、修改内容和所需金额等在内的实施方案。发包人应在收到实施方案后的</w:t>
      </w:r>
      <w:r>
        <w:rPr>
          <w:rFonts w:hAnsi="宋体"/>
          <w:color w:val="auto"/>
          <w:sz w:val="24"/>
          <w:szCs w:val="18"/>
        </w:rPr>
        <w:t>7</w:t>
      </w:r>
      <w:r>
        <w:rPr>
          <w:rFonts w:hint="eastAsia" w:hAnsi="宋体"/>
          <w:color w:val="auto"/>
          <w:sz w:val="24"/>
          <w:szCs w:val="18"/>
        </w:rPr>
        <w:t>天内予以答复；同意承包人提交的实施方案的，监理工程师应在收到实施方案后的</w:t>
      </w:r>
      <w:r>
        <w:rPr>
          <w:rFonts w:hAnsi="宋体"/>
          <w:color w:val="auto"/>
          <w:sz w:val="24"/>
          <w:szCs w:val="18"/>
        </w:rPr>
        <w:t>14</w:t>
      </w:r>
      <w:r>
        <w:rPr>
          <w:rFonts w:hint="eastAsia" w:hAnsi="宋体"/>
          <w:color w:val="auto"/>
          <w:sz w:val="24"/>
          <w:szCs w:val="18"/>
        </w:rPr>
        <w:t>天内发出变更指令。</w:t>
      </w:r>
    </w:p>
    <w:p w14:paraId="79B65D56">
      <w:pPr>
        <w:pStyle w:val="2"/>
        <w:adjustRightInd w:val="0"/>
        <w:snapToGrid w:val="0"/>
        <w:spacing w:line="360" w:lineRule="auto"/>
        <w:ind w:left="1620"/>
        <w:rPr>
          <w:rFonts w:hAnsi="宋体"/>
          <w:color w:val="auto"/>
          <w:sz w:val="24"/>
          <w:szCs w:val="18"/>
        </w:rPr>
      </w:pPr>
      <w:r>
        <w:rPr>
          <w:rFonts w:hAnsi="宋体"/>
          <w:color w:val="auto"/>
          <w:sz w:val="24"/>
          <w:szCs w:val="18"/>
        </w:rPr>
        <w:t>2</w:t>
      </w:r>
      <w:r>
        <w:rPr>
          <w:rFonts w:hint="eastAsia" w:hAnsi="宋体"/>
          <w:color w:val="auto"/>
          <w:sz w:val="24"/>
          <w:szCs w:val="18"/>
        </w:rPr>
        <w:t>）合同工程发生第</w:t>
      </w:r>
      <w:r>
        <w:rPr>
          <w:rFonts w:hAnsi="宋体"/>
          <w:color w:val="auto"/>
          <w:sz w:val="24"/>
          <w:szCs w:val="18"/>
        </w:rPr>
        <w:t>56.2</w:t>
      </w:r>
      <w:r>
        <w:rPr>
          <w:rFonts w:hint="eastAsia" w:hAnsi="宋体"/>
          <w:color w:val="auto"/>
          <w:sz w:val="24"/>
          <w:szCs w:val="18"/>
        </w:rPr>
        <w:t>款所列情形的，监理工程师应至少提前</w:t>
      </w:r>
      <w:r>
        <w:rPr>
          <w:rFonts w:hAnsi="宋体"/>
          <w:color w:val="auto"/>
          <w:sz w:val="24"/>
          <w:szCs w:val="18"/>
        </w:rPr>
        <w:t>14</w:t>
      </w:r>
      <w:r>
        <w:rPr>
          <w:rFonts w:hint="eastAsia" w:hAnsi="宋体"/>
          <w:color w:val="auto"/>
          <w:sz w:val="24"/>
          <w:szCs w:val="18"/>
        </w:rPr>
        <w:t>天以书面形式向承包人发出变更指令，并提供变更的施工设计图纸及其说明等资料。</w:t>
      </w:r>
    </w:p>
    <w:p w14:paraId="59A874F7">
      <w:pPr>
        <w:pStyle w:val="2"/>
        <w:adjustRightInd w:val="0"/>
        <w:snapToGrid w:val="0"/>
        <w:spacing w:line="360" w:lineRule="auto"/>
        <w:ind w:left="1620"/>
        <w:rPr>
          <w:rFonts w:hAnsi="宋体"/>
          <w:color w:val="auto"/>
          <w:sz w:val="24"/>
          <w:szCs w:val="18"/>
        </w:rPr>
      </w:pPr>
      <w:r>
        <w:rPr>
          <w:rFonts w:hAnsi="宋体"/>
          <w:color w:val="auto"/>
          <w:sz w:val="24"/>
          <w:szCs w:val="18"/>
        </w:rPr>
        <w:t>3</w:t>
      </w:r>
      <w:r>
        <w:rPr>
          <w:rFonts w:hint="eastAsia" w:hAnsi="宋体"/>
          <w:color w:val="auto"/>
          <w:sz w:val="24"/>
          <w:szCs w:val="18"/>
        </w:rPr>
        <w:t>）承包人收到发包人为实施合同工程所提供的施工设计图纸和文件，经检查认为存在第</w:t>
      </w:r>
      <w:r>
        <w:rPr>
          <w:rFonts w:hAnsi="宋体"/>
          <w:color w:val="auto"/>
          <w:sz w:val="24"/>
          <w:szCs w:val="18"/>
        </w:rPr>
        <w:t>56.2</w:t>
      </w:r>
      <w:r>
        <w:rPr>
          <w:rFonts w:hint="eastAsia" w:hAnsi="宋体"/>
          <w:color w:val="auto"/>
          <w:sz w:val="24"/>
          <w:szCs w:val="18"/>
        </w:rPr>
        <w:t>款所列情形的，可向监理工程师提出书面建议。监理工程师收到承包人书面建议后，应提出确认意见并报发包人审批；确认存在变更的，监理工程师应在收到承包人书面建议后的</w:t>
      </w:r>
      <w:r>
        <w:rPr>
          <w:rFonts w:hAnsi="宋体"/>
          <w:color w:val="auto"/>
          <w:sz w:val="24"/>
          <w:szCs w:val="18"/>
        </w:rPr>
        <w:t>14</w:t>
      </w:r>
      <w:r>
        <w:rPr>
          <w:rFonts w:hint="eastAsia" w:hAnsi="宋体"/>
          <w:color w:val="auto"/>
          <w:sz w:val="24"/>
          <w:szCs w:val="18"/>
        </w:rPr>
        <w:t>天内发出变更指令。不同意作为变更的，应由监理工程师书面答复承包人。</w:t>
      </w:r>
    </w:p>
    <w:p w14:paraId="4B039691">
      <w:pPr>
        <w:pStyle w:val="2"/>
        <w:adjustRightInd w:val="0"/>
        <w:snapToGrid w:val="0"/>
        <w:spacing w:line="360" w:lineRule="auto"/>
        <w:ind w:left="1620"/>
        <w:rPr>
          <w:rFonts w:hAnsi="宋体"/>
          <w:color w:val="auto"/>
          <w:sz w:val="24"/>
          <w:szCs w:val="18"/>
        </w:rPr>
      </w:pPr>
      <w:r>
        <w:rPr>
          <w:rFonts w:hAnsi="宋体"/>
          <w:color w:val="auto"/>
          <w:sz w:val="24"/>
          <w:szCs w:val="18"/>
        </w:rPr>
        <w:t>4</w:t>
      </w:r>
      <w:r>
        <w:rPr>
          <w:rFonts w:hint="eastAsia" w:hAnsi="宋体"/>
          <w:color w:val="auto"/>
          <w:sz w:val="24"/>
          <w:szCs w:val="18"/>
        </w:rPr>
        <w:t>）若承包人收到监理工程师的变更意向书后认为难以实施此项变更的，应立即通知监理工程师，说明原因并附详细依据。监理工程师与合同双方当事人协商后确定撤销、改变或不改变原变更意向书。</w:t>
      </w:r>
    </w:p>
    <w:p w14:paraId="2D236292">
      <w:pPr>
        <w:pStyle w:val="2"/>
        <w:adjustRightInd w:val="0"/>
        <w:snapToGrid w:val="0"/>
        <w:spacing w:line="360" w:lineRule="auto"/>
        <w:ind w:left="1620"/>
        <w:rPr>
          <w:rFonts w:hAnsi="宋体"/>
          <w:color w:val="auto"/>
          <w:sz w:val="24"/>
          <w:szCs w:val="18"/>
        </w:rPr>
      </w:pPr>
      <w:r>
        <w:rPr>
          <w:rFonts w:hAnsi="宋体"/>
          <w:color w:val="auto"/>
          <w:sz w:val="24"/>
          <w:szCs w:val="18"/>
        </w:rPr>
        <w:t>(2</w:t>
      </w:r>
      <w:r>
        <w:rPr>
          <w:rFonts w:hint="eastAsia" w:hAnsi="宋体"/>
          <w:color w:val="auto"/>
          <w:sz w:val="24"/>
          <w:szCs w:val="18"/>
        </w:rPr>
        <w:t>）承包人应在收到监理工程师发出变更指令或变更意向书后的</w:t>
      </w:r>
      <w:r>
        <w:rPr>
          <w:rFonts w:hAnsi="宋体"/>
          <w:color w:val="auto"/>
          <w:sz w:val="24"/>
          <w:szCs w:val="18"/>
        </w:rPr>
        <w:t>14</w:t>
      </w:r>
      <w:r>
        <w:rPr>
          <w:rFonts w:hint="eastAsia" w:hAnsi="宋体"/>
          <w:color w:val="auto"/>
          <w:sz w:val="24"/>
          <w:szCs w:val="18"/>
        </w:rPr>
        <w:t>天内，向发包人提交工程变更报告，并抄送监理工程师、造价工程师。报告内容应包括变更原因、根据第</w:t>
      </w:r>
      <w:r>
        <w:rPr>
          <w:rFonts w:hAnsi="宋体"/>
          <w:color w:val="auto"/>
          <w:sz w:val="24"/>
          <w:szCs w:val="18"/>
        </w:rPr>
        <w:t>72</w:t>
      </w:r>
      <w:r>
        <w:rPr>
          <w:rFonts w:hint="eastAsia" w:hAnsi="宋体"/>
          <w:color w:val="auto"/>
          <w:sz w:val="24"/>
          <w:szCs w:val="18"/>
        </w:rPr>
        <w:t>条约定详细开列变更工作的价格组成和依据，并附变更的施工设计图纸及其相关说明。</w:t>
      </w:r>
    </w:p>
    <w:p w14:paraId="3F1F48A4">
      <w:pPr>
        <w:pStyle w:val="2"/>
        <w:adjustRightInd w:val="0"/>
        <w:snapToGrid w:val="0"/>
        <w:spacing w:line="360" w:lineRule="auto"/>
        <w:ind w:left="1620"/>
        <w:rPr>
          <w:rFonts w:hAnsi="宋体"/>
          <w:color w:val="auto"/>
          <w:sz w:val="24"/>
          <w:szCs w:val="18"/>
        </w:rPr>
      </w:pPr>
      <w:r>
        <w:rPr>
          <w:rFonts w:hint="eastAsia" w:hAnsi="宋体"/>
          <w:color w:val="auto"/>
          <w:sz w:val="24"/>
          <w:szCs w:val="18"/>
        </w:rPr>
        <w:t>变更工作影响工期的，承包人应提出调整工期的要求。发包人认为有必要时，可要求承包人提交提前或者延长工期的施工进度计划或相应施工措施等资料。</w:t>
      </w:r>
    </w:p>
    <w:p w14:paraId="7E9FBAEE">
      <w:pPr>
        <w:pStyle w:val="2"/>
        <w:adjustRightInd w:val="0"/>
        <w:snapToGrid w:val="0"/>
        <w:spacing w:line="360" w:lineRule="auto"/>
        <w:ind w:left="1620"/>
        <w:rPr>
          <w:rFonts w:hAnsi="宋体"/>
          <w:color w:val="auto"/>
          <w:sz w:val="24"/>
          <w:szCs w:val="18"/>
        </w:rPr>
      </w:pPr>
      <w:r>
        <w:rPr>
          <w:rFonts w:hAnsi="宋体"/>
          <w:color w:val="auto"/>
          <w:sz w:val="24"/>
          <w:szCs w:val="18"/>
        </w:rPr>
        <w:t>(3)</w:t>
      </w:r>
      <w:r>
        <w:rPr>
          <w:rFonts w:hint="eastAsia" w:hAnsi="宋体"/>
          <w:color w:val="auto"/>
          <w:sz w:val="24"/>
          <w:szCs w:val="18"/>
        </w:rPr>
        <w:t>发包人在收到承包人工程变更报告后，应通知监理工程师、造价工程师及时对报告内容予以核实，并在收到报告后的</w:t>
      </w:r>
      <w:r>
        <w:rPr>
          <w:rFonts w:hAnsi="宋体"/>
          <w:color w:val="auto"/>
          <w:sz w:val="24"/>
          <w:szCs w:val="18"/>
        </w:rPr>
        <w:t>14</w:t>
      </w:r>
      <w:r>
        <w:rPr>
          <w:rFonts w:hint="eastAsia" w:hAnsi="宋体"/>
          <w:color w:val="auto"/>
          <w:sz w:val="24"/>
          <w:szCs w:val="18"/>
        </w:rPr>
        <w:t>天内予以确定或提出修改意见。发包人在收到承包人工程变更报告后的</w:t>
      </w:r>
      <w:r>
        <w:rPr>
          <w:rFonts w:hAnsi="宋体"/>
          <w:color w:val="auto"/>
          <w:sz w:val="24"/>
          <w:szCs w:val="18"/>
        </w:rPr>
        <w:t>14</w:t>
      </w:r>
      <w:r>
        <w:rPr>
          <w:rFonts w:hint="eastAsia" w:hAnsi="宋体"/>
          <w:color w:val="auto"/>
          <w:sz w:val="24"/>
          <w:szCs w:val="18"/>
        </w:rPr>
        <w:t>天内未确定也未提出修改意见的，视为承包人提交的工程变更报告已被认可。</w:t>
      </w:r>
    </w:p>
    <w:p w14:paraId="083C4B14">
      <w:pPr>
        <w:pStyle w:val="2"/>
        <w:adjustRightInd w:val="0"/>
        <w:snapToGrid w:val="0"/>
        <w:spacing w:line="360" w:lineRule="auto"/>
        <w:ind w:left="1575" w:leftChars="750"/>
        <w:rPr>
          <w:rFonts w:hAnsi="宋体"/>
          <w:b/>
          <w:color w:val="auto"/>
          <w:sz w:val="24"/>
          <w:szCs w:val="18"/>
        </w:rPr>
      </w:pPr>
      <w:r>
        <w:rPr>
          <w:rFonts w:hAnsi="宋体"/>
          <w:color w:val="auto"/>
          <w:sz w:val="24"/>
          <w:szCs w:val="18"/>
        </w:rPr>
        <w:t>(4)</w:t>
      </w:r>
      <w:r>
        <w:rPr>
          <w:rFonts w:hint="eastAsia" w:hAnsi="宋体"/>
          <w:color w:val="auto"/>
          <w:sz w:val="24"/>
          <w:szCs w:val="18"/>
        </w:rPr>
        <w:t>承包人应在发包人确定工程变更报告后的</w:t>
      </w:r>
      <w:r>
        <w:rPr>
          <w:rFonts w:hAnsi="宋体"/>
          <w:color w:val="auto"/>
          <w:sz w:val="24"/>
          <w:szCs w:val="18"/>
        </w:rPr>
        <w:t>7</w:t>
      </w:r>
      <w:r>
        <w:rPr>
          <w:rFonts w:hint="eastAsia" w:hAnsi="宋体"/>
          <w:color w:val="auto"/>
          <w:sz w:val="24"/>
          <w:szCs w:val="18"/>
        </w:rPr>
        <w:t>天内，按照监理工程师发出的变更指令及时组织实施变更工作。否则，由此引起的损失和（或）延误的工期由承包人承担。</w:t>
      </w:r>
    </w:p>
    <w:p w14:paraId="3C4FA741">
      <w:pPr>
        <w:pStyle w:val="2"/>
        <w:adjustRightInd w:val="0"/>
        <w:snapToGrid w:val="0"/>
        <w:spacing w:line="360" w:lineRule="auto"/>
        <w:rPr>
          <w:rFonts w:hAnsi="宋体"/>
          <w:b/>
          <w:color w:val="auto"/>
          <w:sz w:val="24"/>
          <w:szCs w:val="18"/>
        </w:rPr>
      </w:pPr>
      <w:r>
        <w:rPr>
          <w:rFonts w:hAnsi="宋体"/>
          <w:b/>
          <w:color w:val="auto"/>
          <w:sz w:val="24"/>
          <w:szCs w:val="18"/>
        </w:rPr>
        <w:t xml:space="preserve">56.4  </w:t>
      </w:r>
    </w:p>
    <w:p w14:paraId="21F9EE96">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1893760" behindDoc="0" locked="0" layoutInCell="1" allowOverlap="1">
                <wp:simplePos x="0" y="0"/>
                <wp:positionH relativeFrom="column">
                  <wp:posOffset>-114300</wp:posOffset>
                </wp:positionH>
                <wp:positionV relativeFrom="paragraph">
                  <wp:posOffset>7620</wp:posOffset>
                </wp:positionV>
                <wp:extent cx="914400" cy="412115"/>
                <wp:effectExtent l="0" t="0" r="0" b="0"/>
                <wp:wrapNone/>
                <wp:docPr id="230" name="文本框 230"/>
                <wp:cNvGraphicFramePr/>
                <a:graphic xmlns:a="http://schemas.openxmlformats.org/drawingml/2006/main">
                  <a:graphicData uri="http://schemas.microsoft.com/office/word/2010/wordprocessingShape">
                    <wps:wsp>
                      <wps:cNvSpPr txBox="1"/>
                      <wps:spPr>
                        <a:xfrm>
                          <a:off x="0" y="0"/>
                          <a:ext cx="914400" cy="412115"/>
                        </a:xfrm>
                        <a:prstGeom prst="rect">
                          <a:avLst/>
                        </a:prstGeom>
                        <a:noFill/>
                        <a:ln>
                          <a:noFill/>
                        </a:ln>
                        <a:effectLst/>
                      </wps:spPr>
                      <wps:txbx>
                        <w:txbxContent>
                          <w:p w14:paraId="34477797">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承包人提出工程变更建议</w:t>
                            </w:r>
                          </w:p>
                        </w:txbxContent>
                      </wps:txbx>
                      <wps:bodyPr upright="1"/>
                    </wps:wsp>
                  </a:graphicData>
                </a:graphic>
              </wp:anchor>
            </w:drawing>
          </mc:Choice>
          <mc:Fallback>
            <w:pict>
              <v:shape id="_x0000_s1026" o:spid="_x0000_s1026" o:spt="202" type="#_x0000_t202" style="position:absolute;left:0pt;margin-left:-9pt;margin-top:0.6pt;height:32.45pt;width:72pt;z-index:251893760;mso-width-relative:page;mso-height-relative:page;" filled="f" stroked="f" coordsize="21600,21600" o:gfxdata="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7hOtdQA&#10;AAAIAQAADwAAAAAAAAABACAAAAAiAAAAZHJzL2Rvd25yZXYueG1sUEsBAhQAFAAAAAgAh07iQKMI&#10;/76xAQAAXwMAAA4AAAAAAAAAAQAgAAAAIwEAAGRycy9lMm9Eb2MueG1sUEsFBgAAAAAGAAYAWQEA&#10;AEYFAAAAAA==&#10;">
                <v:fill on="f" focussize="0,0"/>
                <v:stroke on="f"/>
                <v:imagedata o:title=""/>
                <o:lock v:ext="edit" aspectratio="f"/>
                <v:textbox>
                  <w:txbxContent>
                    <w:p w14:paraId="34477797">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承包人提出工程变更建议</w:t>
                      </w:r>
                    </w:p>
                  </w:txbxContent>
                </v:textbox>
              </v:shape>
            </w:pict>
          </mc:Fallback>
        </mc:AlternateContent>
      </w:r>
      <w:r>
        <w:rPr>
          <w:rFonts w:hint="eastAsia" w:hAnsi="宋体"/>
          <w:color w:val="auto"/>
          <w:sz w:val="24"/>
          <w:szCs w:val="18"/>
        </w:rPr>
        <w:t>合同履行期间，承包人可提出工程变更建议。变更建议应以书面形式向监理工程师提出，同时抄送发包人，详细说明变更的原因、变更方案及合同价格的增减情况，并附必要的施工设计图纸及其说明等资料。变更建议被采纳的，监理工程师应按照第</w:t>
      </w:r>
      <w:r>
        <w:rPr>
          <w:rFonts w:hAnsi="宋体"/>
          <w:color w:val="auto"/>
          <w:sz w:val="24"/>
          <w:szCs w:val="18"/>
        </w:rPr>
        <w:t>56.3</w:t>
      </w:r>
      <w:r>
        <w:rPr>
          <w:rFonts w:hint="eastAsia" w:hAnsi="宋体"/>
          <w:color w:val="auto"/>
          <w:sz w:val="24"/>
          <w:szCs w:val="18"/>
        </w:rPr>
        <w:t>款规定向承包人发出变更指令。</w:t>
      </w:r>
    </w:p>
    <w:p w14:paraId="1408B2FC">
      <w:pPr>
        <w:pStyle w:val="2"/>
        <w:adjustRightInd w:val="0"/>
        <w:snapToGrid w:val="0"/>
        <w:spacing w:line="360" w:lineRule="auto"/>
        <w:ind w:left="1619" w:leftChars="771"/>
        <w:rPr>
          <w:rFonts w:hAnsi="宋体"/>
          <w:color w:val="auto"/>
          <w:sz w:val="24"/>
          <w:szCs w:val="18"/>
        </w:rPr>
      </w:pPr>
      <w:r>
        <w:rPr>
          <w:rFonts w:hint="eastAsia" w:hAnsi="宋体"/>
          <w:color w:val="auto"/>
          <w:sz w:val="24"/>
          <w:szCs w:val="18"/>
        </w:rPr>
        <w:t>发包人采纳承包人的建议，给发包人带来降低合同价款、缩短工期或提交工程经济效益等利益的，发包人应按照国家有关规定并在专用条款中约定的计算方法予以奖励。</w:t>
      </w:r>
    </w:p>
    <w:p w14:paraId="078A2760">
      <w:pPr>
        <w:pStyle w:val="2"/>
        <w:adjustRightInd w:val="0"/>
        <w:snapToGrid w:val="0"/>
        <w:spacing w:line="360" w:lineRule="auto"/>
        <w:rPr>
          <w:rFonts w:hAnsi="宋体"/>
          <w:b/>
          <w:color w:val="auto"/>
          <w:sz w:val="24"/>
          <w:szCs w:val="18"/>
        </w:rPr>
      </w:pPr>
      <w:r>
        <w:rPr>
          <w:rFonts w:hAnsi="宋体"/>
          <w:b/>
          <w:color w:val="auto"/>
          <w:sz w:val="24"/>
          <w:szCs w:val="18"/>
        </w:rPr>
        <w:t xml:space="preserve">56.5  </w:t>
      </w:r>
    </w:p>
    <w:p w14:paraId="0408905B">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1894784" behindDoc="0" locked="0" layoutInCell="1" allowOverlap="1">
                <wp:simplePos x="0" y="0"/>
                <wp:positionH relativeFrom="column">
                  <wp:posOffset>-114300</wp:posOffset>
                </wp:positionH>
                <wp:positionV relativeFrom="paragraph">
                  <wp:posOffset>15240</wp:posOffset>
                </wp:positionV>
                <wp:extent cx="914400" cy="588010"/>
                <wp:effectExtent l="0" t="0" r="0" b="0"/>
                <wp:wrapNone/>
                <wp:docPr id="231" name="文本框 231"/>
                <wp:cNvGraphicFramePr/>
                <a:graphic xmlns:a="http://schemas.openxmlformats.org/drawingml/2006/main">
                  <a:graphicData uri="http://schemas.microsoft.com/office/word/2010/wordprocessingShape">
                    <wps:wsp>
                      <wps:cNvSpPr txBox="1"/>
                      <wps:spPr>
                        <a:xfrm>
                          <a:off x="0" y="0"/>
                          <a:ext cx="914400" cy="588010"/>
                        </a:xfrm>
                        <a:prstGeom prst="rect">
                          <a:avLst/>
                        </a:prstGeom>
                        <a:noFill/>
                        <a:ln>
                          <a:noFill/>
                        </a:ln>
                        <a:effectLst/>
                      </wps:spPr>
                      <wps:txbx>
                        <w:txbxContent>
                          <w:p w14:paraId="44592261">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工程变更导致合同价款和工期的调整</w:t>
                            </w:r>
                          </w:p>
                        </w:txbxContent>
                      </wps:txbx>
                      <wps:bodyPr upright="1"/>
                    </wps:wsp>
                  </a:graphicData>
                </a:graphic>
              </wp:anchor>
            </w:drawing>
          </mc:Choice>
          <mc:Fallback>
            <w:pict>
              <v:shape id="_x0000_s1026" o:spid="_x0000_s1026" o:spt="202" type="#_x0000_t202" style="position:absolute;left:0pt;margin-left:-9pt;margin-top:1.2pt;height:46.3pt;width:72pt;z-index:251894784;mso-width-relative:page;mso-height-relative:page;" filled="f" stroked="f" coordsize="21600,21600" o:gfxdata="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vMrES&#10;1QAAAAgBAAAPAAAAAAAAAAEAIAAAACIAAABkcnMvZG93bnJldi54bWxQSwECFAAUAAAACACHTuJA&#10;y3pqubIBAABfAwAADgAAAAAAAAABACAAAAAkAQAAZHJzL2Uyb0RvYy54bWxQSwUGAAAAAAYABgBZ&#10;AQAASAUAAAAA&#10;">
                <v:fill on="f" focussize="0,0"/>
                <v:stroke on="f"/>
                <v:imagedata o:title=""/>
                <o:lock v:ext="edit" aspectratio="f"/>
                <v:textbox>
                  <w:txbxContent>
                    <w:p w14:paraId="44592261">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工程变更导致合同价款和工期的调整</w:t>
                      </w:r>
                    </w:p>
                  </w:txbxContent>
                </v:textbox>
              </v:shape>
            </w:pict>
          </mc:Fallback>
        </mc:AlternateContent>
      </w:r>
      <w:r>
        <w:rPr>
          <w:rFonts w:hint="eastAsia" w:hAnsi="宋体"/>
          <w:color w:val="auto"/>
          <w:sz w:val="24"/>
          <w:szCs w:val="18"/>
        </w:rPr>
        <w:t>工程变更不应使合同作废或无效。工程变更应按照第</w:t>
      </w:r>
      <w:r>
        <w:rPr>
          <w:rFonts w:hAnsi="宋体"/>
          <w:color w:val="auto"/>
          <w:sz w:val="24"/>
          <w:szCs w:val="18"/>
        </w:rPr>
        <w:t>72</w:t>
      </w:r>
      <w:r>
        <w:rPr>
          <w:rFonts w:hint="eastAsia" w:hAnsi="宋体"/>
          <w:color w:val="auto"/>
          <w:sz w:val="24"/>
          <w:szCs w:val="18"/>
        </w:rPr>
        <w:t>条规定确定变更的工程款；影响工期的，工期应相应调整。但由于下列原因引起的变更，承包人无权要求任何额外或附加的费用，工期不予顺延：</w:t>
      </w:r>
    </w:p>
    <w:p w14:paraId="486F450A">
      <w:pPr>
        <w:pStyle w:val="2"/>
        <w:numPr>
          <w:ilvl w:val="0"/>
          <w:numId w:val="24"/>
        </w:numPr>
        <w:adjustRightInd w:val="0"/>
        <w:snapToGrid w:val="0"/>
        <w:spacing w:line="360" w:lineRule="auto"/>
        <w:ind w:left="1620" w:firstLine="0"/>
        <w:rPr>
          <w:rFonts w:hAnsi="宋体"/>
          <w:color w:val="auto"/>
          <w:sz w:val="24"/>
          <w:szCs w:val="18"/>
        </w:rPr>
      </w:pPr>
      <w:r>
        <w:rPr>
          <w:rFonts w:hint="eastAsia" w:hAnsi="宋体"/>
          <w:color w:val="auto"/>
          <w:sz w:val="24"/>
          <w:szCs w:val="18"/>
        </w:rPr>
        <w:t>为了便于组织施工而采取的技术措施变更或临时工程变更；</w:t>
      </w:r>
    </w:p>
    <w:p w14:paraId="023BD870">
      <w:pPr>
        <w:pStyle w:val="2"/>
        <w:numPr>
          <w:ilvl w:val="0"/>
          <w:numId w:val="24"/>
        </w:numPr>
        <w:adjustRightInd w:val="0"/>
        <w:snapToGrid w:val="0"/>
        <w:spacing w:line="360" w:lineRule="auto"/>
        <w:ind w:left="2579" w:leftChars="771" w:hangingChars="400"/>
        <w:rPr>
          <w:rFonts w:hAnsi="宋体"/>
          <w:color w:val="auto"/>
          <w:sz w:val="24"/>
          <w:szCs w:val="18"/>
        </w:rPr>
      </w:pPr>
      <w:r>
        <w:rPr>
          <w:rFonts w:hint="eastAsia" w:hAnsi="宋体"/>
          <w:color w:val="auto"/>
          <w:sz w:val="24"/>
          <w:szCs w:val="18"/>
        </w:rPr>
        <w:t>为了施工安全、避免干扰等原因而采取的技术措施变更或临时工程变</w:t>
      </w:r>
    </w:p>
    <w:p w14:paraId="4676CDE4">
      <w:pPr>
        <w:pStyle w:val="2"/>
        <w:adjustRightInd w:val="0"/>
        <w:snapToGrid w:val="0"/>
        <w:spacing w:line="360" w:lineRule="auto"/>
        <w:ind w:left="1619" w:firstLine="1"/>
        <w:rPr>
          <w:rFonts w:hAnsi="宋体"/>
          <w:color w:val="auto"/>
          <w:sz w:val="24"/>
          <w:szCs w:val="18"/>
        </w:rPr>
      </w:pPr>
      <w:r>
        <w:rPr>
          <w:rFonts w:hint="eastAsia" w:hAnsi="宋体"/>
          <w:color w:val="auto"/>
          <w:sz w:val="24"/>
          <w:szCs w:val="18"/>
        </w:rPr>
        <w:t>更；</w:t>
      </w:r>
    </w:p>
    <w:p w14:paraId="3D1F7FB5">
      <w:pPr>
        <w:pStyle w:val="2"/>
        <w:numPr>
          <w:ilvl w:val="0"/>
          <w:numId w:val="24"/>
        </w:numPr>
        <w:adjustRightInd w:val="0"/>
        <w:snapToGrid w:val="0"/>
        <w:spacing w:line="360" w:lineRule="auto"/>
        <w:ind w:left="1620" w:firstLine="0"/>
        <w:rPr>
          <w:rFonts w:hAnsi="宋体"/>
          <w:color w:val="auto"/>
          <w:sz w:val="24"/>
          <w:szCs w:val="18"/>
        </w:rPr>
      </w:pPr>
      <w:r>
        <w:rPr>
          <w:rFonts w:hint="eastAsia" w:hAnsi="宋体"/>
          <w:color w:val="auto"/>
          <w:sz w:val="24"/>
          <w:szCs w:val="18"/>
        </w:rPr>
        <w:t>因承包人违约、过错或承包人引起的其他变更。</w:t>
      </w:r>
    </w:p>
    <w:p w14:paraId="49ACFFAE">
      <w:pPr>
        <w:pStyle w:val="2"/>
        <w:adjustRightInd w:val="0"/>
        <w:snapToGrid w:val="0"/>
        <w:spacing w:line="360" w:lineRule="auto"/>
        <w:rPr>
          <w:rFonts w:hAnsi="宋体"/>
          <w:b/>
          <w:color w:val="auto"/>
          <w:sz w:val="24"/>
          <w:szCs w:val="18"/>
          <w:u w:val="single"/>
        </w:rPr>
      </w:pPr>
    </w:p>
    <w:p w14:paraId="1AF126C0">
      <w:pPr>
        <w:pStyle w:val="2"/>
        <w:tabs>
          <w:tab w:val="left" w:pos="540"/>
        </w:tabs>
        <w:adjustRightInd w:val="0"/>
        <w:snapToGrid w:val="0"/>
        <w:spacing w:before="240" w:beforeLines="100" w:line="360" w:lineRule="auto"/>
        <w:ind w:right="-238"/>
        <w:rPr>
          <w:rFonts w:hAnsi="宋体"/>
          <w:b/>
          <w:color w:val="auto"/>
        </w:rPr>
      </w:pPr>
      <w:r>
        <w:rPr>
          <w:rFonts w:hAnsi="宋体"/>
          <w:b/>
          <w:color w:val="auto"/>
          <w:sz w:val="30"/>
          <w:szCs w:val="24"/>
        </w:rPr>
        <w:t xml:space="preserve">57  </w:t>
      </w:r>
      <w:r>
        <w:rPr>
          <w:rFonts w:hint="eastAsia" w:hAnsi="宋体"/>
          <w:b/>
          <w:color w:val="auto"/>
          <w:sz w:val="30"/>
          <w:szCs w:val="24"/>
        </w:rPr>
        <w:t>竣工验收条件</w:t>
      </w:r>
    </w:p>
    <w:p w14:paraId="0A6F512F">
      <w:pPr>
        <w:pStyle w:val="3"/>
        <w:adjustRightInd w:val="0"/>
        <w:snapToGrid w:val="0"/>
        <w:spacing w:line="360" w:lineRule="auto"/>
        <w:ind w:firstLine="0"/>
        <w:rPr>
          <w:rFonts w:ascii="宋体"/>
          <w:b/>
          <w:color w:val="auto"/>
          <w:sz w:val="24"/>
          <w:szCs w:val="18"/>
        </w:rPr>
      </w:pPr>
      <w:r>
        <w:rPr>
          <w:rFonts w:ascii="宋体" w:hAnsi="宋体"/>
          <w:b/>
          <w:color w:val="auto"/>
          <w:sz w:val="24"/>
          <w:szCs w:val="18"/>
        </w:rPr>
        <w:t>57.1</w:t>
      </w:r>
    </w:p>
    <w:p w14:paraId="254290C2">
      <w:pPr>
        <w:spacing w:line="360" w:lineRule="auto"/>
        <w:ind w:left="1618" w:hanging="1"/>
        <w:rPr>
          <w:rFonts w:ascii="宋体"/>
          <w:color w:val="auto"/>
          <w:sz w:val="24"/>
          <w:szCs w:val="18"/>
        </w:rPr>
      </w:pPr>
      <w:r>
        <w:rPr>
          <w:color w:val="auto"/>
        </w:rPr>
        <mc:AlternateContent>
          <mc:Choice Requires="wps">
            <w:drawing>
              <wp:anchor distT="0" distB="0" distL="114300" distR="114300" simplePos="0" relativeHeight="251895808" behindDoc="0" locked="0" layoutInCell="1" allowOverlap="1">
                <wp:simplePos x="0" y="0"/>
                <wp:positionH relativeFrom="column">
                  <wp:posOffset>-114300</wp:posOffset>
                </wp:positionH>
                <wp:positionV relativeFrom="paragraph">
                  <wp:posOffset>12700</wp:posOffset>
                </wp:positionV>
                <wp:extent cx="914400" cy="422910"/>
                <wp:effectExtent l="0" t="0" r="0" b="0"/>
                <wp:wrapNone/>
                <wp:docPr id="232" name="文本框 232"/>
                <wp:cNvGraphicFramePr/>
                <a:graphic xmlns:a="http://schemas.openxmlformats.org/drawingml/2006/main">
                  <a:graphicData uri="http://schemas.microsoft.com/office/word/2010/wordprocessingShape">
                    <wps:wsp>
                      <wps:cNvSpPr txBox="1"/>
                      <wps:spPr>
                        <a:xfrm>
                          <a:off x="0" y="0"/>
                          <a:ext cx="914400" cy="422910"/>
                        </a:xfrm>
                        <a:prstGeom prst="rect">
                          <a:avLst/>
                        </a:prstGeom>
                        <a:noFill/>
                        <a:ln>
                          <a:noFill/>
                        </a:ln>
                        <a:effectLst/>
                      </wps:spPr>
                      <wps:txbx>
                        <w:txbxContent>
                          <w:p w14:paraId="559FC579">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竣工验收条件</w:t>
                            </w:r>
                          </w:p>
                        </w:txbxContent>
                      </wps:txbx>
                      <wps:bodyPr upright="1"/>
                    </wps:wsp>
                  </a:graphicData>
                </a:graphic>
              </wp:anchor>
            </w:drawing>
          </mc:Choice>
          <mc:Fallback>
            <w:pict>
              <v:shape id="_x0000_s1026" o:spid="_x0000_s1026" o:spt="202" type="#_x0000_t202" style="position:absolute;left:0pt;margin-left:-9pt;margin-top:1pt;height:33.3pt;width:72pt;z-index:251895808;mso-width-relative:page;mso-height-relative:page;" filled="f" stroked="f" coordsize="21600,21600" o:gfxdata="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KOh5&#10;TdUAAAAIAQAADwAAAAAAAAABACAAAAAiAAAAZHJzL2Rvd25yZXYueG1sUEsBAhQAFAAAAAgAh07i&#10;QBnU7+mzAQAAXwMAAA4AAAAAAAAAAQAgAAAAJAEAAGRycy9lMm9Eb2MueG1sUEsFBgAAAAAGAAYA&#10;WQEAAEkFAAAAAA==&#10;">
                <v:fill on="f" focussize="0,0"/>
                <v:stroke on="f"/>
                <v:imagedata o:title=""/>
                <o:lock v:ext="edit" aspectratio="f"/>
                <v:textbox>
                  <w:txbxContent>
                    <w:p w14:paraId="559FC579">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竣工验收条件</w:t>
                      </w:r>
                    </w:p>
                  </w:txbxContent>
                </v:textbox>
              </v:shape>
            </w:pict>
          </mc:Fallback>
        </mc:AlternateContent>
      </w:r>
      <w:r>
        <w:rPr>
          <w:rFonts w:hint="eastAsia" w:ascii="宋体" w:hAnsi="宋体"/>
          <w:color w:val="auto"/>
          <w:sz w:val="24"/>
          <w:szCs w:val="18"/>
        </w:rPr>
        <w:t>承包人实施、完成合同工程的全部工作内容，经自检评定并符合下列条件的，则认为合同工程已具备竣工验收条件。</w:t>
      </w:r>
    </w:p>
    <w:p w14:paraId="5714C48C">
      <w:pPr>
        <w:spacing w:line="360" w:lineRule="auto"/>
        <w:ind w:left="1618" w:hanging="1"/>
        <w:rPr>
          <w:rFonts w:ascii="宋体"/>
          <w:color w:val="auto"/>
          <w:sz w:val="24"/>
          <w:szCs w:val="18"/>
        </w:rPr>
      </w:pPr>
      <w:r>
        <w:rPr>
          <w:rFonts w:ascii="宋体" w:hAnsi="宋体"/>
          <w:color w:val="auto"/>
          <w:sz w:val="24"/>
          <w:szCs w:val="18"/>
        </w:rPr>
        <w:t>(1</w:t>
      </w:r>
      <w:r>
        <w:rPr>
          <w:rFonts w:hint="eastAsia" w:ascii="宋体" w:hAnsi="宋体"/>
          <w:color w:val="auto"/>
          <w:sz w:val="24"/>
          <w:szCs w:val="18"/>
        </w:rPr>
        <w:t>）除监理工程师同意列入缺陷责任期内完成的尾工（甩项）工程和缺陷修补工作外，包括合同约定的试验、检验和验收等工作在内的合同范围内全部工作均已完成，并符合施工设计图纸和合同约定的要求；</w:t>
      </w:r>
    </w:p>
    <w:p w14:paraId="76314D02">
      <w:pPr>
        <w:spacing w:line="360" w:lineRule="auto"/>
        <w:ind w:left="1680" w:leftChars="800"/>
        <w:rPr>
          <w:rFonts w:ascii="宋体"/>
          <w:color w:val="auto"/>
          <w:sz w:val="24"/>
          <w:szCs w:val="18"/>
        </w:rPr>
      </w:pPr>
      <w:r>
        <w:rPr>
          <w:rFonts w:ascii="宋体" w:hAnsi="宋体"/>
          <w:color w:val="auto"/>
          <w:sz w:val="24"/>
          <w:szCs w:val="18"/>
        </w:rPr>
        <w:t>(2</w:t>
      </w:r>
      <w:r>
        <w:rPr>
          <w:rFonts w:hint="eastAsia" w:ascii="宋体" w:hAnsi="宋体"/>
          <w:color w:val="auto"/>
          <w:sz w:val="24"/>
          <w:szCs w:val="18"/>
        </w:rPr>
        <w:t>）已按照合同约定的内容和份数备齐了符合国家或行业、省要求的竣工资料（质量控制资料、竣工结算文件等）；</w:t>
      </w:r>
    </w:p>
    <w:p w14:paraId="74E2D8DD">
      <w:pPr>
        <w:spacing w:line="360" w:lineRule="auto"/>
        <w:ind w:left="1618" w:hanging="1"/>
        <w:rPr>
          <w:rFonts w:ascii="宋体"/>
          <w:color w:val="auto"/>
          <w:sz w:val="24"/>
          <w:szCs w:val="18"/>
        </w:rPr>
      </w:pPr>
      <w:r>
        <w:rPr>
          <w:rFonts w:ascii="宋体" w:hAnsi="宋体"/>
          <w:color w:val="auto"/>
          <w:sz w:val="24"/>
          <w:szCs w:val="18"/>
        </w:rPr>
        <w:t>(3</w:t>
      </w:r>
      <w:r>
        <w:rPr>
          <w:rFonts w:hint="eastAsia" w:ascii="宋体" w:hAnsi="宋体"/>
          <w:color w:val="auto"/>
          <w:sz w:val="24"/>
          <w:szCs w:val="18"/>
        </w:rPr>
        <w:t>）已按照监理工程师的指令编制了在缺陷责任期内完成的尾工（甩项）工程和缺陷修补工作清单，以及相应的实施计划；</w:t>
      </w:r>
    </w:p>
    <w:p w14:paraId="2F5B43FC">
      <w:pPr>
        <w:spacing w:line="360" w:lineRule="auto"/>
        <w:ind w:firstLine="1620" w:firstLineChars="675"/>
        <w:rPr>
          <w:rFonts w:ascii="宋体"/>
          <w:color w:val="auto"/>
          <w:sz w:val="24"/>
          <w:szCs w:val="18"/>
        </w:rPr>
      </w:pPr>
      <w:r>
        <w:rPr>
          <w:rFonts w:ascii="宋体" w:hAnsi="宋体"/>
          <w:color w:val="auto"/>
          <w:sz w:val="24"/>
          <w:szCs w:val="18"/>
        </w:rPr>
        <w:t>(4</w:t>
      </w:r>
      <w:r>
        <w:rPr>
          <w:rFonts w:hint="eastAsia" w:ascii="宋体" w:hAnsi="宋体"/>
          <w:color w:val="auto"/>
          <w:sz w:val="24"/>
          <w:szCs w:val="18"/>
        </w:rPr>
        <w:t>）监理工程师要求在竣工验收前应完成的其他工作：</w:t>
      </w:r>
    </w:p>
    <w:p w14:paraId="73532F25">
      <w:pPr>
        <w:spacing w:line="360" w:lineRule="auto"/>
        <w:ind w:firstLine="1620" w:firstLineChars="675"/>
        <w:rPr>
          <w:rFonts w:ascii="宋体"/>
          <w:color w:val="auto"/>
          <w:sz w:val="24"/>
        </w:rPr>
      </w:pPr>
      <w:r>
        <w:rPr>
          <w:rFonts w:ascii="宋体" w:hAnsi="宋体"/>
          <w:color w:val="auto"/>
          <w:sz w:val="24"/>
        </w:rPr>
        <w:t>(5</w:t>
      </w:r>
      <w:r>
        <w:rPr>
          <w:rFonts w:hint="eastAsia" w:ascii="宋体" w:hAnsi="宋体"/>
          <w:color w:val="auto"/>
          <w:sz w:val="24"/>
        </w:rPr>
        <w:t>）监理工程师要求提交的竣工验收资料清单。</w:t>
      </w:r>
    </w:p>
    <w:p w14:paraId="42E86F1D">
      <w:pPr>
        <w:pStyle w:val="3"/>
        <w:adjustRightInd w:val="0"/>
        <w:snapToGrid w:val="0"/>
        <w:spacing w:line="360" w:lineRule="auto"/>
        <w:ind w:firstLine="0"/>
        <w:rPr>
          <w:rFonts w:ascii="宋体"/>
          <w:color w:val="auto"/>
          <w:sz w:val="24"/>
          <w:szCs w:val="18"/>
        </w:rPr>
      </w:pPr>
      <w:r>
        <w:rPr>
          <w:rFonts w:ascii="宋体" w:hAnsi="宋体"/>
          <w:b/>
          <w:color w:val="auto"/>
          <w:sz w:val="24"/>
          <w:szCs w:val="18"/>
        </w:rPr>
        <w:t xml:space="preserve">57.2 </w:t>
      </w:r>
    </w:p>
    <w:p w14:paraId="789FCA85">
      <w:pPr>
        <w:pStyle w:val="3"/>
        <w:adjustRightInd w:val="0"/>
        <w:snapToGrid w:val="0"/>
        <w:spacing w:line="360" w:lineRule="auto"/>
        <w:ind w:left="1619" w:leftChars="771" w:firstLine="0"/>
        <w:rPr>
          <w:rFonts w:ascii="宋体"/>
          <w:color w:val="auto"/>
          <w:sz w:val="24"/>
          <w:szCs w:val="18"/>
        </w:rPr>
      </w:pPr>
      <w:r>
        <w:rPr>
          <w:rFonts w:hint="eastAsia" w:ascii="宋体" w:hAnsi="宋体"/>
          <w:color w:val="auto"/>
          <w:sz w:val="24"/>
          <w:szCs w:val="18"/>
        </w:rPr>
        <w:t>承包人</w:t>
      </w:r>
      <w:r>
        <w:rPr>
          <w:color w:val="auto"/>
        </w:rPr>
        <mc:AlternateContent>
          <mc:Choice Requires="wps">
            <w:drawing>
              <wp:anchor distT="0" distB="0" distL="114300" distR="114300" simplePos="0" relativeHeight="251896832" behindDoc="0" locked="0" layoutInCell="1" allowOverlap="1">
                <wp:simplePos x="0" y="0"/>
                <wp:positionH relativeFrom="column">
                  <wp:posOffset>-114300</wp:posOffset>
                </wp:positionH>
                <wp:positionV relativeFrom="paragraph">
                  <wp:posOffset>12700</wp:posOffset>
                </wp:positionV>
                <wp:extent cx="914400" cy="422910"/>
                <wp:effectExtent l="0" t="0" r="0" b="0"/>
                <wp:wrapNone/>
                <wp:docPr id="233" name="文本框 233"/>
                <wp:cNvGraphicFramePr/>
                <a:graphic xmlns:a="http://schemas.openxmlformats.org/drawingml/2006/main">
                  <a:graphicData uri="http://schemas.microsoft.com/office/word/2010/wordprocessingShape">
                    <wps:wsp>
                      <wps:cNvSpPr txBox="1"/>
                      <wps:spPr>
                        <a:xfrm>
                          <a:off x="0" y="0"/>
                          <a:ext cx="914400" cy="422910"/>
                        </a:xfrm>
                        <a:prstGeom prst="rect">
                          <a:avLst/>
                        </a:prstGeom>
                        <a:noFill/>
                        <a:ln>
                          <a:noFill/>
                        </a:ln>
                        <a:effectLst/>
                      </wps:spPr>
                      <wps:txbx>
                        <w:txbxContent>
                          <w:p w14:paraId="3F2E35DC">
                            <w:pPr>
                              <w:spacing w:line="240" w:lineRule="exact"/>
                              <w:rPr>
                                <w:rFonts w:ascii="宋体"/>
                                <w:sz w:val="18"/>
                                <w:szCs w:val="18"/>
                              </w:rPr>
                            </w:pPr>
                            <w:r>
                              <w:rPr>
                                <w:rFonts w:hint="eastAsia" w:ascii="楷体_GB2312" w:hAnsi="宋体" w:eastAsia="楷体_GB2312"/>
                                <w:b/>
                                <w:color w:val="000000"/>
                                <w:sz w:val="18"/>
                                <w:szCs w:val="18"/>
                              </w:rPr>
                              <w:t>提交竣工验收申请报告</w:t>
                            </w:r>
                          </w:p>
                        </w:txbxContent>
                      </wps:txbx>
                      <wps:bodyPr upright="1"/>
                    </wps:wsp>
                  </a:graphicData>
                </a:graphic>
              </wp:anchor>
            </w:drawing>
          </mc:Choice>
          <mc:Fallback>
            <w:pict>
              <v:shape id="_x0000_s1026" o:spid="_x0000_s1026" o:spt="202" type="#_x0000_t202" style="position:absolute;left:0pt;margin-left:-9pt;margin-top:1pt;height:33.3pt;width:72pt;z-index:251896832;mso-width-relative:page;mso-height-relative:page;" filled="f" stroked="f" coordsize="21600,21600" o:gfxdata="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KOh5&#10;TdUAAAAIAQAADwAAAAAAAAABACAAAAAiAAAAZHJzL2Rvd25yZXYueG1sUEsBAhQAFAAAAAgAh07i&#10;QIbTJEOzAQAAXwMAAA4AAAAAAAAAAQAgAAAAJAEAAGRycy9lMm9Eb2MueG1sUEsFBgAAAAAGAAYA&#10;WQEAAEkFAAAAAA==&#10;">
                <v:fill on="f" focussize="0,0"/>
                <v:stroke on="f"/>
                <v:imagedata o:title=""/>
                <o:lock v:ext="edit" aspectratio="f"/>
                <v:textbox>
                  <w:txbxContent>
                    <w:p w14:paraId="3F2E35DC">
                      <w:pPr>
                        <w:spacing w:line="240" w:lineRule="exact"/>
                        <w:rPr>
                          <w:rFonts w:ascii="宋体"/>
                          <w:sz w:val="18"/>
                          <w:szCs w:val="18"/>
                        </w:rPr>
                      </w:pPr>
                      <w:r>
                        <w:rPr>
                          <w:rFonts w:hint="eastAsia" w:ascii="楷体_GB2312" w:hAnsi="宋体" w:eastAsia="楷体_GB2312"/>
                          <w:b/>
                          <w:color w:val="000000"/>
                          <w:sz w:val="18"/>
                          <w:szCs w:val="18"/>
                        </w:rPr>
                        <w:t>提交竣工验收申请报告</w:t>
                      </w:r>
                    </w:p>
                  </w:txbxContent>
                </v:textbox>
              </v:shape>
            </w:pict>
          </mc:Fallback>
        </mc:AlternateContent>
      </w:r>
      <w:r>
        <w:rPr>
          <w:rFonts w:hint="eastAsia" w:ascii="宋体" w:hAnsi="宋体"/>
          <w:color w:val="auto"/>
          <w:sz w:val="24"/>
          <w:szCs w:val="18"/>
        </w:rPr>
        <w:t>认为合同工程具备竣工验收条件的，应按照国家或行业、省规定的工程竣工验收技术资料格式和要求，及时向发包人提交竣工验收申请报告和符合要求的完整竣工资料，合同双方当事人应按照第</w:t>
      </w:r>
      <w:r>
        <w:rPr>
          <w:rFonts w:ascii="宋体" w:hAnsi="宋体"/>
          <w:color w:val="auto"/>
          <w:sz w:val="24"/>
          <w:szCs w:val="18"/>
        </w:rPr>
        <w:t>58</w:t>
      </w:r>
      <w:r>
        <w:rPr>
          <w:rFonts w:hint="eastAsia" w:ascii="宋体" w:hAnsi="宋体"/>
          <w:color w:val="auto"/>
          <w:sz w:val="24"/>
          <w:szCs w:val="18"/>
        </w:rPr>
        <w:t>条规定进行验收。</w:t>
      </w:r>
    </w:p>
    <w:p w14:paraId="6DABBDA2">
      <w:pPr>
        <w:pStyle w:val="3"/>
        <w:adjustRightInd w:val="0"/>
        <w:snapToGrid w:val="0"/>
        <w:spacing w:line="360" w:lineRule="auto"/>
        <w:ind w:firstLine="0"/>
        <w:rPr>
          <w:rFonts w:ascii="宋体"/>
          <w:b/>
          <w:color w:val="auto"/>
          <w:sz w:val="24"/>
          <w:szCs w:val="18"/>
        </w:rPr>
      </w:pPr>
      <w:r>
        <w:rPr>
          <w:rFonts w:ascii="宋体" w:hAnsi="宋体"/>
          <w:b/>
          <w:color w:val="auto"/>
          <w:sz w:val="24"/>
          <w:szCs w:val="18"/>
        </w:rPr>
        <w:t xml:space="preserve">57.3  </w:t>
      </w:r>
    </w:p>
    <w:p w14:paraId="0FF57B90">
      <w:pPr>
        <w:pStyle w:val="3"/>
        <w:adjustRightInd w:val="0"/>
        <w:snapToGrid w:val="0"/>
        <w:spacing w:line="360" w:lineRule="auto"/>
        <w:ind w:left="1619" w:leftChars="771" w:firstLine="0"/>
        <w:rPr>
          <w:color w:val="auto"/>
        </w:rPr>
      </w:pPr>
      <w:r>
        <w:rPr>
          <w:color w:val="auto"/>
        </w:rPr>
        <mc:AlternateContent>
          <mc:Choice Requires="wps">
            <w:drawing>
              <wp:anchor distT="0" distB="0" distL="114300" distR="114300" simplePos="0" relativeHeight="251897856" behindDoc="0" locked="0" layoutInCell="1" allowOverlap="1">
                <wp:simplePos x="0" y="0"/>
                <wp:positionH relativeFrom="column">
                  <wp:posOffset>-114300</wp:posOffset>
                </wp:positionH>
                <wp:positionV relativeFrom="paragraph">
                  <wp:posOffset>38735</wp:posOffset>
                </wp:positionV>
                <wp:extent cx="873760" cy="407035"/>
                <wp:effectExtent l="0" t="0" r="0" b="0"/>
                <wp:wrapNone/>
                <wp:docPr id="234" name="文本框 234"/>
                <wp:cNvGraphicFramePr/>
                <a:graphic xmlns:a="http://schemas.openxmlformats.org/drawingml/2006/main">
                  <a:graphicData uri="http://schemas.microsoft.com/office/word/2010/wordprocessingShape">
                    <wps:wsp>
                      <wps:cNvSpPr txBox="1"/>
                      <wps:spPr>
                        <a:xfrm>
                          <a:off x="0" y="0"/>
                          <a:ext cx="873760" cy="407035"/>
                        </a:xfrm>
                        <a:prstGeom prst="rect">
                          <a:avLst/>
                        </a:prstGeom>
                        <a:noFill/>
                        <a:ln>
                          <a:noFill/>
                        </a:ln>
                        <a:effectLst/>
                      </wps:spPr>
                      <wps:txbx>
                        <w:txbxContent>
                          <w:p w14:paraId="4909DCE2">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竣工验收条件的限制</w:t>
                            </w:r>
                          </w:p>
                        </w:txbxContent>
                      </wps:txbx>
                      <wps:bodyPr upright="1"/>
                    </wps:wsp>
                  </a:graphicData>
                </a:graphic>
              </wp:anchor>
            </w:drawing>
          </mc:Choice>
          <mc:Fallback>
            <w:pict>
              <v:shape id="_x0000_s1026" o:spid="_x0000_s1026" o:spt="202" type="#_x0000_t202" style="position:absolute;left:0pt;margin-left:-9pt;margin-top:3.05pt;height:32.05pt;width:68.8pt;z-index:251897856;mso-width-relative:page;mso-height-relative:page;" filled="f" stroked="f" coordsize="21600,21600" o:gfxdata="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3B/E&#10;TdUAAAAIAQAADwAAAAAAAAABACAAAAAiAAAAZHJzL2Rvd25yZXYueG1sUEsBAhQAFAAAAAgAh07i&#10;QOzs4+ezAQAAXwMAAA4AAAAAAAAAAQAgAAAAJAEAAGRycy9lMm9Eb2MueG1sUEsFBgAAAAAGAAYA&#10;WQEAAEkFAAAAAA==&#10;">
                <v:fill on="f" focussize="0,0"/>
                <v:stroke on="f"/>
                <v:imagedata o:title=""/>
                <o:lock v:ext="edit" aspectratio="f"/>
                <v:textbox>
                  <w:txbxContent>
                    <w:p w14:paraId="4909DCE2">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竣工验收条件的限制</w:t>
                      </w:r>
                    </w:p>
                  </w:txbxContent>
                </v:textbox>
              </v:shape>
            </w:pict>
          </mc:Fallback>
        </mc:AlternateContent>
      </w:r>
      <w:r>
        <w:rPr>
          <w:rFonts w:hint="eastAsia" w:ascii="宋体" w:hAnsi="宋体"/>
          <w:color w:val="auto"/>
          <w:sz w:val="24"/>
          <w:szCs w:val="18"/>
        </w:rPr>
        <w:t>如果承包人不按照规定提交竣工资料或提交的资料不符合要求，则认为合同工程尚未具备竣工验收条件。</w:t>
      </w:r>
    </w:p>
    <w:p w14:paraId="61296A93">
      <w:pPr>
        <w:pStyle w:val="2"/>
        <w:tabs>
          <w:tab w:val="left" w:pos="540"/>
        </w:tabs>
        <w:adjustRightInd w:val="0"/>
        <w:snapToGrid w:val="0"/>
        <w:spacing w:before="240" w:beforeLines="100" w:line="360" w:lineRule="auto"/>
        <w:ind w:right="-238"/>
        <w:rPr>
          <w:rFonts w:hAnsi="宋体"/>
          <w:b/>
          <w:color w:val="auto"/>
          <w:sz w:val="30"/>
          <w:szCs w:val="24"/>
        </w:rPr>
      </w:pPr>
      <w:r>
        <w:rPr>
          <w:rFonts w:hAnsi="宋体"/>
          <w:b/>
          <w:color w:val="auto"/>
          <w:sz w:val="30"/>
          <w:szCs w:val="24"/>
        </w:rPr>
        <w:t xml:space="preserve">58  </w:t>
      </w:r>
      <w:r>
        <w:rPr>
          <w:rFonts w:hint="eastAsia" w:hAnsi="宋体"/>
          <w:b/>
          <w:color w:val="auto"/>
          <w:sz w:val="30"/>
          <w:szCs w:val="24"/>
        </w:rPr>
        <w:t>竣工验收</w:t>
      </w:r>
    </w:p>
    <w:p w14:paraId="60966BBD">
      <w:pPr>
        <w:tabs>
          <w:tab w:val="left" w:pos="1620"/>
        </w:tabs>
        <w:adjustRightInd w:val="0"/>
        <w:snapToGrid w:val="0"/>
        <w:spacing w:line="360" w:lineRule="auto"/>
        <w:rPr>
          <w:rFonts w:ascii="宋体"/>
          <w:b/>
          <w:color w:val="auto"/>
          <w:sz w:val="24"/>
          <w:szCs w:val="18"/>
        </w:rPr>
      </w:pPr>
      <w:r>
        <w:rPr>
          <w:color w:val="auto"/>
        </w:rPr>
        <mc:AlternateContent>
          <mc:Choice Requires="wps">
            <w:drawing>
              <wp:anchor distT="0" distB="0" distL="114300" distR="114300" simplePos="0" relativeHeight="251898880"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235" name="文本框 235"/>
                <wp:cNvGraphicFramePr/>
                <a:graphic xmlns:a="http://schemas.openxmlformats.org/drawingml/2006/main">
                  <a:graphicData uri="http://schemas.microsoft.com/office/word/2010/wordprocessingShape">
                    <wps:wsp>
                      <wps:cNvSpPr txBox="1"/>
                      <wps:spPr>
                        <a:xfrm>
                          <a:off x="0" y="0"/>
                          <a:ext cx="873760" cy="407670"/>
                        </a:xfrm>
                        <a:prstGeom prst="rect">
                          <a:avLst/>
                        </a:prstGeom>
                        <a:noFill/>
                        <a:ln>
                          <a:noFill/>
                        </a:ln>
                        <a:effectLst/>
                      </wps:spPr>
                      <wps:txbx>
                        <w:txbxContent>
                          <w:p w14:paraId="2605B988">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竣工验收标准</w:t>
                            </w:r>
                          </w:p>
                        </w:txbxContent>
                      </wps:txbx>
                      <wps:bodyPr upright="1"/>
                    </wps:wsp>
                  </a:graphicData>
                </a:graphic>
              </wp:anchor>
            </w:drawing>
          </mc:Choice>
          <mc:Fallback>
            <w:pict>
              <v:shape id="_x0000_s1026" o:spid="_x0000_s1026" o:spt="202" type="#_x0000_t202" style="position:absolute;left:0pt;margin-left:-9pt;margin-top:20.3pt;height:32.1pt;width:68.8pt;z-index:251898880;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J&#10;7JEI1gAAAAoBAAAPAAAAAAAAAAEAIAAAACIAAABkcnMvZG93bnJldi54bWxQSwECFAAUAAAACACH&#10;TuJAbyqJ87QBAABfAwAADgAAAAAAAAABACAAAAAlAQAAZHJzL2Uyb0RvYy54bWxQSwUGAAAAAAYA&#10;BgBZAQAASwUAAAAA&#10;">
                <v:fill on="f" focussize="0,0"/>
                <v:stroke on="f"/>
                <v:imagedata o:title=""/>
                <o:lock v:ext="edit" aspectratio="f"/>
                <v:textbox>
                  <w:txbxContent>
                    <w:p w14:paraId="2605B988">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竣工验收标准</w:t>
                      </w:r>
                    </w:p>
                  </w:txbxContent>
                </v:textbox>
              </v:shape>
            </w:pict>
          </mc:Fallback>
        </mc:AlternateContent>
      </w:r>
      <w:r>
        <w:rPr>
          <w:rFonts w:ascii="宋体" w:hAnsi="宋体"/>
          <w:b/>
          <w:color w:val="auto"/>
          <w:sz w:val="24"/>
          <w:szCs w:val="18"/>
        </w:rPr>
        <w:t>58.1</w:t>
      </w:r>
    </w:p>
    <w:p w14:paraId="62698DEF">
      <w:pPr>
        <w:spacing w:line="360" w:lineRule="auto"/>
        <w:ind w:left="1619" w:leftChars="771"/>
        <w:rPr>
          <w:rFonts w:ascii="宋体"/>
          <w:color w:val="auto"/>
          <w:sz w:val="24"/>
          <w:szCs w:val="18"/>
        </w:rPr>
      </w:pPr>
      <w:r>
        <w:rPr>
          <w:rFonts w:hint="eastAsia" w:ascii="宋体" w:hAnsi="宋体"/>
          <w:color w:val="auto"/>
          <w:sz w:val="24"/>
          <w:szCs w:val="18"/>
        </w:rPr>
        <w:t>合同双方当事人应在专用条款中约定合同工程竣工验收标准，但约定的竣工验收标准应符合国家或行业、省的有关规定。</w:t>
      </w:r>
    </w:p>
    <w:p w14:paraId="11B443C2">
      <w:pPr>
        <w:spacing w:line="360" w:lineRule="auto"/>
        <w:ind w:left="1619" w:leftChars="771"/>
        <w:rPr>
          <w:rFonts w:ascii="宋体"/>
          <w:color w:val="auto"/>
          <w:sz w:val="24"/>
          <w:szCs w:val="18"/>
        </w:rPr>
      </w:pPr>
      <w:r>
        <w:rPr>
          <w:rFonts w:hint="eastAsia" w:ascii="宋体" w:hAnsi="宋体"/>
          <w:color w:val="auto"/>
          <w:sz w:val="24"/>
          <w:szCs w:val="18"/>
        </w:rPr>
        <w:t>合同工程需要进行国家验收的，竣工验收是国家验收的一部分。</w:t>
      </w:r>
    </w:p>
    <w:p w14:paraId="2E455191">
      <w:pPr>
        <w:tabs>
          <w:tab w:val="left" w:pos="1620"/>
        </w:tabs>
        <w:adjustRightInd w:val="0"/>
        <w:snapToGrid w:val="0"/>
        <w:spacing w:line="360" w:lineRule="auto"/>
        <w:rPr>
          <w:rFonts w:ascii="宋体"/>
          <w:color w:val="auto"/>
          <w:sz w:val="24"/>
          <w:szCs w:val="18"/>
        </w:rPr>
      </w:pPr>
      <w:r>
        <w:rPr>
          <w:color w:val="auto"/>
        </w:rPr>
        <mc:AlternateContent>
          <mc:Choice Requires="wps">
            <w:drawing>
              <wp:anchor distT="0" distB="0" distL="114300" distR="114300" simplePos="0" relativeHeight="251899904"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236" name="文本框 236"/>
                <wp:cNvGraphicFramePr/>
                <a:graphic xmlns:a="http://schemas.openxmlformats.org/drawingml/2006/main">
                  <a:graphicData uri="http://schemas.microsoft.com/office/word/2010/wordprocessingShape">
                    <wps:wsp>
                      <wps:cNvSpPr txBox="1"/>
                      <wps:spPr>
                        <a:xfrm>
                          <a:off x="0" y="0"/>
                          <a:ext cx="873760" cy="407670"/>
                        </a:xfrm>
                        <a:prstGeom prst="rect">
                          <a:avLst/>
                        </a:prstGeom>
                        <a:noFill/>
                        <a:ln>
                          <a:noFill/>
                        </a:ln>
                        <a:effectLst/>
                      </wps:spPr>
                      <wps:txbx>
                        <w:txbxContent>
                          <w:p w14:paraId="0BCBABCB">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核查竣工验收条件</w:t>
                            </w:r>
                          </w:p>
                        </w:txbxContent>
                      </wps:txbx>
                      <wps:bodyPr upright="1"/>
                    </wps:wsp>
                  </a:graphicData>
                </a:graphic>
              </wp:anchor>
            </w:drawing>
          </mc:Choice>
          <mc:Fallback>
            <w:pict>
              <v:shape id="_x0000_s1026" o:spid="_x0000_s1026" o:spt="202" type="#_x0000_t202" style="position:absolute;left:0pt;margin-left:-9pt;margin-top:20.3pt;height:32.1pt;width:68.8pt;z-index:251899904;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J&#10;7JEI1gAAAAoBAAAPAAAAAAAAAAEAIAAAACIAAABkcnMvZG93bnJldi54bWxQSwECFAAUAAAACACH&#10;TuJAjySl17QBAABfAwAADgAAAAAAAAABACAAAAAlAQAAZHJzL2Uyb0RvYy54bWxQSwUGAAAAAAYA&#10;BgBZAQAASwUAAAAA&#10;">
                <v:fill on="f" focussize="0,0"/>
                <v:stroke on="f"/>
                <v:imagedata o:title=""/>
                <o:lock v:ext="edit" aspectratio="f"/>
                <v:textbox>
                  <w:txbxContent>
                    <w:p w14:paraId="0BCBABCB">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核查竣工验收条件</w:t>
                      </w:r>
                    </w:p>
                  </w:txbxContent>
                </v:textbox>
              </v:shape>
            </w:pict>
          </mc:Fallback>
        </mc:AlternateContent>
      </w:r>
      <w:r>
        <w:rPr>
          <w:rFonts w:ascii="宋体" w:hAnsi="宋体"/>
          <w:b/>
          <w:color w:val="auto"/>
          <w:sz w:val="24"/>
          <w:szCs w:val="18"/>
        </w:rPr>
        <w:t>58.2</w:t>
      </w:r>
    </w:p>
    <w:p w14:paraId="48DF06F2">
      <w:pPr>
        <w:spacing w:line="360" w:lineRule="auto"/>
        <w:ind w:left="1619" w:leftChars="771"/>
        <w:rPr>
          <w:rFonts w:ascii="宋体"/>
          <w:color w:val="auto"/>
          <w:sz w:val="24"/>
          <w:szCs w:val="18"/>
        </w:rPr>
      </w:pPr>
      <w:r>
        <w:rPr>
          <w:rFonts w:hint="eastAsia" w:ascii="宋体" w:hAnsi="宋体"/>
          <w:color w:val="auto"/>
          <w:sz w:val="24"/>
          <w:szCs w:val="18"/>
        </w:rPr>
        <w:t>发包人收到承包人按照第</w:t>
      </w:r>
      <w:r>
        <w:rPr>
          <w:rFonts w:ascii="宋体" w:hAnsi="宋体"/>
          <w:color w:val="auto"/>
          <w:sz w:val="24"/>
          <w:szCs w:val="18"/>
        </w:rPr>
        <w:t xml:space="preserve">57.2 </w:t>
      </w:r>
      <w:r>
        <w:rPr>
          <w:rFonts w:hint="eastAsia" w:ascii="宋体" w:hAnsi="宋体"/>
          <w:color w:val="auto"/>
          <w:sz w:val="24"/>
          <w:szCs w:val="18"/>
        </w:rPr>
        <w:t>款规定提交的竣工验收申请报告后，应及时通知监理工程师核查合同工程是否具备竣工验收条件。</w:t>
      </w:r>
    </w:p>
    <w:p w14:paraId="5041D5C1">
      <w:pPr>
        <w:spacing w:line="360" w:lineRule="auto"/>
        <w:ind w:left="1619" w:leftChars="771"/>
        <w:rPr>
          <w:rFonts w:ascii="宋体"/>
          <w:color w:val="auto"/>
          <w:sz w:val="24"/>
          <w:szCs w:val="18"/>
        </w:rPr>
      </w:pPr>
      <w:r>
        <w:rPr>
          <w:rFonts w:ascii="宋体" w:hAnsi="宋体"/>
          <w:color w:val="auto"/>
          <w:sz w:val="24"/>
          <w:szCs w:val="18"/>
        </w:rPr>
        <w:t>(1</w:t>
      </w:r>
      <w:r>
        <w:rPr>
          <w:rFonts w:hint="eastAsia" w:ascii="宋体" w:hAnsi="宋体"/>
          <w:color w:val="auto"/>
          <w:sz w:val="24"/>
          <w:szCs w:val="18"/>
        </w:rPr>
        <w:t>）经核查未具备竣工验收条件的，监理工程师应在收到竣工验收申请报告后的</w:t>
      </w:r>
      <w:r>
        <w:rPr>
          <w:rFonts w:ascii="宋体" w:hAnsi="宋体"/>
          <w:color w:val="auto"/>
          <w:sz w:val="24"/>
          <w:szCs w:val="18"/>
        </w:rPr>
        <w:t>14</w:t>
      </w:r>
      <w:r>
        <w:rPr>
          <w:rFonts w:hint="eastAsia" w:ascii="宋体" w:hAnsi="宋体"/>
          <w:color w:val="auto"/>
          <w:sz w:val="24"/>
          <w:szCs w:val="18"/>
        </w:rPr>
        <w:t>天内通知承包人，指出在颁发接收证书前承包人应进一步完成的工作内容。承包人完成监理工程师通知的全部工作内容后，应再次提交竣工验收申请报告，直至监理工程师同意为止。</w:t>
      </w:r>
    </w:p>
    <w:p w14:paraId="0C48E611">
      <w:pPr>
        <w:spacing w:line="360" w:lineRule="auto"/>
        <w:ind w:left="1619" w:leftChars="771"/>
        <w:rPr>
          <w:rFonts w:ascii="宋体"/>
          <w:color w:val="auto"/>
          <w:sz w:val="24"/>
          <w:szCs w:val="18"/>
        </w:rPr>
      </w:pPr>
      <w:r>
        <w:rPr>
          <w:rFonts w:ascii="宋体" w:hAnsi="宋体"/>
          <w:color w:val="auto"/>
          <w:sz w:val="24"/>
          <w:szCs w:val="18"/>
        </w:rPr>
        <w:t>(2</w:t>
      </w:r>
      <w:r>
        <w:rPr>
          <w:rFonts w:hint="eastAsia" w:ascii="宋体" w:hAnsi="宋体"/>
          <w:color w:val="auto"/>
          <w:sz w:val="24"/>
          <w:szCs w:val="18"/>
        </w:rPr>
        <w:t>）经核查已具备竣工验收条件的，监理工程师应在收到竣工验收申请报告后的</w:t>
      </w:r>
      <w:r>
        <w:rPr>
          <w:rFonts w:ascii="宋体" w:hAnsi="宋体"/>
          <w:color w:val="auto"/>
          <w:sz w:val="24"/>
          <w:szCs w:val="18"/>
        </w:rPr>
        <w:t>14</w:t>
      </w:r>
      <w:r>
        <w:rPr>
          <w:rFonts w:hint="eastAsia" w:ascii="宋体" w:hAnsi="宋体"/>
          <w:color w:val="auto"/>
          <w:sz w:val="24"/>
          <w:szCs w:val="18"/>
        </w:rPr>
        <w:t>天内书面提请发包人组织合同工程验收。</w:t>
      </w:r>
    </w:p>
    <w:p w14:paraId="28D26FB1">
      <w:pPr>
        <w:tabs>
          <w:tab w:val="left" w:pos="1620"/>
        </w:tabs>
        <w:adjustRightInd w:val="0"/>
        <w:snapToGrid w:val="0"/>
        <w:spacing w:line="360" w:lineRule="auto"/>
        <w:rPr>
          <w:rFonts w:ascii="宋体"/>
          <w:b/>
          <w:color w:val="auto"/>
          <w:sz w:val="24"/>
          <w:szCs w:val="18"/>
        </w:rPr>
      </w:pPr>
      <w:r>
        <w:rPr>
          <w:color w:val="auto"/>
        </w:rPr>
        <mc:AlternateContent>
          <mc:Choice Requires="wps">
            <w:drawing>
              <wp:anchor distT="0" distB="0" distL="114300" distR="114300" simplePos="0" relativeHeight="251900928"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237" name="文本框 237"/>
                <wp:cNvGraphicFramePr/>
                <a:graphic xmlns:a="http://schemas.openxmlformats.org/drawingml/2006/main">
                  <a:graphicData uri="http://schemas.microsoft.com/office/word/2010/wordprocessingShape">
                    <wps:wsp>
                      <wps:cNvSpPr txBox="1"/>
                      <wps:spPr>
                        <a:xfrm>
                          <a:off x="0" y="0"/>
                          <a:ext cx="873760" cy="407670"/>
                        </a:xfrm>
                        <a:prstGeom prst="rect">
                          <a:avLst/>
                        </a:prstGeom>
                        <a:noFill/>
                        <a:ln>
                          <a:noFill/>
                        </a:ln>
                        <a:effectLst/>
                      </wps:spPr>
                      <wps:txbx>
                        <w:txbxContent>
                          <w:p w14:paraId="6DA08E61">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完成验收和确认</w:t>
                            </w:r>
                          </w:p>
                        </w:txbxContent>
                      </wps:txbx>
                      <wps:bodyPr upright="1"/>
                    </wps:wsp>
                  </a:graphicData>
                </a:graphic>
              </wp:anchor>
            </w:drawing>
          </mc:Choice>
          <mc:Fallback>
            <w:pict>
              <v:shape id="_x0000_s1026" o:spid="_x0000_s1026" o:spt="202" type="#_x0000_t202" style="position:absolute;left:0pt;margin-left:-9pt;margin-top:20.3pt;height:32.1pt;width:68.8pt;z-index:251900928;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Ans&#10;kQjWAAAACgEAAA8AAAAAAAAAAQAgAAAAIgAAAGRycy9kb3ducmV2LnhtbFBLAQIUABQAAAAIAIdO&#10;4kAQI259swEAAF8DAAAOAAAAAAAAAAEAIAAAACUBAABkcnMvZTJvRG9jLnhtbFBLBQYAAAAABgAG&#10;AFkBAABKBQAAAAA=&#10;">
                <v:fill on="f" focussize="0,0"/>
                <v:stroke on="f"/>
                <v:imagedata o:title=""/>
                <o:lock v:ext="edit" aspectratio="f"/>
                <v:textbox>
                  <w:txbxContent>
                    <w:p w14:paraId="6DA08E61">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完成验收和确认</w:t>
                      </w:r>
                    </w:p>
                  </w:txbxContent>
                </v:textbox>
              </v:shape>
            </w:pict>
          </mc:Fallback>
        </mc:AlternateContent>
      </w:r>
      <w:r>
        <w:rPr>
          <w:rFonts w:ascii="宋体" w:hAnsi="宋体"/>
          <w:b/>
          <w:color w:val="auto"/>
          <w:sz w:val="24"/>
          <w:szCs w:val="18"/>
        </w:rPr>
        <w:t xml:space="preserve">58.3 </w:t>
      </w:r>
    </w:p>
    <w:p w14:paraId="34D3A923">
      <w:pPr>
        <w:adjustRightInd w:val="0"/>
        <w:snapToGrid w:val="0"/>
        <w:spacing w:line="360" w:lineRule="auto"/>
        <w:ind w:left="1619" w:leftChars="771"/>
        <w:rPr>
          <w:rFonts w:ascii="宋体"/>
          <w:color w:val="auto"/>
          <w:sz w:val="24"/>
          <w:szCs w:val="18"/>
        </w:rPr>
      </w:pPr>
      <w:r>
        <w:rPr>
          <w:rFonts w:hint="eastAsia" w:ascii="宋体" w:hAnsi="宋体"/>
          <w:color w:val="auto"/>
          <w:sz w:val="24"/>
          <w:szCs w:val="18"/>
        </w:rPr>
        <w:t>经监理工程师按照第</w:t>
      </w:r>
      <w:r>
        <w:rPr>
          <w:rFonts w:ascii="宋体" w:hAnsi="宋体"/>
          <w:color w:val="auto"/>
          <w:sz w:val="24"/>
          <w:szCs w:val="18"/>
        </w:rPr>
        <w:t xml:space="preserve">58.2 </w:t>
      </w:r>
      <w:r>
        <w:rPr>
          <w:rFonts w:hint="eastAsia" w:ascii="宋体" w:hAnsi="宋体"/>
          <w:color w:val="auto"/>
          <w:sz w:val="24"/>
          <w:szCs w:val="18"/>
        </w:rPr>
        <w:t>款规定核查合同工程已具备竣工验收条件的，发包人应在收到监理工程师书面提请后的</w:t>
      </w:r>
      <w:r>
        <w:rPr>
          <w:rFonts w:ascii="宋体" w:hAnsi="宋体"/>
          <w:color w:val="auto"/>
          <w:sz w:val="24"/>
          <w:szCs w:val="18"/>
        </w:rPr>
        <w:t>28</w:t>
      </w:r>
      <w:r>
        <w:rPr>
          <w:rFonts w:hint="eastAsia" w:ascii="宋体" w:hAnsi="宋体"/>
          <w:color w:val="auto"/>
          <w:sz w:val="24"/>
          <w:szCs w:val="18"/>
        </w:rPr>
        <w:t>天内，根据合同约定的竣工验收标准和施工设计图纸等文件，按照第</w:t>
      </w:r>
      <w:r>
        <w:rPr>
          <w:rFonts w:ascii="宋体" w:hAnsi="宋体"/>
          <w:color w:val="auto"/>
          <w:sz w:val="24"/>
          <w:szCs w:val="18"/>
        </w:rPr>
        <w:t>19.5</w:t>
      </w:r>
      <w:r>
        <w:rPr>
          <w:rFonts w:hint="eastAsia" w:ascii="宋体" w:hAnsi="宋体"/>
          <w:color w:val="auto"/>
          <w:sz w:val="24"/>
          <w:szCs w:val="18"/>
        </w:rPr>
        <w:t>款规定组织参加验收各方完成合同工程验收，并在竣工验收后</w:t>
      </w:r>
      <w:r>
        <w:rPr>
          <w:rFonts w:ascii="宋体" w:hAnsi="宋体"/>
          <w:color w:val="auto"/>
          <w:sz w:val="24"/>
          <w:szCs w:val="18"/>
        </w:rPr>
        <w:t>14</w:t>
      </w:r>
      <w:r>
        <w:rPr>
          <w:rFonts w:hint="eastAsia" w:ascii="宋体" w:hAnsi="宋体"/>
          <w:color w:val="auto"/>
          <w:sz w:val="24"/>
          <w:szCs w:val="18"/>
        </w:rPr>
        <w:t>天内予以确认或提出修改意见。</w:t>
      </w:r>
    </w:p>
    <w:p w14:paraId="062DCF9D">
      <w:pPr>
        <w:adjustRightInd w:val="0"/>
        <w:snapToGrid w:val="0"/>
        <w:spacing w:line="360" w:lineRule="auto"/>
        <w:ind w:left="1619" w:leftChars="771"/>
        <w:rPr>
          <w:rFonts w:ascii="宋体"/>
          <w:color w:val="auto"/>
          <w:sz w:val="24"/>
          <w:szCs w:val="18"/>
        </w:rPr>
      </w:pPr>
      <w:r>
        <w:rPr>
          <w:rFonts w:hint="eastAsia" w:ascii="宋体" w:hAnsi="宋体"/>
          <w:color w:val="auto"/>
          <w:sz w:val="24"/>
          <w:szCs w:val="18"/>
        </w:rPr>
        <w:t>竣工验收完成后，承包人应及时向发包人提交竣工验收记录。竣工验收合格的，发包人及参加验收各方应及时在竣工验收记录上签字，并由监理工程师会同参加验收各方形成合同工程竣工验收报告。</w:t>
      </w:r>
    </w:p>
    <w:p w14:paraId="17794AC3">
      <w:pPr>
        <w:adjustRightInd w:val="0"/>
        <w:snapToGrid w:val="0"/>
        <w:spacing w:line="360" w:lineRule="auto"/>
        <w:ind w:left="1626" w:leftChars="1" w:hanging="1624" w:hangingChars="674"/>
        <w:rPr>
          <w:rFonts w:ascii="宋体"/>
          <w:color w:val="auto"/>
          <w:sz w:val="24"/>
          <w:szCs w:val="18"/>
        </w:rPr>
      </w:pPr>
      <w:r>
        <w:rPr>
          <w:rFonts w:ascii="宋体" w:hAnsi="宋体"/>
          <w:b/>
          <w:color w:val="auto"/>
          <w:sz w:val="24"/>
          <w:szCs w:val="18"/>
        </w:rPr>
        <w:t>58.4</w:t>
      </w:r>
    </w:p>
    <w:p w14:paraId="43AD0A35">
      <w:pPr>
        <w:adjustRightInd w:val="0"/>
        <w:snapToGrid w:val="0"/>
        <w:spacing w:line="360" w:lineRule="auto"/>
        <w:ind w:left="1619" w:leftChars="771"/>
        <w:rPr>
          <w:rFonts w:ascii="宋体"/>
          <w:color w:val="auto"/>
          <w:sz w:val="24"/>
          <w:szCs w:val="18"/>
        </w:rPr>
      </w:pPr>
      <w:r>
        <w:rPr>
          <w:color w:val="auto"/>
        </w:rPr>
        <mc:AlternateContent>
          <mc:Choice Requires="wps">
            <w:drawing>
              <wp:anchor distT="0" distB="0" distL="114300" distR="114300" simplePos="0" relativeHeight="251901952" behindDoc="0" locked="0" layoutInCell="1" allowOverlap="1">
                <wp:simplePos x="0" y="0"/>
                <wp:positionH relativeFrom="column">
                  <wp:posOffset>-114300</wp:posOffset>
                </wp:positionH>
                <wp:positionV relativeFrom="paragraph">
                  <wp:posOffset>19685</wp:posOffset>
                </wp:positionV>
                <wp:extent cx="873760" cy="451485"/>
                <wp:effectExtent l="0" t="0" r="0" b="0"/>
                <wp:wrapNone/>
                <wp:docPr id="238" name="文本框 238"/>
                <wp:cNvGraphicFramePr/>
                <a:graphic xmlns:a="http://schemas.openxmlformats.org/drawingml/2006/main">
                  <a:graphicData uri="http://schemas.microsoft.com/office/word/2010/wordprocessingShape">
                    <wps:wsp>
                      <wps:cNvSpPr txBox="1"/>
                      <wps:spPr>
                        <a:xfrm>
                          <a:off x="0" y="0"/>
                          <a:ext cx="873760" cy="451485"/>
                        </a:xfrm>
                        <a:prstGeom prst="rect">
                          <a:avLst/>
                        </a:prstGeom>
                        <a:noFill/>
                        <a:ln>
                          <a:noFill/>
                        </a:ln>
                        <a:effectLst/>
                      </wps:spPr>
                      <wps:txbx>
                        <w:txbxContent>
                          <w:p w14:paraId="2F7B2260">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组织验收的限制</w:t>
                            </w:r>
                          </w:p>
                        </w:txbxContent>
                      </wps:txbx>
                      <wps:bodyPr upright="1"/>
                    </wps:wsp>
                  </a:graphicData>
                </a:graphic>
              </wp:anchor>
            </w:drawing>
          </mc:Choice>
          <mc:Fallback>
            <w:pict>
              <v:shape id="_x0000_s1026" o:spid="_x0000_s1026" o:spt="202" type="#_x0000_t202" style="position:absolute;left:0pt;margin-left:-9pt;margin-top:1.55pt;height:35.55pt;width:68.8pt;z-index:251901952;mso-width-relative:page;mso-height-relative:page;" filled="f" stroked="f" coordsize="21600,21600" o:gfxdata="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CW1&#10;iu3WAAAACAEAAA8AAAAAAAAAAQAgAAAAIgAAAGRycy9kb3ducmV2LnhtbFBLAQIUABQAAAAIAIdO&#10;4kDvl4j3swEAAF8DAAAOAAAAAAAAAAEAIAAAACUBAABkcnMvZTJvRG9jLnhtbFBLBQYAAAAABgAG&#10;AFkBAABKBQAAAAA=&#10;">
                <v:fill on="f" focussize="0,0"/>
                <v:stroke on="f"/>
                <v:imagedata o:title=""/>
                <o:lock v:ext="edit" aspectratio="f"/>
                <v:textbox>
                  <w:txbxContent>
                    <w:p w14:paraId="2F7B2260">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组织验收的限制</w:t>
                      </w:r>
                    </w:p>
                  </w:txbxContent>
                </v:textbox>
              </v:shape>
            </w:pict>
          </mc:Fallback>
        </mc:AlternateContent>
      </w:r>
      <w:r>
        <w:rPr>
          <w:rFonts w:hint="eastAsia" w:ascii="宋体" w:hAnsi="宋体"/>
          <w:color w:val="auto"/>
          <w:sz w:val="24"/>
          <w:szCs w:val="18"/>
        </w:rPr>
        <w:t>发包人未按照第</w:t>
      </w:r>
      <w:r>
        <w:rPr>
          <w:rFonts w:ascii="宋体" w:hAnsi="宋体"/>
          <w:color w:val="auto"/>
          <w:sz w:val="24"/>
          <w:szCs w:val="18"/>
        </w:rPr>
        <w:t>58.3</w:t>
      </w:r>
      <w:r>
        <w:rPr>
          <w:rFonts w:hint="eastAsia" w:ascii="宋体" w:hAnsi="宋体"/>
          <w:color w:val="auto"/>
          <w:sz w:val="24"/>
          <w:szCs w:val="18"/>
        </w:rPr>
        <w:t>款规定完成合同工程验收，或验收后</w:t>
      </w:r>
      <w:r>
        <w:rPr>
          <w:rFonts w:ascii="宋体" w:hAnsi="宋体"/>
          <w:color w:val="auto"/>
          <w:sz w:val="24"/>
          <w:szCs w:val="18"/>
        </w:rPr>
        <w:t>14</w:t>
      </w:r>
      <w:r>
        <w:rPr>
          <w:rFonts w:hint="eastAsia" w:ascii="宋体" w:hAnsi="宋体"/>
          <w:color w:val="auto"/>
          <w:sz w:val="24"/>
          <w:szCs w:val="18"/>
        </w:rPr>
        <w:t>天内未予确认也未提出修改意见，视为承包人提交的竣工验收申请报告已被认可。</w:t>
      </w:r>
    </w:p>
    <w:p w14:paraId="33C1D66E">
      <w:pPr>
        <w:adjustRightInd w:val="0"/>
        <w:snapToGrid w:val="0"/>
        <w:spacing w:line="360" w:lineRule="auto"/>
        <w:ind w:left="1619" w:leftChars="771"/>
        <w:rPr>
          <w:rFonts w:ascii="宋体"/>
          <w:color w:val="auto"/>
          <w:sz w:val="24"/>
          <w:szCs w:val="18"/>
        </w:rPr>
      </w:pPr>
      <w:r>
        <w:rPr>
          <w:rFonts w:hint="eastAsia" w:ascii="宋体" w:hAnsi="宋体"/>
          <w:color w:val="auto"/>
          <w:sz w:val="24"/>
          <w:szCs w:val="18"/>
        </w:rPr>
        <w:t>竣工验收申请报告被认可，则表明已完成合同工程，视为竣工验收合格，但由于不可抗力事件致使发包人不能完成验收的除外。</w:t>
      </w:r>
    </w:p>
    <w:p w14:paraId="7F541D65">
      <w:pPr>
        <w:tabs>
          <w:tab w:val="left" w:pos="1620"/>
        </w:tabs>
        <w:adjustRightInd w:val="0"/>
        <w:snapToGrid w:val="0"/>
        <w:spacing w:line="360" w:lineRule="auto"/>
        <w:rPr>
          <w:rFonts w:ascii="宋体"/>
          <w:b/>
          <w:color w:val="auto"/>
          <w:sz w:val="24"/>
          <w:szCs w:val="18"/>
        </w:rPr>
      </w:pPr>
      <w:r>
        <w:rPr>
          <w:rFonts w:ascii="宋体" w:hAnsi="宋体"/>
          <w:b/>
          <w:color w:val="auto"/>
          <w:sz w:val="24"/>
          <w:szCs w:val="18"/>
        </w:rPr>
        <w:t xml:space="preserve">58.5 </w:t>
      </w:r>
    </w:p>
    <w:p w14:paraId="1858E061">
      <w:pPr>
        <w:adjustRightInd w:val="0"/>
        <w:snapToGrid w:val="0"/>
        <w:spacing w:line="360" w:lineRule="auto"/>
        <w:ind w:left="1619" w:leftChars="771"/>
        <w:rPr>
          <w:rFonts w:ascii="宋体"/>
          <w:color w:val="auto"/>
          <w:sz w:val="24"/>
          <w:szCs w:val="18"/>
        </w:rPr>
      </w:pPr>
      <w:r>
        <w:rPr>
          <w:color w:val="auto"/>
        </w:rPr>
        <mc:AlternateContent>
          <mc:Choice Requires="wps">
            <w:drawing>
              <wp:anchor distT="0" distB="0" distL="114300" distR="114300" simplePos="0" relativeHeight="251902976" behindDoc="0" locked="0" layoutInCell="1" allowOverlap="1">
                <wp:simplePos x="0" y="0"/>
                <wp:positionH relativeFrom="column">
                  <wp:posOffset>-114300</wp:posOffset>
                </wp:positionH>
                <wp:positionV relativeFrom="paragraph">
                  <wp:posOffset>19685</wp:posOffset>
                </wp:positionV>
                <wp:extent cx="914400" cy="396240"/>
                <wp:effectExtent l="0" t="0" r="0" b="0"/>
                <wp:wrapNone/>
                <wp:docPr id="239" name="文本框 23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08FCCD85">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不组织验收的责任</w:t>
                            </w:r>
                          </w:p>
                        </w:txbxContent>
                      </wps:txbx>
                      <wps:bodyPr upright="1"/>
                    </wps:wsp>
                  </a:graphicData>
                </a:graphic>
              </wp:anchor>
            </w:drawing>
          </mc:Choice>
          <mc:Fallback>
            <w:pict>
              <v:shape id="_x0000_s1026" o:spid="_x0000_s1026" o:spt="202" type="#_x0000_t202" style="position:absolute;left:0pt;margin-left:-9pt;margin-top:1.55pt;height:31.2pt;width:72pt;z-index:251902976;mso-width-relative:page;mso-height-relative:page;" filled="f" stroked="f" coordsize="21600,21600" o:gfxdata="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Kar&#10;/k3VAAAACAEAAA8AAAAAAAAAAQAgAAAAIgAAAGRycy9kb3ducmV2LnhtbFBLAQIUABQAAAAIAIdO&#10;4kC1AzdXtAEAAF8DAAAOAAAAAAAAAAEAIAAAACQBAABkcnMvZTJvRG9jLnhtbFBLBQYAAAAABgAG&#10;AFkBAABKBQAAAAA=&#10;">
                <v:fill on="f" focussize="0,0"/>
                <v:stroke on="f"/>
                <v:imagedata o:title=""/>
                <o:lock v:ext="edit" aspectratio="f"/>
                <v:textbox>
                  <w:txbxContent>
                    <w:p w14:paraId="08FCCD85">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不组织验收的责任</w:t>
                      </w:r>
                    </w:p>
                  </w:txbxContent>
                </v:textbox>
              </v:shape>
            </w:pict>
          </mc:Fallback>
        </mc:AlternateContent>
      </w:r>
      <w:r>
        <w:rPr>
          <w:rFonts w:hint="eastAsia" w:ascii="宋体" w:hAnsi="宋体"/>
          <w:color w:val="auto"/>
          <w:sz w:val="24"/>
          <w:szCs w:val="18"/>
        </w:rPr>
        <w:t>发包人未按照第</w:t>
      </w:r>
      <w:r>
        <w:rPr>
          <w:rFonts w:ascii="宋体" w:hAnsi="宋体"/>
          <w:color w:val="auto"/>
          <w:sz w:val="24"/>
          <w:szCs w:val="18"/>
        </w:rPr>
        <w:t>58.3</w:t>
      </w:r>
      <w:r>
        <w:rPr>
          <w:rFonts w:hint="eastAsia" w:ascii="宋体" w:hAnsi="宋体"/>
          <w:color w:val="auto"/>
          <w:sz w:val="24"/>
          <w:szCs w:val="18"/>
        </w:rPr>
        <w:t>款规定完成合同工程验收，从收到监理工程师书面提请后的第</w:t>
      </w:r>
      <w:r>
        <w:rPr>
          <w:rFonts w:ascii="宋体" w:hAnsi="宋体"/>
          <w:color w:val="auto"/>
          <w:sz w:val="24"/>
          <w:szCs w:val="18"/>
        </w:rPr>
        <w:t>29</w:t>
      </w:r>
      <w:r>
        <w:rPr>
          <w:rFonts w:hint="eastAsia" w:ascii="宋体" w:hAnsi="宋体"/>
          <w:color w:val="auto"/>
          <w:sz w:val="24"/>
          <w:szCs w:val="18"/>
        </w:rPr>
        <w:t>天起承担合同工程照管责任和其他一切意外责任。</w:t>
      </w:r>
    </w:p>
    <w:p w14:paraId="1E11B104">
      <w:pPr>
        <w:tabs>
          <w:tab w:val="left" w:pos="1620"/>
        </w:tabs>
        <w:adjustRightInd w:val="0"/>
        <w:snapToGrid w:val="0"/>
        <w:spacing w:line="360" w:lineRule="auto"/>
        <w:rPr>
          <w:rFonts w:ascii="宋体"/>
          <w:color w:val="auto"/>
          <w:sz w:val="24"/>
          <w:szCs w:val="18"/>
        </w:rPr>
      </w:pPr>
      <w:r>
        <w:rPr>
          <w:rFonts w:ascii="宋体" w:hAnsi="宋体"/>
          <w:b/>
          <w:color w:val="auto"/>
          <w:sz w:val="24"/>
          <w:szCs w:val="18"/>
        </w:rPr>
        <w:t>58.6</w:t>
      </w:r>
    </w:p>
    <w:p w14:paraId="16C68B11">
      <w:pPr>
        <w:spacing w:line="360" w:lineRule="auto"/>
        <w:ind w:left="1620" w:leftChars="771" w:hanging="1"/>
        <w:rPr>
          <w:rFonts w:ascii="宋体"/>
          <w:color w:val="auto"/>
          <w:sz w:val="24"/>
          <w:szCs w:val="18"/>
        </w:rPr>
      </w:pPr>
      <w:r>
        <w:rPr>
          <w:rFonts w:hint="eastAsia" w:ascii="宋体" w:hAnsi="宋体"/>
          <w:color w:val="auto"/>
          <w:sz w:val="24"/>
          <w:szCs w:val="18"/>
        </w:rPr>
        <w:t>竣工</w:t>
      </w:r>
      <w:r>
        <w:rPr>
          <w:color w:val="auto"/>
        </w:rPr>
        <mc:AlternateContent>
          <mc:Choice Requires="wps">
            <w:drawing>
              <wp:anchor distT="0" distB="0" distL="114300" distR="114300" simplePos="0" relativeHeight="251904000" behindDoc="0" locked="0" layoutInCell="1" allowOverlap="1">
                <wp:simplePos x="0" y="0"/>
                <wp:positionH relativeFrom="column">
                  <wp:posOffset>-114300</wp:posOffset>
                </wp:positionH>
                <wp:positionV relativeFrom="paragraph">
                  <wp:posOffset>4445</wp:posOffset>
                </wp:positionV>
                <wp:extent cx="914400" cy="395605"/>
                <wp:effectExtent l="0" t="0" r="0" b="0"/>
                <wp:wrapNone/>
                <wp:docPr id="240" name="文本框 240"/>
                <wp:cNvGraphicFramePr/>
                <a:graphic xmlns:a="http://schemas.openxmlformats.org/drawingml/2006/main">
                  <a:graphicData uri="http://schemas.microsoft.com/office/word/2010/wordprocessingShape">
                    <wps:wsp>
                      <wps:cNvSpPr txBox="1"/>
                      <wps:spPr>
                        <a:xfrm>
                          <a:off x="0" y="0"/>
                          <a:ext cx="914400" cy="395605"/>
                        </a:xfrm>
                        <a:prstGeom prst="rect">
                          <a:avLst/>
                        </a:prstGeom>
                        <a:noFill/>
                        <a:ln>
                          <a:noFill/>
                        </a:ln>
                        <a:effectLst/>
                      </wps:spPr>
                      <wps:txbx>
                        <w:txbxContent>
                          <w:p w14:paraId="2E2106BE">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接收工程</w:t>
                            </w:r>
                          </w:p>
                        </w:txbxContent>
                      </wps:txbx>
                      <wps:bodyPr upright="1"/>
                    </wps:wsp>
                  </a:graphicData>
                </a:graphic>
              </wp:anchor>
            </w:drawing>
          </mc:Choice>
          <mc:Fallback>
            <w:pict>
              <v:shape id="_x0000_s1026" o:spid="_x0000_s1026" o:spt="202" type="#_x0000_t202" style="position:absolute;left:0pt;margin-left:-9pt;margin-top:0.35pt;height:31.15pt;width:72pt;z-index:251904000;mso-width-relative:page;mso-height-relative:page;" filled="f" stroked="f" coordsize="21600,21600" o:gfxdata="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AkL/U&#10;AAAABwEAAA8AAAAAAAAAAQAgAAAAIgAAAGRycy9kb3ducmV2LnhtbFBLAQIUABQAAAAIAIdO4kAk&#10;LIxnsgEAAF8DAAAOAAAAAAAAAAEAIAAAACMBAABkcnMvZTJvRG9jLnhtbFBLBQYAAAAABgAGAFkB&#10;AABHBQAAAAA=&#10;">
                <v:fill on="f" focussize="0,0"/>
                <v:stroke on="f"/>
                <v:imagedata o:title=""/>
                <o:lock v:ext="edit" aspectratio="f"/>
                <v:textbox>
                  <w:txbxContent>
                    <w:p w14:paraId="2E2106BE">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接收工程</w:t>
                      </w:r>
                    </w:p>
                  </w:txbxContent>
                </v:textbox>
              </v:shape>
            </w:pict>
          </mc:Fallback>
        </mc:AlternateContent>
      </w:r>
      <w:r>
        <w:rPr>
          <w:rFonts w:hint="eastAsia" w:ascii="宋体" w:hAnsi="宋体"/>
          <w:color w:val="auto"/>
          <w:sz w:val="24"/>
          <w:szCs w:val="18"/>
        </w:rPr>
        <w:t>验收合格的，发包人应接收工程，并在收到承包人提交的竣工验收申请报告后的</w:t>
      </w:r>
      <w:r>
        <w:rPr>
          <w:rFonts w:ascii="宋体" w:hAnsi="宋体"/>
          <w:color w:val="auto"/>
          <w:sz w:val="24"/>
          <w:szCs w:val="18"/>
        </w:rPr>
        <w:t>56</w:t>
      </w:r>
      <w:r>
        <w:rPr>
          <w:rFonts w:hint="eastAsia" w:ascii="宋体" w:hAnsi="宋体"/>
          <w:color w:val="auto"/>
          <w:sz w:val="24"/>
          <w:szCs w:val="18"/>
        </w:rPr>
        <w:t>天内向承包人颁发工程接收证书。</w:t>
      </w:r>
    </w:p>
    <w:p w14:paraId="2085F379">
      <w:pPr>
        <w:spacing w:line="360" w:lineRule="auto"/>
        <w:ind w:left="1620" w:leftChars="771" w:hanging="1"/>
        <w:rPr>
          <w:rFonts w:ascii="宋体"/>
          <w:color w:val="auto"/>
          <w:sz w:val="24"/>
          <w:szCs w:val="18"/>
        </w:rPr>
      </w:pPr>
      <w:r>
        <w:rPr>
          <w:rFonts w:hint="eastAsia" w:ascii="宋体" w:hAnsi="宋体"/>
          <w:color w:val="auto"/>
          <w:sz w:val="24"/>
          <w:szCs w:val="18"/>
        </w:rPr>
        <w:t>竣工验收后，发包人同意接收工程但提出限期整修和完善要求的，发包人应缓发工程接收证书。承包人整修和完善工作完成后，监理工程师核查达到要求的，发包人应向承包人颁发工程接收证书。</w:t>
      </w:r>
    </w:p>
    <w:p w14:paraId="7B511A6F">
      <w:pPr>
        <w:spacing w:line="360" w:lineRule="auto"/>
        <w:ind w:left="1619" w:leftChars="771" w:firstLine="1"/>
        <w:rPr>
          <w:rFonts w:ascii="宋体"/>
          <w:color w:val="auto"/>
          <w:sz w:val="24"/>
          <w:szCs w:val="18"/>
        </w:rPr>
      </w:pPr>
      <w:r>
        <w:rPr>
          <w:rFonts w:hint="eastAsia" w:ascii="宋体" w:hAnsi="宋体"/>
          <w:color w:val="auto"/>
          <w:sz w:val="24"/>
          <w:szCs w:val="18"/>
        </w:rPr>
        <w:t>竣工验收后，发包人不同意接收工程的，监理工程师应按照竣工验收提出的修改意见发出指令，要求承包人对合同工程不合格部分返工重做或补救处理，并承担由此产生的费用。承包人在完成合同工程不合格部分的返工重做或补救处理后，应再次提交竣工验收申请报告。</w:t>
      </w:r>
    </w:p>
    <w:p w14:paraId="1E99EB4A">
      <w:pPr>
        <w:tabs>
          <w:tab w:val="left" w:pos="1620"/>
        </w:tabs>
        <w:adjustRightInd w:val="0"/>
        <w:snapToGrid w:val="0"/>
        <w:spacing w:line="360" w:lineRule="auto"/>
        <w:rPr>
          <w:rFonts w:ascii="宋体"/>
          <w:b/>
          <w:color w:val="auto"/>
          <w:sz w:val="24"/>
          <w:szCs w:val="18"/>
        </w:rPr>
      </w:pPr>
      <w:r>
        <w:rPr>
          <w:rFonts w:ascii="宋体" w:hAnsi="宋体"/>
          <w:b/>
          <w:color w:val="auto"/>
          <w:sz w:val="24"/>
          <w:szCs w:val="18"/>
        </w:rPr>
        <w:t xml:space="preserve">58.7 </w:t>
      </w:r>
    </w:p>
    <w:p w14:paraId="584BCDD5">
      <w:pPr>
        <w:adjustRightInd w:val="0"/>
        <w:snapToGrid w:val="0"/>
        <w:spacing w:line="360" w:lineRule="auto"/>
        <w:ind w:left="1619" w:leftChars="771"/>
        <w:rPr>
          <w:rFonts w:ascii="宋体"/>
          <w:color w:val="auto"/>
          <w:sz w:val="24"/>
          <w:szCs w:val="18"/>
        </w:rPr>
      </w:pPr>
      <w:r>
        <w:rPr>
          <w:color w:val="auto"/>
        </w:rPr>
        <mc:AlternateContent>
          <mc:Choice Requires="wps">
            <w:drawing>
              <wp:anchor distT="0" distB="0" distL="114300" distR="114300" simplePos="0" relativeHeight="251905024" behindDoc="0" locked="0" layoutInCell="1" allowOverlap="1">
                <wp:simplePos x="0" y="0"/>
                <wp:positionH relativeFrom="column">
                  <wp:posOffset>-114300</wp:posOffset>
                </wp:positionH>
                <wp:positionV relativeFrom="paragraph">
                  <wp:posOffset>4445</wp:posOffset>
                </wp:positionV>
                <wp:extent cx="914400" cy="395605"/>
                <wp:effectExtent l="0" t="0" r="0" b="0"/>
                <wp:wrapNone/>
                <wp:docPr id="241" name="文本框 241"/>
                <wp:cNvGraphicFramePr/>
                <a:graphic xmlns:a="http://schemas.openxmlformats.org/drawingml/2006/main">
                  <a:graphicData uri="http://schemas.microsoft.com/office/word/2010/wordprocessingShape">
                    <wps:wsp>
                      <wps:cNvSpPr txBox="1"/>
                      <wps:spPr>
                        <a:xfrm>
                          <a:off x="0" y="0"/>
                          <a:ext cx="914400" cy="395605"/>
                        </a:xfrm>
                        <a:prstGeom prst="rect">
                          <a:avLst/>
                        </a:prstGeom>
                        <a:noFill/>
                        <a:ln>
                          <a:noFill/>
                        </a:ln>
                        <a:effectLst/>
                      </wps:spPr>
                      <wps:txbx>
                        <w:txbxContent>
                          <w:p w14:paraId="5FA9EFAC">
                            <w:pPr>
                              <w:spacing w:line="240" w:lineRule="exact"/>
                              <w:rPr>
                                <w:rFonts w:ascii="宋体"/>
                                <w:sz w:val="18"/>
                                <w:szCs w:val="18"/>
                              </w:rPr>
                            </w:pPr>
                            <w:r>
                              <w:rPr>
                                <w:rFonts w:hint="eastAsia" w:ascii="楷体_GB2312" w:hAnsi="宋体" w:eastAsia="楷体_GB2312"/>
                                <w:b/>
                                <w:color w:val="000000"/>
                                <w:sz w:val="18"/>
                                <w:szCs w:val="18"/>
                              </w:rPr>
                              <w:t>竣工日期的写明</w:t>
                            </w:r>
                          </w:p>
                        </w:txbxContent>
                      </wps:txbx>
                      <wps:bodyPr upright="1"/>
                    </wps:wsp>
                  </a:graphicData>
                </a:graphic>
              </wp:anchor>
            </w:drawing>
          </mc:Choice>
          <mc:Fallback>
            <w:pict>
              <v:shape id="_x0000_s1026" o:spid="_x0000_s1026" o:spt="202" type="#_x0000_t202" style="position:absolute;left:0pt;margin-left:-9pt;margin-top:0.35pt;height:31.15pt;width:72pt;z-index:251905024;mso-width-relative:page;mso-height-relative:page;" filled="f" stroked="f" coordsize="21600,21600" o:gfxdata="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fgJC/&#10;1AAAAAcBAAAPAAAAAAAAAAEAIAAAACIAAABkcnMvZG93bnJldi54bWxQSwECFAAUAAAACACHTuJA&#10;uytHzbMBAABfAwAADgAAAAAAAAABACAAAAAjAQAAZHJzL2Uyb0RvYy54bWxQSwUGAAAAAAYABgBZ&#10;AQAASAUAAAAA&#10;">
                <v:fill on="f" focussize="0,0"/>
                <v:stroke on="f"/>
                <v:imagedata o:title=""/>
                <o:lock v:ext="edit" aspectratio="f"/>
                <v:textbox>
                  <w:txbxContent>
                    <w:p w14:paraId="5FA9EFAC">
                      <w:pPr>
                        <w:spacing w:line="240" w:lineRule="exact"/>
                        <w:rPr>
                          <w:rFonts w:ascii="宋体"/>
                          <w:sz w:val="18"/>
                          <w:szCs w:val="18"/>
                        </w:rPr>
                      </w:pPr>
                      <w:r>
                        <w:rPr>
                          <w:rFonts w:hint="eastAsia" w:ascii="楷体_GB2312" w:hAnsi="宋体" w:eastAsia="楷体_GB2312"/>
                          <w:b/>
                          <w:color w:val="000000"/>
                          <w:sz w:val="18"/>
                          <w:szCs w:val="18"/>
                        </w:rPr>
                        <w:t>竣工日期的写明</w:t>
                      </w:r>
                    </w:p>
                  </w:txbxContent>
                </v:textbox>
              </v:shape>
            </w:pict>
          </mc:Fallback>
        </mc:AlternateContent>
      </w:r>
      <w:r>
        <w:rPr>
          <w:rFonts w:hint="eastAsia" w:ascii="宋体" w:hAnsi="宋体"/>
          <w:color w:val="auto"/>
          <w:sz w:val="24"/>
          <w:szCs w:val="18"/>
        </w:rPr>
        <w:t>竣工验收合格的合同工程，发包人应按照第</w:t>
      </w:r>
      <w:r>
        <w:rPr>
          <w:rFonts w:ascii="宋体" w:hAnsi="宋体"/>
          <w:color w:val="auto"/>
          <w:sz w:val="24"/>
          <w:szCs w:val="18"/>
        </w:rPr>
        <w:t>38.2</w:t>
      </w:r>
      <w:r>
        <w:rPr>
          <w:rFonts w:hint="eastAsia" w:ascii="宋体" w:hAnsi="宋体"/>
          <w:color w:val="auto"/>
          <w:sz w:val="24"/>
          <w:szCs w:val="18"/>
        </w:rPr>
        <w:t>款规定在工程接收证书上写明合同工程的实际竣工日期。</w:t>
      </w:r>
    </w:p>
    <w:p w14:paraId="4B398E6C">
      <w:pPr>
        <w:tabs>
          <w:tab w:val="left" w:pos="1620"/>
        </w:tabs>
        <w:adjustRightInd w:val="0"/>
        <w:snapToGrid w:val="0"/>
        <w:spacing w:line="360" w:lineRule="auto"/>
        <w:rPr>
          <w:rFonts w:ascii="宋体"/>
          <w:b/>
          <w:color w:val="auto"/>
          <w:sz w:val="24"/>
          <w:szCs w:val="18"/>
        </w:rPr>
      </w:pPr>
      <w:r>
        <w:rPr>
          <w:rFonts w:ascii="宋体" w:hAnsi="宋体"/>
          <w:b/>
          <w:color w:val="auto"/>
          <w:sz w:val="24"/>
          <w:szCs w:val="18"/>
        </w:rPr>
        <w:t xml:space="preserve">58.8  </w:t>
      </w:r>
    </w:p>
    <w:p w14:paraId="4F8D74B6">
      <w:pPr>
        <w:adjustRightInd w:val="0"/>
        <w:snapToGrid w:val="0"/>
        <w:spacing w:line="360" w:lineRule="auto"/>
        <w:ind w:left="1619" w:leftChars="771"/>
        <w:rPr>
          <w:rFonts w:ascii="宋体"/>
          <w:color w:val="auto"/>
          <w:sz w:val="24"/>
          <w:szCs w:val="18"/>
        </w:rPr>
      </w:pPr>
      <w:r>
        <w:rPr>
          <w:color w:val="auto"/>
        </w:rPr>
        <mc:AlternateContent>
          <mc:Choice Requires="wps">
            <w:drawing>
              <wp:anchor distT="0" distB="0" distL="114300" distR="114300" simplePos="0" relativeHeight="251906048" behindDoc="0" locked="0" layoutInCell="1" allowOverlap="1">
                <wp:simplePos x="0" y="0"/>
                <wp:positionH relativeFrom="column">
                  <wp:posOffset>-114300</wp:posOffset>
                </wp:positionH>
                <wp:positionV relativeFrom="paragraph">
                  <wp:posOffset>4445</wp:posOffset>
                </wp:positionV>
                <wp:extent cx="914400" cy="1252855"/>
                <wp:effectExtent l="0" t="0" r="0" b="0"/>
                <wp:wrapNone/>
                <wp:docPr id="242" name="文本框 242"/>
                <wp:cNvGraphicFramePr/>
                <a:graphic xmlns:a="http://schemas.openxmlformats.org/drawingml/2006/main">
                  <a:graphicData uri="http://schemas.microsoft.com/office/word/2010/wordprocessingShape">
                    <wps:wsp>
                      <wps:cNvSpPr txBox="1"/>
                      <wps:spPr>
                        <a:xfrm>
                          <a:off x="0" y="0"/>
                          <a:ext cx="914400" cy="1252855"/>
                        </a:xfrm>
                        <a:prstGeom prst="rect">
                          <a:avLst/>
                        </a:prstGeom>
                        <a:noFill/>
                        <a:ln>
                          <a:noFill/>
                        </a:ln>
                        <a:effectLst/>
                      </wps:spPr>
                      <wps:txbx>
                        <w:txbxContent>
                          <w:p w14:paraId="28A12D55">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单位工程或工程部位验收</w:t>
                            </w:r>
                          </w:p>
                        </w:txbxContent>
                      </wps:txbx>
                      <wps:bodyPr upright="1"/>
                    </wps:wsp>
                  </a:graphicData>
                </a:graphic>
              </wp:anchor>
            </w:drawing>
          </mc:Choice>
          <mc:Fallback>
            <w:pict>
              <v:shape id="_x0000_s1026" o:spid="_x0000_s1026" o:spt="202" type="#_x0000_t202" style="position:absolute;left:0pt;margin-left:-9pt;margin-top:0.35pt;height:98.65pt;width:72pt;z-index:251906048;mso-width-relative:page;mso-height-relative:page;" filled="f" stroked="f" coordsize="21600,21600" o:gfxdata="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Do/c&#10;rNUAAAAIAQAADwAAAAAAAAABACAAAAAiAAAAZHJzL2Rvd25yZXYueG1sUEsBAhQAFAAAAAgAh07i&#10;QFY7B8mzAQAAYAMAAA4AAAAAAAAAAQAgAAAAJAEAAGRycy9lMm9Eb2MueG1sUEsFBgAAAAAGAAYA&#10;WQEAAEkFAAAAAA==&#10;">
                <v:fill on="f" focussize="0,0"/>
                <v:stroke on="f"/>
                <v:imagedata o:title=""/>
                <o:lock v:ext="edit" aspectratio="f"/>
                <v:textbox>
                  <w:txbxContent>
                    <w:p w14:paraId="28A12D55">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单位工程或工程部位验收</w:t>
                      </w:r>
                    </w:p>
                  </w:txbxContent>
                </v:textbox>
              </v:shape>
            </w:pict>
          </mc:Fallback>
        </mc:AlternateContent>
      </w:r>
      <w:r>
        <w:rPr>
          <w:rFonts w:hint="eastAsia" w:ascii="宋体" w:hAnsi="宋体"/>
          <w:color w:val="auto"/>
          <w:sz w:val="24"/>
          <w:szCs w:val="18"/>
        </w:rPr>
        <w:t>发包人要求某一单位工程或任一工程部位提前办理竣工验收的，应与承包人签订单位工程或工程部位竣工验收协议，作为本合同的附件。</w:t>
      </w:r>
    </w:p>
    <w:p w14:paraId="593115DD">
      <w:pPr>
        <w:spacing w:line="360" w:lineRule="auto"/>
        <w:ind w:left="1619" w:leftChars="771"/>
        <w:rPr>
          <w:rFonts w:ascii="宋体"/>
          <w:color w:val="auto"/>
          <w:sz w:val="24"/>
          <w:szCs w:val="18"/>
        </w:rPr>
      </w:pPr>
      <w:r>
        <w:rPr>
          <w:rFonts w:hint="eastAsia" w:ascii="宋体" w:hAnsi="宋体"/>
          <w:color w:val="auto"/>
          <w:sz w:val="24"/>
          <w:szCs w:val="18"/>
        </w:rPr>
        <w:t>（</w:t>
      </w:r>
      <w:r>
        <w:rPr>
          <w:rFonts w:ascii="宋体" w:hAnsi="宋体"/>
          <w:color w:val="auto"/>
          <w:sz w:val="24"/>
          <w:szCs w:val="18"/>
        </w:rPr>
        <w:t>1</w:t>
      </w:r>
      <w:r>
        <w:rPr>
          <w:rFonts w:hint="eastAsia" w:ascii="宋体" w:hAnsi="宋体"/>
          <w:color w:val="auto"/>
          <w:sz w:val="24"/>
          <w:szCs w:val="18"/>
        </w:rPr>
        <w:t>）发包人根据合同进度计划安排，在全部工程竣工前需要使用已经竣工的单位工程或工程部位时，或承包人提出经发包人同意时，可进行单位工程或工程部位验收。验收的程序可参照第</w:t>
      </w:r>
      <w:r>
        <w:rPr>
          <w:rFonts w:ascii="宋体" w:hAnsi="宋体"/>
          <w:color w:val="auto"/>
          <w:sz w:val="24"/>
          <w:szCs w:val="18"/>
        </w:rPr>
        <w:t>57</w:t>
      </w:r>
      <w:r>
        <w:rPr>
          <w:rFonts w:hint="eastAsia" w:ascii="宋体" w:hAnsi="宋体"/>
          <w:color w:val="auto"/>
          <w:sz w:val="24"/>
          <w:szCs w:val="18"/>
        </w:rPr>
        <w:t>条和本条上述相关条款规定进行。验收合格后，发包人应向承包人颁发单位工程或工程部位接收证书，并负责照管。单位工程或工程部位的验收成果和结论，作为全部工程竣工验收申请报告的附件。</w:t>
      </w:r>
    </w:p>
    <w:p w14:paraId="0FA39419">
      <w:pPr>
        <w:spacing w:line="360" w:lineRule="auto"/>
        <w:ind w:left="1619" w:leftChars="771"/>
        <w:rPr>
          <w:rFonts w:ascii="宋体"/>
          <w:color w:val="auto"/>
          <w:sz w:val="24"/>
          <w:szCs w:val="18"/>
        </w:rPr>
      </w:pPr>
      <w:r>
        <w:rPr>
          <w:rFonts w:hint="eastAsia" w:ascii="宋体" w:hAnsi="宋体"/>
          <w:color w:val="auto"/>
          <w:sz w:val="24"/>
          <w:szCs w:val="18"/>
        </w:rPr>
        <w:t>（</w:t>
      </w:r>
      <w:r>
        <w:rPr>
          <w:rFonts w:ascii="宋体" w:hAnsi="宋体"/>
          <w:color w:val="auto"/>
          <w:sz w:val="24"/>
          <w:szCs w:val="18"/>
        </w:rPr>
        <w:t>2</w:t>
      </w:r>
      <w:r>
        <w:rPr>
          <w:rFonts w:hint="eastAsia" w:ascii="宋体" w:hAnsi="宋体"/>
          <w:color w:val="auto"/>
          <w:sz w:val="24"/>
          <w:szCs w:val="18"/>
        </w:rPr>
        <w:t>）发包人在全部工程竣工前，使用已接收的单位工程或工程部位导致承包人费用增加的，发包人应承担由此增加的费用和（或）延误的工期，并向承包人支付合理利润。</w:t>
      </w:r>
    </w:p>
    <w:p w14:paraId="01D14F11">
      <w:pPr>
        <w:adjustRightInd w:val="0"/>
        <w:snapToGrid w:val="0"/>
        <w:spacing w:line="360" w:lineRule="auto"/>
        <w:rPr>
          <w:rFonts w:ascii="宋体"/>
          <w:b/>
          <w:color w:val="auto"/>
          <w:sz w:val="24"/>
          <w:szCs w:val="18"/>
        </w:rPr>
      </w:pPr>
      <w:r>
        <w:rPr>
          <w:rFonts w:ascii="宋体" w:hAnsi="宋体"/>
          <w:b/>
          <w:color w:val="auto"/>
          <w:sz w:val="24"/>
          <w:szCs w:val="18"/>
        </w:rPr>
        <w:t xml:space="preserve">58.9  </w:t>
      </w:r>
    </w:p>
    <w:p w14:paraId="385D83D6">
      <w:pPr>
        <w:spacing w:line="360" w:lineRule="auto"/>
        <w:ind w:left="1619" w:leftChars="771"/>
        <w:rPr>
          <w:rFonts w:ascii="宋体"/>
          <w:color w:val="auto"/>
          <w:sz w:val="24"/>
          <w:szCs w:val="18"/>
        </w:rPr>
      </w:pPr>
      <w:r>
        <w:rPr>
          <w:color w:val="auto"/>
        </w:rPr>
        <mc:AlternateContent>
          <mc:Choice Requires="wps">
            <w:drawing>
              <wp:anchor distT="0" distB="0" distL="114300" distR="114300" simplePos="0" relativeHeight="251907072"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243" name="文本框 243"/>
                <wp:cNvGraphicFramePr/>
                <a:graphic xmlns:a="http://schemas.openxmlformats.org/drawingml/2006/main">
                  <a:graphicData uri="http://schemas.microsoft.com/office/word/2010/wordprocessingShape">
                    <wps:wsp>
                      <wps:cNvSpPr txBox="1"/>
                      <wps:spPr>
                        <a:xfrm>
                          <a:off x="0" y="0"/>
                          <a:ext cx="914400" cy="590550"/>
                        </a:xfrm>
                        <a:prstGeom prst="rect">
                          <a:avLst/>
                        </a:prstGeom>
                        <a:noFill/>
                        <a:ln>
                          <a:noFill/>
                        </a:ln>
                        <a:effectLst/>
                      </wps:spPr>
                      <wps:txbx>
                        <w:txbxContent>
                          <w:p w14:paraId="7B08B90F">
                            <w:pPr>
                              <w:spacing w:line="240" w:lineRule="exact"/>
                              <w:rPr>
                                <w:rFonts w:ascii="楷体_GB2312" w:hAnsi="宋体" w:eastAsia="楷体_GB2312"/>
                                <w:sz w:val="18"/>
                                <w:szCs w:val="18"/>
                              </w:rPr>
                            </w:pPr>
                            <w:r>
                              <w:rPr>
                                <w:rFonts w:hint="eastAsia" w:ascii="楷体_GB2312" w:hAnsi="宋体" w:eastAsia="楷体_GB2312"/>
                                <w:b/>
                                <w:color w:val="000000"/>
                                <w:sz w:val="18"/>
                                <w:szCs w:val="18"/>
                              </w:rPr>
                              <w:t>施工期运行</w:t>
                            </w:r>
                          </w:p>
                        </w:txbxContent>
                      </wps:txbx>
                      <wps:bodyPr upright="1"/>
                    </wps:wsp>
                  </a:graphicData>
                </a:graphic>
              </wp:anchor>
            </w:drawing>
          </mc:Choice>
          <mc:Fallback>
            <w:pict>
              <v:shape id="_x0000_s1026" o:spid="_x0000_s1026" o:spt="202" type="#_x0000_t202" style="position:absolute;left:0pt;margin-left:-9pt;margin-top:0.3pt;height:46.5pt;width:72pt;z-index:251907072;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t9Ap&#10;+9QAAAAHAQAADwAAAAAAAAABACAAAAAiAAAAZHJzL2Rvd25yZXYueG1sUEsBAhQAFAAAAAgAh07i&#10;QJlsJv20AQAAXwMAAA4AAAAAAAAAAQAgAAAAIwEAAGRycy9lMm9Eb2MueG1sUEsFBgAAAAAGAAYA&#10;WQEAAEkFAAAAAA==&#10;">
                <v:fill on="f" focussize="0,0"/>
                <v:stroke on="f"/>
                <v:imagedata o:title=""/>
                <o:lock v:ext="edit" aspectratio="f"/>
                <v:textbox>
                  <w:txbxContent>
                    <w:p w14:paraId="7B08B90F">
                      <w:pPr>
                        <w:spacing w:line="240" w:lineRule="exact"/>
                        <w:rPr>
                          <w:rFonts w:ascii="楷体_GB2312" w:hAnsi="宋体" w:eastAsia="楷体_GB2312"/>
                          <w:sz w:val="18"/>
                          <w:szCs w:val="18"/>
                        </w:rPr>
                      </w:pPr>
                      <w:r>
                        <w:rPr>
                          <w:rFonts w:hint="eastAsia" w:ascii="楷体_GB2312" w:hAnsi="宋体" w:eastAsia="楷体_GB2312"/>
                          <w:b/>
                          <w:color w:val="000000"/>
                          <w:sz w:val="18"/>
                          <w:szCs w:val="18"/>
                        </w:rPr>
                        <w:t>施工期运行</w:t>
                      </w:r>
                    </w:p>
                  </w:txbxContent>
                </v:textbox>
              </v:shape>
            </w:pict>
          </mc:Fallback>
        </mc:AlternateContent>
      </w:r>
      <w:r>
        <w:rPr>
          <w:rFonts w:hint="eastAsia" w:ascii="宋体" w:hAnsi="宋体"/>
          <w:color w:val="auto"/>
          <w:sz w:val="24"/>
          <w:szCs w:val="18"/>
        </w:rPr>
        <w:t>合同工程尚未全部竣工（其中某项或某几项单位工程或工程部位已竣工），根据合同约定需要在施工期运行的，应由发包人按照第</w:t>
      </w:r>
      <w:r>
        <w:rPr>
          <w:rFonts w:ascii="宋体" w:hAnsi="宋体"/>
          <w:color w:val="auto"/>
          <w:sz w:val="24"/>
          <w:szCs w:val="18"/>
        </w:rPr>
        <w:t>58.8</w:t>
      </w:r>
      <w:r>
        <w:rPr>
          <w:rFonts w:hint="eastAsia" w:ascii="宋体" w:hAnsi="宋体"/>
          <w:color w:val="auto"/>
          <w:sz w:val="24"/>
          <w:szCs w:val="18"/>
        </w:rPr>
        <w:t>款规定验收合格，并确保安全后，才能投入施工期运行。</w:t>
      </w:r>
    </w:p>
    <w:p w14:paraId="5EBD8E14">
      <w:pPr>
        <w:spacing w:line="360" w:lineRule="auto"/>
        <w:ind w:left="1619" w:leftChars="771"/>
        <w:rPr>
          <w:rFonts w:ascii="宋体"/>
          <w:color w:val="auto"/>
          <w:sz w:val="24"/>
          <w:szCs w:val="18"/>
        </w:rPr>
      </w:pPr>
      <w:r>
        <w:rPr>
          <w:rFonts w:hint="eastAsia" w:ascii="宋体" w:hAnsi="宋体"/>
          <w:color w:val="auto"/>
          <w:sz w:val="24"/>
          <w:szCs w:val="18"/>
        </w:rPr>
        <w:t>在施工期运行中，发现单位工程或工程部位存在缺陷或损坏的，由承包人按照第</w:t>
      </w:r>
      <w:r>
        <w:rPr>
          <w:rFonts w:ascii="宋体" w:hAnsi="宋体"/>
          <w:color w:val="auto"/>
          <w:sz w:val="24"/>
          <w:szCs w:val="18"/>
        </w:rPr>
        <w:t>59.3</w:t>
      </w:r>
      <w:r>
        <w:rPr>
          <w:rFonts w:hint="eastAsia" w:ascii="宋体" w:hAnsi="宋体"/>
          <w:color w:val="auto"/>
          <w:sz w:val="24"/>
          <w:szCs w:val="18"/>
        </w:rPr>
        <w:t>款规定进行修复。</w:t>
      </w:r>
    </w:p>
    <w:p w14:paraId="4828D715">
      <w:pPr>
        <w:adjustRightInd w:val="0"/>
        <w:snapToGrid w:val="0"/>
        <w:spacing w:line="360" w:lineRule="auto"/>
        <w:rPr>
          <w:rFonts w:ascii="宋体"/>
          <w:b/>
          <w:color w:val="auto"/>
          <w:sz w:val="24"/>
          <w:szCs w:val="18"/>
        </w:rPr>
      </w:pPr>
      <w:r>
        <w:rPr>
          <w:rFonts w:ascii="宋体" w:hAnsi="宋体"/>
          <w:b/>
          <w:color w:val="auto"/>
          <w:sz w:val="24"/>
          <w:szCs w:val="18"/>
        </w:rPr>
        <w:t xml:space="preserve">58.10  </w:t>
      </w:r>
    </w:p>
    <w:p w14:paraId="20C6601D">
      <w:pPr>
        <w:spacing w:line="360" w:lineRule="auto"/>
        <w:ind w:left="1619" w:leftChars="771"/>
        <w:rPr>
          <w:rFonts w:ascii="宋体"/>
          <w:color w:val="auto"/>
          <w:sz w:val="24"/>
          <w:szCs w:val="18"/>
        </w:rPr>
      </w:pPr>
      <w:r>
        <w:rPr>
          <w:color w:val="auto"/>
        </w:rPr>
        <mc:AlternateContent>
          <mc:Choice Requires="wps">
            <w:drawing>
              <wp:anchor distT="0" distB="0" distL="114300" distR="114300" simplePos="0" relativeHeight="251908096"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244" name="文本框 244"/>
                <wp:cNvGraphicFramePr/>
                <a:graphic xmlns:a="http://schemas.openxmlformats.org/drawingml/2006/main">
                  <a:graphicData uri="http://schemas.microsoft.com/office/word/2010/wordprocessingShape">
                    <wps:wsp>
                      <wps:cNvSpPr txBox="1"/>
                      <wps:spPr>
                        <a:xfrm>
                          <a:off x="0" y="0"/>
                          <a:ext cx="914400" cy="590550"/>
                        </a:xfrm>
                        <a:prstGeom prst="rect">
                          <a:avLst/>
                        </a:prstGeom>
                        <a:noFill/>
                        <a:ln>
                          <a:noFill/>
                        </a:ln>
                        <a:effectLst/>
                      </wps:spPr>
                      <wps:txbx>
                        <w:txbxContent>
                          <w:p w14:paraId="04E8E62F">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竣工清场</w:t>
                            </w:r>
                          </w:p>
                        </w:txbxContent>
                      </wps:txbx>
                      <wps:bodyPr upright="1"/>
                    </wps:wsp>
                  </a:graphicData>
                </a:graphic>
              </wp:anchor>
            </w:drawing>
          </mc:Choice>
          <mc:Fallback>
            <w:pict>
              <v:shape id="_x0000_s1026" o:spid="_x0000_s1026" o:spt="202" type="#_x0000_t202" style="position:absolute;left:0pt;margin-left:-9pt;margin-top:0.3pt;height:46.5pt;width:72pt;z-index:251908096;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30Cn7&#10;1AAAAAcBAAAPAAAAAAAAAAEAIAAAACIAAABkcnMvZG93bnJldi54bWxQSwECFAAUAAAACACHTuJA&#10;xna1H7MBAABfAwAADgAAAAAAAAABACAAAAAjAQAAZHJzL2Uyb0RvYy54bWxQSwUGAAAAAAYABgBZ&#10;AQAASAUAAAAA&#10;">
                <v:fill on="f" focussize="0,0"/>
                <v:stroke on="f"/>
                <v:imagedata o:title=""/>
                <o:lock v:ext="edit" aspectratio="f"/>
                <v:textbox>
                  <w:txbxContent>
                    <w:p w14:paraId="04E8E62F">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竣工清场</w:t>
                      </w:r>
                    </w:p>
                  </w:txbxContent>
                </v:textbox>
              </v:shape>
            </w:pict>
          </mc:Fallback>
        </mc:AlternateContent>
      </w:r>
      <w:r>
        <w:rPr>
          <w:rFonts w:hint="eastAsia" w:ascii="宋体" w:hAnsi="宋体"/>
          <w:color w:val="auto"/>
          <w:sz w:val="24"/>
          <w:szCs w:val="18"/>
        </w:rPr>
        <w:t>专用条款没有约定的，工程接收证书颁发后，承包人应按照下列要求对施工场地进行清理，直至监理工程师检验合格为止。竣工清场费用由承包人承担。</w:t>
      </w:r>
    </w:p>
    <w:p w14:paraId="755533DB">
      <w:pPr>
        <w:spacing w:line="360" w:lineRule="auto"/>
        <w:ind w:firstLine="1620" w:firstLineChars="675"/>
        <w:rPr>
          <w:rFonts w:ascii="宋体"/>
          <w:color w:val="auto"/>
          <w:sz w:val="24"/>
          <w:szCs w:val="18"/>
        </w:rPr>
      </w:pPr>
      <w:r>
        <w:rPr>
          <w:rFonts w:hint="eastAsia" w:ascii="宋体" w:hAnsi="宋体"/>
          <w:color w:val="auto"/>
          <w:sz w:val="24"/>
          <w:szCs w:val="18"/>
        </w:rPr>
        <w:t>（</w:t>
      </w:r>
      <w:r>
        <w:rPr>
          <w:rFonts w:ascii="宋体" w:hAnsi="宋体"/>
          <w:color w:val="auto"/>
          <w:sz w:val="24"/>
          <w:szCs w:val="18"/>
        </w:rPr>
        <w:t>1</w:t>
      </w:r>
      <w:r>
        <w:rPr>
          <w:rFonts w:hint="eastAsia" w:ascii="宋体" w:hAnsi="宋体"/>
          <w:color w:val="auto"/>
          <w:sz w:val="24"/>
          <w:szCs w:val="18"/>
        </w:rPr>
        <w:t>）施工场地内残留的垃圾已全部清除出场；</w:t>
      </w:r>
    </w:p>
    <w:p w14:paraId="625CDDB3">
      <w:pPr>
        <w:spacing w:line="360" w:lineRule="auto"/>
        <w:ind w:firstLine="1620" w:firstLineChars="675"/>
        <w:rPr>
          <w:rFonts w:ascii="宋体"/>
          <w:color w:val="auto"/>
          <w:sz w:val="24"/>
          <w:szCs w:val="18"/>
        </w:rPr>
      </w:pPr>
      <w:r>
        <w:rPr>
          <w:rFonts w:hint="eastAsia" w:ascii="宋体" w:hAnsi="宋体"/>
          <w:color w:val="auto"/>
          <w:sz w:val="24"/>
          <w:szCs w:val="18"/>
        </w:rPr>
        <w:t>（</w:t>
      </w:r>
      <w:r>
        <w:rPr>
          <w:rFonts w:ascii="宋体" w:hAnsi="宋体"/>
          <w:color w:val="auto"/>
          <w:sz w:val="24"/>
          <w:szCs w:val="18"/>
        </w:rPr>
        <w:t>2</w:t>
      </w:r>
      <w:r>
        <w:rPr>
          <w:rFonts w:hint="eastAsia" w:ascii="宋体" w:hAnsi="宋体"/>
          <w:color w:val="auto"/>
          <w:sz w:val="24"/>
          <w:szCs w:val="18"/>
        </w:rPr>
        <w:t>）临时设施已拆除，场地已按照合同要求进行清理、平整或复原；</w:t>
      </w:r>
    </w:p>
    <w:p w14:paraId="40FFEF67">
      <w:pPr>
        <w:spacing w:line="360" w:lineRule="auto"/>
        <w:ind w:left="1619" w:leftChars="771"/>
        <w:rPr>
          <w:rFonts w:ascii="宋体"/>
          <w:color w:val="auto"/>
          <w:sz w:val="24"/>
          <w:szCs w:val="18"/>
        </w:rPr>
      </w:pPr>
      <w:r>
        <w:rPr>
          <w:rFonts w:hint="eastAsia" w:ascii="宋体" w:hAnsi="宋体"/>
          <w:color w:val="auto"/>
          <w:sz w:val="24"/>
          <w:szCs w:val="18"/>
        </w:rPr>
        <w:t>（</w:t>
      </w:r>
      <w:r>
        <w:rPr>
          <w:rFonts w:ascii="宋体" w:hAnsi="宋体"/>
          <w:color w:val="auto"/>
          <w:sz w:val="24"/>
          <w:szCs w:val="18"/>
        </w:rPr>
        <w:t>3</w:t>
      </w:r>
      <w:r>
        <w:rPr>
          <w:rFonts w:hint="eastAsia" w:ascii="宋体" w:hAnsi="宋体"/>
          <w:color w:val="auto"/>
          <w:sz w:val="24"/>
          <w:szCs w:val="18"/>
        </w:rPr>
        <w:t>）按照合同约定应撤离的承包人设备和剩余的材料，包括废弃的施工设备和材料，已按照计划撤离施工场地；</w:t>
      </w:r>
    </w:p>
    <w:p w14:paraId="05F6E3D8">
      <w:pPr>
        <w:spacing w:line="360" w:lineRule="auto"/>
        <w:ind w:left="1619" w:leftChars="771"/>
        <w:rPr>
          <w:rFonts w:ascii="宋体"/>
          <w:color w:val="auto"/>
          <w:sz w:val="24"/>
          <w:szCs w:val="18"/>
        </w:rPr>
      </w:pPr>
      <w:r>
        <w:rPr>
          <w:rFonts w:hint="eastAsia" w:ascii="宋体" w:hAnsi="宋体"/>
          <w:color w:val="auto"/>
          <w:sz w:val="24"/>
          <w:szCs w:val="18"/>
        </w:rPr>
        <w:t>（</w:t>
      </w:r>
      <w:r>
        <w:rPr>
          <w:rFonts w:ascii="宋体" w:hAnsi="宋体"/>
          <w:color w:val="auto"/>
          <w:sz w:val="24"/>
          <w:szCs w:val="18"/>
        </w:rPr>
        <w:t>4</w:t>
      </w:r>
      <w:r>
        <w:rPr>
          <w:rFonts w:hint="eastAsia" w:ascii="宋体" w:hAnsi="宋体"/>
          <w:color w:val="auto"/>
          <w:sz w:val="24"/>
          <w:szCs w:val="18"/>
        </w:rPr>
        <w:t>）建筑物周边及其附近道路、河道的施工堆积物，已按照监理工程师指令全部清理；</w:t>
      </w:r>
    </w:p>
    <w:p w14:paraId="6189BB2A">
      <w:pPr>
        <w:spacing w:line="360" w:lineRule="auto"/>
        <w:ind w:firstLine="1620" w:firstLineChars="675"/>
        <w:rPr>
          <w:rFonts w:ascii="宋体"/>
          <w:color w:val="auto"/>
          <w:sz w:val="24"/>
          <w:szCs w:val="18"/>
        </w:rPr>
      </w:pPr>
      <w:r>
        <w:rPr>
          <w:rFonts w:hint="eastAsia" w:ascii="宋体" w:hAnsi="宋体"/>
          <w:color w:val="auto"/>
          <w:sz w:val="24"/>
          <w:szCs w:val="18"/>
        </w:rPr>
        <w:t>（</w:t>
      </w:r>
      <w:r>
        <w:rPr>
          <w:rFonts w:ascii="宋体" w:hAnsi="宋体"/>
          <w:color w:val="auto"/>
          <w:sz w:val="24"/>
          <w:szCs w:val="18"/>
        </w:rPr>
        <w:t>5</w:t>
      </w:r>
      <w:r>
        <w:rPr>
          <w:rFonts w:hint="eastAsia" w:ascii="宋体" w:hAnsi="宋体"/>
          <w:color w:val="auto"/>
          <w:sz w:val="24"/>
          <w:szCs w:val="18"/>
        </w:rPr>
        <w:t>）监理工程师指令的其他场地清理工作已全部完成。</w:t>
      </w:r>
    </w:p>
    <w:p w14:paraId="32AA1FB3">
      <w:pPr>
        <w:spacing w:line="360" w:lineRule="auto"/>
        <w:ind w:left="1619" w:leftChars="771"/>
        <w:rPr>
          <w:rFonts w:ascii="宋体"/>
          <w:color w:val="auto"/>
          <w:sz w:val="24"/>
          <w:szCs w:val="18"/>
        </w:rPr>
      </w:pPr>
      <w:r>
        <w:rPr>
          <w:rFonts w:hint="eastAsia" w:ascii="宋体" w:hAnsi="宋体"/>
          <w:color w:val="auto"/>
          <w:sz w:val="24"/>
          <w:szCs w:val="18"/>
        </w:rPr>
        <w:t>如承包人未按照监理工程师的要求恢复临时占地，或者场地清理未达到合同约定的，发包人可自行或委托第三方恢复或清理，所发生的费用从应支付或将支付给承包人的款项中扣除。</w:t>
      </w:r>
    </w:p>
    <w:p w14:paraId="0E06C0E0">
      <w:pPr>
        <w:adjustRightInd w:val="0"/>
        <w:snapToGrid w:val="0"/>
        <w:spacing w:line="360" w:lineRule="auto"/>
        <w:rPr>
          <w:rFonts w:ascii="宋体"/>
          <w:b/>
          <w:color w:val="auto"/>
          <w:sz w:val="24"/>
          <w:szCs w:val="18"/>
        </w:rPr>
      </w:pPr>
      <w:r>
        <w:rPr>
          <w:rFonts w:ascii="宋体" w:hAnsi="宋体"/>
          <w:b/>
          <w:color w:val="auto"/>
          <w:sz w:val="24"/>
          <w:szCs w:val="18"/>
        </w:rPr>
        <w:t xml:space="preserve">58.11 </w:t>
      </w:r>
    </w:p>
    <w:p w14:paraId="1E388642">
      <w:pPr>
        <w:spacing w:line="360" w:lineRule="auto"/>
        <w:ind w:left="1619" w:leftChars="771"/>
        <w:rPr>
          <w:rFonts w:ascii="宋体"/>
          <w:color w:val="auto"/>
          <w:sz w:val="24"/>
          <w:szCs w:val="18"/>
        </w:rPr>
      </w:pPr>
      <w:r>
        <w:rPr>
          <w:color w:val="auto"/>
        </w:rPr>
        <mc:AlternateContent>
          <mc:Choice Requires="wps">
            <w:drawing>
              <wp:anchor distT="0" distB="0" distL="114300" distR="114300" simplePos="0" relativeHeight="251909120"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245" name="文本框 245"/>
                <wp:cNvGraphicFramePr/>
                <a:graphic xmlns:a="http://schemas.openxmlformats.org/drawingml/2006/main">
                  <a:graphicData uri="http://schemas.microsoft.com/office/word/2010/wordprocessingShape">
                    <wps:wsp>
                      <wps:cNvSpPr txBox="1"/>
                      <wps:spPr>
                        <a:xfrm>
                          <a:off x="0" y="0"/>
                          <a:ext cx="914400" cy="590550"/>
                        </a:xfrm>
                        <a:prstGeom prst="rect">
                          <a:avLst/>
                        </a:prstGeom>
                        <a:noFill/>
                        <a:ln>
                          <a:noFill/>
                        </a:ln>
                        <a:effectLst/>
                      </wps:spPr>
                      <wps:txbx>
                        <w:txbxContent>
                          <w:p w14:paraId="3667F65A">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施工队伍的撤离</w:t>
                            </w:r>
                          </w:p>
                        </w:txbxContent>
                      </wps:txbx>
                      <wps:bodyPr upright="1"/>
                    </wps:wsp>
                  </a:graphicData>
                </a:graphic>
              </wp:anchor>
            </w:drawing>
          </mc:Choice>
          <mc:Fallback>
            <w:pict>
              <v:shape id="_x0000_s1026" o:spid="_x0000_s1026" o:spt="202" type="#_x0000_t202" style="position:absolute;left:0pt;margin-left:-9pt;margin-top:0.3pt;height:46.5pt;width:72pt;z-index:251909120;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30Cn7&#10;1AAAAAcBAAAPAAAAAAAAAAEAIAAAACIAAABkcnMvZG93bnJldi54bWxQSwECFAAUAAAACACHTuJA&#10;WXF+tbMBAABfAwAADgAAAAAAAAABACAAAAAjAQAAZHJzL2Uyb0RvYy54bWxQSwUGAAAAAAYABgBZ&#10;AQAASAUAAAAA&#10;">
                <v:fill on="f" focussize="0,0"/>
                <v:stroke on="f"/>
                <v:imagedata o:title=""/>
                <o:lock v:ext="edit" aspectratio="f"/>
                <v:textbox>
                  <w:txbxContent>
                    <w:p w14:paraId="3667F65A">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施工队伍的撤离</w:t>
                      </w:r>
                    </w:p>
                  </w:txbxContent>
                </v:textbox>
              </v:shape>
            </w:pict>
          </mc:Fallback>
        </mc:AlternateContent>
      </w:r>
      <w:r>
        <w:rPr>
          <w:rFonts w:hint="eastAsia" w:ascii="宋体" w:hAnsi="宋体"/>
          <w:color w:val="auto"/>
          <w:sz w:val="24"/>
          <w:szCs w:val="18"/>
        </w:rPr>
        <w:t>工程接收证书颁发后的</w:t>
      </w:r>
      <w:r>
        <w:rPr>
          <w:rFonts w:ascii="宋体" w:hAnsi="宋体"/>
          <w:color w:val="auto"/>
          <w:sz w:val="24"/>
          <w:szCs w:val="18"/>
        </w:rPr>
        <w:t>56</w:t>
      </w:r>
      <w:r>
        <w:rPr>
          <w:rFonts w:hint="eastAsia" w:ascii="宋体" w:hAnsi="宋体"/>
          <w:color w:val="auto"/>
          <w:sz w:val="24"/>
          <w:szCs w:val="18"/>
        </w:rPr>
        <w:t>天内，除经监理工程师同意需在缺陷责任期内继续工作的人员、使用的施工设备和临时设施外，其余的人员、施工设备和临时设备均应撤离施工场地或拆除。除专用条款另有约定外，缺陷责任期满时，承包人的人员和施工设备应全部撤离施工场地。</w:t>
      </w:r>
    </w:p>
    <w:p w14:paraId="14809C96">
      <w:pPr>
        <w:tabs>
          <w:tab w:val="left" w:pos="1620"/>
        </w:tabs>
        <w:adjustRightInd w:val="0"/>
        <w:snapToGrid w:val="0"/>
        <w:spacing w:line="360" w:lineRule="auto"/>
        <w:rPr>
          <w:rFonts w:ascii="宋体"/>
          <w:color w:val="auto"/>
          <w:sz w:val="24"/>
          <w:szCs w:val="18"/>
        </w:rPr>
      </w:pPr>
      <w:r>
        <w:rPr>
          <w:color w:val="auto"/>
        </w:rPr>
        <mc:AlternateContent>
          <mc:Choice Requires="wps">
            <w:drawing>
              <wp:anchor distT="0" distB="0" distL="114300" distR="114300" simplePos="0" relativeHeight="251910144" behindDoc="0" locked="0" layoutInCell="1" allowOverlap="1">
                <wp:simplePos x="0" y="0"/>
                <wp:positionH relativeFrom="column">
                  <wp:posOffset>-66675</wp:posOffset>
                </wp:positionH>
                <wp:positionV relativeFrom="paragraph">
                  <wp:posOffset>299085</wp:posOffset>
                </wp:positionV>
                <wp:extent cx="914400" cy="591185"/>
                <wp:effectExtent l="0" t="0" r="0" b="0"/>
                <wp:wrapNone/>
                <wp:docPr id="246" name="文本框 246"/>
                <wp:cNvGraphicFramePr/>
                <a:graphic xmlns:a="http://schemas.openxmlformats.org/drawingml/2006/main">
                  <a:graphicData uri="http://schemas.microsoft.com/office/word/2010/wordprocessingShape">
                    <wps:wsp>
                      <wps:cNvSpPr txBox="1"/>
                      <wps:spPr>
                        <a:xfrm>
                          <a:off x="0" y="0"/>
                          <a:ext cx="914400" cy="591185"/>
                        </a:xfrm>
                        <a:prstGeom prst="rect">
                          <a:avLst/>
                        </a:prstGeom>
                        <a:noFill/>
                        <a:ln>
                          <a:noFill/>
                        </a:ln>
                        <a:effectLst/>
                      </wps:spPr>
                      <wps:txbx>
                        <w:txbxContent>
                          <w:p w14:paraId="20BBD037">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使用未验收或验收未通过工程的责任</w:t>
                            </w:r>
                          </w:p>
                        </w:txbxContent>
                      </wps:txbx>
                      <wps:bodyPr upright="1"/>
                    </wps:wsp>
                  </a:graphicData>
                </a:graphic>
              </wp:anchor>
            </w:drawing>
          </mc:Choice>
          <mc:Fallback>
            <w:pict>
              <v:shape id="_x0000_s1026" o:spid="_x0000_s1026" o:spt="202" type="#_x0000_t202" style="position:absolute;left:0pt;margin-left:-5.25pt;margin-top:23.55pt;height:46.55pt;width:72pt;z-index:251910144;mso-width-relative:page;mso-height-relative:page;" filled="f" stroked="f" coordsize="21600,21600" o:gfxdata="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U&#10;acUR1wAAAAoBAAAPAAAAAAAAAAEAIAAAACIAAABkcnMvZG93bnJldi54bWxQSwECFAAUAAAACACH&#10;TuJAr3/daLMBAABfAwAADgAAAAAAAAABACAAAAAmAQAAZHJzL2Uyb0RvYy54bWxQSwUGAAAAAAYA&#10;BgBZAQAASwUAAAAA&#10;">
                <v:fill on="f" focussize="0,0"/>
                <v:stroke on="f"/>
                <v:imagedata o:title=""/>
                <o:lock v:ext="edit" aspectratio="f"/>
                <v:textbox>
                  <w:txbxContent>
                    <w:p w14:paraId="20BBD037">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使用未验收或验收未通过工程的责任</w:t>
                      </w:r>
                    </w:p>
                  </w:txbxContent>
                </v:textbox>
              </v:shape>
            </w:pict>
          </mc:Fallback>
        </mc:AlternateContent>
      </w:r>
      <w:r>
        <w:rPr>
          <w:rFonts w:ascii="宋体" w:hAnsi="宋体"/>
          <w:b/>
          <w:color w:val="auto"/>
          <w:sz w:val="24"/>
          <w:szCs w:val="18"/>
        </w:rPr>
        <w:t>58.12</w:t>
      </w:r>
    </w:p>
    <w:p w14:paraId="70216FF0">
      <w:pPr>
        <w:pStyle w:val="12"/>
        <w:adjustRightInd w:val="0"/>
        <w:snapToGrid w:val="0"/>
        <w:ind w:left="1619" w:leftChars="771"/>
        <w:rPr>
          <w:color w:val="auto"/>
        </w:rPr>
      </w:pPr>
      <w:r>
        <w:rPr>
          <w:rFonts w:hint="eastAsia" w:ascii="宋体"/>
          <w:color w:val="auto"/>
          <w:szCs w:val="18"/>
        </w:rPr>
        <w:t>合同工程未经竣工验收或竣工验收不合格的，发包人不得使用。发包人强行使用的，由此发生的质量问题及其他问题，由发包人承担责任。</w:t>
      </w:r>
    </w:p>
    <w:p w14:paraId="3A090C6C">
      <w:pPr>
        <w:tabs>
          <w:tab w:val="left" w:pos="1620"/>
        </w:tabs>
        <w:adjustRightInd w:val="0"/>
        <w:snapToGrid w:val="0"/>
        <w:spacing w:line="360" w:lineRule="auto"/>
        <w:rPr>
          <w:rFonts w:ascii="宋体"/>
          <w:b/>
          <w:color w:val="auto"/>
          <w:sz w:val="24"/>
          <w:szCs w:val="18"/>
        </w:rPr>
      </w:pPr>
      <w:r>
        <w:rPr>
          <w:rFonts w:ascii="宋体" w:hAnsi="宋体"/>
          <w:b/>
          <w:color w:val="auto"/>
          <w:sz w:val="24"/>
          <w:szCs w:val="18"/>
        </w:rPr>
        <w:t xml:space="preserve">58.13 </w:t>
      </w:r>
    </w:p>
    <w:p w14:paraId="01C1C592">
      <w:pPr>
        <w:pStyle w:val="12"/>
        <w:adjustRightInd w:val="0"/>
        <w:snapToGrid w:val="0"/>
        <w:ind w:left="1619" w:leftChars="771"/>
        <w:rPr>
          <w:rFonts w:ascii="宋体"/>
          <w:color w:val="auto"/>
          <w:szCs w:val="18"/>
        </w:rPr>
      </w:pPr>
      <w:r>
        <w:rPr>
          <w:color w:val="auto"/>
        </w:rPr>
        <mc:AlternateContent>
          <mc:Choice Requires="wps">
            <w:drawing>
              <wp:anchor distT="0" distB="0" distL="114300" distR="114300" simplePos="0" relativeHeight="251911168" behindDoc="0" locked="0" layoutInCell="1" allowOverlap="1">
                <wp:simplePos x="0" y="0"/>
                <wp:positionH relativeFrom="column">
                  <wp:posOffset>-114300</wp:posOffset>
                </wp:positionH>
                <wp:positionV relativeFrom="paragraph">
                  <wp:posOffset>13335</wp:posOffset>
                </wp:positionV>
                <wp:extent cx="914400" cy="406400"/>
                <wp:effectExtent l="0" t="0" r="0" b="0"/>
                <wp:wrapNone/>
                <wp:docPr id="247" name="文本框 247"/>
                <wp:cNvGraphicFramePr/>
                <a:graphic xmlns:a="http://schemas.openxmlformats.org/drawingml/2006/main">
                  <a:graphicData uri="http://schemas.microsoft.com/office/word/2010/wordprocessingShape">
                    <wps:wsp>
                      <wps:cNvSpPr txBox="1"/>
                      <wps:spPr>
                        <a:xfrm>
                          <a:off x="0" y="0"/>
                          <a:ext cx="914400" cy="406400"/>
                        </a:xfrm>
                        <a:prstGeom prst="rect">
                          <a:avLst/>
                        </a:prstGeom>
                        <a:noFill/>
                        <a:ln>
                          <a:noFill/>
                        </a:ln>
                        <a:effectLst/>
                      </wps:spPr>
                      <wps:txbx>
                        <w:txbxContent>
                          <w:p w14:paraId="1293B12E">
                            <w:pPr>
                              <w:spacing w:line="240" w:lineRule="exact"/>
                              <w:rPr>
                                <w:rFonts w:ascii="楷体_GB2312" w:hAnsi="宋体" w:eastAsia="楷体_GB2312"/>
                                <w:b/>
                                <w:color w:val="000000"/>
                                <w:sz w:val="18"/>
                                <w:szCs w:val="18"/>
                              </w:rPr>
                            </w:pPr>
                            <w:r>
                              <w:rPr>
                                <w:rFonts w:hint="eastAsia" w:ascii="楷体_GB2312" w:eastAsia="楷体_GB2312"/>
                                <w:b/>
                                <w:color w:val="000000"/>
                                <w:sz w:val="18"/>
                                <w:szCs w:val="18"/>
                              </w:rPr>
                              <w:t>工程竣工质量争议的责任</w:t>
                            </w:r>
                          </w:p>
                        </w:txbxContent>
                      </wps:txbx>
                      <wps:bodyPr upright="1"/>
                    </wps:wsp>
                  </a:graphicData>
                </a:graphic>
              </wp:anchor>
            </w:drawing>
          </mc:Choice>
          <mc:Fallback>
            <w:pict>
              <v:shape id="_x0000_s1026" o:spid="_x0000_s1026" o:spt="202" type="#_x0000_t202" style="position:absolute;left:0pt;margin-left:-9pt;margin-top:1.05pt;height:32pt;width:72pt;z-index:251911168;mso-width-relative:page;mso-height-relative:page;" filled="f" stroked="f" coordsize="21600,21600" o:gfxdata="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kfzPi9UA&#10;AAAIAQAADwAAAAAAAAABACAAAAAiAAAAZHJzL2Rvd25yZXYueG1sUEsBAhQAFAAAAAgAh07iQCNS&#10;jrqwAQAAXwMAAA4AAAAAAAAAAQAgAAAAJAEAAGRycy9lMm9Eb2MueG1sUEsFBgAAAAAGAAYAWQEA&#10;AEYFAAAAAA==&#10;">
                <v:fill on="f" focussize="0,0"/>
                <v:stroke on="f"/>
                <v:imagedata o:title=""/>
                <o:lock v:ext="edit" aspectratio="f"/>
                <v:textbox>
                  <w:txbxContent>
                    <w:p w14:paraId="1293B12E">
                      <w:pPr>
                        <w:spacing w:line="240" w:lineRule="exact"/>
                        <w:rPr>
                          <w:rFonts w:ascii="楷体_GB2312" w:hAnsi="宋体" w:eastAsia="楷体_GB2312"/>
                          <w:b/>
                          <w:color w:val="000000"/>
                          <w:sz w:val="18"/>
                          <w:szCs w:val="18"/>
                        </w:rPr>
                      </w:pPr>
                      <w:r>
                        <w:rPr>
                          <w:rFonts w:hint="eastAsia" w:ascii="楷体_GB2312" w:eastAsia="楷体_GB2312"/>
                          <w:b/>
                          <w:color w:val="000000"/>
                          <w:sz w:val="18"/>
                          <w:szCs w:val="18"/>
                        </w:rPr>
                        <w:t>工程竣工质量争议的责任</w:t>
                      </w:r>
                    </w:p>
                  </w:txbxContent>
                </v:textbox>
              </v:shape>
            </w:pict>
          </mc:Fallback>
        </mc:AlternateContent>
      </w:r>
      <w:r>
        <w:rPr>
          <w:rFonts w:hint="eastAsia" w:ascii="宋体"/>
          <w:color w:val="auto"/>
          <w:szCs w:val="18"/>
        </w:rPr>
        <w:t>合同工程竣工验收时发生工程质量争议，经第</w:t>
      </w:r>
      <w:r>
        <w:rPr>
          <w:rFonts w:ascii="宋体"/>
          <w:color w:val="auto"/>
          <w:szCs w:val="18"/>
        </w:rPr>
        <w:t>86.4</w:t>
      </w:r>
      <w:r>
        <w:rPr>
          <w:rFonts w:hint="eastAsia" w:ascii="宋体"/>
          <w:color w:val="auto"/>
          <w:szCs w:val="18"/>
        </w:rPr>
        <w:t>款规定调解或认定工程质量符合合同要求的，由发包人承担由此增加的费用和（或）延误的工期。</w:t>
      </w:r>
    </w:p>
    <w:p w14:paraId="2EA9D75E">
      <w:pPr>
        <w:adjustRightInd w:val="0"/>
        <w:snapToGrid w:val="0"/>
        <w:spacing w:line="360" w:lineRule="auto"/>
        <w:rPr>
          <w:rFonts w:ascii="宋体"/>
          <w:color w:val="auto"/>
          <w:sz w:val="24"/>
          <w:szCs w:val="18"/>
        </w:rPr>
      </w:pPr>
    </w:p>
    <w:p w14:paraId="3A408835">
      <w:pPr>
        <w:pStyle w:val="2"/>
        <w:tabs>
          <w:tab w:val="left" w:pos="540"/>
        </w:tabs>
        <w:adjustRightInd w:val="0"/>
        <w:snapToGrid w:val="0"/>
        <w:spacing w:before="360" w:beforeLines="150" w:line="360" w:lineRule="auto"/>
        <w:ind w:right="-238"/>
        <w:rPr>
          <w:rFonts w:hAnsi="宋体"/>
          <w:b/>
          <w:color w:val="auto"/>
          <w:sz w:val="30"/>
          <w:szCs w:val="24"/>
        </w:rPr>
      </w:pPr>
      <w:r>
        <w:rPr>
          <w:rFonts w:hAnsi="宋体"/>
          <w:b/>
          <w:color w:val="auto"/>
          <w:sz w:val="30"/>
          <w:szCs w:val="24"/>
        </w:rPr>
        <w:t xml:space="preserve">59  </w:t>
      </w:r>
      <w:r>
        <w:rPr>
          <w:rFonts w:hint="eastAsia" w:hAnsi="宋体"/>
          <w:b/>
          <w:color w:val="auto"/>
          <w:sz w:val="30"/>
          <w:szCs w:val="24"/>
        </w:rPr>
        <w:t>缺陷责任与质量保修</w:t>
      </w:r>
    </w:p>
    <w:p w14:paraId="01299B43">
      <w:pPr>
        <w:adjustRightInd w:val="0"/>
        <w:snapToGrid w:val="0"/>
        <w:spacing w:line="360" w:lineRule="auto"/>
        <w:rPr>
          <w:rFonts w:ascii="宋体"/>
          <w:b/>
          <w:color w:val="auto"/>
          <w:sz w:val="24"/>
          <w:szCs w:val="18"/>
        </w:rPr>
      </w:pPr>
      <w:r>
        <w:rPr>
          <w:color w:val="auto"/>
        </w:rPr>
        <mc:AlternateContent>
          <mc:Choice Requires="wps">
            <w:drawing>
              <wp:anchor distT="0" distB="0" distL="114300" distR="114300" simplePos="0" relativeHeight="251912192"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48" name="文本框 248"/>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a:effectLst/>
                      </wps:spPr>
                      <wps:txbx>
                        <w:txbxContent>
                          <w:p w14:paraId="78436A2A">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缺陷责任期</w:t>
                            </w:r>
                          </w:p>
                          <w:p w14:paraId="20DB0291">
                            <w:pPr>
                              <w:spacing w:line="240" w:lineRule="exact"/>
                              <w:rPr>
                                <w:rFonts w:ascii="宋体"/>
                                <w:sz w:val="18"/>
                                <w:szCs w:val="18"/>
                              </w:rPr>
                            </w:pPr>
                            <w:r>
                              <w:rPr>
                                <w:rFonts w:hint="eastAsia" w:ascii="楷体_GB2312" w:hAnsi="宋体" w:eastAsia="楷体_GB2312"/>
                                <w:b/>
                                <w:color w:val="000000"/>
                                <w:sz w:val="18"/>
                                <w:szCs w:val="18"/>
                              </w:rPr>
                              <w:t>计算</w:t>
                            </w:r>
                          </w:p>
                        </w:txbxContent>
                      </wps:txbx>
                      <wps:bodyPr upright="1"/>
                    </wps:wsp>
                  </a:graphicData>
                </a:graphic>
              </wp:anchor>
            </w:drawing>
          </mc:Choice>
          <mc:Fallback>
            <w:pict>
              <v:shape id="_x0000_s1026" o:spid="_x0000_s1026" o:spt="202" type="#_x0000_t202" style="position:absolute;left:0pt;margin-left:-9pt;margin-top:22.6pt;height:33.85pt;width:76.2pt;z-index:251912192;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cWb+ndgAAAAKAQAADwAAAAAAAAABACAAAAAiAAAAZHJzL2Rvd25yZXYueG1sUEsBAhQAFAAAAAgA&#10;h07iQJHsNTGzAQAAXwMAAA4AAAAAAAAAAQAgAAAAJwEAAGRycy9lMm9Eb2MueG1sUEsFBgAAAAAG&#10;AAYAWQEAAEwFAAAAAA==&#10;">
                <v:fill on="f" focussize="0,0"/>
                <v:stroke on="f"/>
                <v:imagedata o:title=""/>
                <o:lock v:ext="edit" aspectratio="f"/>
                <v:textbox>
                  <w:txbxContent>
                    <w:p w14:paraId="78436A2A">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缺陷责任期</w:t>
                      </w:r>
                    </w:p>
                    <w:p w14:paraId="20DB0291">
                      <w:pPr>
                        <w:spacing w:line="240" w:lineRule="exact"/>
                        <w:rPr>
                          <w:rFonts w:ascii="宋体"/>
                          <w:sz w:val="18"/>
                          <w:szCs w:val="18"/>
                        </w:rPr>
                      </w:pPr>
                      <w:r>
                        <w:rPr>
                          <w:rFonts w:hint="eastAsia" w:ascii="楷体_GB2312" w:hAnsi="宋体" w:eastAsia="楷体_GB2312"/>
                          <w:b/>
                          <w:color w:val="000000"/>
                          <w:sz w:val="18"/>
                          <w:szCs w:val="18"/>
                        </w:rPr>
                        <w:t>计算</w:t>
                      </w:r>
                    </w:p>
                  </w:txbxContent>
                </v:textbox>
              </v:shape>
            </w:pict>
          </mc:Fallback>
        </mc:AlternateContent>
      </w:r>
      <w:r>
        <w:rPr>
          <w:rFonts w:ascii="宋体" w:hAnsi="宋体"/>
          <w:b/>
          <w:color w:val="auto"/>
          <w:sz w:val="24"/>
          <w:szCs w:val="18"/>
        </w:rPr>
        <w:t xml:space="preserve">59.1  </w:t>
      </w:r>
    </w:p>
    <w:p w14:paraId="75768E31">
      <w:pPr>
        <w:spacing w:line="360" w:lineRule="auto"/>
        <w:ind w:firstLine="1574" w:firstLineChars="656"/>
        <w:rPr>
          <w:rFonts w:ascii="宋体"/>
          <w:color w:val="auto"/>
          <w:sz w:val="24"/>
          <w:szCs w:val="18"/>
        </w:rPr>
      </w:pPr>
      <w:r>
        <w:rPr>
          <w:rFonts w:hint="eastAsia" w:ascii="宋体" w:hAnsi="宋体"/>
          <w:color w:val="auto"/>
          <w:sz w:val="24"/>
          <w:szCs w:val="18"/>
        </w:rPr>
        <w:t>合同双方当事人应在专用条款中约定缺陷责任期。</w:t>
      </w:r>
    </w:p>
    <w:p w14:paraId="0BFBCBD7">
      <w:pPr>
        <w:adjustRightInd w:val="0"/>
        <w:snapToGrid w:val="0"/>
        <w:spacing w:line="360" w:lineRule="auto"/>
        <w:ind w:left="1575" w:leftChars="750"/>
        <w:rPr>
          <w:rFonts w:ascii="宋体"/>
          <w:b/>
          <w:color w:val="auto"/>
          <w:sz w:val="24"/>
          <w:szCs w:val="18"/>
        </w:rPr>
      </w:pPr>
      <w:r>
        <w:rPr>
          <w:rFonts w:hint="eastAsia" w:ascii="宋体" w:hAnsi="宋体"/>
          <w:color w:val="auto"/>
          <w:sz w:val="24"/>
          <w:szCs w:val="18"/>
        </w:rPr>
        <w:t>缺陷责任期自实际竣工之日起计算。在全部工程竣工验收前，已经发包人提前验收的单位工程，其缺陷责任期的起算日期相应提前。</w:t>
      </w:r>
    </w:p>
    <w:p w14:paraId="6F465CBF">
      <w:pPr>
        <w:adjustRightInd w:val="0"/>
        <w:snapToGrid w:val="0"/>
        <w:spacing w:line="360" w:lineRule="auto"/>
        <w:rPr>
          <w:rFonts w:ascii="宋体"/>
          <w:b/>
          <w:color w:val="auto"/>
          <w:sz w:val="24"/>
          <w:szCs w:val="18"/>
        </w:rPr>
      </w:pPr>
      <w:r>
        <w:rPr>
          <w:color w:val="auto"/>
        </w:rPr>
        <mc:AlternateContent>
          <mc:Choice Requires="wps">
            <w:drawing>
              <wp:anchor distT="0" distB="0" distL="114300" distR="114300" simplePos="0" relativeHeight="251913216"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49" name="文本框 249"/>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a:effectLst/>
                      </wps:spPr>
                      <wps:txbx>
                        <w:txbxContent>
                          <w:p w14:paraId="5770BEE6">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缺陷责任期</w:t>
                            </w:r>
                          </w:p>
                          <w:p w14:paraId="3A91C726">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延长</w:t>
                            </w:r>
                          </w:p>
                        </w:txbxContent>
                      </wps:txbx>
                      <wps:bodyPr upright="1"/>
                    </wps:wsp>
                  </a:graphicData>
                </a:graphic>
              </wp:anchor>
            </w:drawing>
          </mc:Choice>
          <mc:Fallback>
            <w:pict>
              <v:shape id="_x0000_s1026" o:spid="_x0000_s1026" o:spt="202" type="#_x0000_t202" style="position:absolute;left:0pt;margin-left:-9pt;margin-top:22.6pt;height:33.85pt;width:76.2pt;z-index:251913216;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cWb+ndgAAAAKAQAADwAAAAAAAAABACAAAAAiAAAAZHJzL2Rvd25yZXYueG1sUEsBAhQAFAAAAAgA&#10;h07iQA7r/puzAQAAXwMAAA4AAAAAAAAAAQAgAAAAJwEAAGRycy9lMm9Eb2MueG1sUEsFBgAAAAAG&#10;AAYAWQEAAEwFAAAAAA==&#10;">
                <v:fill on="f" focussize="0,0"/>
                <v:stroke on="f"/>
                <v:imagedata o:title=""/>
                <o:lock v:ext="edit" aspectratio="f"/>
                <v:textbox>
                  <w:txbxContent>
                    <w:p w14:paraId="5770BEE6">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缺陷责任期</w:t>
                      </w:r>
                    </w:p>
                    <w:p w14:paraId="3A91C726">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延长</w:t>
                      </w:r>
                    </w:p>
                  </w:txbxContent>
                </v:textbox>
              </v:shape>
            </w:pict>
          </mc:Fallback>
        </mc:AlternateContent>
      </w:r>
      <w:r>
        <w:rPr>
          <w:rFonts w:ascii="宋体" w:hAnsi="宋体"/>
          <w:b/>
          <w:color w:val="auto"/>
          <w:sz w:val="24"/>
          <w:szCs w:val="18"/>
        </w:rPr>
        <w:t xml:space="preserve">59.2  </w:t>
      </w:r>
    </w:p>
    <w:p w14:paraId="14B3E4C2">
      <w:pPr>
        <w:spacing w:line="360" w:lineRule="auto"/>
        <w:ind w:left="1619" w:leftChars="771"/>
        <w:rPr>
          <w:rFonts w:ascii="宋体"/>
          <w:color w:val="auto"/>
          <w:sz w:val="24"/>
          <w:szCs w:val="18"/>
        </w:rPr>
      </w:pPr>
      <w:r>
        <w:rPr>
          <w:rFonts w:hint="eastAsia" w:ascii="宋体" w:hAnsi="宋体"/>
          <w:color w:val="auto"/>
          <w:sz w:val="24"/>
          <w:szCs w:val="18"/>
        </w:rPr>
        <w:t>由于承包人原因造成某项缺陷或损坏使某项工程或工程设备不能按照原定目标使用而需要再次检查、检验和修复的，发包人有权要求承包人相应延长缺陷责任期，但缺陷责任期最长不超过</w:t>
      </w:r>
      <w:r>
        <w:rPr>
          <w:rFonts w:ascii="宋体" w:hAnsi="宋体"/>
          <w:color w:val="auto"/>
          <w:sz w:val="24"/>
          <w:szCs w:val="18"/>
        </w:rPr>
        <w:t>2</w:t>
      </w:r>
      <w:r>
        <w:rPr>
          <w:rFonts w:hint="eastAsia" w:ascii="宋体" w:hAnsi="宋体"/>
          <w:color w:val="auto"/>
          <w:sz w:val="24"/>
          <w:szCs w:val="18"/>
        </w:rPr>
        <w:t>年。</w:t>
      </w:r>
    </w:p>
    <w:p w14:paraId="69946FB2">
      <w:pPr>
        <w:adjustRightInd w:val="0"/>
        <w:snapToGrid w:val="0"/>
        <w:spacing w:line="360" w:lineRule="auto"/>
        <w:rPr>
          <w:rFonts w:ascii="宋体"/>
          <w:b/>
          <w:color w:val="auto"/>
          <w:sz w:val="24"/>
          <w:szCs w:val="18"/>
        </w:rPr>
      </w:pPr>
      <w:r>
        <w:rPr>
          <w:color w:val="auto"/>
        </w:rPr>
        <mc:AlternateContent>
          <mc:Choice Requires="wps">
            <w:drawing>
              <wp:anchor distT="0" distB="0" distL="114300" distR="114300" simplePos="0" relativeHeight="251914240"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0" name="文本框 250"/>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a:effectLst/>
                      </wps:spPr>
                      <wps:txbx>
                        <w:txbxContent>
                          <w:p w14:paraId="6E8A5A8F">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缺陷责任</w:t>
                            </w:r>
                          </w:p>
                        </w:txbxContent>
                      </wps:txbx>
                      <wps:bodyPr upright="1"/>
                    </wps:wsp>
                  </a:graphicData>
                </a:graphic>
              </wp:anchor>
            </w:drawing>
          </mc:Choice>
          <mc:Fallback>
            <w:pict>
              <v:shape id="_x0000_s1026" o:spid="_x0000_s1026" o:spt="202" type="#_x0000_t202" style="position:absolute;left:0pt;margin-left:-9pt;margin-top:22.6pt;height:33.85pt;width:76.2pt;z-index:251914240;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x&#10;Zv6d2AAAAAoBAAAPAAAAAAAAAAEAIAAAACIAAABkcnMvZG93bnJldi54bWxQSwECFAAUAAAACACH&#10;TuJAfIYgB7IBAABfAwAADgAAAAAAAAABACAAAAAnAQAAZHJzL2Uyb0RvYy54bWxQSwUGAAAAAAYA&#10;BgBZAQAASwUAAAAA&#10;">
                <v:fill on="f" focussize="0,0"/>
                <v:stroke on="f"/>
                <v:imagedata o:title=""/>
                <o:lock v:ext="edit" aspectratio="f"/>
                <v:textbox>
                  <w:txbxContent>
                    <w:p w14:paraId="6E8A5A8F">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缺陷责任</w:t>
                      </w:r>
                    </w:p>
                  </w:txbxContent>
                </v:textbox>
              </v:shape>
            </w:pict>
          </mc:Fallback>
        </mc:AlternateContent>
      </w:r>
      <w:r>
        <w:rPr>
          <w:rFonts w:ascii="宋体" w:hAnsi="宋体"/>
          <w:b/>
          <w:color w:val="auto"/>
          <w:sz w:val="24"/>
          <w:szCs w:val="18"/>
        </w:rPr>
        <w:t xml:space="preserve">59.3  </w:t>
      </w:r>
    </w:p>
    <w:p w14:paraId="096AEE55">
      <w:pPr>
        <w:spacing w:line="360" w:lineRule="auto"/>
        <w:ind w:left="1619" w:leftChars="771"/>
        <w:rPr>
          <w:rFonts w:ascii="宋体"/>
          <w:color w:val="auto"/>
          <w:sz w:val="24"/>
          <w:szCs w:val="18"/>
        </w:rPr>
      </w:pPr>
      <w:r>
        <w:rPr>
          <w:rFonts w:hint="eastAsia" w:ascii="宋体" w:hAnsi="宋体"/>
          <w:color w:val="auto"/>
          <w:sz w:val="24"/>
          <w:szCs w:val="18"/>
        </w:rPr>
        <w:t>合同工程存在某项缺陷或损坏的，合同双方当事人应按照下列规定承担缺陷责任以及由此产生的费用。</w:t>
      </w:r>
    </w:p>
    <w:p w14:paraId="5F8ABD1D">
      <w:pPr>
        <w:pStyle w:val="12"/>
        <w:adjustRightInd w:val="0"/>
        <w:snapToGrid w:val="0"/>
        <w:ind w:left="0" w:leftChars="0" w:firstLine="1574" w:firstLineChars="656"/>
        <w:rPr>
          <w:rFonts w:ascii="宋体"/>
          <w:color w:val="auto"/>
        </w:rPr>
      </w:pPr>
      <w:r>
        <w:rPr>
          <w:rFonts w:hint="eastAsia" w:ascii="宋体"/>
          <w:color w:val="auto"/>
        </w:rPr>
        <w:t>（</w:t>
      </w:r>
      <w:r>
        <w:rPr>
          <w:rFonts w:ascii="宋体"/>
          <w:color w:val="auto"/>
        </w:rPr>
        <w:t>1</w:t>
      </w:r>
      <w:r>
        <w:rPr>
          <w:rFonts w:hint="eastAsia" w:ascii="宋体"/>
          <w:color w:val="auto"/>
        </w:rPr>
        <w:t>）承包人应在缺陷责任期内对已交付使用的工程承担缺陷责任。</w:t>
      </w:r>
    </w:p>
    <w:p w14:paraId="599169FA">
      <w:pPr>
        <w:spacing w:line="360" w:lineRule="auto"/>
        <w:ind w:left="1575" w:leftChars="750"/>
        <w:rPr>
          <w:rFonts w:ascii="宋体"/>
          <w:color w:val="auto"/>
          <w:sz w:val="24"/>
          <w:szCs w:val="18"/>
        </w:rPr>
      </w:pPr>
      <w:r>
        <w:rPr>
          <w:rFonts w:hint="eastAsia" w:ascii="宋体" w:hAnsi="宋体"/>
          <w:color w:val="auto"/>
          <w:sz w:val="24"/>
          <w:szCs w:val="18"/>
        </w:rPr>
        <w:t>（</w:t>
      </w:r>
      <w:r>
        <w:rPr>
          <w:rFonts w:ascii="宋体" w:hAnsi="宋体"/>
          <w:color w:val="auto"/>
          <w:sz w:val="24"/>
          <w:szCs w:val="18"/>
        </w:rPr>
        <w:t>2</w:t>
      </w:r>
      <w:r>
        <w:rPr>
          <w:rFonts w:hint="eastAsia" w:ascii="宋体" w:hAnsi="宋体"/>
          <w:color w:val="auto"/>
          <w:sz w:val="24"/>
          <w:szCs w:val="18"/>
        </w:rPr>
        <w:t>）缺陷责任期内，发包人对已接收使用的工程负责日常维护工作。发包人在使用过程中，发现已接收的工程存在新的缺陷或已修复的缺陷部位或部件又遭损坏的，应及时通知承包人修复，承包人应在收到通知后的</w:t>
      </w:r>
      <w:r>
        <w:rPr>
          <w:rFonts w:ascii="宋体" w:hAnsi="宋体"/>
          <w:color w:val="auto"/>
          <w:sz w:val="24"/>
          <w:szCs w:val="18"/>
        </w:rPr>
        <w:t>7</w:t>
      </w:r>
      <w:r>
        <w:rPr>
          <w:rFonts w:hint="eastAsia" w:ascii="宋体" w:hAnsi="宋体"/>
          <w:color w:val="auto"/>
          <w:sz w:val="24"/>
          <w:szCs w:val="18"/>
        </w:rPr>
        <w:t>天内派人修复，直至检验合格为止。承包人未能在规定时间内修复的，发包人可自行或委托第三方修复，所需费用和利润按照本款第（</w:t>
      </w:r>
      <w:r>
        <w:rPr>
          <w:rFonts w:ascii="宋体" w:hAnsi="宋体"/>
          <w:color w:val="auto"/>
          <w:sz w:val="24"/>
          <w:szCs w:val="18"/>
        </w:rPr>
        <w:t>3</w:t>
      </w:r>
      <w:r>
        <w:rPr>
          <w:rFonts w:hint="eastAsia" w:ascii="宋体" w:hAnsi="宋体"/>
          <w:color w:val="auto"/>
          <w:sz w:val="24"/>
          <w:szCs w:val="18"/>
        </w:rPr>
        <w:t>）点规定办理。</w:t>
      </w:r>
    </w:p>
    <w:p w14:paraId="667D68C3">
      <w:pPr>
        <w:spacing w:line="360" w:lineRule="auto"/>
        <w:ind w:left="1619" w:leftChars="771"/>
        <w:rPr>
          <w:rFonts w:ascii="宋体"/>
          <w:color w:val="auto"/>
          <w:sz w:val="24"/>
          <w:szCs w:val="18"/>
        </w:rPr>
      </w:pPr>
      <w:r>
        <w:rPr>
          <w:rFonts w:hint="eastAsia" w:ascii="宋体" w:hAnsi="宋体"/>
          <w:color w:val="auto"/>
          <w:sz w:val="24"/>
          <w:szCs w:val="18"/>
        </w:rPr>
        <w:t>（</w:t>
      </w:r>
      <w:r>
        <w:rPr>
          <w:rFonts w:ascii="宋体" w:hAnsi="宋体"/>
          <w:color w:val="auto"/>
          <w:sz w:val="24"/>
          <w:szCs w:val="18"/>
        </w:rPr>
        <w:t>3</w:t>
      </w:r>
      <w:r>
        <w:rPr>
          <w:rFonts w:hint="eastAsia" w:ascii="宋体" w:hAnsi="宋体"/>
          <w:color w:val="auto"/>
          <w:sz w:val="24"/>
          <w:szCs w:val="18"/>
        </w:rPr>
        <w:t>）监理工程师应会同承包人共同查清缺陷和（或）损坏的原因，并由造价工程师提出或核实由此发生的费用。经查明，因承包人原因造成的，由承包人承担修复和查验的费用；因发包人的原因造成的，发包人承担修复和查验的费用，并向承包人支付合理利润。</w:t>
      </w:r>
    </w:p>
    <w:p w14:paraId="0A72022E">
      <w:pPr>
        <w:adjustRightInd w:val="0"/>
        <w:snapToGrid w:val="0"/>
        <w:spacing w:line="360" w:lineRule="auto"/>
        <w:rPr>
          <w:rFonts w:ascii="宋体"/>
          <w:b/>
          <w:color w:val="auto"/>
          <w:sz w:val="24"/>
          <w:szCs w:val="18"/>
        </w:rPr>
      </w:pPr>
      <w:r>
        <w:rPr>
          <w:color w:val="auto"/>
        </w:rPr>
        <mc:AlternateContent>
          <mc:Choice Requires="wps">
            <w:drawing>
              <wp:anchor distT="0" distB="0" distL="114300" distR="114300" simplePos="0" relativeHeight="251915264"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1" name="文本框 251"/>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a:effectLst/>
                      </wps:spPr>
                      <wps:txbx>
                        <w:txbxContent>
                          <w:p w14:paraId="543AABCE">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重新检（试）验</w:t>
                            </w:r>
                          </w:p>
                        </w:txbxContent>
                      </wps:txbx>
                      <wps:bodyPr upright="1"/>
                    </wps:wsp>
                  </a:graphicData>
                </a:graphic>
              </wp:anchor>
            </w:drawing>
          </mc:Choice>
          <mc:Fallback>
            <w:pict>
              <v:shape id="_x0000_s1026" o:spid="_x0000_s1026" o:spt="202" type="#_x0000_t202" style="position:absolute;left:0pt;margin-left:-9pt;margin-top:22.6pt;height:33.85pt;width:76.2pt;z-index:251915264;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cWb+ndgAAAAKAQAADwAAAAAAAAABACAAAAAiAAAAZHJzL2Rvd25yZXYueG1sUEsBAhQAFAAAAAgA&#10;h07iQOOB662zAQAAXwMAAA4AAAAAAAAAAQAgAAAAJwEAAGRycy9lMm9Eb2MueG1sUEsFBgAAAAAG&#10;AAYAWQEAAEwFAAAAAA==&#10;">
                <v:fill on="f" focussize="0,0"/>
                <v:stroke on="f"/>
                <v:imagedata o:title=""/>
                <o:lock v:ext="edit" aspectratio="f"/>
                <v:textbox>
                  <w:txbxContent>
                    <w:p w14:paraId="543AABCE">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重新检（试）验</w:t>
                      </w:r>
                    </w:p>
                  </w:txbxContent>
                </v:textbox>
              </v:shape>
            </w:pict>
          </mc:Fallback>
        </mc:AlternateContent>
      </w:r>
      <w:r>
        <w:rPr>
          <w:rFonts w:ascii="宋体" w:hAnsi="宋体"/>
          <w:b/>
          <w:color w:val="auto"/>
          <w:sz w:val="24"/>
          <w:szCs w:val="18"/>
        </w:rPr>
        <w:t xml:space="preserve">59.4  </w:t>
      </w:r>
    </w:p>
    <w:p w14:paraId="21645C73">
      <w:pPr>
        <w:spacing w:line="360" w:lineRule="auto"/>
        <w:ind w:left="1619" w:leftChars="771"/>
        <w:rPr>
          <w:rFonts w:ascii="宋体"/>
          <w:color w:val="auto"/>
          <w:sz w:val="24"/>
          <w:szCs w:val="18"/>
        </w:rPr>
      </w:pPr>
      <w:r>
        <w:rPr>
          <w:rFonts w:hint="eastAsia" w:ascii="宋体" w:hAnsi="宋体"/>
          <w:color w:val="auto"/>
          <w:sz w:val="24"/>
          <w:szCs w:val="18"/>
        </w:rPr>
        <w:t>任何一项缺陷或损坏修复后，经检查证明其影响了工程或工程设备的使用性能，承包人应按照第</w:t>
      </w:r>
      <w:r>
        <w:rPr>
          <w:rFonts w:ascii="宋体" w:hAnsi="宋体"/>
          <w:color w:val="auto"/>
          <w:sz w:val="24"/>
          <w:szCs w:val="18"/>
        </w:rPr>
        <w:t>54</w:t>
      </w:r>
      <w:r>
        <w:rPr>
          <w:rFonts w:hint="eastAsia" w:ascii="宋体" w:hAnsi="宋体"/>
          <w:color w:val="auto"/>
          <w:sz w:val="24"/>
          <w:szCs w:val="18"/>
        </w:rPr>
        <w:t>条规定重新检（试）验，重新检（试）验的费用由责任方承担。</w:t>
      </w:r>
    </w:p>
    <w:p w14:paraId="03FD94E9">
      <w:pPr>
        <w:adjustRightInd w:val="0"/>
        <w:snapToGrid w:val="0"/>
        <w:spacing w:line="360" w:lineRule="auto"/>
        <w:rPr>
          <w:rFonts w:ascii="宋体"/>
          <w:b/>
          <w:color w:val="auto"/>
          <w:sz w:val="24"/>
          <w:szCs w:val="18"/>
        </w:rPr>
      </w:pPr>
      <w:r>
        <w:rPr>
          <w:color w:val="auto"/>
        </w:rPr>
        <mc:AlternateContent>
          <mc:Choice Requires="wps">
            <w:drawing>
              <wp:anchor distT="0" distB="0" distL="114300" distR="114300" simplePos="0" relativeHeight="251916288"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2" name="文本框 252"/>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a:effectLst/>
                      </wps:spPr>
                      <wps:txbx>
                        <w:txbxContent>
                          <w:p w14:paraId="7E1D45C2">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承包人的进入权</w:t>
                            </w:r>
                          </w:p>
                        </w:txbxContent>
                      </wps:txbx>
                      <wps:bodyPr upright="1"/>
                    </wps:wsp>
                  </a:graphicData>
                </a:graphic>
              </wp:anchor>
            </w:drawing>
          </mc:Choice>
          <mc:Fallback>
            <w:pict>
              <v:shape id="_x0000_s1026" o:spid="_x0000_s1026" o:spt="202" type="#_x0000_t202" style="position:absolute;left:0pt;margin-left:-9pt;margin-top:22.6pt;height:33.85pt;width:76.2pt;z-index:251916288;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cWb+ndgAAAAKAQAADwAAAAAAAAABACAAAAAiAAAAZHJzL2Rvd25yZXYueG1sUEsBAhQAFAAAAAgA&#10;h07iQAOPx4mzAQAAXwMAAA4AAAAAAAAAAQAgAAAAJwEAAGRycy9lMm9Eb2MueG1sUEsFBgAAAAAG&#10;AAYAWQEAAEwFAAAAAA==&#10;">
                <v:fill on="f" focussize="0,0"/>
                <v:stroke on="f"/>
                <v:imagedata o:title=""/>
                <o:lock v:ext="edit" aspectratio="f"/>
                <v:textbox>
                  <w:txbxContent>
                    <w:p w14:paraId="7E1D45C2">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承包人的进入权</w:t>
                      </w:r>
                    </w:p>
                  </w:txbxContent>
                </v:textbox>
              </v:shape>
            </w:pict>
          </mc:Fallback>
        </mc:AlternateContent>
      </w:r>
      <w:r>
        <w:rPr>
          <w:rFonts w:ascii="宋体" w:hAnsi="宋体"/>
          <w:b/>
          <w:color w:val="auto"/>
          <w:sz w:val="24"/>
          <w:szCs w:val="18"/>
        </w:rPr>
        <w:t xml:space="preserve">59.5  </w:t>
      </w:r>
    </w:p>
    <w:p w14:paraId="1D9F00EC">
      <w:pPr>
        <w:spacing w:line="360" w:lineRule="auto"/>
        <w:ind w:left="1619" w:leftChars="771"/>
        <w:rPr>
          <w:rFonts w:ascii="宋体"/>
          <w:b/>
          <w:color w:val="auto"/>
          <w:sz w:val="24"/>
          <w:szCs w:val="18"/>
        </w:rPr>
      </w:pPr>
      <w:r>
        <w:rPr>
          <w:rFonts w:hint="eastAsia" w:ascii="宋体" w:hAnsi="宋体"/>
          <w:color w:val="auto"/>
          <w:sz w:val="24"/>
          <w:szCs w:val="18"/>
        </w:rPr>
        <w:t>缺陷责任期内承包人为缺陷修复工作需要，有权进入工程现场，但应遵守发包人的保安和保密等规定。</w:t>
      </w:r>
    </w:p>
    <w:p w14:paraId="0F945840">
      <w:pPr>
        <w:adjustRightInd w:val="0"/>
        <w:snapToGrid w:val="0"/>
        <w:spacing w:line="360" w:lineRule="auto"/>
        <w:rPr>
          <w:rFonts w:ascii="宋体"/>
          <w:b/>
          <w:color w:val="auto"/>
          <w:sz w:val="24"/>
          <w:szCs w:val="18"/>
        </w:rPr>
      </w:pPr>
      <w:r>
        <w:rPr>
          <w:color w:val="auto"/>
        </w:rPr>
        <mc:AlternateContent>
          <mc:Choice Requires="wps">
            <w:drawing>
              <wp:anchor distT="0" distB="0" distL="114300" distR="114300" simplePos="0" relativeHeight="251917312"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3" name="文本框 253"/>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a:effectLst/>
                      </wps:spPr>
                      <wps:txbx>
                        <w:txbxContent>
                          <w:p w14:paraId="7B39B632">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颁发缺陷责任期终止证书</w:t>
                            </w:r>
                          </w:p>
                        </w:txbxContent>
                      </wps:txbx>
                      <wps:bodyPr upright="1"/>
                    </wps:wsp>
                  </a:graphicData>
                </a:graphic>
              </wp:anchor>
            </w:drawing>
          </mc:Choice>
          <mc:Fallback>
            <w:pict>
              <v:shape id="_x0000_s1026" o:spid="_x0000_s1026" o:spt="202" type="#_x0000_t202" style="position:absolute;left:0pt;margin-left:-9pt;margin-top:22.6pt;height:33.85pt;width:76.2pt;z-index:251917312;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cWb+ndgAAAAKAQAADwAAAAAAAAABACAAAAAiAAAAZHJzL2Rvd25yZXYueG1sUEsBAhQAFAAAAAgA&#10;h07iQJyIDCOzAQAAXwMAAA4AAAAAAAAAAQAgAAAAJwEAAGRycy9lMm9Eb2MueG1sUEsFBgAAAAAG&#10;AAYAWQEAAEwFAAAAAA==&#10;">
                <v:fill on="f" focussize="0,0"/>
                <v:stroke on="f"/>
                <v:imagedata o:title=""/>
                <o:lock v:ext="edit" aspectratio="f"/>
                <v:textbox>
                  <w:txbxContent>
                    <w:p w14:paraId="7B39B632">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颁发缺陷责任期终止证书</w:t>
                      </w:r>
                    </w:p>
                  </w:txbxContent>
                </v:textbox>
              </v:shape>
            </w:pict>
          </mc:Fallback>
        </mc:AlternateContent>
      </w:r>
      <w:r>
        <w:rPr>
          <w:rFonts w:ascii="宋体" w:hAnsi="宋体"/>
          <w:b/>
          <w:color w:val="auto"/>
          <w:sz w:val="24"/>
          <w:szCs w:val="18"/>
        </w:rPr>
        <w:t xml:space="preserve">59.6  </w:t>
      </w:r>
    </w:p>
    <w:p w14:paraId="613F64DB">
      <w:pPr>
        <w:spacing w:line="360" w:lineRule="auto"/>
        <w:ind w:left="1619" w:leftChars="771"/>
        <w:rPr>
          <w:rFonts w:ascii="宋体"/>
          <w:b/>
          <w:color w:val="auto"/>
          <w:sz w:val="24"/>
          <w:szCs w:val="18"/>
        </w:rPr>
      </w:pPr>
      <w:r>
        <w:rPr>
          <w:rFonts w:hint="eastAsia" w:ascii="宋体" w:hAnsi="宋体"/>
          <w:color w:val="auto"/>
          <w:sz w:val="24"/>
          <w:szCs w:val="18"/>
        </w:rPr>
        <w:t>在专用条款约定的缺陷责任期（包括第</w:t>
      </w:r>
      <w:r>
        <w:rPr>
          <w:rFonts w:ascii="宋体" w:hAnsi="宋体"/>
          <w:color w:val="auto"/>
          <w:sz w:val="24"/>
          <w:szCs w:val="18"/>
        </w:rPr>
        <w:t>59.2</w:t>
      </w:r>
      <w:r>
        <w:rPr>
          <w:rFonts w:hint="eastAsia" w:ascii="宋体" w:hAnsi="宋体"/>
          <w:color w:val="auto"/>
          <w:sz w:val="24"/>
          <w:szCs w:val="18"/>
        </w:rPr>
        <w:t>款延长的期限）终止后的</w:t>
      </w:r>
      <w:r>
        <w:rPr>
          <w:rFonts w:ascii="宋体" w:hAnsi="宋体"/>
          <w:color w:val="auto"/>
          <w:sz w:val="24"/>
          <w:szCs w:val="18"/>
        </w:rPr>
        <w:t>14</w:t>
      </w:r>
      <w:r>
        <w:rPr>
          <w:rFonts w:hint="eastAsia" w:ascii="宋体" w:hAnsi="宋体"/>
          <w:color w:val="auto"/>
          <w:sz w:val="24"/>
          <w:szCs w:val="18"/>
        </w:rPr>
        <w:t>天内，发包人应向承包人颁发缺陷责任期终止证书。</w:t>
      </w:r>
    </w:p>
    <w:p w14:paraId="5CA5EDBB">
      <w:pPr>
        <w:adjustRightInd w:val="0"/>
        <w:snapToGrid w:val="0"/>
        <w:spacing w:line="360" w:lineRule="auto"/>
        <w:rPr>
          <w:rFonts w:ascii="宋体"/>
          <w:b/>
          <w:color w:val="auto"/>
          <w:sz w:val="24"/>
          <w:szCs w:val="18"/>
        </w:rPr>
      </w:pPr>
      <w:r>
        <w:rPr>
          <w:color w:val="auto"/>
        </w:rPr>
        <mc:AlternateContent>
          <mc:Choice Requires="wps">
            <w:drawing>
              <wp:anchor distT="0" distB="0" distL="114300" distR="114300" simplePos="0" relativeHeight="251918336"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4" name="文本框 254"/>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a:effectLst/>
                      </wps:spPr>
                      <wps:txbx>
                        <w:txbxContent>
                          <w:p w14:paraId="6EB8767B">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签订工程质量保修书</w:t>
                            </w:r>
                          </w:p>
                        </w:txbxContent>
                      </wps:txbx>
                      <wps:bodyPr upright="1"/>
                    </wps:wsp>
                  </a:graphicData>
                </a:graphic>
              </wp:anchor>
            </w:drawing>
          </mc:Choice>
          <mc:Fallback>
            <w:pict>
              <v:shape id="_x0000_s1026" o:spid="_x0000_s1026" o:spt="202" type="#_x0000_t202" style="position:absolute;left:0pt;margin-left:-9pt;margin-top:22.6pt;height:33.85pt;width:76.2pt;z-index:251918336;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cWb+ndgAAAAKAQAADwAAAAAAAAABACAAAAAiAAAAZHJzL2Rvd25yZXYueG1sUEsBAhQAFAAAAAgA&#10;h07iQMOSn8GzAQAAXwMAAA4AAAAAAAAAAQAgAAAAJwEAAGRycy9lMm9Eb2MueG1sUEsFBgAAAAAG&#10;AAYAWQEAAEwFAAAAAA==&#10;">
                <v:fill on="f" focussize="0,0"/>
                <v:stroke on="f"/>
                <v:imagedata o:title=""/>
                <o:lock v:ext="edit" aspectratio="f"/>
                <v:textbox>
                  <w:txbxContent>
                    <w:p w14:paraId="6EB8767B">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签订工程质量保修书</w:t>
                      </w:r>
                    </w:p>
                  </w:txbxContent>
                </v:textbox>
              </v:shape>
            </w:pict>
          </mc:Fallback>
        </mc:AlternateContent>
      </w:r>
      <w:r>
        <w:rPr>
          <w:rFonts w:ascii="宋体" w:hAnsi="宋体"/>
          <w:b/>
          <w:color w:val="auto"/>
          <w:sz w:val="24"/>
          <w:szCs w:val="18"/>
        </w:rPr>
        <w:t xml:space="preserve">59.7  </w:t>
      </w:r>
    </w:p>
    <w:p w14:paraId="284353DA">
      <w:pPr>
        <w:pStyle w:val="12"/>
        <w:adjustRightInd w:val="0"/>
        <w:snapToGrid w:val="0"/>
        <w:ind w:left="1619" w:leftChars="771"/>
        <w:rPr>
          <w:rFonts w:ascii="宋体"/>
          <w:color w:val="auto"/>
          <w:szCs w:val="18"/>
        </w:rPr>
      </w:pPr>
      <w:r>
        <w:rPr>
          <w:rFonts w:hint="eastAsia" w:ascii="宋体"/>
          <w:color w:val="auto"/>
          <w:szCs w:val="18"/>
        </w:rPr>
        <w:t>合同双方当事人应根据法律的有关规定，在承包人向发包人提交竣工验收申请报告前，共同签署合同工程质量保修书，作为本合同的附件。工程质量保修书应具体明确质量保修范围、期限、责任和费用等事项。</w:t>
      </w:r>
    </w:p>
    <w:p w14:paraId="0E733E0D">
      <w:pPr>
        <w:adjustRightInd w:val="0"/>
        <w:snapToGrid w:val="0"/>
        <w:spacing w:line="360" w:lineRule="auto"/>
        <w:rPr>
          <w:rFonts w:ascii="宋体"/>
          <w:color w:val="auto"/>
          <w:sz w:val="24"/>
          <w:szCs w:val="18"/>
        </w:rPr>
      </w:pPr>
      <w:r>
        <w:rPr>
          <w:color w:val="auto"/>
        </w:rPr>
        <mc:AlternateContent>
          <mc:Choice Requires="wps">
            <w:drawing>
              <wp:anchor distT="0" distB="0" distL="114300" distR="114300" simplePos="0" relativeHeight="251919360"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5" name="文本框 255"/>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a:effectLst/>
                      </wps:spPr>
                      <wps:txbx>
                        <w:txbxContent>
                          <w:p w14:paraId="7C39F240">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质量保修期计算</w:t>
                            </w:r>
                          </w:p>
                        </w:txbxContent>
                      </wps:txbx>
                      <wps:bodyPr upright="1"/>
                    </wps:wsp>
                  </a:graphicData>
                </a:graphic>
              </wp:anchor>
            </w:drawing>
          </mc:Choice>
          <mc:Fallback>
            <w:pict>
              <v:shape id="_x0000_s1026" o:spid="_x0000_s1026" o:spt="202" type="#_x0000_t202" style="position:absolute;left:0pt;margin-left:-9pt;margin-top:22.6pt;height:33.85pt;width:76.2pt;z-index:251919360;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Fm/p3YAAAACgEAAA8AAAAAAAAAAQAgAAAAIgAAAGRycy9kb3ducmV2LnhtbFBLAQIUABQAAAAI&#10;AIdO4kBclVRrtAEAAF8DAAAOAAAAAAAAAAEAIAAAACcBAABkcnMvZTJvRG9jLnhtbFBLBQYAAAAA&#10;BgAGAFkBAABNBQAAAAA=&#10;">
                <v:fill on="f" focussize="0,0"/>
                <v:stroke on="f"/>
                <v:imagedata o:title=""/>
                <o:lock v:ext="edit" aspectratio="f"/>
                <v:textbox>
                  <w:txbxContent>
                    <w:p w14:paraId="7C39F240">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质量保修期计算</w:t>
                      </w:r>
                    </w:p>
                  </w:txbxContent>
                </v:textbox>
              </v:shape>
            </w:pict>
          </mc:Fallback>
        </mc:AlternateContent>
      </w:r>
      <w:r>
        <w:rPr>
          <w:rFonts w:ascii="宋体" w:hAnsi="宋体"/>
          <w:b/>
          <w:color w:val="auto"/>
          <w:sz w:val="24"/>
          <w:szCs w:val="18"/>
        </w:rPr>
        <w:t xml:space="preserve">59.8 </w:t>
      </w:r>
    </w:p>
    <w:p w14:paraId="5D69B2A0">
      <w:pPr>
        <w:spacing w:line="360" w:lineRule="auto"/>
        <w:ind w:left="1619" w:leftChars="771"/>
        <w:rPr>
          <w:rFonts w:ascii="宋体"/>
          <w:color w:val="auto"/>
          <w:sz w:val="24"/>
          <w:szCs w:val="18"/>
        </w:rPr>
      </w:pPr>
      <w:r>
        <w:rPr>
          <w:rFonts w:hint="eastAsia" w:ascii="宋体" w:hAnsi="宋体"/>
          <w:color w:val="auto"/>
          <w:sz w:val="24"/>
        </w:rPr>
        <w:t>合同双方当事人应在</w:t>
      </w:r>
      <w:r>
        <w:rPr>
          <w:rFonts w:hint="eastAsia" w:ascii="宋体" w:hAnsi="宋体"/>
          <w:color w:val="auto"/>
          <w:sz w:val="24"/>
          <w:szCs w:val="18"/>
        </w:rPr>
        <w:t>专用条款和</w:t>
      </w:r>
      <w:r>
        <w:rPr>
          <w:rFonts w:hint="eastAsia" w:ascii="宋体" w:hAnsi="宋体"/>
          <w:color w:val="auto"/>
          <w:sz w:val="24"/>
        </w:rPr>
        <w:t>合同工程质量保修书中约定</w:t>
      </w:r>
      <w:r>
        <w:rPr>
          <w:rFonts w:hint="eastAsia" w:ascii="宋体" w:hAnsi="宋体"/>
          <w:color w:val="auto"/>
          <w:sz w:val="24"/>
          <w:szCs w:val="18"/>
        </w:rPr>
        <w:t>质量保修期。</w:t>
      </w:r>
    </w:p>
    <w:p w14:paraId="12980B4A">
      <w:pPr>
        <w:spacing w:line="360" w:lineRule="auto"/>
        <w:ind w:left="1619" w:leftChars="771"/>
        <w:rPr>
          <w:rFonts w:ascii="宋体"/>
          <w:color w:val="auto"/>
          <w:sz w:val="24"/>
          <w:szCs w:val="18"/>
        </w:rPr>
      </w:pPr>
      <w:r>
        <w:rPr>
          <w:rFonts w:hint="eastAsia" w:ascii="宋体" w:hAnsi="宋体"/>
          <w:color w:val="auto"/>
          <w:sz w:val="24"/>
          <w:szCs w:val="18"/>
        </w:rPr>
        <w:t>质量保修期自实际竣工之日起计算。在全部工程竣工验收前，已经发包人提前验收的单位工程，其质量保修期的起算日期相应提前。</w:t>
      </w:r>
    </w:p>
    <w:p w14:paraId="1D81D652">
      <w:pPr>
        <w:tabs>
          <w:tab w:val="left" w:pos="360"/>
          <w:tab w:val="left" w:pos="900"/>
        </w:tabs>
        <w:adjustRightInd w:val="0"/>
        <w:snapToGrid w:val="0"/>
        <w:spacing w:line="360" w:lineRule="auto"/>
        <w:rPr>
          <w:rFonts w:ascii="宋体"/>
          <w:b/>
          <w:color w:val="auto"/>
          <w:sz w:val="24"/>
          <w:szCs w:val="18"/>
          <w:u w:val="dotted"/>
        </w:rPr>
      </w:pPr>
      <w:r>
        <w:rPr>
          <w:rFonts w:ascii="宋体" w:hAnsi="宋体"/>
          <w:b/>
          <w:color w:val="auto"/>
          <w:sz w:val="24"/>
          <w:szCs w:val="18"/>
        </w:rPr>
        <w:t xml:space="preserve">59.9  </w:t>
      </w:r>
    </w:p>
    <w:p w14:paraId="03163FA7">
      <w:pPr>
        <w:adjustRightInd w:val="0"/>
        <w:snapToGrid w:val="0"/>
        <w:spacing w:line="360" w:lineRule="auto"/>
        <w:ind w:left="1619" w:leftChars="771"/>
        <w:rPr>
          <w:rFonts w:ascii="宋体"/>
          <w:color w:val="auto"/>
          <w:sz w:val="24"/>
          <w:szCs w:val="18"/>
        </w:rPr>
      </w:pPr>
      <w:r>
        <w:rPr>
          <w:color w:val="auto"/>
        </w:rPr>
        <mc:AlternateContent>
          <mc:Choice Requires="wps">
            <w:drawing>
              <wp:anchor distT="0" distB="0" distL="114300" distR="114300" simplePos="0" relativeHeight="251920384" behindDoc="0" locked="0" layoutInCell="1" allowOverlap="1">
                <wp:simplePos x="0" y="0"/>
                <wp:positionH relativeFrom="column">
                  <wp:posOffset>-73660</wp:posOffset>
                </wp:positionH>
                <wp:positionV relativeFrom="paragraph">
                  <wp:posOffset>15240</wp:posOffset>
                </wp:positionV>
                <wp:extent cx="988060" cy="365760"/>
                <wp:effectExtent l="0" t="0" r="0" b="0"/>
                <wp:wrapNone/>
                <wp:docPr id="256" name="文本框 256"/>
                <wp:cNvGraphicFramePr/>
                <a:graphic xmlns:a="http://schemas.openxmlformats.org/drawingml/2006/main">
                  <a:graphicData uri="http://schemas.microsoft.com/office/word/2010/wordprocessingShape">
                    <wps:wsp>
                      <wps:cNvSpPr txBox="1"/>
                      <wps:spPr>
                        <a:xfrm>
                          <a:off x="0" y="0"/>
                          <a:ext cx="988060" cy="365760"/>
                        </a:xfrm>
                        <a:prstGeom prst="rect">
                          <a:avLst/>
                        </a:prstGeom>
                        <a:noFill/>
                        <a:ln>
                          <a:noFill/>
                        </a:ln>
                        <a:effectLst/>
                      </wps:spPr>
                      <wps:txbx>
                        <w:txbxContent>
                          <w:p w14:paraId="770E83C2">
                            <w:pPr>
                              <w:rPr>
                                <w:rFonts w:ascii="楷体_GB2312" w:hAnsi="宋体" w:eastAsia="楷体_GB2312"/>
                                <w:sz w:val="18"/>
                                <w:szCs w:val="18"/>
                              </w:rPr>
                            </w:pPr>
                            <w:r>
                              <w:rPr>
                                <w:rFonts w:hint="eastAsia" w:ascii="楷体_GB2312" w:hAnsi="宋体" w:eastAsia="楷体_GB2312"/>
                                <w:b/>
                                <w:color w:val="000000"/>
                                <w:sz w:val="18"/>
                                <w:szCs w:val="18"/>
                              </w:rPr>
                              <w:t>工程质量保修</w:t>
                            </w:r>
                          </w:p>
                        </w:txbxContent>
                      </wps:txbx>
                      <wps:bodyPr upright="1"/>
                    </wps:wsp>
                  </a:graphicData>
                </a:graphic>
              </wp:anchor>
            </w:drawing>
          </mc:Choice>
          <mc:Fallback>
            <w:pict>
              <v:shape id="_x0000_s1026" o:spid="_x0000_s1026" o:spt="202" type="#_x0000_t202" style="position:absolute;left:0pt;margin-left:-5.8pt;margin-top:1.2pt;height:28.8pt;width:77.8pt;z-index:251920384;mso-width-relative:page;mso-height-relative:page;" filled="f" stroked="f" coordsize="21600,21600" o:gfxdata="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ViiUO&#10;1QAAAAgBAAAPAAAAAAAAAAEAIAAAACIAAABkcnMvZG93bnJldi54bWxQSwECFAAUAAAACACHTuJA&#10;cdAJWLIBAABfAwAADgAAAAAAAAABACAAAAAkAQAAZHJzL2Uyb0RvYy54bWxQSwUGAAAAAAYABgBZ&#10;AQAASAUAAAAA&#10;">
                <v:fill on="f" focussize="0,0"/>
                <v:stroke on="f"/>
                <v:imagedata o:title=""/>
                <o:lock v:ext="edit" aspectratio="f"/>
                <v:textbox>
                  <w:txbxContent>
                    <w:p w14:paraId="770E83C2">
                      <w:pPr>
                        <w:rPr>
                          <w:rFonts w:ascii="楷体_GB2312" w:hAnsi="宋体" w:eastAsia="楷体_GB2312"/>
                          <w:sz w:val="18"/>
                          <w:szCs w:val="18"/>
                        </w:rPr>
                      </w:pPr>
                      <w:r>
                        <w:rPr>
                          <w:rFonts w:hint="eastAsia" w:ascii="楷体_GB2312" w:hAnsi="宋体" w:eastAsia="楷体_GB2312"/>
                          <w:b/>
                          <w:color w:val="000000"/>
                          <w:sz w:val="18"/>
                          <w:szCs w:val="18"/>
                        </w:rPr>
                        <w:t>工程质量保修</w:t>
                      </w:r>
                    </w:p>
                  </w:txbxContent>
                </v:textbox>
              </v:shape>
            </w:pict>
          </mc:Fallback>
        </mc:AlternateContent>
      </w:r>
      <w:r>
        <w:rPr>
          <w:rFonts w:hint="eastAsia" w:ascii="宋体" w:hAnsi="宋体"/>
          <w:color w:val="auto"/>
          <w:sz w:val="24"/>
          <w:szCs w:val="18"/>
        </w:rPr>
        <w:t>承包人应在质量保修期内对交付发包人使用的合同工程承担质量保修责任。合同工程出现质量问题的，承包人应立即实施保修；承包人保修工作完成后，发包人应及时组织验收。发生紧急抢修事故的，承包人应在接到通知后立即到达事故现场抢修。</w:t>
      </w:r>
    </w:p>
    <w:p w14:paraId="3C1C7BEB">
      <w:pPr>
        <w:adjustRightInd w:val="0"/>
        <w:snapToGrid w:val="0"/>
        <w:spacing w:line="360" w:lineRule="auto"/>
        <w:rPr>
          <w:rFonts w:ascii="宋体"/>
          <w:color w:val="auto"/>
          <w:sz w:val="24"/>
          <w:szCs w:val="18"/>
          <w:u w:val="dotted"/>
        </w:rPr>
      </w:pPr>
      <w:r>
        <w:rPr>
          <w:color w:val="auto"/>
        </w:rPr>
        <mc:AlternateContent>
          <mc:Choice Requires="wps">
            <w:drawing>
              <wp:anchor distT="0" distB="0" distL="114300" distR="114300" simplePos="0" relativeHeight="251921408" behindDoc="0" locked="0" layoutInCell="1" allowOverlap="1">
                <wp:simplePos x="0" y="0"/>
                <wp:positionH relativeFrom="column">
                  <wp:posOffset>-66675</wp:posOffset>
                </wp:positionH>
                <wp:positionV relativeFrom="paragraph">
                  <wp:posOffset>198120</wp:posOffset>
                </wp:positionV>
                <wp:extent cx="959485" cy="513080"/>
                <wp:effectExtent l="0" t="0" r="0" b="0"/>
                <wp:wrapNone/>
                <wp:docPr id="257" name="文本框 257"/>
                <wp:cNvGraphicFramePr/>
                <a:graphic xmlns:a="http://schemas.openxmlformats.org/drawingml/2006/main">
                  <a:graphicData uri="http://schemas.microsoft.com/office/word/2010/wordprocessingShape">
                    <wps:wsp>
                      <wps:cNvSpPr txBox="1"/>
                      <wps:spPr>
                        <a:xfrm>
                          <a:off x="0" y="0"/>
                          <a:ext cx="959485" cy="513080"/>
                        </a:xfrm>
                        <a:prstGeom prst="rect">
                          <a:avLst/>
                        </a:prstGeom>
                        <a:noFill/>
                        <a:ln>
                          <a:noFill/>
                        </a:ln>
                        <a:effectLst/>
                      </wps:spPr>
                      <wps:txbx>
                        <w:txbxContent>
                          <w:p w14:paraId="7014AE52">
                            <w:pPr>
                              <w:rPr>
                                <w:rFonts w:ascii="楷体_GB2312" w:hAnsi="宋体" w:eastAsia="楷体_GB2312"/>
                                <w:b/>
                                <w:color w:val="000000"/>
                                <w:sz w:val="18"/>
                                <w:szCs w:val="18"/>
                              </w:rPr>
                            </w:pPr>
                            <w:r>
                              <w:rPr>
                                <w:rFonts w:hint="eastAsia" w:ascii="楷体_GB2312" w:hAnsi="宋体" w:eastAsia="楷体_GB2312"/>
                                <w:b/>
                                <w:color w:val="000000"/>
                                <w:sz w:val="18"/>
                                <w:szCs w:val="18"/>
                              </w:rPr>
                              <w:t>修复质量缺陷以外的费用</w:t>
                            </w:r>
                          </w:p>
                        </w:txbxContent>
                      </wps:txbx>
                      <wps:bodyPr upright="1"/>
                    </wps:wsp>
                  </a:graphicData>
                </a:graphic>
              </wp:anchor>
            </w:drawing>
          </mc:Choice>
          <mc:Fallback>
            <w:pict>
              <v:shape id="_x0000_s1026" o:spid="_x0000_s1026" o:spt="202" type="#_x0000_t202" style="position:absolute;left:0pt;margin-left:-5.25pt;margin-top:15.6pt;height:40.4pt;width:75.55pt;z-index:251921408;mso-width-relative:page;mso-height-relative:page;" filled="f" stroked="f" coordsize="21600,21600" o:gfxdata="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9QF8PXAAAACgEAAA8AAAAAAAAAAQAgAAAAIgAAAGRycy9kb3ducmV2LnhtbFBLAQIUABQAAAAI&#10;AIdO4kDFjWUitQEAAF8DAAAOAAAAAAAAAAEAIAAAACYBAABkcnMvZTJvRG9jLnhtbFBLBQYAAAAA&#10;BgAGAFkBAABNBQAAAAA=&#10;">
                <v:fill on="f" focussize="0,0"/>
                <v:stroke on="f"/>
                <v:imagedata o:title=""/>
                <o:lock v:ext="edit" aspectratio="f"/>
                <v:textbox>
                  <w:txbxContent>
                    <w:p w14:paraId="7014AE52">
                      <w:pPr>
                        <w:rPr>
                          <w:rFonts w:ascii="楷体_GB2312" w:hAnsi="宋体" w:eastAsia="楷体_GB2312"/>
                          <w:b/>
                          <w:color w:val="000000"/>
                          <w:sz w:val="18"/>
                          <w:szCs w:val="18"/>
                        </w:rPr>
                      </w:pPr>
                      <w:r>
                        <w:rPr>
                          <w:rFonts w:hint="eastAsia" w:ascii="楷体_GB2312" w:hAnsi="宋体" w:eastAsia="楷体_GB2312"/>
                          <w:b/>
                          <w:color w:val="000000"/>
                          <w:sz w:val="18"/>
                          <w:szCs w:val="18"/>
                        </w:rPr>
                        <w:t>修复质量缺陷以外的费用</w:t>
                      </w:r>
                    </w:p>
                  </w:txbxContent>
                </v:textbox>
              </v:shape>
            </w:pict>
          </mc:Fallback>
        </mc:AlternateContent>
      </w:r>
      <w:r>
        <w:rPr>
          <w:rFonts w:ascii="宋体" w:hAnsi="宋体"/>
          <w:b/>
          <w:color w:val="auto"/>
          <w:sz w:val="24"/>
          <w:szCs w:val="18"/>
        </w:rPr>
        <w:t xml:space="preserve">59.10 </w:t>
      </w:r>
    </w:p>
    <w:p w14:paraId="43E3EB89">
      <w:pPr>
        <w:adjustRightInd w:val="0"/>
        <w:snapToGrid w:val="0"/>
        <w:spacing w:line="360" w:lineRule="auto"/>
        <w:ind w:firstLine="1574" w:firstLineChars="656"/>
        <w:rPr>
          <w:rFonts w:ascii="宋体"/>
          <w:color w:val="auto"/>
          <w:sz w:val="24"/>
          <w:szCs w:val="18"/>
        </w:rPr>
      </w:pPr>
      <w:r>
        <w:rPr>
          <w:rFonts w:hint="eastAsia" w:ascii="宋体" w:hAnsi="宋体"/>
          <w:color w:val="auto"/>
          <w:sz w:val="24"/>
          <w:szCs w:val="18"/>
        </w:rPr>
        <w:t>承包人修复属于质量缺陷以外的费用，由责任方承担。</w:t>
      </w:r>
    </w:p>
    <w:p w14:paraId="4692B513">
      <w:pPr>
        <w:adjustRightInd w:val="0"/>
        <w:snapToGrid w:val="0"/>
        <w:spacing w:line="360" w:lineRule="auto"/>
        <w:rPr>
          <w:rFonts w:ascii="宋体"/>
          <w:color w:val="auto"/>
          <w:sz w:val="24"/>
          <w:szCs w:val="18"/>
          <w:u w:val="single"/>
        </w:rPr>
      </w:pPr>
    </w:p>
    <w:p w14:paraId="1EAA6513">
      <w:pPr>
        <w:tabs>
          <w:tab w:val="left" w:pos="1620"/>
        </w:tabs>
        <w:adjustRightInd w:val="0"/>
        <w:snapToGrid w:val="0"/>
        <w:spacing w:line="360" w:lineRule="auto"/>
        <w:jc w:val="center"/>
        <w:outlineLvl w:val="1"/>
        <w:rPr>
          <w:rFonts w:ascii="宋体"/>
          <w:b/>
          <w:color w:val="auto"/>
          <w:sz w:val="32"/>
          <w:szCs w:val="28"/>
        </w:rPr>
      </w:pPr>
      <w:r>
        <w:rPr>
          <w:rFonts w:hint="eastAsia" w:ascii="宋体" w:hAnsi="宋体"/>
          <w:b/>
          <w:color w:val="auto"/>
          <w:sz w:val="32"/>
          <w:szCs w:val="28"/>
        </w:rPr>
        <w:t>六、造价</w:t>
      </w:r>
    </w:p>
    <w:p w14:paraId="4597D229">
      <w:pPr>
        <w:tabs>
          <w:tab w:val="left" w:pos="1620"/>
        </w:tabs>
        <w:adjustRightInd w:val="0"/>
        <w:snapToGrid w:val="0"/>
        <w:spacing w:line="360" w:lineRule="auto"/>
        <w:outlineLvl w:val="1"/>
        <w:rPr>
          <w:rFonts w:ascii="宋体"/>
          <w:b/>
          <w:color w:val="auto"/>
          <w:sz w:val="30"/>
          <w:szCs w:val="30"/>
        </w:rPr>
      </w:pPr>
      <w:r>
        <w:rPr>
          <w:rFonts w:ascii="宋体" w:hAnsi="宋体"/>
          <w:b/>
          <w:color w:val="auto"/>
          <w:sz w:val="30"/>
          <w:szCs w:val="30"/>
        </w:rPr>
        <w:t xml:space="preserve">60  </w:t>
      </w:r>
      <w:r>
        <w:rPr>
          <w:rFonts w:hint="eastAsia" w:ascii="宋体" w:hAnsi="宋体"/>
          <w:b/>
          <w:color w:val="auto"/>
          <w:sz w:val="30"/>
          <w:szCs w:val="30"/>
        </w:rPr>
        <w:t>资金计划和安排</w:t>
      </w:r>
    </w:p>
    <w:p w14:paraId="0E9B810C">
      <w:pPr>
        <w:pStyle w:val="2"/>
        <w:adjustRightInd w:val="0"/>
        <w:snapToGrid w:val="0"/>
        <w:spacing w:line="360" w:lineRule="auto"/>
        <w:rPr>
          <w:rFonts w:hAnsi="宋体"/>
          <w:b/>
          <w:color w:val="auto"/>
          <w:sz w:val="24"/>
          <w:szCs w:val="18"/>
        </w:rPr>
      </w:pPr>
      <w:r>
        <w:rPr>
          <w:rFonts w:hAnsi="宋体"/>
          <w:b/>
          <w:color w:val="auto"/>
          <w:sz w:val="24"/>
          <w:szCs w:val="18"/>
        </w:rPr>
        <w:t>60.1</w:t>
      </w:r>
    </w:p>
    <w:p w14:paraId="73FEF15C">
      <w:pPr>
        <w:pStyle w:val="2"/>
        <w:adjustRightInd w:val="0"/>
        <w:snapToGrid w:val="0"/>
        <w:spacing w:line="360" w:lineRule="auto"/>
        <w:ind w:left="1579" w:leftChars="752"/>
        <w:rPr>
          <w:rFonts w:hAnsi="宋体"/>
          <w:b/>
          <w:color w:val="auto"/>
          <w:sz w:val="24"/>
          <w:szCs w:val="18"/>
        </w:rPr>
      </w:pPr>
      <w:r>
        <w:rPr>
          <w:color w:val="auto"/>
        </w:rPr>
        <mc:AlternateContent>
          <mc:Choice Requires="wps">
            <w:drawing>
              <wp:anchor distT="0" distB="0" distL="114300" distR="114300" simplePos="0" relativeHeight="251922432" behindDoc="0" locked="0" layoutInCell="1" allowOverlap="1">
                <wp:simplePos x="0" y="0"/>
                <wp:positionH relativeFrom="column">
                  <wp:posOffset>-133350</wp:posOffset>
                </wp:positionH>
                <wp:positionV relativeFrom="paragraph">
                  <wp:posOffset>68580</wp:posOffset>
                </wp:positionV>
                <wp:extent cx="914400" cy="431800"/>
                <wp:effectExtent l="0" t="0" r="0" b="0"/>
                <wp:wrapNone/>
                <wp:docPr id="258" name="文本框 258"/>
                <wp:cNvGraphicFramePr/>
                <a:graphic xmlns:a="http://schemas.openxmlformats.org/drawingml/2006/main">
                  <a:graphicData uri="http://schemas.microsoft.com/office/word/2010/wordprocessingShape">
                    <wps:wsp>
                      <wps:cNvSpPr txBox="1"/>
                      <wps:spPr>
                        <a:xfrm>
                          <a:off x="0" y="0"/>
                          <a:ext cx="914400" cy="431800"/>
                        </a:xfrm>
                        <a:prstGeom prst="rect">
                          <a:avLst/>
                        </a:prstGeom>
                        <a:noFill/>
                        <a:ln>
                          <a:noFill/>
                        </a:ln>
                        <a:effectLst/>
                      </wps:spPr>
                      <wps:txbx>
                        <w:txbxContent>
                          <w:p w14:paraId="105E47FF">
                            <w:pPr>
                              <w:pStyle w:val="6"/>
                              <w:spacing w:line="220" w:lineRule="exact"/>
                              <w:rPr>
                                <w:rFonts w:ascii="楷体_GB2312" w:hAnsi="宋体" w:eastAsia="楷体_GB2312"/>
                                <w:b/>
                                <w:bCs/>
                                <w:sz w:val="18"/>
                                <w:szCs w:val="18"/>
                              </w:rPr>
                            </w:pPr>
                            <w:r>
                              <w:rPr>
                                <w:rFonts w:hint="eastAsia" w:ascii="楷体_GB2312" w:hAnsi="宋体" w:eastAsia="楷体_GB2312"/>
                                <w:b/>
                                <w:bCs/>
                                <w:sz w:val="18"/>
                                <w:szCs w:val="18"/>
                              </w:rPr>
                              <w:t>承包人提交资金需求计划书</w:t>
                            </w:r>
                          </w:p>
                        </w:txbxContent>
                      </wps:txbx>
                      <wps:bodyPr upright="1"/>
                    </wps:wsp>
                  </a:graphicData>
                </a:graphic>
              </wp:anchor>
            </w:drawing>
          </mc:Choice>
          <mc:Fallback>
            <w:pict>
              <v:shape id="_x0000_s1026" o:spid="_x0000_s1026" o:spt="202" type="#_x0000_t202" style="position:absolute;left:0pt;margin-left:-10.5pt;margin-top:5.4pt;height:34pt;width:72pt;z-index:251922432;mso-width-relative:page;mso-height-relative:page;" filled="f" stroked="f" coordsize="21600,21600" o:gfxdata="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2Qv9&#10;z9YAAAAJAQAADwAAAAAAAAABACAAAAAiAAAAZHJzL2Rvd25yZXYueG1sUEsBAhQAFAAAAAgAh07i&#10;QJSdpcSyAQAAXwMAAA4AAAAAAAAAAQAgAAAAJQEAAGRycy9lMm9Eb2MueG1sUEsFBgAAAAAGAAYA&#10;WQEAAEkFAAAAAA==&#10;">
                <v:fill on="f" focussize="0,0"/>
                <v:stroke on="f"/>
                <v:imagedata o:title=""/>
                <o:lock v:ext="edit" aspectratio="f"/>
                <v:textbox>
                  <w:txbxContent>
                    <w:p w14:paraId="105E47FF">
                      <w:pPr>
                        <w:pStyle w:val="6"/>
                        <w:spacing w:line="220" w:lineRule="exact"/>
                        <w:rPr>
                          <w:rFonts w:ascii="楷体_GB2312" w:hAnsi="宋体" w:eastAsia="楷体_GB2312"/>
                          <w:b/>
                          <w:bCs/>
                          <w:sz w:val="18"/>
                          <w:szCs w:val="18"/>
                        </w:rPr>
                      </w:pPr>
                      <w:r>
                        <w:rPr>
                          <w:rFonts w:hint="eastAsia" w:ascii="楷体_GB2312" w:hAnsi="宋体" w:eastAsia="楷体_GB2312"/>
                          <w:b/>
                          <w:bCs/>
                          <w:sz w:val="18"/>
                          <w:szCs w:val="18"/>
                        </w:rPr>
                        <w:t>承包人提交资金需求计划书</w:t>
                      </w:r>
                    </w:p>
                  </w:txbxContent>
                </v:textbox>
              </v:shape>
            </w:pict>
          </mc:Fallback>
        </mc:AlternateContent>
      </w:r>
      <w:r>
        <w:rPr>
          <w:rFonts w:hint="eastAsia" w:hAnsi="宋体"/>
          <w:color w:val="auto"/>
          <w:sz w:val="24"/>
          <w:szCs w:val="18"/>
        </w:rPr>
        <w:t>工程进度计划被批准后，承包人应向发包人提交一份合同工程资金需求计划书；工程进度计划更新后，承包人应及时向发包人提交一份更新后的工程资金需求计划书。</w:t>
      </w:r>
    </w:p>
    <w:p w14:paraId="67441690">
      <w:pPr>
        <w:pStyle w:val="2"/>
        <w:adjustRightInd w:val="0"/>
        <w:snapToGrid w:val="0"/>
        <w:spacing w:line="360" w:lineRule="auto"/>
        <w:ind w:left="1619" w:leftChars="1" w:hanging="1617" w:hangingChars="671"/>
        <w:rPr>
          <w:rFonts w:hAnsi="宋体"/>
          <w:b/>
          <w:color w:val="auto"/>
          <w:sz w:val="24"/>
          <w:szCs w:val="18"/>
        </w:rPr>
      </w:pPr>
      <w:r>
        <w:rPr>
          <w:rFonts w:hAnsi="宋体"/>
          <w:b/>
          <w:color w:val="auto"/>
          <w:sz w:val="24"/>
          <w:szCs w:val="18"/>
        </w:rPr>
        <w:t xml:space="preserve">60.2  </w:t>
      </w:r>
    </w:p>
    <w:p w14:paraId="7E443A80">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1923456" behindDoc="0" locked="0" layoutInCell="1" allowOverlap="1">
                <wp:simplePos x="0" y="0"/>
                <wp:positionH relativeFrom="column">
                  <wp:posOffset>-114300</wp:posOffset>
                </wp:positionH>
                <wp:positionV relativeFrom="paragraph">
                  <wp:posOffset>34290</wp:posOffset>
                </wp:positionV>
                <wp:extent cx="914400" cy="464820"/>
                <wp:effectExtent l="0" t="0" r="0" b="0"/>
                <wp:wrapNone/>
                <wp:docPr id="259" name="文本框 259"/>
                <wp:cNvGraphicFramePr/>
                <a:graphic xmlns:a="http://schemas.openxmlformats.org/drawingml/2006/main">
                  <a:graphicData uri="http://schemas.microsoft.com/office/word/2010/wordprocessingShape">
                    <wps:wsp>
                      <wps:cNvSpPr txBox="1"/>
                      <wps:spPr>
                        <a:xfrm>
                          <a:off x="0" y="0"/>
                          <a:ext cx="914400" cy="464820"/>
                        </a:xfrm>
                        <a:prstGeom prst="rect">
                          <a:avLst/>
                        </a:prstGeom>
                        <a:noFill/>
                        <a:ln>
                          <a:noFill/>
                        </a:ln>
                        <a:effectLst/>
                      </wps:spPr>
                      <wps:txbx>
                        <w:txbxContent>
                          <w:p w14:paraId="41793150">
                            <w:pPr>
                              <w:pStyle w:val="6"/>
                              <w:spacing w:line="220" w:lineRule="exact"/>
                              <w:rPr>
                                <w:rFonts w:ascii="楷体_GB2312" w:hAnsi="宋体" w:eastAsia="楷体_GB2312"/>
                                <w:b/>
                                <w:bCs/>
                                <w:sz w:val="18"/>
                                <w:szCs w:val="18"/>
                              </w:rPr>
                            </w:pPr>
                            <w:r>
                              <w:rPr>
                                <w:rFonts w:hint="eastAsia" w:ascii="楷体_GB2312" w:hAnsi="宋体" w:eastAsia="楷体_GB2312"/>
                                <w:b/>
                                <w:bCs/>
                                <w:sz w:val="18"/>
                                <w:szCs w:val="18"/>
                              </w:rPr>
                              <w:t>发包人提供资金安排证据</w:t>
                            </w:r>
                          </w:p>
                        </w:txbxContent>
                      </wps:txbx>
                      <wps:bodyPr upright="1"/>
                    </wps:wsp>
                  </a:graphicData>
                </a:graphic>
              </wp:anchor>
            </w:drawing>
          </mc:Choice>
          <mc:Fallback>
            <w:pict>
              <v:shape id="_x0000_s1026" o:spid="_x0000_s1026" o:spt="202" type="#_x0000_t202" style="position:absolute;left:0pt;margin-left:-9pt;margin-top:2.7pt;height:36.6pt;width:72pt;z-index:251923456;mso-width-relative:page;mso-height-relative:page;" filled="f" stroked="f" coordsize="21600,21600" o:gfxdata="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lrB&#10;3tUAAAAIAQAADwAAAAAAAAABACAAAAAiAAAAZHJzL2Rvd25yZXYueG1sUEsBAhQAFAAAAAgAh07i&#10;QEXWHGqzAQAAXwMAAA4AAAAAAAAAAQAgAAAAJAEAAGRycy9lMm9Eb2MueG1sUEsFBgAAAAAGAAYA&#10;WQEAAEkFAAAAAA==&#10;">
                <v:fill on="f" focussize="0,0"/>
                <v:stroke on="f"/>
                <v:imagedata o:title=""/>
                <o:lock v:ext="edit" aspectratio="f"/>
                <v:textbox>
                  <w:txbxContent>
                    <w:p w14:paraId="41793150">
                      <w:pPr>
                        <w:pStyle w:val="6"/>
                        <w:spacing w:line="220" w:lineRule="exact"/>
                        <w:rPr>
                          <w:rFonts w:ascii="楷体_GB2312" w:hAnsi="宋体" w:eastAsia="楷体_GB2312"/>
                          <w:b/>
                          <w:bCs/>
                          <w:sz w:val="18"/>
                          <w:szCs w:val="18"/>
                        </w:rPr>
                      </w:pPr>
                      <w:r>
                        <w:rPr>
                          <w:rFonts w:hint="eastAsia" w:ascii="楷体_GB2312" w:hAnsi="宋体" w:eastAsia="楷体_GB2312"/>
                          <w:b/>
                          <w:bCs/>
                          <w:sz w:val="18"/>
                          <w:szCs w:val="18"/>
                        </w:rPr>
                        <w:t>发包人提供资金安排证据</w:t>
                      </w:r>
                    </w:p>
                  </w:txbxContent>
                </v:textbox>
              </v:shape>
            </w:pict>
          </mc:Fallback>
        </mc:AlternateContent>
      </w:r>
      <w:r>
        <w:rPr>
          <w:rFonts w:hint="eastAsia" w:hAnsi="宋体"/>
          <w:color w:val="auto"/>
          <w:sz w:val="24"/>
          <w:szCs w:val="18"/>
        </w:rPr>
        <w:t>发包人在收到承包人提交的工程资金需求计划书后</w:t>
      </w:r>
      <w:r>
        <w:rPr>
          <w:rFonts w:hAnsi="宋体"/>
          <w:color w:val="auto"/>
          <w:sz w:val="24"/>
          <w:szCs w:val="18"/>
        </w:rPr>
        <w:t>28</w:t>
      </w:r>
      <w:r>
        <w:rPr>
          <w:rFonts w:hint="eastAsia" w:hAnsi="宋体"/>
          <w:color w:val="auto"/>
          <w:sz w:val="24"/>
          <w:szCs w:val="18"/>
        </w:rPr>
        <w:t>天内，应根据合同约定提供已做出资金安排的合理证据，表明自己有能力按照第</w:t>
      </w:r>
      <w:r>
        <w:rPr>
          <w:rFonts w:hAnsi="宋体"/>
          <w:color w:val="auto"/>
          <w:sz w:val="24"/>
          <w:szCs w:val="18"/>
        </w:rPr>
        <w:t>78</w:t>
      </w:r>
      <w:r>
        <w:rPr>
          <w:rFonts w:hint="eastAsia" w:hAnsi="宋体"/>
          <w:color w:val="auto"/>
          <w:sz w:val="24"/>
          <w:szCs w:val="18"/>
        </w:rPr>
        <w:t>条规定支付合同价款。如果发包人对资金安排作出任何变更时，应及时将变更的详情通知承包人。</w:t>
      </w:r>
    </w:p>
    <w:p w14:paraId="057FE8F3">
      <w:pPr>
        <w:pStyle w:val="2"/>
        <w:tabs>
          <w:tab w:val="left" w:pos="1800"/>
        </w:tabs>
        <w:adjustRightInd w:val="0"/>
        <w:snapToGrid w:val="0"/>
        <w:spacing w:line="360" w:lineRule="auto"/>
        <w:rPr>
          <w:color w:val="auto"/>
        </w:rPr>
      </w:pPr>
    </w:p>
    <w:p w14:paraId="7EC78025">
      <w:pPr>
        <w:pStyle w:val="2"/>
        <w:tabs>
          <w:tab w:val="left" w:pos="540"/>
        </w:tabs>
        <w:adjustRightInd w:val="0"/>
        <w:snapToGrid w:val="0"/>
        <w:spacing w:before="240" w:beforeLines="100" w:line="360" w:lineRule="auto"/>
        <w:ind w:right="-238"/>
        <w:rPr>
          <w:rFonts w:hAnsi="宋体"/>
          <w:b/>
          <w:color w:val="auto"/>
          <w:sz w:val="30"/>
          <w:szCs w:val="24"/>
        </w:rPr>
      </w:pPr>
      <w:r>
        <w:rPr>
          <w:rFonts w:hAnsi="宋体"/>
          <w:b/>
          <w:color w:val="auto"/>
          <w:sz w:val="30"/>
          <w:szCs w:val="24"/>
        </w:rPr>
        <w:t xml:space="preserve">61  </w:t>
      </w:r>
      <w:r>
        <w:rPr>
          <w:rFonts w:hint="eastAsia" w:hAnsi="宋体"/>
          <w:b/>
          <w:color w:val="auto"/>
          <w:sz w:val="30"/>
          <w:szCs w:val="24"/>
        </w:rPr>
        <w:t>工程量</w:t>
      </w:r>
    </w:p>
    <w:p w14:paraId="0B0E0379">
      <w:pPr>
        <w:pStyle w:val="2"/>
        <w:adjustRightInd w:val="0"/>
        <w:snapToGrid w:val="0"/>
        <w:spacing w:line="360" w:lineRule="auto"/>
        <w:rPr>
          <w:rFonts w:hAnsi="宋体"/>
          <w:b/>
          <w:color w:val="auto"/>
          <w:sz w:val="24"/>
          <w:szCs w:val="18"/>
        </w:rPr>
      </w:pPr>
      <w:r>
        <w:rPr>
          <w:rFonts w:hAnsi="宋体"/>
          <w:b/>
          <w:color w:val="auto"/>
          <w:sz w:val="24"/>
          <w:szCs w:val="18"/>
        </w:rPr>
        <w:t>61.1</w:t>
      </w:r>
    </w:p>
    <w:p w14:paraId="086545F2">
      <w:pPr>
        <w:pStyle w:val="2"/>
        <w:adjustRightInd w:val="0"/>
        <w:snapToGrid w:val="0"/>
        <w:spacing w:line="360" w:lineRule="auto"/>
        <w:ind w:left="1619" w:leftChars="771"/>
        <w:rPr>
          <w:rFonts w:hAnsi="宋体"/>
          <w:color w:val="auto"/>
          <w:sz w:val="24"/>
          <w:szCs w:val="18"/>
        </w:rPr>
      </w:pPr>
      <w:r>
        <w:rPr>
          <w:rFonts w:hint="eastAsia" w:hAnsi="宋体"/>
          <w:color w:val="auto"/>
          <w:sz w:val="24"/>
          <w:szCs w:val="18"/>
        </w:rPr>
        <w:t>除专用条款另有约定外，</w:t>
      </w:r>
      <w:r>
        <w:rPr>
          <w:color w:val="auto"/>
        </w:rPr>
        <mc:AlternateContent>
          <mc:Choice Requires="wps">
            <w:drawing>
              <wp:anchor distT="0" distB="0" distL="114300" distR="114300" simplePos="0" relativeHeight="251924480" behindDoc="0" locked="0" layoutInCell="1" allowOverlap="1">
                <wp:simplePos x="0" y="0"/>
                <wp:positionH relativeFrom="column">
                  <wp:posOffset>-114300</wp:posOffset>
                </wp:positionH>
                <wp:positionV relativeFrom="paragraph">
                  <wp:posOffset>11430</wp:posOffset>
                </wp:positionV>
                <wp:extent cx="914400" cy="476250"/>
                <wp:effectExtent l="0" t="0" r="0" b="0"/>
                <wp:wrapNone/>
                <wp:docPr id="260" name="文本框 260"/>
                <wp:cNvGraphicFramePr/>
                <a:graphic xmlns:a="http://schemas.openxmlformats.org/drawingml/2006/main">
                  <a:graphicData uri="http://schemas.microsoft.com/office/word/2010/wordprocessingShape">
                    <wps:wsp>
                      <wps:cNvSpPr txBox="1"/>
                      <wps:spPr>
                        <a:xfrm>
                          <a:off x="0" y="0"/>
                          <a:ext cx="914400" cy="476250"/>
                        </a:xfrm>
                        <a:prstGeom prst="rect">
                          <a:avLst/>
                        </a:prstGeom>
                        <a:noFill/>
                        <a:ln>
                          <a:noFill/>
                        </a:ln>
                        <a:effectLst/>
                      </wps:spPr>
                      <wps:txbx>
                        <w:txbxContent>
                          <w:p w14:paraId="47B94A6C">
                            <w:pPr>
                              <w:pStyle w:val="6"/>
                              <w:spacing w:line="220" w:lineRule="exact"/>
                              <w:rPr>
                                <w:rFonts w:ascii="楷体_GB2312" w:hAnsi="宋体" w:eastAsia="楷体_GB2312"/>
                                <w:b/>
                                <w:bCs/>
                                <w:sz w:val="18"/>
                                <w:szCs w:val="18"/>
                              </w:rPr>
                            </w:pPr>
                            <w:r>
                              <w:rPr>
                                <w:rFonts w:hint="eastAsia" w:ascii="楷体_GB2312" w:hAnsi="宋体" w:eastAsia="楷体_GB2312"/>
                                <w:b/>
                                <w:bCs/>
                                <w:sz w:val="18"/>
                                <w:szCs w:val="18"/>
                              </w:rPr>
                              <w:t>清单工程量包括的工作内容</w:t>
                            </w:r>
                          </w:p>
                        </w:txbxContent>
                      </wps:txbx>
                      <wps:bodyPr upright="1"/>
                    </wps:wsp>
                  </a:graphicData>
                </a:graphic>
              </wp:anchor>
            </w:drawing>
          </mc:Choice>
          <mc:Fallback>
            <w:pict>
              <v:shape id="_x0000_s1026" o:spid="_x0000_s1026" o:spt="202" type="#_x0000_t202" style="position:absolute;left:0pt;margin-left:-9pt;margin-top:0.9pt;height:37.5pt;width:72pt;z-index:251924480;mso-width-relative:page;mso-height-relative:page;" filled="f" stroked="f" coordsize="21600,21600" o:gfxdata="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JuOd1&#10;1AAAAAgBAAAPAAAAAAAAAAEAIAAAACIAAABkcnMvZG93bnJldi54bWxQSwECFAAUAAAACACHTuJA&#10;voxIMbMBAABfAwAADgAAAAAAAAABACAAAAAjAQAAZHJzL2Uyb0RvYy54bWxQSwUGAAAAAAYABgBZ&#10;AQAASAUAAAAA&#10;">
                <v:fill on="f" focussize="0,0"/>
                <v:stroke on="f"/>
                <v:imagedata o:title=""/>
                <o:lock v:ext="edit" aspectratio="f"/>
                <v:textbox>
                  <w:txbxContent>
                    <w:p w14:paraId="47B94A6C">
                      <w:pPr>
                        <w:pStyle w:val="6"/>
                        <w:spacing w:line="220" w:lineRule="exact"/>
                        <w:rPr>
                          <w:rFonts w:ascii="楷体_GB2312" w:hAnsi="宋体" w:eastAsia="楷体_GB2312"/>
                          <w:b/>
                          <w:bCs/>
                          <w:sz w:val="18"/>
                          <w:szCs w:val="18"/>
                        </w:rPr>
                      </w:pPr>
                      <w:r>
                        <w:rPr>
                          <w:rFonts w:hint="eastAsia" w:ascii="楷体_GB2312" w:hAnsi="宋体" w:eastAsia="楷体_GB2312"/>
                          <w:b/>
                          <w:bCs/>
                          <w:sz w:val="18"/>
                          <w:szCs w:val="18"/>
                        </w:rPr>
                        <w:t>清单工程量包括的工作内容</w:t>
                      </w:r>
                    </w:p>
                  </w:txbxContent>
                </v:textbox>
              </v:shape>
            </w:pict>
          </mc:Fallback>
        </mc:AlternateContent>
      </w:r>
      <w:r>
        <w:rPr>
          <w:rFonts w:hint="eastAsia" w:hAnsi="宋体"/>
          <w:color w:val="auto"/>
          <w:sz w:val="24"/>
          <w:szCs w:val="18"/>
        </w:rPr>
        <w:t>工程量清单中开列的工程量应包括由承包人完成合同工程的施工、安装等工作内容。其任何遗漏或错误，既不能使合同无效，也不能免除承包人按照施工设计图纸、标准与规范实施合同工程的任何责任。对于依据施工设计图纸、标准与规范应在工程量清单中计量但未计量的工作，应根据第</w:t>
      </w:r>
      <w:r>
        <w:rPr>
          <w:rFonts w:hAnsi="宋体"/>
          <w:color w:val="auto"/>
          <w:sz w:val="24"/>
          <w:szCs w:val="18"/>
        </w:rPr>
        <w:t>72</w:t>
      </w:r>
      <w:r>
        <w:rPr>
          <w:rFonts w:hint="eastAsia" w:hAnsi="宋体"/>
          <w:color w:val="auto"/>
          <w:sz w:val="24"/>
          <w:szCs w:val="18"/>
        </w:rPr>
        <w:t>条规定确定合同价款的增加额。</w:t>
      </w:r>
    </w:p>
    <w:p w14:paraId="1A01BD36">
      <w:pPr>
        <w:pStyle w:val="2"/>
        <w:adjustRightInd w:val="0"/>
        <w:snapToGrid w:val="0"/>
        <w:spacing w:line="360" w:lineRule="auto"/>
        <w:rPr>
          <w:rFonts w:hAnsi="宋体"/>
          <w:b/>
          <w:color w:val="auto"/>
          <w:sz w:val="24"/>
          <w:szCs w:val="18"/>
        </w:rPr>
      </w:pPr>
      <w:r>
        <w:rPr>
          <w:rFonts w:hAnsi="宋体"/>
          <w:b/>
          <w:color w:val="auto"/>
          <w:sz w:val="24"/>
          <w:szCs w:val="18"/>
        </w:rPr>
        <w:t xml:space="preserve">61.2  </w:t>
      </w:r>
    </w:p>
    <w:p w14:paraId="0FF42BF5">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1925504" behindDoc="0" locked="0" layoutInCell="1" allowOverlap="1">
                <wp:simplePos x="0" y="0"/>
                <wp:positionH relativeFrom="column">
                  <wp:posOffset>-114300</wp:posOffset>
                </wp:positionH>
                <wp:positionV relativeFrom="paragraph">
                  <wp:posOffset>11430</wp:posOffset>
                </wp:positionV>
                <wp:extent cx="1028700" cy="361950"/>
                <wp:effectExtent l="0" t="0" r="0" b="0"/>
                <wp:wrapNone/>
                <wp:docPr id="261" name="文本框 261"/>
                <wp:cNvGraphicFramePr/>
                <a:graphic xmlns:a="http://schemas.openxmlformats.org/drawingml/2006/main">
                  <a:graphicData uri="http://schemas.microsoft.com/office/word/2010/wordprocessingShape">
                    <wps:wsp>
                      <wps:cNvSpPr txBox="1"/>
                      <wps:spPr>
                        <a:xfrm>
                          <a:off x="0" y="0"/>
                          <a:ext cx="1028700" cy="361950"/>
                        </a:xfrm>
                        <a:prstGeom prst="rect">
                          <a:avLst/>
                        </a:prstGeom>
                        <a:noFill/>
                        <a:ln>
                          <a:noFill/>
                        </a:ln>
                        <a:effectLst/>
                      </wps:spPr>
                      <wps:txbx>
                        <w:txbxContent>
                          <w:p w14:paraId="50A66C77">
                            <w:pPr>
                              <w:pStyle w:val="6"/>
                              <w:spacing w:line="220" w:lineRule="exact"/>
                              <w:rPr>
                                <w:rFonts w:ascii="楷体_GB2312" w:hAnsi="宋体" w:eastAsia="楷体_GB2312"/>
                                <w:b/>
                                <w:bCs/>
                                <w:sz w:val="18"/>
                                <w:szCs w:val="18"/>
                              </w:rPr>
                            </w:pPr>
                            <w:r>
                              <w:rPr>
                                <w:rFonts w:hint="eastAsia" w:ascii="楷体_GB2312" w:hAnsi="宋体" w:eastAsia="楷体_GB2312"/>
                                <w:b/>
                                <w:bCs/>
                                <w:sz w:val="18"/>
                                <w:szCs w:val="18"/>
                              </w:rPr>
                              <w:t>清单的工程量</w:t>
                            </w:r>
                          </w:p>
                        </w:txbxContent>
                      </wps:txbx>
                      <wps:bodyPr upright="1"/>
                    </wps:wsp>
                  </a:graphicData>
                </a:graphic>
              </wp:anchor>
            </w:drawing>
          </mc:Choice>
          <mc:Fallback>
            <w:pict>
              <v:shape id="_x0000_s1026" o:spid="_x0000_s1026" o:spt="202" type="#_x0000_t202" style="position:absolute;left:0pt;margin-left:-9pt;margin-top:0.9pt;height:28.5pt;width:81pt;z-index:251925504;mso-width-relative:page;mso-height-relative:page;" filled="f" stroked="f" coordsize="21600,21600" o:gfxdata="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w2NEa&#10;1AAAAAgBAAAPAAAAAAAAAAEAIAAAACIAAABkcnMvZG93bnJldi54bWxQSwECFAAUAAAACACHTuJA&#10;LyBqcLMBAABgAwAADgAAAAAAAAABACAAAAAjAQAAZHJzL2Uyb0RvYy54bWxQSwUGAAAAAAYABgBZ&#10;AQAASAUAAAAA&#10;">
                <v:fill on="f" focussize="0,0"/>
                <v:stroke on="f"/>
                <v:imagedata o:title=""/>
                <o:lock v:ext="edit" aspectratio="f"/>
                <v:textbox>
                  <w:txbxContent>
                    <w:p w14:paraId="50A66C77">
                      <w:pPr>
                        <w:pStyle w:val="6"/>
                        <w:spacing w:line="220" w:lineRule="exact"/>
                        <w:rPr>
                          <w:rFonts w:ascii="楷体_GB2312" w:hAnsi="宋体" w:eastAsia="楷体_GB2312"/>
                          <w:b/>
                          <w:bCs/>
                          <w:sz w:val="18"/>
                          <w:szCs w:val="18"/>
                        </w:rPr>
                      </w:pPr>
                      <w:r>
                        <w:rPr>
                          <w:rFonts w:hint="eastAsia" w:ascii="楷体_GB2312" w:hAnsi="宋体" w:eastAsia="楷体_GB2312"/>
                          <w:b/>
                          <w:bCs/>
                          <w:sz w:val="18"/>
                          <w:szCs w:val="18"/>
                        </w:rPr>
                        <w:t>清单的工程量</w:t>
                      </w:r>
                    </w:p>
                  </w:txbxContent>
                </v:textbox>
              </v:shape>
            </w:pict>
          </mc:Fallback>
        </mc:AlternateContent>
      </w:r>
      <w:r>
        <w:rPr>
          <w:rFonts w:hint="eastAsia" w:hAnsi="宋体"/>
          <w:color w:val="auto"/>
          <w:sz w:val="24"/>
          <w:szCs w:val="18"/>
        </w:rPr>
        <w:t>工程量清单中开列的工程量是根据合同工程施工设计图纸提供的预计工程量，不能作为承包人履行合同义务中应予完成合同工程的实际和准确工程量。</w:t>
      </w:r>
    </w:p>
    <w:p w14:paraId="5D70701F">
      <w:pPr>
        <w:pStyle w:val="2"/>
        <w:adjustRightInd w:val="0"/>
        <w:snapToGrid w:val="0"/>
        <w:spacing w:line="360" w:lineRule="auto"/>
        <w:ind w:left="1619" w:leftChars="771"/>
        <w:rPr>
          <w:rFonts w:hAnsi="宋体"/>
          <w:color w:val="auto"/>
          <w:sz w:val="24"/>
          <w:szCs w:val="18"/>
        </w:rPr>
      </w:pPr>
      <w:r>
        <w:rPr>
          <w:rFonts w:hint="eastAsia" w:hAnsi="宋体"/>
          <w:color w:val="auto"/>
          <w:sz w:val="24"/>
          <w:szCs w:val="18"/>
        </w:rPr>
        <w:t>发包人应按照承包人实际完成的应予计量的工程量与其在工程量清单中填报的单价或合价的乘积向承包人支付工程款。</w:t>
      </w:r>
    </w:p>
    <w:p w14:paraId="53B07A7E">
      <w:pPr>
        <w:pStyle w:val="2"/>
        <w:adjustRightInd w:val="0"/>
        <w:snapToGrid w:val="0"/>
        <w:spacing w:line="360" w:lineRule="auto"/>
        <w:rPr>
          <w:rFonts w:hAnsi="宋体"/>
          <w:b/>
          <w:color w:val="auto"/>
          <w:sz w:val="24"/>
          <w:szCs w:val="18"/>
          <w:u w:val="single"/>
        </w:rPr>
      </w:pPr>
    </w:p>
    <w:p w14:paraId="313B4D0A">
      <w:pPr>
        <w:pStyle w:val="2"/>
        <w:tabs>
          <w:tab w:val="left" w:pos="540"/>
        </w:tabs>
        <w:adjustRightInd w:val="0"/>
        <w:snapToGrid w:val="0"/>
        <w:spacing w:before="240" w:beforeLines="100" w:line="360" w:lineRule="auto"/>
        <w:ind w:right="-238"/>
        <w:rPr>
          <w:rFonts w:hAnsi="宋体"/>
          <w:b/>
          <w:color w:val="auto"/>
          <w:sz w:val="30"/>
          <w:szCs w:val="24"/>
        </w:rPr>
      </w:pPr>
      <w:r>
        <w:rPr>
          <w:rFonts w:hAnsi="宋体"/>
          <w:b/>
          <w:color w:val="auto"/>
          <w:sz w:val="30"/>
          <w:szCs w:val="24"/>
        </w:rPr>
        <w:t xml:space="preserve">62  </w:t>
      </w:r>
      <w:r>
        <w:rPr>
          <w:rFonts w:hint="eastAsia" w:hAnsi="宋体"/>
          <w:b/>
          <w:color w:val="auto"/>
          <w:sz w:val="30"/>
          <w:szCs w:val="24"/>
        </w:rPr>
        <w:t>工程计量和计价</w:t>
      </w:r>
    </w:p>
    <w:p w14:paraId="2F0508DB">
      <w:pPr>
        <w:pStyle w:val="2"/>
        <w:adjustRightInd w:val="0"/>
        <w:snapToGrid w:val="0"/>
        <w:spacing w:line="360" w:lineRule="auto"/>
        <w:rPr>
          <w:rFonts w:hAnsi="宋体"/>
          <w:b/>
          <w:color w:val="auto"/>
          <w:sz w:val="24"/>
          <w:szCs w:val="18"/>
        </w:rPr>
      </w:pPr>
      <w:r>
        <w:rPr>
          <w:rFonts w:hAnsi="宋体"/>
          <w:b/>
          <w:color w:val="auto"/>
          <w:sz w:val="24"/>
          <w:szCs w:val="18"/>
        </w:rPr>
        <w:t>62.1</w:t>
      </w:r>
    </w:p>
    <w:p w14:paraId="37333B54">
      <w:pPr>
        <w:pStyle w:val="2"/>
        <w:adjustRightInd w:val="0"/>
        <w:snapToGrid w:val="0"/>
        <w:spacing w:line="360" w:lineRule="auto"/>
        <w:ind w:left="1619" w:leftChars="771"/>
        <w:rPr>
          <w:rFonts w:hAnsi="宋体"/>
          <w:b/>
          <w:color w:val="auto"/>
          <w:sz w:val="24"/>
          <w:szCs w:val="18"/>
        </w:rPr>
      </w:pPr>
      <w:r>
        <w:rPr>
          <w:color w:val="auto"/>
        </w:rPr>
        <mc:AlternateContent>
          <mc:Choice Requires="wps">
            <w:drawing>
              <wp:anchor distT="0" distB="0" distL="114300" distR="114300" simplePos="0" relativeHeight="251926528" behindDoc="0" locked="0" layoutInCell="1" allowOverlap="1">
                <wp:simplePos x="0" y="0"/>
                <wp:positionH relativeFrom="column">
                  <wp:posOffset>-114300</wp:posOffset>
                </wp:positionH>
                <wp:positionV relativeFrom="paragraph">
                  <wp:posOffset>12700</wp:posOffset>
                </wp:positionV>
                <wp:extent cx="914400" cy="415925"/>
                <wp:effectExtent l="0" t="0" r="0" b="0"/>
                <wp:wrapNone/>
                <wp:docPr id="262" name="文本框 262"/>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a:effectLst/>
                      </wps:spPr>
                      <wps:txbx>
                        <w:txbxContent>
                          <w:p w14:paraId="4CFD4B04">
                            <w:pPr>
                              <w:pStyle w:val="6"/>
                              <w:spacing w:line="220" w:lineRule="exact"/>
                              <w:rPr>
                                <w:rFonts w:ascii="楷体_GB2312" w:hAnsi="宋体" w:eastAsia="楷体_GB2312"/>
                                <w:b/>
                                <w:bCs/>
                                <w:sz w:val="18"/>
                                <w:szCs w:val="18"/>
                              </w:rPr>
                            </w:pPr>
                            <w:r>
                              <w:rPr>
                                <w:rFonts w:hint="eastAsia" w:ascii="楷体_GB2312" w:hAnsi="宋体" w:eastAsia="楷体_GB2312"/>
                                <w:b/>
                                <w:bCs/>
                                <w:sz w:val="18"/>
                                <w:szCs w:val="18"/>
                              </w:rPr>
                              <w:t>工程计量和计价的依据</w:t>
                            </w:r>
                          </w:p>
                        </w:txbxContent>
                      </wps:txbx>
                      <wps:bodyPr upright="1"/>
                    </wps:wsp>
                  </a:graphicData>
                </a:graphic>
              </wp:anchor>
            </w:drawing>
          </mc:Choice>
          <mc:Fallback>
            <w:pict>
              <v:shape id="_x0000_s1026" o:spid="_x0000_s1026" o:spt="202" type="#_x0000_t202" style="position:absolute;left:0pt;margin-left:-9pt;margin-top:1pt;height:32.75pt;width:72pt;z-index:251926528;mso-width-relative:page;mso-height-relative:page;" filled="f" stroked="f" coordsize="21600,21600" o:gfxdata="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KAe&#10;sJLWAAAACAEAAA8AAAAAAAAAAQAgAAAAIgAAAGRycy9kb3ducmV2LnhtbFBLAQIUABQAAAAIAIdO&#10;4kCSUIGwswEAAF8DAAAOAAAAAAAAAAEAIAAAACUBAABkcnMvZTJvRG9jLnhtbFBLBQYAAAAABgAG&#10;AFkBAABKBQAAAAA=&#10;">
                <v:fill on="f" focussize="0,0"/>
                <v:stroke on="f"/>
                <v:imagedata o:title=""/>
                <o:lock v:ext="edit" aspectratio="f"/>
                <v:textbox>
                  <w:txbxContent>
                    <w:p w14:paraId="4CFD4B04">
                      <w:pPr>
                        <w:pStyle w:val="6"/>
                        <w:spacing w:line="220" w:lineRule="exact"/>
                        <w:rPr>
                          <w:rFonts w:ascii="楷体_GB2312" w:hAnsi="宋体" w:eastAsia="楷体_GB2312"/>
                          <w:b/>
                          <w:bCs/>
                          <w:sz w:val="18"/>
                          <w:szCs w:val="18"/>
                        </w:rPr>
                      </w:pPr>
                      <w:r>
                        <w:rPr>
                          <w:rFonts w:hint="eastAsia" w:ascii="楷体_GB2312" w:hAnsi="宋体" w:eastAsia="楷体_GB2312"/>
                          <w:b/>
                          <w:bCs/>
                          <w:sz w:val="18"/>
                          <w:szCs w:val="18"/>
                        </w:rPr>
                        <w:t>工程计量和计价的依据</w:t>
                      </w:r>
                    </w:p>
                  </w:txbxContent>
                </v:textbox>
              </v:shape>
            </w:pict>
          </mc:Fallback>
        </mc:AlternateContent>
      </w:r>
      <w:r>
        <w:rPr>
          <w:rFonts w:hint="eastAsia" w:hAnsi="宋体"/>
          <w:color w:val="auto"/>
          <w:sz w:val="24"/>
          <w:szCs w:val="18"/>
        </w:rPr>
        <w:t>工程的计量规则和计价办法，以国家标准《建设工程工程量清单计价规范》为准；《建设工程工程量清单计价规范》没有规定的，以广东省统一工程计价依据为准；广东省统一工程计价依据没有规定的，可参照专业部门颁发的工程计价依据。</w:t>
      </w:r>
    </w:p>
    <w:p w14:paraId="45F68B58">
      <w:pPr>
        <w:pStyle w:val="2"/>
        <w:adjustRightInd w:val="0"/>
        <w:snapToGrid w:val="0"/>
        <w:spacing w:line="360" w:lineRule="auto"/>
        <w:rPr>
          <w:rFonts w:hAnsi="宋体"/>
          <w:b/>
          <w:color w:val="auto"/>
          <w:sz w:val="24"/>
          <w:szCs w:val="18"/>
        </w:rPr>
      </w:pPr>
      <w:r>
        <w:rPr>
          <w:rFonts w:hAnsi="宋体"/>
          <w:b/>
          <w:color w:val="auto"/>
          <w:sz w:val="24"/>
          <w:szCs w:val="18"/>
        </w:rPr>
        <w:t xml:space="preserve">62.2  </w:t>
      </w:r>
    </w:p>
    <w:p w14:paraId="1F3891DC">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1927552" behindDoc="0" locked="0" layoutInCell="1" allowOverlap="1">
                <wp:simplePos x="0" y="0"/>
                <wp:positionH relativeFrom="column">
                  <wp:posOffset>-114300</wp:posOffset>
                </wp:positionH>
                <wp:positionV relativeFrom="paragraph">
                  <wp:posOffset>50800</wp:posOffset>
                </wp:positionV>
                <wp:extent cx="914400" cy="415925"/>
                <wp:effectExtent l="0" t="0" r="0" b="0"/>
                <wp:wrapNone/>
                <wp:docPr id="263" name="文本框 263"/>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a:effectLst/>
                      </wps:spPr>
                      <wps:txbx>
                        <w:txbxContent>
                          <w:p w14:paraId="164BF6E9">
                            <w:pPr>
                              <w:pStyle w:val="6"/>
                              <w:spacing w:line="220" w:lineRule="exact"/>
                              <w:rPr>
                                <w:rFonts w:ascii="楷体_GB2312" w:hAnsi="宋体" w:eastAsia="楷体_GB2312"/>
                                <w:b/>
                                <w:bCs/>
                                <w:sz w:val="18"/>
                                <w:szCs w:val="18"/>
                              </w:rPr>
                            </w:pPr>
                            <w:r>
                              <w:rPr>
                                <w:rFonts w:hint="eastAsia" w:ascii="楷体_GB2312" w:hAnsi="宋体" w:eastAsia="楷体_GB2312"/>
                                <w:b/>
                                <w:bCs/>
                                <w:sz w:val="18"/>
                                <w:szCs w:val="18"/>
                              </w:rPr>
                              <w:t>工程计量和计价的要求</w:t>
                            </w:r>
                          </w:p>
                        </w:txbxContent>
                      </wps:txbx>
                      <wps:bodyPr upright="1"/>
                    </wps:wsp>
                  </a:graphicData>
                </a:graphic>
              </wp:anchor>
            </w:drawing>
          </mc:Choice>
          <mc:Fallback>
            <w:pict>
              <v:shape id="_x0000_s1026" o:spid="_x0000_s1026" o:spt="202" type="#_x0000_t202" style="position:absolute;left:0pt;margin-left:-9pt;margin-top:4pt;height:32.75pt;width:72pt;z-index:251927552;mso-width-relative:page;mso-height-relative:page;" filled="f" stroked="f" coordsize="21600,21600" o:gfxdata="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bz&#10;sEXWAAAACAEAAA8AAAAAAAAAAQAgAAAAIgAAAGRycy9kb3ducmV2LnhtbFBLAQIUABQAAAAIAIdO&#10;4kANV0oaswEAAF8DAAAOAAAAAAAAAAEAIAAAACUBAABkcnMvZTJvRG9jLnhtbFBLBQYAAAAABgAG&#10;AFkBAABKBQAAAAA=&#10;">
                <v:fill on="f" focussize="0,0"/>
                <v:stroke on="f"/>
                <v:imagedata o:title=""/>
                <o:lock v:ext="edit" aspectratio="f"/>
                <v:textbox>
                  <w:txbxContent>
                    <w:p w14:paraId="164BF6E9">
                      <w:pPr>
                        <w:pStyle w:val="6"/>
                        <w:spacing w:line="220" w:lineRule="exact"/>
                        <w:rPr>
                          <w:rFonts w:ascii="楷体_GB2312" w:hAnsi="宋体" w:eastAsia="楷体_GB2312"/>
                          <w:b/>
                          <w:bCs/>
                          <w:sz w:val="18"/>
                          <w:szCs w:val="18"/>
                        </w:rPr>
                      </w:pPr>
                      <w:r>
                        <w:rPr>
                          <w:rFonts w:hint="eastAsia" w:ascii="楷体_GB2312" w:hAnsi="宋体" w:eastAsia="楷体_GB2312"/>
                          <w:b/>
                          <w:bCs/>
                          <w:sz w:val="18"/>
                          <w:szCs w:val="18"/>
                        </w:rPr>
                        <w:t>工程计量和计价的要求</w:t>
                      </w:r>
                    </w:p>
                  </w:txbxContent>
                </v:textbox>
              </v:shape>
            </w:pict>
          </mc:Fallback>
        </mc:AlternateContent>
      </w:r>
      <w:r>
        <w:rPr>
          <w:rFonts w:hint="eastAsia" w:hAnsi="宋体"/>
          <w:color w:val="auto"/>
          <w:sz w:val="24"/>
          <w:szCs w:val="18"/>
        </w:rPr>
        <w:t>合同双方当事人应按照合同约定，依据国家标准《建设工程工程量清单计价规范》、广东省统一工程计价依据或专业部门的工程计价依据以及工程造价管理机构制订的有关计价规定进行工程计量和计价。</w:t>
      </w:r>
    </w:p>
    <w:p w14:paraId="7A0BF98A">
      <w:pPr>
        <w:pStyle w:val="2"/>
        <w:adjustRightInd w:val="0"/>
        <w:snapToGrid w:val="0"/>
        <w:spacing w:line="360" w:lineRule="auto"/>
        <w:ind w:left="1619" w:leftChars="771"/>
        <w:rPr>
          <w:rFonts w:hAnsi="宋体"/>
          <w:color w:val="auto"/>
          <w:sz w:val="24"/>
          <w:szCs w:val="18"/>
        </w:rPr>
      </w:pPr>
      <w:r>
        <w:rPr>
          <w:rFonts w:hint="eastAsia" w:hAnsi="宋体"/>
          <w:color w:val="auto"/>
          <w:sz w:val="24"/>
          <w:szCs w:val="18"/>
        </w:rPr>
        <w:t>造价工程师负责工程计量和计价的核实工作。</w:t>
      </w:r>
    </w:p>
    <w:p w14:paraId="670CF0E3">
      <w:pPr>
        <w:pStyle w:val="2"/>
        <w:adjustRightInd w:val="0"/>
        <w:snapToGrid w:val="0"/>
        <w:spacing w:line="360" w:lineRule="auto"/>
        <w:rPr>
          <w:rFonts w:hAnsi="宋体"/>
          <w:b/>
          <w:color w:val="auto"/>
          <w:sz w:val="24"/>
          <w:szCs w:val="18"/>
        </w:rPr>
      </w:pPr>
      <w:r>
        <w:rPr>
          <w:rFonts w:hAnsi="宋体"/>
          <w:b/>
          <w:color w:val="auto"/>
          <w:sz w:val="24"/>
          <w:szCs w:val="18"/>
        </w:rPr>
        <w:t xml:space="preserve">62.3  </w:t>
      </w:r>
    </w:p>
    <w:p w14:paraId="7B347A0D">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1928576" behindDoc="0" locked="0" layoutInCell="1" allowOverlap="1">
                <wp:simplePos x="0" y="0"/>
                <wp:positionH relativeFrom="column">
                  <wp:posOffset>-114300</wp:posOffset>
                </wp:positionH>
                <wp:positionV relativeFrom="paragraph">
                  <wp:posOffset>-1905</wp:posOffset>
                </wp:positionV>
                <wp:extent cx="914400" cy="548005"/>
                <wp:effectExtent l="0" t="0" r="0" b="0"/>
                <wp:wrapNone/>
                <wp:docPr id="264" name="文本框 264"/>
                <wp:cNvGraphicFramePr/>
                <a:graphic xmlns:a="http://schemas.openxmlformats.org/drawingml/2006/main">
                  <a:graphicData uri="http://schemas.microsoft.com/office/word/2010/wordprocessingShape">
                    <wps:wsp>
                      <wps:cNvSpPr txBox="1"/>
                      <wps:spPr>
                        <a:xfrm>
                          <a:off x="0" y="0"/>
                          <a:ext cx="914400" cy="548005"/>
                        </a:xfrm>
                        <a:prstGeom prst="rect">
                          <a:avLst/>
                        </a:prstGeom>
                        <a:noFill/>
                        <a:ln>
                          <a:noFill/>
                        </a:ln>
                        <a:effectLst/>
                      </wps:spPr>
                      <wps:txbx>
                        <w:txbxContent>
                          <w:p w14:paraId="1E75A22A">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已完工程款额报告的提交和核实</w:t>
                            </w:r>
                          </w:p>
                        </w:txbxContent>
                      </wps:txbx>
                      <wps:bodyPr upright="1"/>
                    </wps:wsp>
                  </a:graphicData>
                </a:graphic>
              </wp:anchor>
            </w:drawing>
          </mc:Choice>
          <mc:Fallback>
            <w:pict>
              <v:shape id="_x0000_s1026" o:spid="_x0000_s1026" o:spt="202" type="#_x0000_t202" style="position:absolute;left:0pt;margin-left:-9pt;margin-top:-0.15pt;height:43.15pt;width:72pt;z-index:251928576;mso-width-relative:page;mso-height-relative:page;" filled="f" stroked="f" coordsize="21600,21600" o:gfxdata="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5H2vTU&#10;AAAACAEAAA8AAAAAAAAAAQAgAAAAIgAAAGRycy9kb3ducmV2LnhtbFBLAQIUABQAAAAIAIdO4kCL&#10;uWb8sgEAAF8DAAAOAAAAAAAAAAEAIAAAACMBAABkcnMvZTJvRG9jLnhtbFBLBQYAAAAABgAGAFkB&#10;AABHBQAAAAA=&#10;">
                <v:fill on="f" focussize="0,0"/>
                <v:stroke on="f"/>
                <v:imagedata o:title=""/>
                <o:lock v:ext="edit" aspectratio="f"/>
                <v:textbox>
                  <w:txbxContent>
                    <w:p w14:paraId="1E75A22A">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已完工程款额报告的提交和核实</w:t>
                      </w:r>
                    </w:p>
                  </w:txbxContent>
                </v:textbox>
              </v:shape>
            </w:pict>
          </mc:Fallback>
        </mc:AlternateContent>
      </w:r>
      <w:r>
        <w:rPr>
          <w:rFonts w:hint="eastAsia" w:hAnsi="宋体"/>
          <w:color w:val="auto"/>
          <w:sz w:val="24"/>
          <w:szCs w:val="18"/>
        </w:rPr>
        <w:t>承包人应按照第</w:t>
      </w:r>
      <w:r>
        <w:rPr>
          <w:rFonts w:hAnsi="宋体"/>
          <w:color w:val="auto"/>
          <w:sz w:val="24"/>
          <w:szCs w:val="18"/>
        </w:rPr>
        <w:t>81.1</w:t>
      </w:r>
      <w:r>
        <w:rPr>
          <w:rFonts w:hint="eastAsia" w:hAnsi="宋体"/>
          <w:color w:val="auto"/>
          <w:sz w:val="24"/>
          <w:szCs w:val="18"/>
        </w:rPr>
        <w:t>款规定向造价工程师提交已完工程款额报告。造价工程师应在收到报告后的</w:t>
      </w:r>
      <w:r>
        <w:rPr>
          <w:rFonts w:hAnsi="宋体"/>
          <w:color w:val="auto"/>
          <w:sz w:val="24"/>
          <w:szCs w:val="18"/>
        </w:rPr>
        <w:t>14</w:t>
      </w:r>
      <w:r>
        <w:rPr>
          <w:rFonts w:hint="eastAsia" w:hAnsi="宋体"/>
          <w:color w:val="auto"/>
          <w:sz w:val="24"/>
          <w:szCs w:val="18"/>
        </w:rPr>
        <w:t>天内核实工程量，并将核实结果通知承包人、抄报发包人，作为工程计价和工程款支付的依据。</w:t>
      </w:r>
    </w:p>
    <w:p w14:paraId="58C5F5EC">
      <w:pPr>
        <w:pStyle w:val="2"/>
        <w:adjustRightInd w:val="0"/>
        <w:snapToGrid w:val="0"/>
        <w:spacing w:line="360" w:lineRule="auto"/>
        <w:rPr>
          <w:rFonts w:hAnsi="宋体"/>
          <w:b/>
          <w:color w:val="auto"/>
          <w:sz w:val="24"/>
          <w:szCs w:val="18"/>
        </w:rPr>
      </w:pPr>
      <w:r>
        <w:rPr>
          <w:rFonts w:hAnsi="宋体"/>
          <w:b/>
          <w:color w:val="auto"/>
          <w:sz w:val="24"/>
          <w:szCs w:val="18"/>
        </w:rPr>
        <w:t xml:space="preserve">62.4  </w:t>
      </w:r>
    </w:p>
    <w:p w14:paraId="3651A162">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1929600" behindDoc="0" locked="0" layoutInCell="1" allowOverlap="1">
                <wp:simplePos x="0" y="0"/>
                <wp:positionH relativeFrom="column">
                  <wp:posOffset>-114300</wp:posOffset>
                </wp:positionH>
                <wp:positionV relativeFrom="paragraph">
                  <wp:posOffset>50165</wp:posOffset>
                </wp:positionV>
                <wp:extent cx="800100" cy="354330"/>
                <wp:effectExtent l="0" t="0" r="0" b="0"/>
                <wp:wrapNone/>
                <wp:docPr id="265" name="文本框 265"/>
                <wp:cNvGraphicFramePr/>
                <a:graphic xmlns:a="http://schemas.openxmlformats.org/drawingml/2006/main">
                  <a:graphicData uri="http://schemas.microsoft.com/office/word/2010/wordprocessingShape">
                    <wps:wsp>
                      <wps:cNvSpPr txBox="1"/>
                      <wps:spPr>
                        <a:xfrm>
                          <a:off x="0" y="0"/>
                          <a:ext cx="800100" cy="354330"/>
                        </a:xfrm>
                        <a:prstGeom prst="rect">
                          <a:avLst/>
                        </a:prstGeom>
                        <a:noFill/>
                        <a:ln>
                          <a:noFill/>
                        </a:ln>
                        <a:effectLst/>
                      </wps:spPr>
                      <wps:txbx>
                        <w:txbxContent>
                          <w:p w14:paraId="10AFDFD5">
                            <w:pPr>
                              <w:rPr>
                                <w:rFonts w:ascii="宋体"/>
                                <w:sz w:val="18"/>
                                <w:szCs w:val="18"/>
                              </w:rPr>
                            </w:pPr>
                            <w:r>
                              <w:rPr>
                                <w:rFonts w:hint="eastAsia" w:hAnsi="宋体"/>
                                <w:b/>
                                <w:color w:val="000000"/>
                                <w:sz w:val="18"/>
                                <w:szCs w:val="18"/>
                              </w:rPr>
                              <w:t>现场计量</w:t>
                            </w:r>
                          </w:p>
                        </w:txbxContent>
                      </wps:txbx>
                      <wps:bodyPr upright="1"/>
                    </wps:wsp>
                  </a:graphicData>
                </a:graphic>
              </wp:anchor>
            </w:drawing>
          </mc:Choice>
          <mc:Fallback>
            <w:pict>
              <v:shape id="_x0000_s1026" o:spid="_x0000_s1026" o:spt="202" type="#_x0000_t202" style="position:absolute;left:0pt;margin-left:-9pt;margin-top:3.95pt;height:27.9pt;width:63pt;z-index:251929600;mso-width-relative:page;mso-height-relative:page;" filled="f" stroked="f" coordsize="21600,21600" o:gfxdata="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YOG&#10;bdUAAAAIAQAADwAAAAAAAAABACAAAAAiAAAAZHJzL2Rvd25yZXYueG1sUEsBAhQAFAAAAAgAh07i&#10;QCsUEVuzAQAAXwMAAA4AAAAAAAAAAQAgAAAAJAEAAGRycy9lMm9Eb2MueG1sUEsFBgAAAAAGAAYA&#10;WQEAAEkFAAAAAA==&#10;">
                <v:fill on="f" focussize="0,0"/>
                <v:stroke on="f"/>
                <v:imagedata o:title=""/>
                <o:lock v:ext="edit" aspectratio="f"/>
                <v:textbox>
                  <w:txbxContent>
                    <w:p w14:paraId="10AFDFD5">
                      <w:pPr>
                        <w:rPr>
                          <w:rFonts w:ascii="宋体"/>
                          <w:sz w:val="18"/>
                          <w:szCs w:val="18"/>
                        </w:rPr>
                      </w:pPr>
                      <w:r>
                        <w:rPr>
                          <w:rFonts w:hint="eastAsia" w:hAnsi="宋体"/>
                          <w:b/>
                          <w:color w:val="000000"/>
                          <w:sz w:val="18"/>
                          <w:szCs w:val="18"/>
                        </w:rPr>
                        <w:t>现场计量</w:t>
                      </w:r>
                    </w:p>
                  </w:txbxContent>
                </v:textbox>
              </v:shape>
            </w:pict>
          </mc:Fallback>
        </mc:AlternateContent>
      </w:r>
      <w:r>
        <w:rPr>
          <w:rFonts w:hint="eastAsia" w:hAnsi="宋体"/>
          <w:color w:val="auto"/>
          <w:sz w:val="24"/>
          <w:szCs w:val="18"/>
        </w:rPr>
        <w:t>当造价工程师进行现场计量时，应在计量前</w:t>
      </w:r>
      <w:r>
        <w:rPr>
          <w:rFonts w:hAnsi="宋体"/>
          <w:color w:val="auto"/>
          <w:sz w:val="24"/>
          <w:szCs w:val="18"/>
        </w:rPr>
        <w:t>24</w:t>
      </w:r>
      <w:r>
        <w:rPr>
          <w:rFonts w:hint="eastAsia" w:hAnsi="宋体"/>
          <w:color w:val="auto"/>
          <w:sz w:val="24"/>
          <w:szCs w:val="18"/>
        </w:rPr>
        <w:t>小时通知承包人，承包人应为计量提供便利条件并派人参加。承包人收到通知后不派人参加计量，视为认可计量结果。造价工程师不按照约定时间通知承包人，致使承包人未能派人参加计量，计量结果无效。</w:t>
      </w:r>
    </w:p>
    <w:p w14:paraId="30429DE5">
      <w:pPr>
        <w:pStyle w:val="2"/>
        <w:adjustRightInd w:val="0"/>
        <w:snapToGrid w:val="0"/>
        <w:spacing w:line="360" w:lineRule="auto"/>
        <w:rPr>
          <w:rFonts w:hAnsi="宋体"/>
          <w:b/>
          <w:color w:val="auto"/>
          <w:sz w:val="24"/>
          <w:szCs w:val="18"/>
        </w:rPr>
      </w:pPr>
      <w:r>
        <w:rPr>
          <w:rFonts w:hAnsi="宋体"/>
          <w:b/>
          <w:color w:val="auto"/>
          <w:sz w:val="24"/>
          <w:szCs w:val="18"/>
        </w:rPr>
        <w:t xml:space="preserve">62.5 </w:t>
      </w:r>
    </w:p>
    <w:p w14:paraId="38E758E2">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1930624" behindDoc="0" locked="0" layoutInCell="1" allowOverlap="1">
                <wp:simplePos x="0" y="0"/>
                <wp:positionH relativeFrom="column">
                  <wp:posOffset>-114300</wp:posOffset>
                </wp:positionH>
                <wp:positionV relativeFrom="paragraph">
                  <wp:posOffset>44450</wp:posOffset>
                </wp:positionV>
                <wp:extent cx="914400" cy="603250"/>
                <wp:effectExtent l="0" t="0" r="0" b="0"/>
                <wp:wrapNone/>
                <wp:docPr id="266" name="文本框 266"/>
                <wp:cNvGraphicFramePr/>
                <a:graphic xmlns:a="http://schemas.openxmlformats.org/drawingml/2006/main">
                  <a:graphicData uri="http://schemas.microsoft.com/office/word/2010/wordprocessingShape">
                    <wps:wsp>
                      <wps:cNvSpPr txBox="1"/>
                      <wps:spPr>
                        <a:xfrm>
                          <a:off x="0" y="0"/>
                          <a:ext cx="914400" cy="603250"/>
                        </a:xfrm>
                        <a:prstGeom prst="rect">
                          <a:avLst/>
                        </a:prstGeom>
                        <a:noFill/>
                        <a:ln>
                          <a:noFill/>
                        </a:ln>
                        <a:effectLst/>
                      </wps:spPr>
                      <wps:txbx>
                        <w:txbxContent>
                          <w:p w14:paraId="3CF8ABAC">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收到已完工程款额报告的限制</w:t>
                            </w:r>
                          </w:p>
                        </w:txbxContent>
                      </wps:txbx>
                      <wps:bodyPr upright="1"/>
                    </wps:wsp>
                  </a:graphicData>
                </a:graphic>
              </wp:anchor>
            </w:drawing>
          </mc:Choice>
          <mc:Fallback>
            <w:pict>
              <v:shape id="_x0000_s1026" o:spid="_x0000_s1026" o:spt="202" type="#_x0000_t202" style="position:absolute;left:0pt;margin-left:-9pt;margin-top:3.5pt;height:47.5pt;width:72pt;z-index:251930624;mso-width-relative:page;mso-height-relative:page;" filled="f" stroked="f" coordsize="21600,21600" o:gfxdata="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b/&#10;WfXVAAAACQEAAA8AAAAAAAAAAQAgAAAAIgAAAGRycy9kb3ducmV2LnhtbFBLAQIUABQAAAAIAIdO&#10;4kBpX27rtAEAAF8DAAAOAAAAAAAAAAEAIAAAACQBAABkcnMvZTJvRG9jLnhtbFBLBQYAAAAABgAG&#10;AFkBAABKBQAAAAA=&#10;">
                <v:fill on="f" focussize="0,0"/>
                <v:stroke on="f"/>
                <v:imagedata o:title=""/>
                <o:lock v:ext="edit" aspectratio="f"/>
                <v:textbox>
                  <w:txbxContent>
                    <w:p w14:paraId="3CF8ABAC">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收到已完工程款额报告的限制</w:t>
                      </w:r>
                    </w:p>
                  </w:txbxContent>
                </v:textbox>
              </v:shape>
            </w:pict>
          </mc:Fallback>
        </mc:AlternateContent>
      </w:r>
      <w:r>
        <w:rPr>
          <w:rFonts w:hint="eastAsia" w:hAnsi="宋体"/>
          <w:color w:val="auto"/>
          <w:sz w:val="24"/>
          <w:szCs w:val="18"/>
        </w:rPr>
        <w:t>造价工程师收到承包人按照第</w:t>
      </w:r>
      <w:r>
        <w:rPr>
          <w:rFonts w:hAnsi="宋体"/>
          <w:color w:val="auto"/>
          <w:sz w:val="24"/>
          <w:szCs w:val="18"/>
        </w:rPr>
        <w:t>81.1</w:t>
      </w:r>
      <w:r>
        <w:rPr>
          <w:rFonts w:hint="eastAsia" w:hAnsi="宋体"/>
          <w:color w:val="auto"/>
          <w:sz w:val="24"/>
          <w:szCs w:val="18"/>
        </w:rPr>
        <w:t>款规定提交的已完工程款额报告后</w:t>
      </w:r>
      <w:r>
        <w:rPr>
          <w:rFonts w:hAnsi="宋体"/>
          <w:color w:val="auto"/>
          <w:sz w:val="24"/>
          <w:szCs w:val="18"/>
        </w:rPr>
        <w:t>14</w:t>
      </w:r>
      <w:r>
        <w:rPr>
          <w:rFonts w:hint="eastAsia" w:hAnsi="宋体"/>
          <w:color w:val="auto"/>
          <w:sz w:val="24"/>
          <w:szCs w:val="18"/>
        </w:rPr>
        <w:t>天内，未进行计量或未向承包人通知计量结果的，从第</w:t>
      </w:r>
      <w:r>
        <w:rPr>
          <w:rFonts w:hAnsi="宋体"/>
          <w:color w:val="auto"/>
          <w:sz w:val="24"/>
          <w:szCs w:val="18"/>
        </w:rPr>
        <w:t>15</w:t>
      </w:r>
      <w:r>
        <w:rPr>
          <w:rFonts w:hint="eastAsia" w:hAnsi="宋体"/>
          <w:color w:val="auto"/>
          <w:sz w:val="24"/>
          <w:szCs w:val="18"/>
        </w:rPr>
        <w:t>天起，承包人报告中开列的工程量即视为被确认，作为工程计价和工程款支付的依据。</w:t>
      </w:r>
    </w:p>
    <w:p w14:paraId="53BE6E16">
      <w:pPr>
        <w:pStyle w:val="2"/>
        <w:adjustRightInd w:val="0"/>
        <w:snapToGrid w:val="0"/>
        <w:spacing w:line="360" w:lineRule="auto"/>
        <w:rPr>
          <w:rFonts w:hAnsi="宋体"/>
          <w:b/>
          <w:color w:val="auto"/>
          <w:sz w:val="24"/>
          <w:szCs w:val="18"/>
        </w:rPr>
      </w:pPr>
      <w:r>
        <w:rPr>
          <w:rFonts w:hAnsi="宋体"/>
          <w:b/>
          <w:color w:val="auto"/>
          <w:sz w:val="24"/>
          <w:szCs w:val="18"/>
        </w:rPr>
        <w:t xml:space="preserve">62.6  </w:t>
      </w:r>
    </w:p>
    <w:p w14:paraId="37F93C92">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1931648" behindDoc="0" locked="0" layoutInCell="1" allowOverlap="1">
                <wp:simplePos x="0" y="0"/>
                <wp:positionH relativeFrom="column">
                  <wp:posOffset>-114300</wp:posOffset>
                </wp:positionH>
                <wp:positionV relativeFrom="paragraph">
                  <wp:posOffset>45720</wp:posOffset>
                </wp:positionV>
                <wp:extent cx="914400" cy="297180"/>
                <wp:effectExtent l="0" t="0" r="0" b="0"/>
                <wp:wrapNone/>
                <wp:docPr id="267" name="文本框 267"/>
                <wp:cNvGraphicFramePr/>
                <a:graphic xmlns:a="http://schemas.openxmlformats.org/drawingml/2006/main">
                  <a:graphicData uri="http://schemas.microsoft.com/office/word/2010/wordprocessingShape">
                    <wps:wsp>
                      <wps:cNvSpPr txBox="1"/>
                      <wps:spPr>
                        <a:xfrm>
                          <a:off x="0" y="0"/>
                          <a:ext cx="914400" cy="297180"/>
                        </a:xfrm>
                        <a:prstGeom prst="rect">
                          <a:avLst/>
                        </a:prstGeom>
                        <a:noFill/>
                        <a:ln>
                          <a:noFill/>
                        </a:ln>
                        <a:effectLst/>
                      </wps:spPr>
                      <wps:txbx>
                        <w:txbxContent>
                          <w:p w14:paraId="2FB56997">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复核计量结果</w:t>
                            </w:r>
                          </w:p>
                        </w:txbxContent>
                      </wps:txbx>
                      <wps:bodyPr upright="1"/>
                    </wps:wsp>
                  </a:graphicData>
                </a:graphic>
              </wp:anchor>
            </w:drawing>
          </mc:Choice>
          <mc:Fallback>
            <w:pict>
              <v:shape id="_x0000_s1026" o:spid="_x0000_s1026" o:spt="202" type="#_x0000_t202" style="position:absolute;left:0pt;margin-left:-9pt;margin-top:3.6pt;height:23.4pt;width:72pt;z-index:251931648;mso-width-relative:page;mso-height-relative:page;" filled="f" stroked="f" coordsize="21600,21600" o:gfxdata="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iy&#10;vmfVAAAACAEAAA8AAAAAAAAAAQAgAAAAIgAAAGRycy9kb3ducmV2LnhtbFBLAQIUABQAAAAIAIdO&#10;4kCBVCK0tAEAAF8DAAAOAAAAAAAAAAEAIAAAACQBAABkcnMvZTJvRG9jLnhtbFBLBQYAAAAABgAG&#10;AFkBAABKBQAAAAA=&#10;">
                <v:fill on="f" focussize="0,0"/>
                <v:stroke on="f"/>
                <v:imagedata o:title=""/>
                <o:lock v:ext="edit" aspectratio="f"/>
                <v:textbox>
                  <w:txbxContent>
                    <w:p w14:paraId="2FB56997">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复核计量结果</w:t>
                      </w:r>
                    </w:p>
                  </w:txbxContent>
                </v:textbox>
              </v:shape>
            </w:pict>
          </mc:Fallback>
        </mc:AlternateContent>
      </w:r>
      <w:r>
        <w:rPr>
          <w:rFonts w:hint="eastAsia" w:hAnsi="宋体"/>
          <w:color w:val="auto"/>
          <w:sz w:val="24"/>
          <w:szCs w:val="18"/>
        </w:rPr>
        <w:t>如果承包人认为造价工程师的计量结果有误，应在收到计量结果通知后的</w:t>
      </w:r>
      <w:r>
        <w:rPr>
          <w:rFonts w:hAnsi="宋体"/>
          <w:color w:val="auto"/>
          <w:sz w:val="24"/>
          <w:szCs w:val="18"/>
        </w:rPr>
        <w:t>7</w:t>
      </w:r>
      <w:r>
        <w:rPr>
          <w:rFonts w:hint="eastAsia" w:hAnsi="宋体"/>
          <w:color w:val="auto"/>
          <w:sz w:val="24"/>
          <w:szCs w:val="18"/>
        </w:rPr>
        <w:t>天内向造价工程师提出书面意见，并附上其认为正确的计量结果和详细的计算过程等资料。造价工程师收到书面意见后，应立即会同承包人对计量结果进行复核，并在签发支付证书前确定计量结果，同时通知承包人、抄报发包人。承包人对复核计量结果仍有异议或发包人对计量结果有异议的，按照第</w:t>
      </w:r>
      <w:r>
        <w:rPr>
          <w:rFonts w:hAnsi="宋体"/>
          <w:color w:val="auto"/>
          <w:sz w:val="24"/>
          <w:szCs w:val="18"/>
        </w:rPr>
        <w:t>86</w:t>
      </w:r>
      <w:r>
        <w:rPr>
          <w:rFonts w:hint="eastAsia" w:hAnsi="宋体"/>
          <w:color w:val="auto"/>
          <w:sz w:val="24"/>
          <w:szCs w:val="18"/>
        </w:rPr>
        <w:t>条规定处理。</w:t>
      </w:r>
    </w:p>
    <w:p w14:paraId="2920B1D7">
      <w:pPr>
        <w:pStyle w:val="2"/>
        <w:adjustRightInd w:val="0"/>
        <w:snapToGrid w:val="0"/>
        <w:spacing w:line="360" w:lineRule="auto"/>
        <w:rPr>
          <w:rFonts w:hAnsi="宋体"/>
          <w:b/>
          <w:color w:val="auto"/>
          <w:sz w:val="24"/>
          <w:szCs w:val="18"/>
        </w:rPr>
      </w:pPr>
      <w:r>
        <w:rPr>
          <w:rFonts w:hAnsi="宋体"/>
          <w:b/>
          <w:color w:val="auto"/>
          <w:sz w:val="24"/>
          <w:szCs w:val="18"/>
        </w:rPr>
        <w:t xml:space="preserve">62.7  </w:t>
      </w:r>
    </w:p>
    <w:p w14:paraId="31F822C8">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1932672" behindDoc="0" locked="0" layoutInCell="1" allowOverlap="1">
                <wp:simplePos x="0" y="0"/>
                <wp:positionH relativeFrom="column">
                  <wp:posOffset>-114300</wp:posOffset>
                </wp:positionH>
                <wp:positionV relativeFrom="paragraph">
                  <wp:posOffset>36195</wp:posOffset>
                </wp:positionV>
                <wp:extent cx="800100" cy="297180"/>
                <wp:effectExtent l="0" t="0" r="0" b="0"/>
                <wp:wrapNone/>
                <wp:docPr id="268" name="文本框 268"/>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a:effectLst/>
                      </wps:spPr>
                      <wps:txbx>
                        <w:txbxContent>
                          <w:p w14:paraId="378C76DB">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不予计量</w:t>
                            </w:r>
                          </w:p>
                        </w:txbxContent>
                      </wps:txbx>
                      <wps:bodyPr upright="1"/>
                    </wps:wsp>
                  </a:graphicData>
                </a:graphic>
              </wp:anchor>
            </w:drawing>
          </mc:Choice>
          <mc:Fallback>
            <w:pict>
              <v:shape id="_x0000_s1026" o:spid="_x0000_s1026" o:spt="202" type="#_x0000_t202" style="position:absolute;left:0pt;margin-left:-9pt;margin-top:2.85pt;height:23.4pt;width:63pt;z-index:251932672;mso-width-relative:page;mso-height-relative:page;" filled="f" stroked="f" coordsize="21600,21600" o:gfxdata="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FK6ZNQA&#10;AAAIAQAADwAAAAAAAAABACAAAAAiAAAAZHJzL2Rvd25yZXYueG1sUEsBAhQAFAAAAAgAh07iQJI0&#10;7O+xAQAAXwMAAA4AAAAAAAAAAQAgAAAAIwEAAGRycy9lMm9Eb2MueG1sUEsFBgAAAAAGAAYAWQEA&#10;AEYFAAAAAA==&#10;">
                <v:fill on="f" focussize="0,0"/>
                <v:stroke on="f"/>
                <v:imagedata o:title=""/>
                <o:lock v:ext="edit" aspectratio="f"/>
                <v:textbox>
                  <w:txbxContent>
                    <w:p w14:paraId="378C76DB">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不予计量</w:t>
                      </w:r>
                    </w:p>
                  </w:txbxContent>
                </v:textbox>
              </v:shape>
            </w:pict>
          </mc:Fallback>
        </mc:AlternateContent>
      </w:r>
      <w:r>
        <w:rPr>
          <w:rFonts w:hint="eastAsia" w:hAnsi="宋体"/>
          <w:color w:val="auto"/>
          <w:sz w:val="24"/>
          <w:szCs w:val="18"/>
        </w:rPr>
        <w:t>对承包人超出施工设计图纸范围或因承包人的原因造成返工的工程量，造价工程师均不予计量。</w:t>
      </w:r>
    </w:p>
    <w:p w14:paraId="3DD051C3">
      <w:pPr>
        <w:pStyle w:val="2"/>
        <w:adjustRightInd w:val="0"/>
        <w:snapToGrid w:val="0"/>
        <w:spacing w:line="360" w:lineRule="auto"/>
        <w:rPr>
          <w:rFonts w:hAnsi="宋体"/>
          <w:b/>
          <w:color w:val="auto"/>
          <w:sz w:val="24"/>
          <w:szCs w:val="18"/>
        </w:rPr>
      </w:pPr>
      <w:r>
        <w:rPr>
          <w:rFonts w:hAnsi="宋体"/>
          <w:b/>
          <w:color w:val="auto"/>
          <w:sz w:val="24"/>
          <w:szCs w:val="18"/>
        </w:rPr>
        <w:t xml:space="preserve">62.8  </w:t>
      </w:r>
    </w:p>
    <w:p w14:paraId="327DDCFB">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1933696" behindDoc="0" locked="0" layoutInCell="1" allowOverlap="1">
                <wp:simplePos x="0" y="0"/>
                <wp:positionH relativeFrom="column">
                  <wp:posOffset>-114300</wp:posOffset>
                </wp:positionH>
                <wp:positionV relativeFrom="paragraph">
                  <wp:posOffset>24130</wp:posOffset>
                </wp:positionV>
                <wp:extent cx="914400" cy="494030"/>
                <wp:effectExtent l="0" t="0" r="0" b="0"/>
                <wp:wrapNone/>
                <wp:docPr id="269" name="文本框 269"/>
                <wp:cNvGraphicFramePr/>
                <a:graphic xmlns:a="http://schemas.openxmlformats.org/drawingml/2006/main">
                  <a:graphicData uri="http://schemas.microsoft.com/office/word/2010/wordprocessingShape">
                    <wps:wsp>
                      <wps:cNvSpPr txBox="1"/>
                      <wps:spPr>
                        <a:xfrm>
                          <a:off x="0" y="0"/>
                          <a:ext cx="914400" cy="494030"/>
                        </a:xfrm>
                        <a:prstGeom prst="rect">
                          <a:avLst/>
                        </a:prstGeom>
                        <a:noFill/>
                        <a:ln>
                          <a:noFill/>
                        </a:ln>
                        <a:effectLst/>
                      </wps:spPr>
                      <wps:txbx>
                        <w:txbxContent>
                          <w:p w14:paraId="10961E10">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各项工作价款的计算</w:t>
                            </w:r>
                          </w:p>
                        </w:txbxContent>
                      </wps:txbx>
                      <wps:bodyPr upright="1"/>
                    </wps:wsp>
                  </a:graphicData>
                </a:graphic>
              </wp:anchor>
            </w:drawing>
          </mc:Choice>
          <mc:Fallback>
            <w:pict>
              <v:shape id="_x0000_s1026" o:spid="_x0000_s1026" o:spt="202" type="#_x0000_t202" style="position:absolute;left:0pt;margin-left:-9pt;margin-top:1.9pt;height:38.9pt;width:72pt;z-index:251933696;mso-width-relative:page;mso-height-relative:page;" filled="f" stroked="f" coordsize="21600,21600" o:gfxdata="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dr1qW&#10;1AAAAAgBAAAPAAAAAAAAAAEAIAAAACIAAABkcnMvZG93bnJldi54bWxQSwECFAAUAAAACACHTuJA&#10;TUm/AbMBAABfAwAADgAAAAAAAAABACAAAAAjAQAAZHJzL2Uyb0RvYy54bWxQSwUGAAAAAAYABgBZ&#10;AQAASAUAAAAA&#10;">
                <v:fill on="f" focussize="0,0"/>
                <v:stroke on="f"/>
                <v:imagedata o:title=""/>
                <o:lock v:ext="edit" aspectratio="f"/>
                <v:textbox>
                  <w:txbxContent>
                    <w:p w14:paraId="10961E10">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各项工作价款的计算</w:t>
                      </w:r>
                    </w:p>
                  </w:txbxContent>
                </v:textbox>
              </v:shape>
            </w:pict>
          </mc:Fallback>
        </mc:AlternateContent>
      </w:r>
      <w:r>
        <w:rPr>
          <w:rFonts w:hint="eastAsia" w:hAnsi="宋体"/>
          <w:color w:val="auto"/>
          <w:sz w:val="24"/>
          <w:szCs w:val="18"/>
        </w:rPr>
        <w:t>除按照第</w:t>
      </w:r>
      <w:r>
        <w:rPr>
          <w:rFonts w:hAnsi="宋体"/>
          <w:color w:val="auto"/>
          <w:sz w:val="24"/>
          <w:szCs w:val="18"/>
        </w:rPr>
        <w:t>69</w:t>
      </w:r>
      <w:r>
        <w:rPr>
          <w:rFonts w:hint="eastAsia" w:hAnsi="宋体"/>
          <w:color w:val="auto"/>
          <w:sz w:val="24"/>
          <w:szCs w:val="18"/>
        </w:rPr>
        <w:t>条至第</w:t>
      </w:r>
      <w:r>
        <w:rPr>
          <w:rFonts w:hAnsi="宋体"/>
          <w:color w:val="auto"/>
          <w:sz w:val="24"/>
          <w:szCs w:val="18"/>
        </w:rPr>
        <w:t>73</w:t>
      </w:r>
      <w:r>
        <w:rPr>
          <w:rFonts w:hint="eastAsia" w:hAnsi="宋体"/>
          <w:color w:val="auto"/>
          <w:sz w:val="24"/>
          <w:szCs w:val="18"/>
        </w:rPr>
        <w:t>条、第</w:t>
      </w:r>
      <w:r>
        <w:rPr>
          <w:rFonts w:hAnsi="宋体"/>
          <w:color w:val="auto"/>
          <w:sz w:val="24"/>
          <w:szCs w:val="18"/>
        </w:rPr>
        <w:t>76</w:t>
      </w:r>
      <w:r>
        <w:rPr>
          <w:rFonts w:hint="eastAsia" w:hAnsi="宋体"/>
          <w:color w:val="auto"/>
          <w:sz w:val="24"/>
          <w:szCs w:val="18"/>
        </w:rPr>
        <w:t>条规定所做的调整外，每项工作所适用的单价</w:t>
      </w:r>
      <w:r>
        <w:rPr>
          <w:rFonts w:hAnsi="宋体"/>
          <w:color w:val="auto"/>
          <w:sz w:val="24"/>
          <w:szCs w:val="18"/>
        </w:rPr>
        <w:t>(</w:t>
      </w:r>
      <w:r>
        <w:rPr>
          <w:rFonts w:hint="eastAsia" w:hAnsi="宋体"/>
          <w:color w:val="auto"/>
          <w:sz w:val="24"/>
          <w:szCs w:val="18"/>
        </w:rPr>
        <w:t>费率</w:t>
      </w:r>
      <w:r>
        <w:rPr>
          <w:rFonts w:hAnsi="宋体"/>
          <w:color w:val="auto"/>
          <w:sz w:val="24"/>
          <w:szCs w:val="18"/>
        </w:rPr>
        <w:t>)</w:t>
      </w:r>
      <w:r>
        <w:rPr>
          <w:rFonts w:hint="eastAsia" w:hAnsi="宋体"/>
          <w:color w:val="auto"/>
          <w:sz w:val="24"/>
          <w:szCs w:val="18"/>
        </w:rPr>
        <w:t>或合价应按照合同约定的该项工作的单价（费率）或合价，并按照本条规定计量得到的工程量与适用的单价（费率）或合价的乘积确定该项工作的价款。造价工程师根据各个支付期所有各项工作的价款计算该支付期工程款，并将各支付期的价款汇总计算合同价款。</w:t>
      </w:r>
    </w:p>
    <w:p w14:paraId="25FF58C1">
      <w:pPr>
        <w:pStyle w:val="2"/>
        <w:tabs>
          <w:tab w:val="left" w:pos="1620"/>
        </w:tabs>
        <w:adjustRightInd w:val="0"/>
        <w:snapToGrid w:val="0"/>
        <w:spacing w:line="360" w:lineRule="auto"/>
        <w:rPr>
          <w:color w:val="auto"/>
        </w:rPr>
      </w:pPr>
    </w:p>
    <w:p w14:paraId="12A418D2">
      <w:pPr>
        <w:pStyle w:val="2"/>
        <w:tabs>
          <w:tab w:val="left" w:pos="540"/>
        </w:tabs>
        <w:adjustRightInd w:val="0"/>
        <w:snapToGrid w:val="0"/>
        <w:spacing w:before="240" w:beforeLines="100" w:line="360" w:lineRule="auto"/>
        <w:ind w:right="-238"/>
        <w:rPr>
          <w:rFonts w:hAnsi="宋体"/>
          <w:b/>
          <w:color w:val="auto"/>
          <w:sz w:val="24"/>
          <w:szCs w:val="18"/>
        </w:rPr>
      </w:pPr>
      <w:r>
        <w:rPr>
          <w:rFonts w:hAnsi="宋体"/>
          <w:b/>
          <w:color w:val="auto"/>
          <w:sz w:val="30"/>
          <w:szCs w:val="24"/>
        </w:rPr>
        <w:t xml:space="preserve">63  </w:t>
      </w:r>
      <w:r>
        <w:rPr>
          <w:rFonts w:hint="eastAsia" w:hAnsi="宋体"/>
          <w:b/>
          <w:color w:val="auto"/>
          <w:sz w:val="30"/>
          <w:szCs w:val="30"/>
        </w:rPr>
        <w:t>暂列金额</w:t>
      </w:r>
    </w:p>
    <w:p w14:paraId="7B6ED6AC">
      <w:pPr>
        <w:pStyle w:val="2"/>
        <w:adjustRightInd w:val="0"/>
        <w:snapToGrid w:val="0"/>
        <w:spacing w:line="360" w:lineRule="auto"/>
        <w:rPr>
          <w:rFonts w:hAnsi="宋体"/>
          <w:b/>
          <w:color w:val="auto"/>
          <w:sz w:val="24"/>
          <w:szCs w:val="18"/>
        </w:rPr>
      </w:pPr>
      <w:r>
        <w:rPr>
          <w:rFonts w:hAnsi="宋体"/>
          <w:b/>
          <w:color w:val="auto"/>
          <w:sz w:val="24"/>
          <w:szCs w:val="18"/>
        </w:rPr>
        <w:t>63.1</w:t>
      </w:r>
    </w:p>
    <w:p w14:paraId="4A26F464">
      <w:pPr>
        <w:spacing w:line="360" w:lineRule="auto"/>
        <w:ind w:left="1619" w:leftChars="771"/>
        <w:rPr>
          <w:rFonts w:ascii="宋体"/>
          <w:color w:val="auto"/>
          <w:sz w:val="24"/>
        </w:rPr>
      </w:pPr>
      <w:r>
        <w:rPr>
          <w:color w:val="auto"/>
        </w:rPr>
        <mc:AlternateContent>
          <mc:Choice Requires="wps">
            <w:drawing>
              <wp:anchor distT="0" distB="0" distL="114300" distR="114300" simplePos="0" relativeHeight="251934720" behindDoc="0" locked="0" layoutInCell="1" allowOverlap="1">
                <wp:simplePos x="0" y="0"/>
                <wp:positionH relativeFrom="column">
                  <wp:posOffset>-228600</wp:posOffset>
                </wp:positionH>
                <wp:positionV relativeFrom="paragraph">
                  <wp:posOffset>635</wp:posOffset>
                </wp:positionV>
                <wp:extent cx="800100" cy="495300"/>
                <wp:effectExtent l="0" t="0" r="0" b="0"/>
                <wp:wrapNone/>
                <wp:docPr id="270" name="文本框 270"/>
                <wp:cNvGraphicFramePr/>
                <a:graphic xmlns:a="http://schemas.openxmlformats.org/drawingml/2006/main">
                  <a:graphicData uri="http://schemas.microsoft.com/office/word/2010/wordprocessingShape">
                    <wps:wsp>
                      <wps:cNvSpPr txBox="1"/>
                      <wps:spPr>
                        <a:xfrm>
                          <a:off x="0" y="0"/>
                          <a:ext cx="800100" cy="495300"/>
                        </a:xfrm>
                        <a:prstGeom prst="rect">
                          <a:avLst/>
                        </a:prstGeom>
                        <a:noFill/>
                        <a:ln>
                          <a:noFill/>
                        </a:ln>
                        <a:effectLst/>
                      </wps:spPr>
                      <wps:txbx>
                        <w:txbxContent>
                          <w:p w14:paraId="276B9397">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暂列金额</w:t>
                            </w:r>
                          </w:p>
                          <w:p w14:paraId="0C7B6C1C">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的用途</w:t>
                            </w:r>
                          </w:p>
                        </w:txbxContent>
                      </wps:txbx>
                      <wps:bodyPr upright="1"/>
                    </wps:wsp>
                  </a:graphicData>
                </a:graphic>
              </wp:anchor>
            </w:drawing>
          </mc:Choice>
          <mc:Fallback>
            <w:pict>
              <v:shape id="_x0000_s1026" o:spid="_x0000_s1026" o:spt="202" type="#_x0000_t202" style="position:absolute;left:0pt;margin-left:-18pt;margin-top:0.05pt;height:39pt;width:63pt;z-index:251934720;mso-width-relative:page;mso-height-relative:page;" filled="f" stroked="f" coordsize="21600,21600" o:gfxdata="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DXlYf7TAAAA&#10;BgEAAA8AAAAAAAAAAQAgAAAAIgAAAGRycy9kb3ducmV2LnhtbFBLAQIUABQAAAAIAIdO4kBWrL21&#10;sAEAAF8DAAAOAAAAAAAAAAEAIAAAACIBAABkcnMvZTJvRG9jLnhtbFBLBQYAAAAABgAGAFkBAABE&#10;BQAAAAA=&#10;">
                <v:fill on="f" focussize="0,0"/>
                <v:stroke on="f"/>
                <v:imagedata o:title=""/>
                <o:lock v:ext="edit" aspectratio="f"/>
                <v:textbox>
                  <w:txbxContent>
                    <w:p w14:paraId="276B9397">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暂列金额</w:t>
                      </w:r>
                    </w:p>
                    <w:p w14:paraId="0C7B6C1C">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的用途</w:t>
                      </w:r>
                    </w:p>
                  </w:txbxContent>
                </v:textbox>
              </v:shape>
            </w:pict>
          </mc:Fallback>
        </mc:AlternateContent>
      </w:r>
      <w:r>
        <w:rPr>
          <w:rFonts w:hint="eastAsia" w:ascii="宋体" w:hAnsi="宋体"/>
          <w:color w:val="auto"/>
          <w:sz w:val="24"/>
        </w:rPr>
        <w:t>合同双方当事人应在专用条款中明确</w:t>
      </w:r>
      <w:r>
        <w:rPr>
          <w:rFonts w:hint="eastAsia" w:ascii="宋体" w:hAnsi="宋体"/>
          <w:color w:val="auto"/>
          <w:sz w:val="24"/>
          <w:szCs w:val="18"/>
        </w:rPr>
        <w:t>工程量清单中开列的已标价的暂列金额</w:t>
      </w:r>
      <w:r>
        <w:rPr>
          <w:rFonts w:hint="eastAsia" w:ascii="宋体" w:hAnsi="宋体"/>
          <w:color w:val="auto"/>
          <w:sz w:val="24"/>
        </w:rPr>
        <w:t>。</w:t>
      </w:r>
    </w:p>
    <w:p w14:paraId="025FEB92">
      <w:pPr>
        <w:pStyle w:val="2"/>
        <w:adjustRightInd w:val="0"/>
        <w:snapToGrid w:val="0"/>
        <w:spacing w:line="360" w:lineRule="auto"/>
        <w:ind w:left="1619" w:leftChars="771"/>
        <w:rPr>
          <w:rFonts w:hAnsi="宋体"/>
          <w:color w:val="auto"/>
          <w:sz w:val="24"/>
          <w:szCs w:val="18"/>
        </w:rPr>
      </w:pPr>
      <w:r>
        <w:rPr>
          <w:rFonts w:hint="eastAsia" w:hAnsi="宋体"/>
          <w:color w:val="auto"/>
          <w:sz w:val="24"/>
          <w:szCs w:val="18"/>
        </w:rPr>
        <w:t>暂列金额是用于实施合同工程的任一增加部分，或用于提供不可预见的货物、材料和工程设备，或用于工程变更等因素发生的工程款调增，以及经确认的索赔、现场签证，或用于提供相关服务或意外事件的一笔款项。</w:t>
      </w:r>
    </w:p>
    <w:p w14:paraId="5643F351">
      <w:pPr>
        <w:pStyle w:val="2"/>
        <w:adjustRightInd w:val="0"/>
        <w:snapToGrid w:val="0"/>
        <w:spacing w:line="360" w:lineRule="auto"/>
        <w:rPr>
          <w:rFonts w:hAnsi="宋体"/>
          <w:b/>
          <w:color w:val="auto"/>
          <w:sz w:val="24"/>
          <w:szCs w:val="18"/>
        </w:rPr>
      </w:pPr>
      <w:r>
        <w:rPr>
          <w:rFonts w:hAnsi="宋体"/>
          <w:b/>
          <w:color w:val="auto"/>
          <w:sz w:val="24"/>
          <w:szCs w:val="18"/>
        </w:rPr>
        <w:t xml:space="preserve">63.2  </w:t>
      </w:r>
    </w:p>
    <w:p w14:paraId="66D3EC7E">
      <w:pPr>
        <w:pStyle w:val="2"/>
        <w:adjustRightInd w:val="0"/>
        <w:snapToGrid w:val="0"/>
        <w:spacing w:line="360" w:lineRule="auto"/>
        <w:ind w:left="1575" w:leftChars="750"/>
        <w:rPr>
          <w:rFonts w:hAnsi="宋体"/>
          <w:b/>
          <w:color w:val="auto"/>
          <w:sz w:val="24"/>
          <w:szCs w:val="18"/>
        </w:rPr>
      </w:pPr>
      <w:r>
        <w:rPr>
          <w:color w:val="auto"/>
        </w:rPr>
        <mc:AlternateContent>
          <mc:Choice Requires="wps">
            <w:drawing>
              <wp:anchor distT="0" distB="0" distL="114300" distR="114300" simplePos="0" relativeHeight="251935744" behindDoc="0" locked="0" layoutInCell="1" allowOverlap="1">
                <wp:simplePos x="0" y="0"/>
                <wp:positionH relativeFrom="column">
                  <wp:posOffset>-133350</wp:posOffset>
                </wp:positionH>
                <wp:positionV relativeFrom="paragraph">
                  <wp:posOffset>99695</wp:posOffset>
                </wp:positionV>
                <wp:extent cx="819150" cy="400685"/>
                <wp:effectExtent l="0" t="0" r="0" b="0"/>
                <wp:wrapNone/>
                <wp:docPr id="271" name="文本框 271"/>
                <wp:cNvGraphicFramePr/>
                <a:graphic xmlns:a="http://schemas.openxmlformats.org/drawingml/2006/main">
                  <a:graphicData uri="http://schemas.microsoft.com/office/word/2010/wordprocessingShape">
                    <wps:wsp>
                      <wps:cNvSpPr txBox="1"/>
                      <wps:spPr>
                        <a:xfrm>
                          <a:off x="0" y="0"/>
                          <a:ext cx="819150" cy="400685"/>
                        </a:xfrm>
                        <a:prstGeom prst="rect">
                          <a:avLst/>
                        </a:prstGeom>
                        <a:noFill/>
                        <a:ln>
                          <a:noFill/>
                        </a:ln>
                        <a:effectLst/>
                      </wps:spPr>
                      <wps:txbx>
                        <w:txbxContent>
                          <w:p w14:paraId="65FD6347">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暂列金额</w:t>
                            </w:r>
                          </w:p>
                          <w:p w14:paraId="3BA1D0BA">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的支付</w:t>
                            </w:r>
                          </w:p>
                        </w:txbxContent>
                      </wps:txbx>
                      <wps:bodyPr upright="1"/>
                    </wps:wsp>
                  </a:graphicData>
                </a:graphic>
              </wp:anchor>
            </w:drawing>
          </mc:Choice>
          <mc:Fallback>
            <w:pict>
              <v:shape id="_x0000_s1026" o:spid="_x0000_s1026" o:spt="202" type="#_x0000_t202" style="position:absolute;left:0pt;margin-left:-10.5pt;margin-top:7.85pt;height:31.55pt;width:64.5pt;z-index:251935744;mso-width-relative:page;mso-height-relative:page;" filled="f" stroked="f" coordsize="21600,21600" o:gfxdata="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YUw&#10;xNYAAAAJAQAADwAAAAAAAAABACAAAAAiAAAAZHJzL2Rvd25yZXYueG1sUEsBAhQAFAAAAAgAh07i&#10;QLB4HO6yAQAAXwMAAA4AAAAAAAAAAQAgAAAAJQEAAGRycy9lMm9Eb2MueG1sUEsFBgAAAAAGAAYA&#10;WQEAAEkFAAAAAA==&#10;">
                <v:fill on="f" focussize="0,0"/>
                <v:stroke on="f"/>
                <v:imagedata o:title=""/>
                <o:lock v:ext="edit" aspectratio="f"/>
                <v:textbox>
                  <w:txbxContent>
                    <w:p w14:paraId="65FD6347">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暂列金额</w:t>
                      </w:r>
                    </w:p>
                    <w:p w14:paraId="3BA1D0BA">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的支付</w:t>
                      </w:r>
                    </w:p>
                  </w:txbxContent>
                </v:textbox>
              </v:shape>
            </w:pict>
          </mc:Fallback>
        </mc:AlternateContent>
      </w:r>
      <w:r>
        <w:rPr>
          <w:rFonts w:hint="eastAsia" w:hAnsi="宋体"/>
          <w:color w:val="auto"/>
          <w:sz w:val="24"/>
          <w:szCs w:val="18"/>
        </w:rPr>
        <w:t>经发包人批准后，监理工程师应就承包人实施第</w:t>
      </w:r>
      <w:r>
        <w:rPr>
          <w:rFonts w:hAnsi="宋体"/>
          <w:color w:val="auto"/>
          <w:sz w:val="24"/>
          <w:szCs w:val="18"/>
        </w:rPr>
        <w:t>63.1</w:t>
      </w:r>
      <w:r>
        <w:rPr>
          <w:rFonts w:hint="eastAsia" w:hAnsi="宋体"/>
          <w:color w:val="auto"/>
          <w:sz w:val="24"/>
          <w:szCs w:val="18"/>
        </w:rPr>
        <w:t>款规定的工作发出书面指令。承包人应就此项指令提出所需价款，经造价工程师核实并由其报发包人确认后，向承包人支付相关款项。</w:t>
      </w:r>
    </w:p>
    <w:p w14:paraId="2201AFA1">
      <w:pPr>
        <w:pStyle w:val="2"/>
        <w:adjustRightInd w:val="0"/>
        <w:snapToGrid w:val="0"/>
        <w:spacing w:line="360" w:lineRule="auto"/>
        <w:rPr>
          <w:rFonts w:hAnsi="宋体"/>
          <w:b/>
          <w:color w:val="auto"/>
          <w:sz w:val="24"/>
          <w:szCs w:val="18"/>
        </w:rPr>
      </w:pPr>
      <w:r>
        <w:rPr>
          <w:rFonts w:hAnsi="宋体"/>
          <w:b/>
          <w:color w:val="auto"/>
          <w:sz w:val="24"/>
          <w:szCs w:val="18"/>
        </w:rPr>
        <w:t xml:space="preserve">63.3  </w:t>
      </w:r>
    </w:p>
    <w:p w14:paraId="050275FB">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1936768"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272" name="文本框 272"/>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3FBDC530">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提供暂列金额支付票据</w:t>
                            </w:r>
                          </w:p>
                        </w:txbxContent>
                      </wps:txbx>
                      <wps:bodyPr upright="1"/>
                    </wps:wsp>
                  </a:graphicData>
                </a:graphic>
              </wp:anchor>
            </w:drawing>
          </mc:Choice>
          <mc:Fallback>
            <w:pict>
              <v:shape id="_x0000_s1026" o:spid="_x0000_s1026" o:spt="202" type="#_x0000_t202" style="position:absolute;left:0pt;margin-left:-9pt;margin-top:1.25pt;height:31.2pt;width:72pt;z-index:251936768;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D8/w&#10;cNUAAAAIAQAADwAAAAAAAAABACAAAAAiAAAAZHJzL2Rvd25yZXYueG1sUEsBAhQAFAAAAAgAh07i&#10;QGMzDH6zAQAAXwMAAA4AAAAAAAAAAQAgAAAAJAEAAGRycy9lMm9Eb2MueG1sUEsFBgAAAAAGAAYA&#10;WQEAAEkFAAAAAA==&#10;">
                <v:fill on="f" focussize="0,0"/>
                <v:stroke on="f"/>
                <v:imagedata o:title=""/>
                <o:lock v:ext="edit" aspectratio="f"/>
                <v:textbox>
                  <w:txbxContent>
                    <w:p w14:paraId="3FBDC530">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提供暂列金额支付票据</w:t>
                      </w:r>
                    </w:p>
                  </w:txbxContent>
                </v:textbox>
              </v:shape>
            </w:pict>
          </mc:Fallback>
        </mc:AlternateContent>
      </w:r>
      <w:r>
        <w:rPr>
          <w:rFonts w:hint="eastAsia" w:hAnsi="宋体"/>
          <w:color w:val="auto"/>
          <w:sz w:val="24"/>
          <w:szCs w:val="18"/>
        </w:rPr>
        <w:t>造价工程师有要求时，承包人应提供使用暂列金额支付项目的所有报价单、发票、账单或收据。</w:t>
      </w:r>
    </w:p>
    <w:p w14:paraId="3390E03A">
      <w:pPr>
        <w:pStyle w:val="2"/>
        <w:adjustRightInd w:val="0"/>
        <w:snapToGrid w:val="0"/>
        <w:spacing w:line="360" w:lineRule="auto"/>
        <w:rPr>
          <w:rFonts w:hAnsi="宋体"/>
          <w:b/>
          <w:color w:val="auto"/>
          <w:sz w:val="30"/>
          <w:szCs w:val="24"/>
        </w:rPr>
      </w:pPr>
    </w:p>
    <w:p w14:paraId="1B687DD0">
      <w:pPr>
        <w:pStyle w:val="2"/>
        <w:tabs>
          <w:tab w:val="left" w:pos="540"/>
        </w:tabs>
        <w:adjustRightInd w:val="0"/>
        <w:snapToGrid w:val="0"/>
        <w:spacing w:before="240" w:beforeLines="100" w:line="360" w:lineRule="auto"/>
        <w:ind w:right="-238"/>
        <w:rPr>
          <w:rFonts w:hAnsi="宋体"/>
          <w:b/>
          <w:dstrike/>
          <w:color w:val="auto"/>
          <w:sz w:val="30"/>
          <w:szCs w:val="30"/>
        </w:rPr>
      </w:pPr>
      <w:r>
        <w:rPr>
          <w:rFonts w:hAnsi="宋体"/>
          <w:b/>
          <w:color w:val="auto"/>
          <w:sz w:val="30"/>
          <w:szCs w:val="24"/>
        </w:rPr>
        <w:t xml:space="preserve">64  </w:t>
      </w:r>
      <w:r>
        <w:rPr>
          <w:rFonts w:hint="eastAsia" w:hAnsi="宋体"/>
          <w:b/>
          <w:color w:val="auto"/>
          <w:sz w:val="30"/>
          <w:szCs w:val="24"/>
        </w:rPr>
        <w:t>计日工</w:t>
      </w:r>
    </w:p>
    <w:p w14:paraId="33CB874E">
      <w:pPr>
        <w:pStyle w:val="2"/>
        <w:adjustRightInd w:val="0"/>
        <w:snapToGrid w:val="0"/>
        <w:spacing w:line="360" w:lineRule="auto"/>
        <w:rPr>
          <w:rFonts w:hAnsi="宋体"/>
          <w:b/>
          <w:color w:val="auto"/>
          <w:sz w:val="24"/>
          <w:szCs w:val="18"/>
        </w:rPr>
      </w:pPr>
      <w:r>
        <w:rPr>
          <w:rFonts w:hAnsi="宋体"/>
          <w:b/>
          <w:color w:val="auto"/>
          <w:sz w:val="24"/>
          <w:szCs w:val="18"/>
        </w:rPr>
        <w:t>64.1</w:t>
      </w:r>
    </w:p>
    <w:p w14:paraId="6E7BE5DC">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1937792" behindDoc="0" locked="0" layoutInCell="1" allowOverlap="1">
                <wp:simplePos x="0" y="0"/>
                <wp:positionH relativeFrom="column">
                  <wp:posOffset>-114300</wp:posOffset>
                </wp:positionH>
                <wp:positionV relativeFrom="paragraph">
                  <wp:posOffset>15875</wp:posOffset>
                </wp:positionV>
                <wp:extent cx="914400" cy="387985"/>
                <wp:effectExtent l="0" t="0" r="0" b="0"/>
                <wp:wrapNone/>
                <wp:docPr id="273" name="文本框 273"/>
                <wp:cNvGraphicFramePr/>
                <a:graphic xmlns:a="http://schemas.openxmlformats.org/drawingml/2006/main">
                  <a:graphicData uri="http://schemas.microsoft.com/office/word/2010/wordprocessingShape">
                    <wps:wsp>
                      <wps:cNvSpPr txBox="1"/>
                      <wps:spPr>
                        <a:xfrm>
                          <a:off x="0" y="0"/>
                          <a:ext cx="914400" cy="387985"/>
                        </a:xfrm>
                        <a:prstGeom prst="rect">
                          <a:avLst/>
                        </a:prstGeom>
                        <a:noFill/>
                        <a:ln>
                          <a:noFill/>
                        </a:ln>
                        <a:effectLst/>
                      </wps:spPr>
                      <wps:txbx>
                        <w:txbxContent>
                          <w:p w14:paraId="5D31DAAC">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计日工单价的用途</w:t>
                            </w:r>
                          </w:p>
                        </w:txbxContent>
                      </wps:txbx>
                      <wps:bodyPr upright="1"/>
                    </wps:wsp>
                  </a:graphicData>
                </a:graphic>
              </wp:anchor>
            </w:drawing>
          </mc:Choice>
          <mc:Fallback>
            <w:pict>
              <v:shape id="_x0000_s1026" o:spid="_x0000_s1026" o:spt="202" type="#_x0000_t202" style="position:absolute;left:0pt;margin-left:-9pt;margin-top:1.25pt;height:30.55pt;width:72pt;z-index:251937792;mso-width-relative:page;mso-height-relative:page;" filled="f" stroked="f" coordsize="21600,21600" o:gfxdata="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L/&#10;K9LVAAAACAEAAA8AAAAAAAAAAQAgAAAAIgAAAGRycy9kb3ducmV2LnhtbFBLAQIUABQAAAAIAIdO&#10;4kB6q96BtAEAAF8DAAAOAAAAAAAAAAEAIAAAACQBAABkcnMvZTJvRG9jLnhtbFBLBQYAAAAABgAG&#10;AFkBAABKBQAAAAA=&#10;">
                <v:fill on="f" focussize="0,0"/>
                <v:stroke on="f"/>
                <v:imagedata o:title=""/>
                <o:lock v:ext="edit" aspectratio="f"/>
                <v:textbox>
                  <w:txbxContent>
                    <w:p w14:paraId="5D31DAAC">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计日工单价的用途</w:t>
                      </w:r>
                    </w:p>
                  </w:txbxContent>
                </v:textbox>
              </v:shape>
            </w:pict>
          </mc:Fallback>
        </mc:AlternateContent>
      </w:r>
      <w:r>
        <w:rPr>
          <w:rFonts w:hint="eastAsia" w:hAnsi="宋体"/>
          <w:color w:val="auto"/>
          <w:sz w:val="24"/>
          <w:szCs w:val="18"/>
        </w:rPr>
        <w:t>承包人投标文件中填报的计日工单价或价格是用于实施发包人要求的合同以外零星工作项目所需的人工单价、材料、工程设备价格和施工设备机械台班单价。</w:t>
      </w:r>
    </w:p>
    <w:p w14:paraId="7F2D6BD5">
      <w:pPr>
        <w:pStyle w:val="2"/>
        <w:adjustRightInd w:val="0"/>
        <w:snapToGrid w:val="0"/>
        <w:spacing w:line="360" w:lineRule="auto"/>
        <w:rPr>
          <w:rFonts w:hAnsi="宋体"/>
          <w:color w:val="auto"/>
          <w:sz w:val="24"/>
          <w:szCs w:val="18"/>
        </w:rPr>
      </w:pPr>
      <w:r>
        <w:rPr>
          <w:rFonts w:hAnsi="宋体"/>
          <w:b/>
          <w:color w:val="auto"/>
          <w:sz w:val="24"/>
          <w:szCs w:val="18"/>
        </w:rPr>
        <w:t xml:space="preserve">64.2 </w:t>
      </w:r>
    </w:p>
    <w:p w14:paraId="23752404">
      <w:pPr>
        <w:pStyle w:val="2"/>
        <w:adjustRightInd w:val="0"/>
        <w:snapToGrid w:val="0"/>
        <w:spacing w:line="360" w:lineRule="auto"/>
        <w:ind w:left="1619" w:leftChars="771"/>
        <w:rPr>
          <w:rFonts w:hAnsi="宋体"/>
          <w:color w:val="auto"/>
          <w:sz w:val="24"/>
          <w:szCs w:val="18"/>
        </w:rPr>
      </w:pPr>
      <w:r>
        <w:rPr>
          <w:rFonts w:hint="eastAsia" w:hAnsi="宋体"/>
          <w:color w:val="auto"/>
          <w:sz w:val="24"/>
          <w:szCs w:val="24"/>
        </w:rPr>
        <w:t>经发包人批准后，监理工程师应就使用计日工项目发出书面指令。</w:t>
      </w:r>
      <w:r>
        <w:rPr>
          <w:color w:val="auto"/>
        </w:rPr>
        <mc:AlternateContent>
          <mc:Choice Requires="wps">
            <w:drawing>
              <wp:anchor distT="0" distB="0" distL="114300" distR="114300" simplePos="0" relativeHeight="251938816" behindDoc="0" locked="0" layoutInCell="1" allowOverlap="1">
                <wp:simplePos x="0" y="0"/>
                <wp:positionH relativeFrom="column">
                  <wp:posOffset>-114300</wp:posOffset>
                </wp:positionH>
                <wp:positionV relativeFrom="paragraph">
                  <wp:posOffset>14605</wp:posOffset>
                </wp:positionV>
                <wp:extent cx="914400" cy="412750"/>
                <wp:effectExtent l="0" t="0" r="0" b="0"/>
                <wp:wrapNone/>
                <wp:docPr id="274" name="文本框 274"/>
                <wp:cNvGraphicFramePr/>
                <a:graphic xmlns:a="http://schemas.openxmlformats.org/drawingml/2006/main">
                  <a:graphicData uri="http://schemas.microsoft.com/office/word/2010/wordprocessingShape">
                    <wps:wsp>
                      <wps:cNvSpPr txBox="1"/>
                      <wps:spPr>
                        <a:xfrm>
                          <a:off x="0" y="0"/>
                          <a:ext cx="914400" cy="412750"/>
                        </a:xfrm>
                        <a:prstGeom prst="rect">
                          <a:avLst/>
                        </a:prstGeom>
                        <a:noFill/>
                        <a:ln>
                          <a:noFill/>
                        </a:ln>
                        <a:effectLst/>
                      </wps:spPr>
                      <wps:txbx>
                        <w:txbxContent>
                          <w:p w14:paraId="43E90347">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计日工的确认</w:t>
                            </w:r>
                          </w:p>
                        </w:txbxContent>
                      </wps:txbx>
                      <wps:bodyPr upright="1"/>
                    </wps:wsp>
                  </a:graphicData>
                </a:graphic>
              </wp:anchor>
            </w:drawing>
          </mc:Choice>
          <mc:Fallback>
            <w:pict>
              <v:shape id="_x0000_s1026" o:spid="_x0000_s1026" o:spt="202" type="#_x0000_t202" style="position:absolute;left:0pt;margin-left:-9pt;margin-top:1.15pt;height:32.5pt;width:72pt;z-index:251938816;mso-width-relative:page;mso-height-relative:page;" filled="f" stroked="f" coordsize="21600,21600" o:gfxdata="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N&#10;boxr1gAAAAgBAAAPAAAAAAAAAAEAIAAAACIAAABkcnMvZG93bnJldi54bWxQSwECFAAUAAAACACH&#10;TuJACcz5nbQBAABfAwAADgAAAAAAAAABACAAAAAlAQAAZHJzL2Uyb0RvYy54bWxQSwUGAAAAAAYA&#10;BgBZAQAASwUAAAAA&#10;">
                <v:fill on="f" focussize="0,0"/>
                <v:stroke on="f"/>
                <v:imagedata o:title=""/>
                <o:lock v:ext="edit" aspectratio="f"/>
                <v:textbox>
                  <w:txbxContent>
                    <w:p w14:paraId="43E90347">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计日工的确认</w:t>
                      </w:r>
                    </w:p>
                  </w:txbxContent>
                </v:textbox>
              </v:shape>
            </w:pict>
          </mc:Fallback>
        </mc:AlternateContent>
      </w:r>
      <w:r>
        <w:rPr>
          <w:rFonts w:hint="eastAsia" w:hAnsi="宋体"/>
          <w:color w:val="auto"/>
          <w:sz w:val="24"/>
          <w:szCs w:val="18"/>
        </w:rPr>
        <w:t>任一按照计日工方式计价的工作，承包人应在该项工作实施结束后的</w:t>
      </w:r>
      <w:r>
        <w:rPr>
          <w:rFonts w:hAnsi="宋体"/>
          <w:color w:val="auto"/>
          <w:sz w:val="24"/>
          <w:szCs w:val="18"/>
        </w:rPr>
        <w:t>24</w:t>
      </w:r>
      <w:r>
        <w:rPr>
          <w:rFonts w:hint="eastAsia" w:hAnsi="宋体"/>
          <w:color w:val="auto"/>
          <w:sz w:val="24"/>
          <w:szCs w:val="18"/>
        </w:rPr>
        <w:t>小时内，向监理工程师提交有计日工记录的现场签证报告一式两份。</w:t>
      </w:r>
    </w:p>
    <w:p w14:paraId="4D00C7C8">
      <w:pPr>
        <w:pStyle w:val="2"/>
        <w:adjustRightInd w:val="0"/>
        <w:snapToGrid w:val="0"/>
        <w:spacing w:line="360" w:lineRule="auto"/>
        <w:ind w:left="1575" w:leftChars="750"/>
        <w:rPr>
          <w:rFonts w:hAnsi="宋体"/>
          <w:color w:val="auto"/>
          <w:sz w:val="24"/>
          <w:szCs w:val="18"/>
        </w:rPr>
      </w:pPr>
      <w:r>
        <w:rPr>
          <w:rFonts w:hint="eastAsia" w:hAnsi="宋体"/>
          <w:color w:val="auto"/>
          <w:sz w:val="24"/>
          <w:szCs w:val="18"/>
        </w:rPr>
        <w:t>当此工作持续进行时，承包人应每天向监理工程师提交当天计日工记录完毕的现场签证报告。监理工程师在收到承包人提交现场签证报告后的</w:t>
      </w:r>
      <w:r>
        <w:rPr>
          <w:rFonts w:hAnsi="宋体"/>
          <w:color w:val="auto"/>
          <w:sz w:val="24"/>
          <w:szCs w:val="18"/>
        </w:rPr>
        <w:t>2</w:t>
      </w:r>
      <w:r>
        <w:rPr>
          <w:rFonts w:hint="eastAsia" w:hAnsi="宋体"/>
          <w:color w:val="auto"/>
          <w:sz w:val="24"/>
          <w:szCs w:val="18"/>
        </w:rPr>
        <w:t>天内予以确认并由其报发包人批准后，将其中一份返还给承包人，作为计日工计价和支付的依据。监理工程师逾期未确认也未提出修改意见的，视为承包人提交的现场签证报告已被认可。</w:t>
      </w:r>
    </w:p>
    <w:p w14:paraId="37337F14">
      <w:pPr>
        <w:pStyle w:val="2"/>
        <w:adjustRightInd w:val="0"/>
        <w:snapToGrid w:val="0"/>
        <w:spacing w:line="360" w:lineRule="auto"/>
        <w:rPr>
          <w:rFonts w:hAnsi="宋体"/>
          <w:b/>
          <w:color w:val="auto"/>
          <w:sz w:val="24"/>
          <w:szCs w:val="18"/>
        </w:rPr>
      </w:pPr>
      <w:r>
        <w:rPr>
          <w:rFonts w:hAnsi="宋体"/>
          <w:b/>
          <w:color w:val="auto"/>
          <w:sz w:val="24"/>
          <w:szCs w:val="18"/>
        </w:rPr>
        <w:t xml:space="preserve">64.3  </w:t>
      </w:r>
    </w:p>
    <w:p w14:paraId="2889E4D5">
      <w:pPr>
        <w:pStyle w:val="2"/>
        <w:adjustRightInd w:val="0"/>
        <w:snapToGrid w:val="0"/>
        <w:spacing w:line="360" w:lineRule="auto"/>
        <w:ind w:left="1619" w:leftChars="771"/>
        <w:rPr>
          <w:rFonts w:hAnsi="宋体"/>
          <w:color w:val="auto"/>
          <w:sz w:val="24"/>
          <w:szCs w:val="24"/>
        </w:rPr>
      </w:pPr>
      <w:r>
        <w:rPr>
          <w:color w:val="auto"/>
        </w:rPr>
        <mc:AlternateContent>
          <mc:Choice Requires="wps">
            <w:drawing>
              <wp:anchor distT="0" distB="0" distL="114300" distR="114300" simplePos="0" relativeHeight="251939840" behindDoc="0" locked="0" layoutInCell="1" allowOverlap="1">
                <wp:simplePos x="0" y="0"/>
                <wp:positionH relativeFrom="column">
                  <wp:posOffset>-114300</wp:posOffset>
                </wp:positionH>
                <wp:positionV relativeFrom="paragraph">
                  <wp:posOffset>5080</wp:posOffset>
                </wp:positionV>
                <wp:extent cx="914400" cy="396240"/>
                <wp:effectExtent l="0" t="0" r="0" b="0"/>
                <wp:wrapNone/>
                <wp:docPr id="275" name="文本框 275"/>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1F384567">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计日工的支付</w:t>
                            </w:r>
                          </w:p>
                        </w:txbxContent>
                      </wps:txbx>
                      <wps:bodyPr upright="1"/>
                    </wps:wsp>
                  </a:graphicData>
                </a:graphic>
              </wp:anchor>
            </w:drawing>
          </mc:Choice>
          <mc:Fallback>
            <w:pict>
              <v:shape id="_x0000_s1026" o:spid="_x0000_s1026" o:spt="202" type="#_x0000_t202" style="position:absolute;left:0pt;margin-left:-9pt;margin-top:0.4pt;height:31.2pt;width:72pt;z-index:251939840;mso-width-relative:page;mso-height-relative:page;" filled="f" stroked="f" coordsize="21600,21600" o:gfxdata="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qRQ0&#10;59QAAAAHAQAADwAAAAAAAAABACAAAAAiAAAAZHJzL2Rvd25yZXYueG1sUEsBAhQAFAAAAAgAh07i&#10;QDwpn5y0AQAAXwMAAA4AAAAAAAAAAQAgAAAAIwEAAGRycy9lMm9Eb2MueG1sUEsFBgAAAAAGAAYA&#10;WQEAAEkFAAAAAA==&#10;">
                <v:fill on="f" focussize="0,0"/>
                <v:stroke on="f"/>
                <v:imagedata o:title=""/>
                <o:lock v:ext="edit" aspectratio="f"/>
                <v:textbox>
                  <w:txbxContent>
                    <w:p w14:paraId="1F384567">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计日工的支付</w:t>
                      </w:r>
                    </w:p>
                  </w:txbxContent>
                </v:textbox>
              </v:shape>
            </w:pict>
          </mc:Fallback>
        </mc:AlternateContent>
      </w:r>
      <w:r>
        <w:rPr>
          <w:rFonts w:hint="eastAsia" w:hAnsi="宋体"/>
          <w:color w:val="auto"/>
          <w:sz w:val="24"/>
          <w:szCs w:val="18"/>
        </w:rPr>
        <w:t>计日工工作，应从暂列金额中支付。</w:t>
      </w:r>
      <w:r>
        <w:rPr>
          <w:rFonts w:hint="eastAsia" w:hAnsi="宋体"/>
          <w:color w:val="auto"/>
          <w:sz w:val="24"/>
          <w:szCs w:val="24"/>
        </w:rPr>
        <w:t>造价工程师应按照监理工程师确认的现场签证报告核实该类项目的工程数量，并根据核实的工程数量和承包人投标文件中填报的计日工子目单价或价格的乘积计算、提出应付价款，经合同双方当事人确认后</w:t>
      </w:r>
      <w:r>
        <w:rPr>
          <w:rFonts w:hint="eastAsia" w:hAnsi="宋体"/>
          <w:color w:val="auto"/>
          <w:sz w:val="24"/>
          <w:szCs w:val="18"/>
        </w:rPr>
        <w:t>，与工程进度款同期支付。</w:t>
      </w:r>
    </w:p>
    <w:p w14:paraId="1E075E34">
      <w:pPr>
        <w:pStyle w:val="2"/>
        <w:adjustRightInd w:val="0"/>
        <w:snapToGrid w:val="0"/>
        <w:spacing w:line="360" w:lineRule="auto"/>
        <w:ind w:left="1619" w:leftChars="771"/>
        <w:rPr>
          <w:rFonts w:hAnsi="宋体"/>
          <w:color w:val="auto"/>
          <w:sz w:val="24"/>
          <w:szCs w:val="18"/>
        </w:rPr>
      </w:pPr>
      <w:r>
        <w:rPr>
          <w:rFonts w:hint="eastAsia" w:hAnsi="宋体"/>
          <w:color w:val="auto"/>
          <w:sz w:val="24"/>
          <w:szCs w:val="18"/>
        </w:rPr>
        <w:t>每个支付期末，承包人应按照第</w:t>
      </w:r>
      <w:r>
        <w:rPr>
          <w:rFonts w:hAnsi="宋体"/>
          <w:color w:val="auto"/>
          <w:sz w:val="24"/>
          <w:szCs w:val="18"/>
        </w:rPr>
        <w:t>81.1</w:t>
      </w:r>
      <w:r>
        <w:rPr>
          <w:rFonts w:hint="eastAsia" w:hAnsi="宋体"/>
          <w:color w:val="auto"/>
          <w:sz w:val="24"/>
          <w:szCs w:val="18"/>
        </w:rPr>
        <w:t>款规定向发包人提交本期间所有计日工记录的签证汇总表，以说明本期间自己认为有权得到的计日工费用。</w:t>
      </w:r>
    </w:p>
    <w:p w14:paraId="56DD8B08">
      <w:pPr>
        <w:pStyle w:val="2"/>
        <w:tabs>
          <w:tab w:val="left" w:pos="540"/>
        </w:tabs>
        <w:adjustRightInd w:val="0"/>
        <w:snapToGrid w:val="0"/>
        <w:spacing w:before="240" w:beforeLines="100" w:line="360" w:lineRule="auto"/>
        <w:rPr>
          <w:rFonts w:hAnsi="宋体"/>
          <w:b/>
          <w:color w:val="auto"/>
          <w:szCs w:val="24"/>
        </w:rPr>
      </w:pPr>
    </w:p>
    <w:p w14:paraId="72D7960E">
      <w:pPr>
        <w:pStyle w:val="2"/>
        <w:tabs>
          <w:tab w:val="left" w:pos="540"/>
        </w:tabs>
        <w:adjustRightInd w:val="0"/>
        <w:snapToGrid w:val="0"/>
        <w:spacing w:before="240" w:beforeLines="100" w:line="360" w:lineRule="auto"/>
        <w:ind w:right="-238"/>
        <w:rPr>
          <w:rFonts w:hAnsi="宋体"/>
          <w:b/>
          <w:dstrike/>
          <w:color w:val="auto"/>
          <w:sz w:val="30"/>
          <w:szCs w:val="30"/>
        </w:rPr>
      </w:pPr>
      <w:r>
        <w:rPr>
          <w:rFonts w:hAnsi="宋体"/>
          <w:b/>
          <w:color w:val="auto"/>
          <w:sz w:val="30"/>
          <w:szCs w:val="24"/>
        </w:rPr>
        <w:t xml:space="preserve">65  </w:t>
      </w:r>
      <w:r>
        <w:rPr>
          <w:rFonts w:hint="eastAsia" w:hAnsi="宋体"/>
          <w:b/>
          <w:color w:val="auto"/>
          <w:sz w:val="30"/>
          <w:szCs w:val="30"/>
        </w:rPr>
        <w:t>暂估价</w:t>
      </w:r>
    </w:p>
    <w:p w14:paraId="58FAFAE9">
      <w:pPr>
        <w:pStyle w:val="2"/>
        <w:adjustRightInd w:val="0"/>
        <w:snapToGrid w:val="0"/>
        <w:spacing w:line="360" w:lineRule="auto"/>
        <w:ind w:left="1400" w:hanging="1400" w:hangingChars="700"/>
        <w:rPr>
          <w:rFonts w:hAnsi="宋体"/>
          <w:color w:val="auto"/>
          <w:sz w:val="24"/>
          <w:szCs w:val="24"/>
        </w:rPr>
      </w:pPr>
      <w:r>
        <w:rPr>
          <w:color w:val="auto"/>
        </w:rPr>
        <mc:AlternateContent>
          <mc:Choice Requires="wps">
            <w:drawing>
              <wp:anchor distT="0" distB="0" distL="114300" distR="114300" simplePos="0" relativeHeight="251940864" behindDoc="0" locked="0" layoutInCell="1" allowOverlap="1">
                <wp:simplePos x="0" y="0"/>
                <wp:positionH relativeFrom="column">
                  <wp:posOffset>-133350</wp:posOffset>
                </wp:positionH>
                <wp:positionV relativeFrom="paragraph">
                  <wp:posOffset>320040</wp:posOffset>
                </wp:positionV>
                <wp:extent cx="1047750" cy="483870"/>
                <wp:effectExtent l="0" t="0" r="0" b="0"/>
                <wp:wrapNone/>
                <wp:docPr id="276" name="文本框 276"/>
                <wp:cNvGraphicFramePr/>
                <a:graphic xmlns:a="http://schemas.openxmlformats.org/drawingml/2006/main">
                  <a:graphicData uri="http://schemas.microsoft.com/office/word/2010/wordprocessingShape">
                    <wps:wsp>
                      <wps:cNvSpPr txBox="1"/>
                      <wps:spPr>
                        <a:xfrm>
                          <a:off x="0" y="0"/>
                          <a:ext cx="1047750" cy="483870"/>
                        </a:xfrm>
                        <a:prstGeom prst="rect">
                          <a:avLst/>
                        </a:prstGeom>
                        <a:noFill/>
                        <a:ln>
                          <a:noFill/>
                        </a:ln>
                        <a:effectLst/>
                      </wps:spPr>
                      <wps:txbx>
                        <w:txbxContent>
                          <w:p w14:paraId="74D38ABE">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招标暂估价项</w:t>
                            </w:r>
                          </w:p>
                          <w:p w14:paraId="38E27BAF">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目的要求</w:t>
                            </w:r>
                          </w:p>
                          <w:p w14:paraId="27C79C05">
                            <w:pPr>
                              <w:rPr>
                                <w:rFonts w:ascii="楷体_GB2312" w:hAnsi="宋体" w:eastAsia="楷体_GB2312"/>
                                <w:b/>
                                <w:color w:val="000000"/>
                                <w:sz w:val="18"/>
                                <w:szCs w:val="18"/>
                              </w:rPr>
                            </w:pPr>
                          </w:p>
                          <w:p w14:paraId="100B1C6E">
                            <w:pPr>
                              <w:rPr>
                                <w:sz w:val="18"/>
                                <w:szCs w:val="18"/>
                              </w:rPr>
                            </w:pPr>
                          </w:p>
                        </w:txbxContent>
                      </wps:txbx>
                      <wps:bodyPr upright="1"/>
                    </wps:wsp>
                  </a:graphicData>
                </a:graphic>
              </wp:anchor>
            </w:drawing>
          </mc:Choice>
          <mc:Fallback>
            <w:pict>
              <v:shape id="_x0000_s1026" o:spid="_x0000_s1026" o:spt="202" type="#_x0000_t202" style="position:absolute;left:0pt;margin-left:-10.5pt;margin-top:25.2pt;height:38.1pt;width:82.5pt;z-index:251940864;mso-width-relative:page;mso-height-relative:page;" filled="f" stroked="f" coordsize="21600,21600" o:gfxdata="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r+f4+NcAAAAKAQAADwAAAAAAAAABACAAAAAiAAAAZHJzL2Rvd25yZXYueG1sUEsBAhQAFAAAAAgA&#10;h07iQLL141m0AQAAYAMAAA4AAAAAAAAAAQAgAAAAJgEAAGRycy9lMm9Eb2MueG1sUEsFBgAAAAAG&#10;AAYAWQEAAEwFAAAAAA==&#10;">
                <v:fill on="f" focussize="0,0"/>
                <v:stroke on="f"/>
                <v:imagedata o:title=""/>
                <o:lock v:ext="edit" aspectratio="f"/>
                <v:textbox>
                  <w:txbxContent>
                    <w:p w14:paraId="74D38ABE">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招标暂估价项</w:t>
                      </w:r>
                    </w:p>
                    <w:p w14:paraId="38E27BAF">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目的要求</w:t>
                      </w:r>
                    </w:p>
                    <w:p w14:paraId="27C79C05">
                      <w:pPr>
                        <w:rPr>
                          <w:rFonts w:ascii="楷体_GB2312" w:hAnsi="宋体" w:eastAsia="楷体_GB2312"/>
                          <w:b/>
                          <w:color w:val="000000"/>
                          <w:sz w:val="18"/>
                          <w:szCs w:val="18"/>
                        </w:rPr>
                      </w:pPr>
                    </w:p>
                    <w:p w14:paraId="100B1C6E">
                      <w:pPr>
                        <w:rPr>
                          <w:sz w:val="18"/>
                          <w:szCs w:val="18"/>
                        </w:rPr>
                      </w:pPr>
                    </w:p>
                  </w:txbxContent>
                </v:textbox>
              </v:shape>
            </w:pict>
          </mc:Fallback>
        </mc:AlternateContent>
      </w:r>
      <w:r>
        <w:rPr>
          <w:rFonts w:hAnsi="宋体"/>
          <w:b/>
          <w:color w:val="auto"/>
          <w:sz w:val="24"/>
          <w:szCs w:val="24"/>
        </w:rPr>
        <w:t>65.1</w:t>
      </w:r>
      <w:r>
        <w:rPr>
          <w:rFonts w:hint="eastAsia" w:hAnsi="宋体"/>
          <w:color w:val="auto"/>
          <w:sz w:val="24"/>
          <w:szCs w:val="24"/>
        </w:rPr>
        <w:t>发包人在工程量清单中给定暂估价的材料、工程设备和专业工程，达到依法必须招标的规模、标准的，由承包人作为招标主体会同发包人共同选择供应商或分包人。合同双方当事人应在专用条款中约定各自的权利和义务。供应商或分包人的中标价格与工程量清单中所列的暂估价的差额以及相应的规费、税金等其他费用，应列入合同价款。</w:t>
      </w:r>
    </w:p>
    <w:p w14:paraId="54F10373">
      <w:pPr>
        <w:pStyle w:val="2"/>
        <w:adjustRightInd w:val="0"/>
        <w:snapToGrid w:val="0"/>
        <w:spacing w:line="360" w:lineRule="auto"/>
        <w:rPr>
          <w:rFonts w:hAnsi="宋体"/>
          <w:b/>
          <w:color w:val="auto"/>
          <w:sz w:val="24"/>
          <w:szCs w:val="24"/>
        </w:rPr>
      </w:pPr>
      <w:r>
        <w:rPr>
          <w:color w:val="auto"/>
        </w:rPr>
        <mc:AlternateContent>
          <mc:Choice Requires="wps">
            <w:drawing>
              <wp:anchor distT="0" distB="0" distL="114300" distR="114300" simplePos="0" relativeHeight="251941888" behindDoc="0" locked="0" layoutInCell="1" allowOverlap="1">
                <wp:simplePos x="0" y="0"/>
                <wp:positionH relativeFrom="column">
                  <wp:posOffset>-114300</wp:posOffset>
                </wp:positionH>
                <wp:positionV relativeFrom="paragraph">
                  <wp:posOffset>248285</wp:posOffset>
                </wp:positionV>
                <wp:extent cx="1028700" cy="956310"/>
                <wp:effectExtent l="0" t="0" r="0" b="0"/>
                <wp:wrapNone/>
                <wp:docPr id="277" name="文本框 277"/>
                <wp:cNvGraphicFramePr/>
                <a:graphic xmlns:a="http://schemas.openxmlformats.org/drawingml/2006/main">
                  <a:graphicData uri="http://schemas.microsoft.com/office/word/2010/wordprocessingShape">
                    <wps:wsp>
                      <wps:cNvSpPr txBox="1"/>
                      <wps:spPr>
                        <a:xfrm>
                          <a:off x="0" y="0"/>
                          <a:ext cx="1028700" cy="956310"/>
                        </a:xfrm>
                        <a:prstGeom prst="rect">
                          <a:avLst/>
                        </a:prstGeom>
                        <a:noFill/>
                        <a:ln>
                          <a:noFill/>
                        </a:ln>
                        <a:effectLst/>
                      </wps:spPr>
                      <wps:txbx>
                        <w:txbxContent>
                          <w:p w14:paraId="08D3FC1F">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非招标材料和</w:t>
                            </w:r>
                          </w:p>
                          <w:p w14:paraId="3C06F14C">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工程设备暂估</w:t>
                            </w:r>
                          </w:p>
                          <w:p w14:paraId="08543D10">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价的要求</w:t>
                            </w:r>
                          </w:p>
                          <w:p w14:paraId="37533110">
                            <w:pPr>
                              <w:rPr>
                                <w:sz w:val="18"/>
                                <w:szCs w:val="18"/>
                              </w:rPr>
                            </w:pPr>
                          </w:p>
                        </w:txbxContent>
                      </wps:txbx>
                      <wps:bodyPr upright="1"/>
                    </wps:wsp>
                  </a:graphicData>
                </a:graphic>
              </wp:anchor>
            </w:drawing>
          </mc:Choice>
          <mc:Fallback>
            <w:pict>
              <v:shape id="_x0000_s1026" o:spid="_x0000_s1026" o:spt="202" type="#_x0000_t202" style="position:absolute;left:0pt;margin-left:-9pt;margin-top:19.55pt;height:75.3pt;width:81pt;z-index:251941888;mso-width-relative:page;mso-height-relative:page;" filled="f" stroked="f" coordsize="21600,21600" o:gfxdata="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mDBSttcAAAAKAQAADwAAAAAAAAABACAAAAAiAAAAZHJzL2Rvd25yZXYueG1sUEsBAhQAFAAAAAgA&#10;h07iQNIwyQ20AQAAYAMAAA4AAAAAAAAAAQAgAAAAJgEAAGRycy9lMm9Eb2MueG1sUEsFBgAAAAAG&#10;AAYAWQEAAEwFAAAAAA==&#10;">
                <v:fill on="f" focussize="0,0"/>
                <v:stroke on="f"/>
                <v:imagedata o:title=""/>
                <o:lock v:ext="edit" aspectratio="f"/>
                <v:textbox>
                  <w:txbxContent>
                    <w:p w14:paraId="08D3FC1F">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非招标材料和</w:t>
                      </w:r>
                    </w:p>
                    <w:p w14:paraId="3C06F14C">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工程设备暂估</w:t>
                      </w:r>
                    </w:p>
                    <w:p w14:paraId="08543D10">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价的要求</w:t>
                      </w:r>
                    </w:p>
                    <w:p w14:paraId="37533110">
                      <w:pPr>
                        <w:rPr>
                          <w:sz w:val="18"/>
                          <w:szCs w:val="18"/>
                        </w:rPr>
                      </w:pPr>
                    </w:p>
                  </w:txbxContent>
                </v:textbox>
              </v:shape>
            </w:pict>
          </mc:Fallback>
        </mc:AlternateContent>
      </w:r>
      <w:r>
        <w:rPr>
          <w:rFonts w:hAnsi="宋体"/>
          <w:b/>
          <w:color w:val="auto"/>
          <w:sz w:val="24"/>
          <w:szCs w:val="18"/>
        </w:rPr>
        <w:t xml:space="preserve">65.2  </w:t>
      </w:r>
    </w:p>
    <w:p w14:paraId="61AA7039">
      <w:pPr>
        <w:pStyle w:val="2"/>
        <w:adjustRightInd w:val="0"/>
        <w:snapToGrid w:val="0"/>
        <w:spacing w:line="360" w:lineRule="auto"/>
        <w:ind w:left="1619" w:leftChars="771"/>
        <w:rPr>
          <w:rFonts w:hAnsi="宋体"/>
          <w:color w:val="auto"/>
          <w:sz w:val="24"/>
          <w:szCs w:val="24"/>
        </w:rPr>
      </w:pPr>
      <w:r>
        <w:rPr>
          <w:rFonts w:hint="eastAsia" w:hAnsi="宋体"/>
          <w:color w:val="auto"/>
          <w:sz w:val="24"/>
          <w:szCs w:val="24"/>
        </w:rPr>
        <w:t>发包人在工程量清单中给定暂估价的材料和工程设备，未达到依法必须招标的规模、标准的，由承包人按照第</w:t>
      </w:r>
      <w:r>
        <w:rPr>
          <w:rFonts w:hAnsi="宋体"/>
          <w:color w:val="auto"/>
          <w:sz w:val="24"/>
          <w:szCs w:val="24"/>
        </w:rPr>
        <w:t>49</w:t>
      </w:r>
      <w:r>
        <w:rPr>
          <w:rFonts w:hint="eastAsia" w:hAnsi="宋体"/>
          <w:color w:val="auto"/>
          <w:sz w:val="24"/>
          <w:szCs w:val="24"/>
        </w:rPr>
        <w:t>条规定采购。经造价工程师确认的材料和工程设备价格与工程量清单中所列的暂估价的差额以及相应的规费、税金等其他费用，应列入合同价款。</w:t>
      </w:r>
    </w:p>
    <w:p w14:paraId="4E583FDA">
      <w:pPr>
        <w:pStyle w:val="2"/>
        <w:adjustRightInd w:val="0"/>
        <w:snapToGrid w:val="0"/>
        <w:spacing w:line="360" w:lineRule="auto"/>
        <w:rPr>
          <w:rFonts w:hAnsi="宋体"/>
          <w:b/>
          <w:color w:val="auto"/>
          <w:sz w:val="24"/>
          <w:szCs w:val="24"/>
        </w:rPr>
      </w:pPr>
      <w:r>
        <w:rPr>
          <w:rFonts w:hAnsi="宋体"/>
          <w:b/>
          <w:color w:val="auto"/>
          <w:sz w:val="24"/>
          <w:szCs w:val="18"/>
        </w:rPr>
        <w:t xml:space="preserve">65.3  </w:t>
      </w:r>
    </w:p>
    <w:p w14:paraId="42793346">
      <w:pPr>
        <w:pStyle w:val="2"/>
        <w:adjustRightInd w:val="0"/>
        <w:snapToGrid w:val="0"/>
        <w:spacing w:line="360" w:lineRule="auto"/>
        <w:ind w:left="1619" w:leftChars="771"/>
        <w:rPr>
          <w:rFonts w:hAnsi="宋体"/>
          <w:color w:val="auto"/>
          <w:sz w:val="24"/>
          <w:szCs w:val="24"/>
        </w:rPr>
      </w:pPr>
      <w:r>
        <w:rPr>
          <w:color w:val="auto"/>
        </w:rPr>
        <mc:AlternateContent>
          <mc:Choice Requires="wps">
            <w:drawing>
              <wp:anchor distT="0" distB="0" distL="114300" distR="114300" simplePos="0" relativeHeight="251942912" behindDoc="0" locked="0" layoutInCell="1" allowOverlap="1">
                <wp:simplePos x="0" y="0"/>
                <wp:positionH relativeFrom="column">
                  <wp:posOffset>-228600</wp:posOffset>
                </wp:positionH>
                <wp:positionV relativeFrom="paragraph">
                  <wp:posOffset>71755</wp:posOffset>
                </wp:positionV>
                <wp:extent cx="1028700" cy="863600"/>
                <wp:effectExtent l="0" t="0" r="0" b="0"/>
                <wp:wrapNone/>
                <wp:docPr id="278" name="文本框 278"/>
                <wp:cNvGraphicFramePr/>
                <a:graphic xmlns:a="http://schemas.openxmlformats.org/drawingml/2006/main">
                  <a:graphicData uri="http://schemas.microsoft.com/office/word/2010/wordprocessingShape">
                    <wps:wsp>
                      <wps:cNvSpPr txBox="1"/>
                      <wps:spPr>
                        <a:xfrm>
                          <a:off x="0" y="0"/>
                          <a:ext cx="1028700" cy="863600"/>
                        </a:xfrm>
                        <a:prstGeom prst="rect">
                          <a:avLst/>
                        </a:prstGeom>
                        <a:noFill/>
                        <a:ln>
                          <a:noFill/>
                        </a:ln>
                        <a:effectLst/>
                      </wps:spPr>
                      <wps:txbx>
                        <w:txbxContent>
                          <w:p w14:paraId="4E1AEA3D">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非招标专业工</w:t>
                            </w:r>
                          </w:p>
                          <w:p w14:paraId="10A676CB">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程暂估价的要</w:t>
                            </w:r>
                          </w:p>
                          <w:p w14:paraId="1B16B224">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求</w:t>
                            </w:r>
                          </w:p>
                        </w:txbxContent>
                      </wps:txbx>
                      <wps:bodyPr upright="1"/>
                    </wps:wsp>
                  </a:graphicData>
                </a:graphic>
              </wp:anchor>
            </w:drawing>
          </mc:Choice>
          <mc:Fallback>
            <w:pict>
              <v:shape id="_x0000_s1026" o:spid="_x0000_s1026" o:spt="202" type="#_x0000_t202" style="position:absolute;left:0pt;margin-left:-18pt;margin-top:5.65pt;height:68pt;width:81pt;z-index:251942912;mso-width-relative:page;mso-height-relative:page;" filled="f" stroked="f" coordsize="21600,21600" o:gfxdata="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3/6P&#10;1wAAAAoBAAAPAAAAAAAAAAEAIAAAACIAAABkcnMvZG93bnJldi54bWxQSwECFAAUAAAACACHTuJA&#10;aXdOrLABAABgAwAADgAAAAAAAAABACAAAAAmAQAAZHJzL2Uyb0RvYy54bWxQSwUGAAAAAAYABgBZ&#10;AQAASAUAAAAA&#10;">
                <v:fill on="f" focussize="0,0"/>
                <v:stroke on="f"/>
                <v:imagedata o:title=""/>
                <o:lock v:ext="edit" aspectratio="f"/>
                <v:textbox>
                  <w:txbxContent>
                    <w:p w14:paraId="4E1AEA3D">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非招标专业工</w:t>
                      </w:r>
                    </w:p>
                    <w:p w14:paraId="10A676CB">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程暂估价的要</w:t>
                      </w:r>
                    </w:p>
                    <w:p w14:paraId="1B16B224">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求</w:t>
                      </w:r>
                    </w:p>
                  </w:txbxContent>
                </v:textbox>
              </v:shape>
            </w:pict>
          </mc:Fallback>
        </mc:AlternateContent>
      </w:r>
      <w:r>
        <w:rPr>
          <w:rFonts w:hint="eastAsia" w:hAnsi="宋体"/>
          <w:color w:val="auto"/>
          <w:sz w:val="24"/>
          <w:szCs w:val="24"/>
        </w:rPr>
        <w:t>发包人在工程量清单中给定暂估价的专业工程，未达到依法必须招标的规模及标准的，除专用条款另有约定外，在合同双方当事人同意下，由造价工程师与分包人按照第</w:t>
      </w:r>
      <w:r>
        <w:rPr>
          <w:rFonts w:hAnsi="宋体"/>
          <w:color w:val="auto"/>
          <w:sz w:val="24"/>
          <w:szCs w:val="24"/>
        </w:rPr>
        <w:t>72.2</w:t>
      </w:r>
      <w:r>
        <w:rPr>
          <w:rFonts w:hint="eastAsia" w:hAnsi="宋体"/>
          <w:color w:val="auto"/>
          <w:sz w:val="24"/>
          <w:szCs w:val="24"/>
        </w:rPr>
        <w:t>款规定确定专业工程款。经确认的专业工程款与工程量清单中所列的暂估价的差额以及相应的规费、税金等其他费用，应列入合同价款。</w:t>
      </w:r>
    </w:p>
    <w:p w14:paraId="3B2487DB">
      <w:pPr>
        <w:pStyle w:val="2"/>
        <w:tabs>
          <w:tab w:val="left" w:pos="3038"/>
        </w:tabs>
        <w:adjustRightInd w:val="0"/>
        <w:snapToGrid w:val="0"/>
        <w:spacing w:line="360" w:lineRule="auto"/>
        <w:rPr>
          <w:rFonts w:hAnsi="宋体"/>
          <w:b/>
          <w:color w:val="auto"/>
          <w:sz w:val="24"/>
          <w:szCs w:val="18"/>
        </w:rPr>
      </w:pPr>
    </w:p>
    <w:p w14:paraId="28E71C27">
      <w:pPr>
        <w:pStyle w:val="2"/>
        <w:tabs>
          <w:tab w:val="left" w:pos="540"/>
        </w:tabs>
        <w:adjustRightInd w:val="0"/>
        <w:snapToGrid w:val="0"/>
        <w:spacing w:before="240" w:beforeLines="100" w:line="360" w:lineRule="auto"/>
        <w:ind w:right="-238"/>
        <w:rPr>
          <w:rFonts w:hAnsi="宋体"/>
          <w:b/>
          <w:color w:val="auto"/>
          <w:sz w:val="30"/>
          <w:szCs w:val="24"/>
        </w:rPr>
      </w:pPr>
      <w:r>
        <w:rPr>
          <w:rFonts w:hAnsi="宋体"/>
          <w:b/>
          <w:color w:val="auto"/>
          <w:sz w:val="30"/>
          <w:szCs w:val="24"/>
        </w:rPr>
        <w:t xml:space="preserve">66  </w:t>
      </w:r>
      <w:r>
        <w:rPr>
          <w:rFonts w:hint="eastAsia" w:hAnsi="宋体"/>
          <w:b/>
          <w:color w:val="auto"/>
          <w:sz w:val="30"/>
          <w:szCs w:val="24"/>
        </w:rPr>
        <w:t>提前竣工奖与误期赔偿费</w:t>
      </w:r>
    </w:p>
    <w:p w14:paraId="60193EF0">
      <w:pPr>
        <w:pStyle w:val="2"/>
        <w:adjustRightInd w:val="0"/>
        <w:snapToGrid w:val="0"/>
        <w:spacing w:line="360" w:lineRule="auto"/>
        <w:rPr>
          <w:rFonts w:hAnsi="宋体"/>
          <w:b/>
          <w:color w:val="auto"/>
          <w:sz w:val="24"/>
          <w:szCs w:val="18"/>
        </w:rPr>
      </w:pPr>
      <w:r>
        <w:rPr>
          <w:rFonts w:hAnsi="宋体"/>
          <w:b/>
          <w:color w:val="auto"/>
          <w:sz w:val="24"/>
          <w:szCs w:val="18"/>
        </w:rPr>
        <w:t xml:space="preserve">66.1  </w:t>
      </w:r>
    </w:p>
    <w:p w14:paraId="1DEC0C5A">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1943936" behindDoc="0" locked="0" layoutInCell="1" allowOverlap="1">
                <wp:simplePos x="0" y="0"/>
                <wp:positionH relativeFrom="column">
                  <wp:posOffset>-114300</wp:posOffset>
                </wp:positionH>
                <wp:positionV relativeFrom="paragraph">
                  <wp:posOffset>30480</wp:posOffset>
                </wp:positionV>
                <wp:extent cx="1028700" cy="405130"/>
                <wp:effectExtent l="0" t="0" r="0" b="0"/>
                <wp:wrapNone/>
                <wp:docPr id="279" name="文本框 279"/>
                <wp:cNvGraphicFramePr/>
                <a:graphic xmlns:a="http://schemas.openxmlformats.org/drawingml/2006/main">
                  <a:graphicData uri="http://schemas.microsoft.com/office/word/2010/wordprocessingShape">
                    <wps:wsp>
                      <wps:cNvSpPr txBox="1"/>
                      <wps:spPr>
                        <a:xfrm>
                          <a:off x="0" y="0"/>
                          <a:ext cx="1028700" cy="405130"/>
                        </a:xfrm>
                        <a:prstGeom prst="rect">
                          <a:avLst/>
                        </a:prstGeom>
                        <a:noFill/>
                        <a:ln>
                          <a:noFill/>
                        </a:ln>
                        <a:effectLst/>
                      </wps:spPr>
                      <wps:txbx>
                        <w:txbxContent>
                          <w:p w14:paraId="586B9B40">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提前竣工奖</w:t>
                            </w:r>
                          </w:p>
                        </w:txbxContent>
                      </wps:txbx>
                      <wps:bodyPr upright="1"/>
                    </wps:wsp>
                  </a:graphicData>
                </a:graphic>
              </wp:anchor>
            </w:drawing>
          </mc:Choice>
          <mc:Fallback>
            <w:pict>
              <v:shape id="_x0000_s1026" o:spid="_x0000_s1026" o:spt="202" type="#_x0000_t202" style="position:absolute;left:0pt;margin-left:-9pt;margin-top:2.4pt;height:31.9pt;width:81pt;z-index:251943936;mso-width-relative:page;mso-height-relative:page;" filled="f" stroked="f" coordsize="21600,21600" o:gfxdata="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0R&#10;G9UAAAAIAQAADwAAAAAAAAABACAAAAAiAAAAZHJzL2Rvd25yZXYueG1sUEsBAhQAFAAAAAgAh07i&#10;QI0pMRSzAQAAYAMAAA4AAAAAAAAAAQAgAAAAJAEAAGRycy9lMm9Eb2MueG1sUEsFBgAAAAAGAAYA&#10;WQEAAEkFAAAAAA==&#10;">
                <v:fill on="f" focussize="0,0"/>
                <v:stroke on="f"/>
                <v:imagedata o:title=""/>
                <o:lock v:ext="edit" aspectratio="f"/>
                <v:textbox>
                  <w:txbxContent>
                    <w:p w14:paraId="586B9B40">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提前竣工奖</w:t>
                      </w:r>
                    </w:p>
                  </w:txbxContent>
                </v:textbox>
              </v:shape>
            </w:pict>
          </mc:Fallback>
        </mc:AlternateContent>
      </w:r>
      <w:r>
        <w:rPr>
          <w:rFonts w:hint="eastAsia" w:hAnsi="宋体"/>
          <w:color w:val="auto"/>
          <w:sz w:val="24"/>
          <w:szCs w:val="18"/>
        </w:rPr>
        <w:t>合同双方当事人可在专用条款中约定提前竣工奖，明确每日历天应奖额度。约定提前竣工奖的，如果承包人的实际竣工日期早于计划竣工日期，承包人有权向发包人提出并得到提前竣工天数和专用条款约定的每日历天应奖额度的乘积计算的提前竣工奖。除专用条款另有约定外，提前竣工奖的最高限额为合同价款的</w:t>
      </w:r>
      <w:r>
        <w:rPr>
          <w:rFonts w:hAnsi="宋体"/>
          <w:color w:val="auto"/>
          <w:sz w:val="24"/>
          <w:szCs w:val="18"/>
        </w:rPr>
        <w:t>5%</w:t>
      </w:r>
      <w:r>
        <w:rPr>
          <w:rFonts w:hint="eastAsia" w:hAnsi="宋体"/>
          <w:color w:val="auto"/>
          <w:sz w:val="24"/>
          <w:szCs w:val="18"/>
        </w:rPr>
        <w:t>。提前竣工奖列入竣工结算文件中，与结算款一并支付。</w:t>
      </w:r>
    </w:p>
    <w:p w14:paraId="06184B02">
      <w:pPr>
        <w:pStyle w:val="2"/>
        <w:adjustRightInd w:val="0"/>
        <w:snapToGrid w:val="0"/>
        <w:spacing w:line="360" w:lineRule="auto"/>
        <w:rPr>
          <w:rFonts w:hAnsi="宋体"/>
          <w:b/>
          <w:color w:val="auto"/>
          <w:sz w:val="24"/>
          <w:szCs w:val="18"/>
        </w:rPr>
      </w:pPr>
      <w:r>
        <w:rPr>
          <w:rFonts w:hAnsi="宋体"/>
          <w:b/>
          <w:color w:val="auto"/>
          <w:sz w:val="24"/>
          <w:szCs w:val="18"/>
        </w:rPr>
        <w:t xml:space="preserve">66.2  </w:t>
      </w:r>
    </w:p>
    <w:p w14:paraId="292AE4EE">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1944960" behindDoc="0" locked="0" layoutInCell="1" allowOverlap="1">
                <wp:simplePos x="0" y="0"/>
                <wp:positionH relativeFrom="column">
                  <wp:posOffset>-114300</wp:posOffset>
                </wp:positionH>
                <wp:positionV relativeFrom="paragraph">
                  <wp:posOffset>16510</wp:posOffset>
                </wp:positionV>
                <wp:extent cx="914400" cy="377825"/>
                <wp:effectExtent l="0" t="0" r="0" b="0"/>
                <wp:wrapNone/>
                <wp:docPr id="280" name="文本框 280"/>
                <wp:cNvGraphicFramePr/>
                <a:graphic xmlns:a="http://schemas.openxmlformats.org/drawingml/2006/main">
                  <a:graphicData uri="http://schemas.microsoft.com/office/word/2010/wordprocessingShape">
                    <wps:wsp>
                      <wps:cNvSpPr txBox="1"/>
                      <wps:spPr>
                        <a:xfrm>
                          <a:off x="0" y="0"/>
                          <a:ext cx="914400" cy="377825"/>
                        </a:xfrm>
                        <a:prstGeom prst="rect">
                          <a:avLst/>
                        </a:prstGeom>
                        <a:noFill/>
                        <a:ln>
                          <a:noFill/>
                        </a:ln>
                        <a:effectLst/>
                      </wps:spPr>
                      <wps:txbx>
                        <w:txbxContent>
                          <w:p w14:paraId="6926B301">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误期赔偿费</w:t>
                            </w:r>
                          </w:p>
                        </w:txbxContent>
                      </wps:txbx>
                      <wps:bodyPr upright="1"/>
                    </wps:wsp>
                  </a:graphicData>
                </a:graphic>
              </wp:anchor>
            </w:drawing>
          </mc:Choice>
          <mc:Fallback>
            <w:pict>
              <v:shape id="_x0000_s1026" o:spid="_x0000_s1026" o:spt="202" type="#_x0000_t202" style="position:absolute;left:0pt;margin-left:-9pt;margin-top:1.3pt;height:29.75pt;width:72pt;z-index:251944960;mso-width-relative:page;mso-height-relative:page;" filled="f" stroked="f" coordsize="21600,21600" o:gfxdata="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hNJKZ&#10;1AAAAAgBAAAPAAAAAAAAAAEAIAAAACIAAABkcnMvZG93bnJldi54bWxQSwECFAAUAAAACACHTuJA&#10;Ld36XrMBAABfAwAADgAAAAAAAAABACAAAAAjAQAAZHJzL2Uyb0RvYy54bWxQSwUGAAAAAAYABgBZ&#10;AQAASAUAAAAA&#10;">
                <v:fill on="f" focussize="0,0"/>
                <v:stroke on="f"/>
                <v:imagedata o:title=""/>
                <o:lock v:ext="edit" aspectratio="f"/>
                <v:textbox>
                  <w:txbxContent>
                    <w:p w14:paraId="6926B301">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误期赔偿费</w:t>
                      </w:r>
                    </w:p>
                  </w:txbxContent>
                </v:textbox>
              </v:shape>
            </w:pict>
          </mc:Fallback>
        </mc:AlternateContent>
      </w:r>
      <w:r>
        <w:rPr>
          <w:rFonts w:hint="eastAsia" w:hAnsi="宋体"/>
          <w:color w:val="auto"/>
          <w:sz w:val="24"/>
          <w:szCs w:val="18"/>
        </w:rPr>
        <w:t>合同双方当事人应在专用条款中约定误期赔偿费，明确每日历天应赔额度。如果承包人的实际进度迟于计划进度，发包人有权向承包人索取并得到实际延误天数和专用条款约定的每日历天应赔额度的乘积计算的误期赔偿费。除专用条款另有约定外，误期赔偿费的最高限额为合同价款的</w:t>
      </w:r>
      <w:r>
        <w:rPr>
          <w:rFonts w:hAnsi="宋体"/>
          <w:color w:val="auto"/>
          <w:sz w:val="24"/>
          <w:szCs w:val="18"/>
        </w:rPr>
        <w:t>5%</w:t>
      </w:r>
      <w:r>
        <w:rPr>
          <w:rFonts w:hint="eastAsia" w:hAnsi="宋体"/>
          <w:color w:val="auto"/>
          <w:sz w:val="24"/>
          <w:szCs w:val="18"/>
        </w:rPr>
        <w:t>。误期赔偿费列入进度支付文件或竣工结算文件中，在进度款或结算款中扣除。</w:t>
      </w:r>
    </w:p>
    <w:p w14:paraId="6AA9F99E">
      <w:pPr>
        <w:pStyle w:val="2"/>
        <w:adjustRightInd w:val="0"/>
        <w:snapToGrid w:val="0"/>
        <w:spacing w:line="360" w:lineRule="auto"/>
        <w:ind w:left="1619" w:leftChars="771"/>
        <w:rPr>
          <w:rFonts w:hAnsi="宋体"/>
          <w:color w:val="auto"/>
          <w:sz w:val="24"/>
          <w:szCs w:val="18"/>
        </w:rPr>
      </w:pPr>
      <w:r>
        <w:rPr>
          <w:rFonts w:hint="eastAsia" w:hAnsi="宋体"/>
          <w:color w:val="auto"/>
          <w:sz w:val="24"/>
          <w:szCs w:val="18"/>
        </w:rPr>
        <w:t>如果在工程竣工之前，合同工程内的某单位工程已通过了竣工验收，且该单位工程接收证书中表明的竣工日期并未延误，而是合同工程的其他部分产生了工期延误，则误期赔偿费应按照已颁发工程接收证书的单位工程造价占合同价款的比例幅度予以扣减。</w:t>
      </w:r>
    </w:p>
    <w:p w14:paraId="5B9E9A46">
      <w:pPr>
        <w:pStyle w:val="2"/>
        <w:adjustRightInd w:val="0"/>
        <w:snapToGrid w:val="0"/>
        <w:spacing w:line="360" w:lineRule="auto"/>
        <w:ind w:right="-238"/>
        <w:rPr>
          <w:rFonts w:hAnsi="宋体"/>
          <w:color w:val="auto"/>
          <w:sz w:val="24"/>
          <w:szCs w:val="18"/>
        </w:rPr>
      </w:pPr>
    </w:p>
    <w:p w14:paraId="4AB77ABB">
      <w:pPr>
        <w:pStyle w:val="2"/>
        <w:tabs>
          <w:tab w:val="left" w:pos="540"/>
        </w:tabs>
        <w:adjustRightInd w:val="0"/>
        <w:snapToGrid w:val="0"/>
        <w:spacing w:before="240" w:beforeLines="100" w:line="360" w:lineRule="auto"/>
        <w:ind w:right="-238"/>
        <w:rPr>
          <w:rFonts w:hAnsi="宋体"/>
          <w:b/>
          <w:color w:val="auto"/>
          <w:sz w:val="30"/>
          <w:szCs w:val="24"/>
        </w:rPr>
      </w:pPr>
      <w:r>
        <w:rPr>
          <w:rFonts w:hAnsi="宋体"/>
          <w:b/>
          <w:color w:val="auto"/>
          <w:sz w:val="30"/>
          <w:szCs w:val="24"/>
        </w:rPr>
        <w:t xml:space="preserve">67  </w:t>
      </w:r>
      <w:r>
        <w:rPr>
          <w:rFonts w:hint="eastAsia" w:hAnsi="宋体"/>
          <w:b/>
          <w:color w:val="auto"/>
          <w:sz w:val="30"/>
          <w:szCs w:val="24"/>
        </w:rPr>
        <w:t>工程优质费</w:t>
      </w:r>
    </w:p>
    <w:p w14:paraId="640F3B86">
      <w:pPr>
        <w:pStyle w:val="2"/>
        <w:adjustRightInd w:val="0"/>
        <w:snapToGrid w:val="0"/>
        <w:spacing w:line="360" w:lineRule="auto"/>
        <w:rPr>
          <w:rFonts w:hAnsi="宋体"/>
          <w:b/>
          <w:color w:val="auto"/>
          <w:sz w:val="24"/>
          <w:szCs w:val="18"/>
        </w:rPr>
      </w:pPr>
      <w:r>
        <w:rPr>
          <w:rFonts w:hAnsi="宋体"/>
          <w:b/>
          <w:color w:val="auto"/>
          <w:sz w:val="24"/>
          <w:szCs w:val="18"/>
        </w:rPr>
        <w:t xml:space="preserve">67.1 </w:t>
      </w:r>
    </w:p>
    <w:p w14:paraId="219183DD">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1945984" behindDoc="0" locked="0" layoutInCell="1" allowOverlap="1">
                <wp:simplePos x="0" y="0"/>
                <wp:positionH relativeFrom="column">
                  <wp:posOffset>-114300</wp:posOffset>
                </wp:positionH>
                <wp:positionV relativeFrom="paragraph">
                  <wp:posOffset>30480</wp:posOffset>
                </wp:positionV>
                <wp:extent cx="1028700" cy="524510"/>
                <wp:effectExtent l="0" t="0" r="0" b="0"/>
                <wp:wrapNone/>
                <wp:docPr id="281" name="文本框 281"/>
                <wp:cNvGraphicFramePr/>
                <a:graphic xmlns:a="http://schemas.openxmlformats.org/drawingml/2006/main">
                  <a:graphicData uri="http://schemas.microsoft.com/office/word/2010/wordprocessingShape">
                    <wps:wsp>
                      <wps:cNvSpPr txBox="1"/>
                      <wps:spPr>
                        <a:xfrm>
                          <a:off x="0" y="0"/>
                          <a:ext cx="1028700" cy="524510"/>
                        </a:xfrm>
                        <a:prstGeom prst="rect">
                          <a:avLst/>
                        </a:prstGeom>
                        <a:noFill/>
                        <a:ln>
                          <a:noFill/>
                        </a:ln>
                        <a:effectLst/>
                      </wps:spPr>
                      <wps:txbx>
                        <w:txbxContent>
                          <w:p w14:paraId="4C43D0FC">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工程优质费的</w:t>
                            </w:r>
                          </w:p>
                          <w:p w14:paraId="6E072153">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约定</w:t>
                            </w:r>
                          </w:p>
                        </w:txbxContent>
                      </wps:txbx>
                      <wps:bodyPr upright="1"/>
                    </wps:wsp>
                  </a:graphicData>
                </a:graphic>
              </wp:anchor>
            </w:drawing>
          </mc:Choice>
          <mc:Fallback>
            <w:pict>
              <v:shape id="_x0000_s1026" o:spid="_x0000_s1026" o:spt="202" type="#_x0000_t202" style="position:absolute;left:0pt;margin-left:-9pt;margin-top:2.4pt;height:41.3pt;width:81pt;z-index:251945984;mso-width-relative:page;mso-height-relative:page;" filled="f" stroked="f" coordsize="21600,21600" o:gfxdata="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Fd/XA&#10;1AAAAAgBAAAPAAAAAAAAAAEAIAAAACIAAABkcnMvZG93bnJldi54bWxQSwECFAAUAAAACACHTuJA&#10;EJL4VbMBAABgAwAADgAAAAAAAAABACAAAAAjAQAAZHJzL2Uyb0RvYy54bWxQSwUGAAAAAAYABgBZ&#10;AQAASAUAAAAA&#10;">
                <v:fill on="f" focussize="0,0"/>
                <v:stroke on="f"/>
                <v:imagedata o:title=""/>
                <o:lock v:ext="edit" aspectratio="f"/>
                <v:textbox>
                  <w:txbxContent>
                    <w:p w14:paraId="4C43D0FC">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工程优质费的</w:t>
                      </w:r>
                    </w:p>
                    <w:p w14:paraId="6E072153">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约定</w:t>
                      </w:r>
                    </w:p>
                  </w:txbxContent>
                </v:textbox>
              </v:shape>
            </w:pict>
          </mc:Fallback>
        </mc:AlternateContent>
      </w:r>
      <w:r>
        <w:rPr>
          <w:rFonts w:hint="eastAsia" w:hAnsi="宋体"/>
          <w:color w:val="auto"/>
          <w:sz w:val="24"/>
          <w:szCs w:val="18"/>
        </w:rPr>
        <w:t>合同双方当事人可在专用条款中约定工程优质费，明确合同工程优质费用的计算方法。约定工程优质费的，如果承包人实施、完成合同工程质量标准高于国家规定或合同约定的质量验收合格标准的，承包人有权向发包人提出并得到专用条款约定的工程优质费。</w:t>
      </w:r>
    </w:p>
    <w:p w14:paraId="448F1DF1">
      <w:pPr>
        <w:pStyle w:val="2"/>
        <w:adjustRightInd w:val="0"/>
        <w:snapToGrid w:val="0"/>
        <w:spacing w:line="360" w:lineRule="auto"/>
        <w:rPr>
          <w:rFonts w:hAnsi="宋体"/>
          <w:b/>
          <w:color w:val="auto"/>
          <w:sz w:val="24"/>
          <w:szCs w:val="18"/>
        </w:rPr>
      </w:pPr>
      <w:r>
        <w:rPr>
          <w:color w:val="auto"/>
        </w:rPr>
        <mc:AlternateContent>
          <mc:Choice Requires="wps">
            <w:drawing>
              <wp:anchor distT="0" distB="0" distL="114300" distR="114300" simplePos="0" relativeHeight="251947008" behindDoc="0" locked="0" layoutInCell="1" allowOverlap="1">
                <wp:simplePos x="0" y="0"/>
                <wp:positionH relativeFrom="column">
                  <wp:posOffset>-114300</wp:posOffset>
                </wp:positionH>
                <wp:positionV relativeFrom="paragraph">
                  <wp:posOffset>234315</wp:posOffset>
                </wp:positionV>
                <wp:extent cx="1143000" cy="621030"/>
                <wp:effectExtent l="0" t="0" r="0" b="0"/>
                <wp:wrapNone/>
                <wp:docPr id="329" name="文本框 329"/>
                <wp:cNvGraphicFramePr/>
                <a:graphic xmlns:a="http://schemas.openxmlformats.org/drawingml/2006/main">
                  <a:graphicData uri="http://schemas.microsoft.com/office/word/2010/wordprocessingShape">
                    <wps:wsp>
                      <wps:cNvSpPr txBox="1"/>
                      <wps:spPr>
                        <a:xfrm>
                          <a:off x="0" y="0"/>
                          <a:ext cx="1143000" cy="621030"/>
                        </a:xfrm>
                        <a:prstGeom prst="rect">
                          <a:avLst/>
                        </a:prstGeom>
                        <a:noFill/>
                        <a:ln>
                          <a:noFill/>
                        </a:ln>
                        <a:effectLst/>
                      </wps:spPr>
                      <wps:txbx>
                        <w:txbxContent>
                          <w:p w14:paraId="1BF7BE4F">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工程优质费计</w:t>
                            </w:r>
                          </w:p>
                          <w:p w14:paraId="7647F3F8">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提与支付</w:t>
                            </w:r>
                          </w:p>
                        </w:txbxContent>
                      </wps:txbx>
                      <wps:bodyPr upright="1"/>
                    </wps:wsp>
                  </a:graphicData>
                </a:graphic>
              </wp:anchor>
            </w:drawing>
          </mc:Choice>
          <mc:Fallback>
            <w:pict>
              <v:shape id="_x0000_s1026" o:spid="_x0000_s1026" o:spt="202" type="#_x0000_t202" style="position:absolute;left:0pt;margin-left:-9pt;margin-top:18.45pt;height:48.9pt;width:90pt;z-index:251947008;mso-width-relative:page;mso-height-relative:page;" filled="f" stroked="f" coordsize="21600,21600" o:gfxdata="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t&#10;AdDK2AAAAAoBAAAPAAAAAAAAAAEAIAAAACIAAABkcnMvZG93bnJldi54bWxQSwECFAAUAAAACACH&#10;TuJAcLmKPrIBAABgAwAADgAAAAAAAAABACAAAAAnAQAAZHJzL2Uyb0RvYy54bWxQSwUGAAAAAAYA&#10;BgBZAQAASwUAAAAA&#10;">
                <v:fill on="f" focussize="0,0"/>
                <v:stroke on="f"/>
                <v:imagedata o:title=""/>
                <o:lock v:ext="edit" aspectratio="f"/>
                <v:textbox>
                  <w:txbxContent>
                    <w:p w14:paraId="1BF7BE4F">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工程优质费计</w:t>
                      </w:r>
                    </w:p>
                    <w:p w14:paraId="7647F3F8">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提与支付</w:t>
                      </w:r>
                    </w:p>
                  </w:txbxContent>
                </v:textbox>
              </v:shape>
            </w:pict>
          </mc:Fallback>
        </mc:AlternateContent>
      </w:r>
      <w:r>
        <w:rPr>
          <w:rFonts w:hAnsi="宋体"/>
          <w:b/>
          <w:color w:val="auto"/>
          <w:sz w:val="24"/>
          <w:szCs w:val="18"/>
        </w:rPr>
        <w:t xml:space="preserve">67.2  </w:t>
      </w:r>
    </w:p>
    <w:p w14:paraId="7CC1E269">
      <w:pPr>
        <w:pStyle w:val="2"/>
        <w:adjustRightInd w:val="0"/>
        <w:snapToGrid w:val="0"/>
        <w:spacing w:line="360" w:lineRule="auto"/>
        <w:ind w:left="1619" w:leftChars="771"/>
        <w:rPr>
          <w:rFonts w:hAnsi="宋体"/>
          <w:color w:val="auto"/>
          <w:sz w:val="24"/>
          <w:szCs w:val="18"/>
        </w:rPr>
      </w:pPr>
      <w:r>
        <w:rPr>
          <w:rFonts w:hint="eastAsia" w:hAnsi="宋体"/>
          <w:color w:val="auto"/>
          <w:sz w:val="24"/>
          <w:szCs w:val="18"/>
        </w:rPr>
        <w:t>除专用条款另有约定外，工程优质费按照合同价款的下列额度计算：国家级质量奖为</w:t>
      </w:r>
      <w:r>
        <w:rPr>
          <w:rFonts w:hAnsi="宋体"/>
          <w:color w:val="auto"/>
          <w:sz w:val="24"/>
          <w:szCs w:val="18"/>
        </w:rPr>
        <w:t>3%</w:t>
      </w:r>
      <w:r>
        <w:rPr>
          <w:rFonts w:hint="eastAsia" w:hAnsi="宋体"/>
          <w:color w:val="auto"/>
          <w:sz w:val="24"/>
          <w:szCs w:val="18"/>
        </w:rPr>
        <w:t>，省级质量奖为</w:t>
      </w:r>
      <w:r>
        <w:rPr>
          <w:rFonts w:hAnsi="宋体"/>
          <w:color w:val="auto"/>
          <w:sz w:val="24"/>
          <w:szCs w:val="18"/>
        </w:rPr>
        <w:t>2%</w:t>
      </w:r>
      <w:r>
        <w:rPr>
          <w:rFonts w:hint="eastAsia" w:hAnsi="宋体"/>
          <w:color w:val="auto"/>
          <w:sz w:val="24"/>
          <w:szCs w:val="18"/>
        </w:rPr>
        <w:t>，市级质量奖为</w:t>
      </w:r>
      <w:r>
        <w:rPr>
          <w:rFonts w:hAnsi="宋体"/>
          <w:color w:val="auto"/>
          <w:sz w:val="24"/>
          <w:szCs w:val="18"/>
        </w:rPr>
        <w:t>1%</w:t>
      </w:r>
      <w:r>
        <w:rPr>
          <w:rFonts w:hint="eastAsia" w:hAnsi="宋体"/>
          <w:color w:val="auto"/>
          <w:sz w:val="24"/>
          <w:szCs w:val="18"/>
        </w:rPr>
        <w:t>。</w:t>
      </w:r>
      <w:r>
        <w:rPr>
          <w:rFonts w:hint="eastAsia" w:hAnsi="宋体"/>
          <w:color w:val="auto"/>
          <w:sz w:val="24"/>
          <w:szCs w:val="24"/>
        </w:rPr>
        <w:t>当合同工程同时获得上述多个奖项的，工程优质费只按最高奖项的额度计算。</w:t>
      </w:r>
      <w:r>
        <w:rPr>
          <w:rFonts w:hint="eastAsia" w:hAnsi="宋体"/>
          <w:color w:val="auto"/>
          <w:sz w:val="24"/>
          <w:szCs w:val="18"/>
        </w:rPr>
        <w:t>工程优质费列入竣工结算文件中，与竣工结算款一并支付。在竣工结算后获得优质奖项的，发包人应在获得奖项后的</w:t>
      </w:r>
      <w:r>
        <w:rPr>
          <w:rFonts w:hAnsi="宋体"/>
          <w:color w:val="auto"/>
          <w:sz w:val="24"/>
          <w:szCs w:val="18"/>
        </w:rPr>
        <w:t>28</w:t>
      </w:r>
      <w:r>
        <w:rPr>
          <w:rFonts w:hint="eastAsia" w:hAnsi="宋体"/>
          <w:color w:val="auto"/>
          <w:sz w:val="24"/>
          <w:szCs w:val="18"/>
        </w:rPr>
        <w:t>天内支付。</w:t>
      </w:r>
    </w:p>
    <w:p w14:paraId="28D88708">
      <w:pPr>
        <w:pStyle w:val="2"/>
        <w:adjustRightInd w:val="0"/>
        <w:snapToGrid w:val="0"/>
        <w:spacing w:line="360" w:lineRule="auto"/>
        <w:rPr>
          <w:rFonts w:hAnsi="宋体"/>
          <w:b/>
          <w:color w:val="auto"/>
        </w:rPr>
      </w:pPr>
    </w:p>
    <w:p w14:paraId="470CAB14">
      <w:pPr>
        <w:pStyle w:val="2"/>
        <w:tabs>
          <w:tab w:val="left" w:pos="540"/>
        </w:tabs>
        <w:adjustRightInd w:val="0"/>
        <w:snapToGrid w:val="0"/>
        <w:spacing w:before="240" w:beforeLines="100" w:line="360" w:lineRule="auto"/>
        <w:ind w:right="-238"/>
        <w:rPr>
          <w:rFonts w:hAnsi="宋体"/>
          <w:b/>
          <w:color w:val="auto"/>
          <w:sz w:val="24"/>
          <w:szCs w:val="18"/>
        </w:rPr>
      </w:pPr>
      <w:r>
        <w:rPr>
          <w:rFonts w:hAnsi="宋体"/>
          <w:b/>
          <w:color w:val="auto"/>
          <w:sz w:val="30"/>
          <w:szCs w:val="24"/>
        </w:rPr>
        <w:t xml:space="preserve">68  </w:t>
      </w:r>
      <w:r>
        <w:rPr>
          <w:rFonts w:hint="eastAsia" w:hAnsi="宋体"/>
          <w:b/>
          <w:color w:val="auto"/>
          <w:sz w:val="30"/>
          <w:szCs w:val="24"/>
        </w:rPr>
        <w:t>合同价款的约定与调整</w:t>
      </w:r>
    </w:p>
    <w:p w14:paraId="240169EB">
      <w:pPr>
        <w:pStyle w:val="2"/>
        <w:adjustRightInd w:val="0"/>
        <w:snapToGrid w:val="0"/>
        <w:spacing w:line="360" w:lineRule="auto"/>
        <w:ind w:left="1446" w:hanging="1446" w:hangingChars="600"/>
        <w:rPr>
          <w:rFonts w:hAnsi="宋体"/>
          <w:b/>
          <w:color w:val="auto"/>
          <w:sz w:val="24"/>
          <w:szCs w:val="18"/>
        </w:rPr>
      </w:pPr>
      <w:r>
        <w:rPr>
          <w:rFonts w:hAnsi="宋体"/>
          <w:b/>
          <w:color w:val="auto"/>
          <w:sz w:val="24"/>
          <w:szCs w:val="18"/>
        </w:rPr>
        <w:t xml:space="preserve">68.1       </w:t>
      </w:r>
    </w:p>
    <w:p w14:paraId="7C224319">
      <w:pPr>
        <w:pStyle w:val="2"/>
        <w:adjustRightInd w:val="0"/>
        <w:snapToGrid w:val="0"/>
        <w:spacing w:line="360" w:lineRule="auto"/>
        <w:ind w:left="1438" w:leftChars="685" w:firstLine="24" w:firstLineChars="12"/>
        <w:rPr>
          <w:rFonts w:hAnsi="宋体"/>
          <w:color w:val="auto"/>
          <w:sz w:val="24"/>
          <w:szCs w:val="18"/>
        </w:rPr>
      </w:pPr>
      <w:r>
        <w:rPr>
          <w:color w:val="auto"/>
        </w:rPr>
        <mc:AlternateContent>
          <mc:Choice Requires="wps">
            <w:drawing>
              <wp:anchor distT="0" distB="0" distL="114300" distR="114300" simplePos="0" relativeHeight="251948032" behindDoc="0" locked="0" layoutInCell="1" allowOverlap="1">
                <wp:simplePos x="0" y="0"/>
                <wp:positionH relativeFrom="column">
                  <wp:posOffset>-133350</wp:posOffset>
                </wp:positionH>
                <wp:positionV relativeFrom="paragraph">
                  <wp:posOffset>26670</wp:posOffset>
                </wp:positionV>
                <wp:extent cx="1028700" cy="343535"/>
                <wp:effectExtent l="0" t="0" r="0" b="0"/>
                <wp:wrapNone/>
                <wp:docPr id="330" name="文本框 330"/>
                <wp:cNvGraphicFramePr/>
                <a:graphic xmlns:a="http://schemas.openxmlformats.org/drawingml/2006/main">
                  <a:graphicData uri="http://schemas.microsoft.com/office/word/2010/wordprocessingShape">
                    <wps:wsp>
                      <wps:cNvSpPr txBox="1"/>
                      <wps:spPr>
                        <a:xfrm>
                          <a:off x="0" y="0"/>
                          <a:ext cx="1028700" cy="343535"/>
                        </a:xfrm>
                        <a:prstGeom prst="rect">
                          <a:avLst/>
                        </a:prstGeom>
                        <a:noFill/>
                        <a:ln>
                          <a:noFill/>
                        </a:ln>
                        <a:effectLst/>
                      </wps:spPr>
                      <wps:txbx>
                        <w:txbxContent>
                          <w:p w14:paraId="131B719F">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约定合同价款</w:t>
                            </w:r>
                          </w:p>
                        </w:txbxContent>
                      </wps:txbx>
                      <wps:bodyPr upright="1"/>
                    </wps:wsp>
                  </a:graphicData>
                </a:graphic>
              </wp:anchor>
            </w:drawing>
          </mc:Choice>
          <mc:Fallback>
            <w:pict>
              <v:shape id="_x0000_s1026" o:spid="_x0000_s1026" o:spt="202" type="#_x0000_t202" style="position:absolute;left:0pt;margin-left:-10.5pt;margin-top:2.1pt;height:27.05pt;width:81pt;z-index:251948032;mso-width-relative:page;mso-height-relative:page;" filled="f" stroked="f" coordsize="21600,21600" o:gfxdata="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2lgRH&#10;1QAAAAgBAAAPAAAAAAAAAAEAIAAAACIAAABkcnMvZG93bnJldi54bWxQSwECFAAUAAAACACHTuJA&#10;4IZgsrIBAABgAwAADgAAAAAAAAABACAAAAAkAQAAZHJzL2Uyb0RvYy54bWxQSwUGAAAAAAYABgBZ&#10;AQAASAUAAAAA&#10;">
                <v:fill on="f" focussize="0,0"/>
                <v:stroke on="f"/>
                <v:imagedata o:title=""/>
                <o:lock v:ext="edit" aspectratio="f"/>
                <v:textbox>
                  <w:txbxContent>
                    <w:p w14:paraId="131B719F">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约定合同价款</w:t>
                      </w:r>
                    </w:p>
                  </w:txbxContent>
                </v:textbox>
              </v:shape>
            </w:pict>
          </mc:Fallback>
        </mc:AlternateContent>
      </w:r>
      <w:r>
        <w:rPr>
          <w:rFonts w:hint="eastAsia" w:hAnsi="宋体"/>
          <w:color w:val="auto"/>
          <w:sz w:val="24"/>
          <w:szCs w:val="18"/>
        </w:rPr>
        <w:t>合同双方当事人应在本合同协议书中约定合同价款。招标工程的合同价款由合同双方当事人依据中标通知书的中标价款在本合同协议书中约定。非招标工程的合同价款由合同双方当事人依据双方确定施工图预算的总造价在本合同协议书中约定。</w:t>
      </w:r>
    </w:p>
    <w:p w14:paraId="014FE9DF">
      <w:pPr>
        <w:pStyle w:val="2"/>
        <w:adjustRightInd w:val="0"/>
        <w:snapToGrid w:val="0"/>
        <w:spacing w:line="360" w:lineRule="auto"/>
        <w:rPr>
          <w:rFonts w:hAnsi="宋体"/>
          <w:b/>
          <w:color w:val="auto"/>
          <w:sz w:val="24"/>
          <w:szCs w:val="18"/>
        </w:rPr>
      </w:pPr>
      <w:r>
        <w:rPr>
          <w:rFonts w:hAnsi="宋体"/>
          <w:b/>
          <w:color w:val="auto"/>
          <w:sz w:val="24"/>
          <w:szCs w:val="18"/>
        </w:rPr>
        <w:t xml:space="preserve">68.2  </w:t>
      </w:r>
    </w:p>
    <w:p w14:paraId="5D2748D9">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1949056" behindDoc="0" locked="0" layoutInCell="1" allowOverlap="1">
                <wp:simplePos x="0" y="0"/>
                <wp:positionH relativeFrom="column">
                  <wp:posOffset>-114300</wp:posOffset>
                </wp:positionH>
                <wp:positionV relativeFrom="paragraph">
                  <wp:posOffset>5080</wp:posOffset>
                </wp:positionV>
                <wp:extent cx="914400" cy="521335"/>
                <wp:effectExtent l="0" t="0" r="0" b="0"/>
                <wp:wrapNone/>
                <wp:docPr id="331" name="文本框 331"/>
                <wp:cNvGraphicFramePr/>
                <a:graphic xmlns:a="http://schemas.openxmlformats.org/drawingml/2006/main">
                  <a:graphicData uri="http://schemas.microsoft.com/office/word/2010/wordprocessingShape">
                    <wps:wsp>
                      <wps:cNvSpPr txBox="1"/>
                      <wps:spPr>
                        <a:xfrm>
                          <a:off x="0" y="0"/>
                          <a:ext cx="914400" cy="521335"/>
                        </a:xfrm>
                        <a:prstGeom prst="rect">
                          <a:avLst/>
                        </a:prstGeom>
                        <a:noFill/>
                        <a:ln>
                          <a:noFill/>
                        </a:ln>
                        <a:effectLst/>
                      </wps:spPr>
                      <wps:txbx>
                        <w:txbxContent>
                          <w:p w14:paraId="197E10CF">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合同价款的调整事件</w:t>
                            </w:r>
                          </w:p>
                        </w:txbxContent>
                      </wps:txbx>
                      <wps:bodyPr upright="1"/>
                    </wps:wsp>
                  </a:graphicData>
                </a:graphic>
              </wp:anchor>
            </w:drawing>
          </mc:Choice>
          <mc:Fallback>
            <w:pict>
              <v:shape id="_x0000_s1026" o:spid="_x0000_s1026" o:spt="202" type="#_x0000_t202" style="position:absolute;left:0pt;margin-left:-9pt;margin-top:0.4pt;height:41.05pt;width:72pt;z-index:251949056;mso-width-relative:page;mso-height-relative:page;" filled="f" stroked="f" coordsize="21600,21600" o:gfxdata="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HO4a/vT&#10;AAAABwEAAA8AAAAAAAAAAQAgAAAAIgAAAGRycy9kb3ducmV2LnhtbFBLAQIUABQAAAAIAIdO4kCj&#10;DxjsswEAAF8DAAAOAAAAAAAAAAEAIAAAACIBAABkcnMvZTJvRG9jLnhtbFBLBQYAAAAABgAGAFkB&#10;AABHBQAAAAA=&#10;">
                <v:fill on="f" focussize="0,0"/>
                <v:stroke on="f"/>
                <v:imagedata o:title=""/>
                <o:lock v:ext="edit" aspectratio="f"/>
                <v:textbox>
                  <w:txbxContent>
                    <w:p w14:paraId="197E10CF">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合同价款的调整事件</w:t>
                      </w:r>
                    </w:p>
                  </w:txbxContent>
                </v:textbox>
              </v:shape>
            </w:pict>
          </mc:Fallback>
        </mc:AlternateContent>
      </w:r>
      <w:r>
        <w:rPr>
          <w:rFonts w:hint="eastAsia" w:hAnsi="宋体"/>
          <w:color w:val="auto"/>
          <w:sz w:val="24"/>
          <w:szCs w:val="18"/>
        </w:rPr>
        <w:t>合同双方当事人应明确合同价款的调整事件。除专用条款另有约定外，调整事件应包括：</w:t>
      </w:r>
    </w:p>
    <w:p w14:paraId="13B982F9">
      <w:pPr>
        <w:pStyle w:val="2"/>
        <w:numPr>
          <w:ilvl w:val="0"/>
          <w:numId w:val="25"/>
        </w:numPr>
        <w:adjustRightInd w:val="0"/>
        <w:snapToGrid w:val="0"/>
        <w:spacing w:line="360" w:lineRule="auto"/>
        <w:ind w:firstLine="420"/>
        <w:rPr>
          <w:rFonts w:hAnsi="宋体"/>
          <w:color w:val="auto"/>
          <w:sz w:val="24"/>
          <w:szCs w:val="18"/>
        </w:rPr>
      </w:pPr>
      <w:r>
        <w:rPr>
          <w:rFonts w:hint="eastAsia" w:hAnsi="宋体"/>
          <w:color w:val="auto"/>
          <w:sz w:val="24"/>
          <w:szCs w:val="18"/>
        </w:rPr>
        <w:t>后继法律变化事件；</w:t>
      </w:r>
    </w:p>
    <w:p w14:paraId="7FB300D4">
      <w:pPr>
        <w:pStyle w:val="2"/>
        <w:numPr>
          <w:ilvl w:val="0"/>
          <w:numId w:val="25"/>
        </w:numPr>
        <w:adjustRightInd w:val="0"/>
        <w:snapToGrid w:val="0"/>
        <w:spacing w:line="360" w:lineRule="auto"/>
        <w:ind w:firstLine="420"/>
        <w:rPr>
          <w:rFonts w:hAnsi="宋体"/>
          <w:color w:val="auto"/>
          <w:sz w:val="24"/>
          <w:szCs w:val="18"/>
        </w:rPr>
      </w:pPr>
      <w:r>
        <w:rPr>
          <w:rFonts w:hint="eastAsia" w:hAnsi="宋体"/>
          <w:color w:val="auto"/>
          <w:sz w:val="24"/>
          <w:szCs w:val="18"/>
        </w:rPr>
        <w:t>项目特征描述不符事件；</w:t>
      </w:r>
    </w:p>
    <w:p w14:paraId="06D5AC12">
      <w:pPr>
        <w:pStyle w:val="2"/>
        <w:numPr>
          <w:ilvl w:val="0"/>
          <w:numId w:val="25"/>
        </w:numPr>
        <w:adjustRightInd w:val="0"/>
        <w:snapToGrid w:val="0"/>
        <w:spacing w:line="360" w:lineRule="auto"/>
        <w:ind w:firstLine="420"/>
        <w:rPr>
          <w:rFonts w:hAnsi="宋体"/>
          <w:color w:val="auto"/>
          <w:sz w:val="24"/>
          <w:szCs w:val="18"/>
        </w:rPr>
      </w:pPr>
      <w:r>
        <w:rPr>
          <w:rFonts w:hint="eastAsia" w:hAnsi="宋体"/>
          <w:color w:val="auto"/>
          <w:sz w:val="24"/>
          <w:szCs w:val="18"/>
        </w:rPr>
        <w:t>分部分项工程量清单缺项漏项事件；</w:t>
      </w:r>
    </w:p>
    <w:p w14:paraId="4BFE6C52">
      <w:pPr>
        <w:pStyle w:val="2"/>
        <w:numPr>
          <w:ilvl w:val="0"/>
          <w:numId w:val="25"/>
        </w:numPr>
        <w:adjustRightInd w:val="0"/>
        <w:snapToGrid w:val="0"/>
        <w:spacing w:line="360" w:lineRule="auto"/>
        <w:ind w:firstLine="420"/>
        <w:rPr>
          <w:rFonts w:hAnsi="宋体"/>
          <w:color w:val="auto"/>
          <w:sz w:val="24"/>
          <w:szCs w:val="18"/>
        </w:rPr>
      </w:pPr>
      <w:r>
        <w:rPr>
          <w:rFonts w:hint="eastAsia" w:hAnsi="宋体"/>
          <w:color w:val="auto"/>
          <w:sz w:val="24"/>
          <w:szCs w:val="18"/>
        </w:rPr>
        <w:t>工程变更事件；</w:t>
      </w:r>
    </w:p>
    <w:p w14:paraId="1E8378D9">
      <w:pPr>
        <w:pStyle w:val="2"/>
        <w:numPr>
          <w:ilvl w:val="0"/>
          <w:numId w:val="25"/>
        </w:numPr>
        <w:adjustRightInd w:val="0"/>
        <w:snapToGrid w:val="0"/>
        <w:spacing w:line="360" w:lineRule="auto"/>
        <w:ind w:firstLine="420"/>
        <w:rPr>
          <w:rFonts w:hAnsi="宋体"/>
          <w:color w:val="auto"/>
          <w:sz w:val="24"/>
          <w:szCs w:val="18"/>
        </w:rPr>
      </w:pPr>
      <w:r>
        <w:rPr>
          <w:rFonts w:hint="eastAsia" w:hAnsi="宋体"/>
          <w:color w:val="auto"/>
          <w:sz w:val="24"/>
          <w:szCs w:val="18"/>
        </w:rPr>
        <w:t>工程量偏差事件；</w:t>
      </w:r>
    </w:p>
    <w:p w14:paraId="55972C06">
      <w:pPr>
        <w:pStyle w:val="2"/>
        <w:numPr>
          <w:ilvl w:val="0"/>
          <w:numId w:val="25"/>
        </w:numPr>
        <w:adjustRightInd w:val="0"/>
        <w:snapToGrid w:val="0"/>
        <w:spacing w:line="360" w:lineRule="auto"/>
        <w:ind w:firstLine="420"/>
        <w:rPr>
          <w:rFonts w:hAnsi="宋体"/>
          <w:color w:val="auto"/>
          <w:sz w:val="24"/>
          <w:szCs w:val="18"/>
        </w:rPr>
      </w:pPr>
      <w:r>
        <w:rPr>
          <w:rFonts w:hint="eastAsia" w:hAnsi="宋体"/>
          <w:color w:val="auto"/>
          <w:sz w:val="24"/>
          <w:szCs w:val="18"/>
        </w:rPr>
        <w:t>费用索赔事件；</w:t>
      </w:r>
    </w:p>
    <w:p w14:paraId="1E3A5066">
      <w:pPr>
        <w:pStyle w:val="2"/>
        <w:numPr>
          <w:ilvl w:val="0"/>
          <w:numId w:val="25"/>
        </w:numPr>
        <w:adjustRightInd w:val="0"/>
        <w:snapToGrid w:val="0"/>
        <w:spacing w:line="360" w:lineRule="auto"/>
        <w:ind w:firstLine="420"/>
        <w:rPr>
          <w:rFonts w:hAnsi="宋体"/>
          <w:color w:val="auto"/>
          <w:sz w:val="24"/>
          <w:szCs w:val="18"/>
        </w:rPr>
      </w:pPr>
      <w:r>
        <w:rPr>
          <w:rFonts w:hint="eastAsia" w:hAnsi="宋体"/>
          <w:color w:val="auto"/>
          <w:sz w:val="24"/>
          <w:szCs w:val="18"/>
        </w:rPr>
        <w:t>现场签证事件；</w:t>
      </w:r>
    </w:p>
    <w:p w14:paraId="1FE09ED5">
      <w:pPr>
        <w:pStyle w:val="2"/>
        <w:numPr>
          <w:ilvl w:val="0"/>
          <w:numId w:val="25"/>
        </w:numPr>
        <w:adjustRightInd w:val="0"/>
        <w:snapToGrid w:val="0"/>
        <w:spacing w:line="360" w:lineRule="auto"/>
        <w:ind w:firstLine="420"/>
        <w:rPr>
          <w:rFonts w:hAnsi="宋体"/>
          <w:color w:val="auto"/>
          <w:sz w:val="24"/>
          <w:szCs w:val="18"/>
        </w:rPr>
      </w:pPr>
      <w:r>
        <w:rPr>
          <w:rFonts w:hint="eastAsia" w:hAnsi="宋体"/>
          <w:color w:val="auto"/>
          <w:sz w:val="24"/>
          <w:szCs w:val="18"/>
        </w:rPr>
        <w:t>物价涨落事件；</w:t>
      </w:r>
    </w:p>
    <w:p w14:paraId="2441F685">
      <w:pPr>
        <w:pStyle w:val="2"/>
        <w:numPr>
          <w:ilvl w:val="0"/>
          <w:numId w:val="25"/>
        </w:numPr>
        <w:adjustRightInd w:val="0"/>
        <w:snapToGrid w:val="0"/>
        <w:spacing w:line="360" w:lineRule="auto"/>
        <w:ind w:firstLine="420"/>
        <w:rPr>
          <w:rFonts w:hAnsi="宋体"/>
          <w:color w:val="auto"/>
          <w:sz w:val="24"/>
          <w:szCs w:val="18"/>
        </w:rPr>
      </w:pPr>
      <w:r>
        <w:rPr>
          <w:rFonts w:hint="eastAsia" w:hAnsi="宋体"/>
          <w:color w:val="auto"/>
          <w:sz w:val="24"/>
          <w:szCs w:val="18"/>
        </w:rPr>
        <w:t>专用条款约定的其他事件。</w:t>
      </w:r>
    </w:p>
    <w:p w14:paraId="4DA2AAB5">
      <w:pPr>
        <w:pStyle w:val="2"/>
        <w:adjustRightInd w:val="0"/>
        <w:snapToGrid w:val="0"/>
        <w:spacing w:line="360" w:lineRule="auto"/>
        <w:ind w:left="1619" w:leftChars="771"/>
        <w:rPr>
          <w:rFonts w:hAnsi="宋体"/>
          <w:color w:val="auto"/>
          <w:sz w:val="24"/>
          <w:szCs w:val="18"/>
        </w:rPr>
      </w:pPr>
      <w:r>
        <w:rPr>
          <w:rFonts w:hint="eastAsia" w:hAnsi="宋体"/>
          <w:color w:val="auto"/>
          <w:sz w:val="24"/>
          <w:szCs w:val="18"/>
        </w:rPr>
        <w:t>本款</w:t>
      </w:r>
      <w:r>
        <w:rPr>
          <w:rFonts w:hAnsi="宋体"/>
          <w:color w:val="auto"/>
          <w:sz w:val="24"/>
          <w:szCs w:val="18"/>
        </w:rPr>
        <w:t>(1)</w:t>
      </w:r>
      <w:r>
        <w:rPr>
          <w:rFonts w:hint="eastAsia" w:hAnsi="宋体"/>
          <w:color w:val="auto"/>
          <w:sz w:val="24"/>
          <w:szCs w:val="18"/>
        </w:rPr>
        <w:t>至</w:t>
      </w:r>
      <w:r>
        <w:rPr>
          <w:rFonts w:hAnsi="宋体"/>
          <w:color w:val="auto"/>
          <w:sz w:val="24"/>
          <w:szCs w:val="18"/>
        </w:rPr>
        <w:t>(8)</w:t>
      </w:r>
      <w:r>
        <w:rPr>
          <w:rFonts w:hint="eastAsia" w:hAnsi="宋体"/>
          <w:color w:val="auto"/>
          <w:sz w:val="24"/>
          <w:szCs w:val="18"/>
        </w:rPr>
        <w:t>调整事件应分别按照第</w:t>
      </w:r>
      <w:r>
        <w:rPr>
          <w:rFonts w:hAnsi="宋体"/>
          <w:color w:val="auto"/>
          <w:sz w:val="24"/>
          <w:szCs w:val="18"/>
        </w:rPr>
        <w:t>69</w:t>
      </w:r>
      <w:r>
        <w:rPr>
          <w:rFonts w:hint="eastAsia" w:hAnsi="宋体"/>
          <w:color w:val="auto"/>
          <w:sz w:val="24"/>
          <w:szCs w:val="18"/>
        </w:rPr>
        <w:t>条至第</w:t>
      </w:r>
      <w:r>
        <w:rPr>
          <w:rFonts w:hAnsi="宋体"/>
          <w:color w:val="auto"/>
          <w:sz w:val="24"/>
          <w:szCs w:val="18"/>
        </w:rPr>
        <w:t>76</w:t>
      </w:r>
      <w:r>
        <w:rPr>
          <w:rFonts w:hint="eastAsia" w:hAnsi="宋体"/>
          <w:color w:val="auto"/>
          <w:sz w:val="24"/>
          <w:szCs w:val="18"/>
        </w:rPr>
        <w:t>条的规定调整合同价款。</w:t>
      </w:r>
    </w:p>
    <w:p w14:paraId="27B7E307">
      <w:pPr>
        <w:pStyle w:val="2"/>
        <w:adjustRightInd w:val="0"/>
        <w:snapToGrid w:val="0"/>
        <w:spacing w:line="360" w:lineRule="auto"/>
        <w:rPr>
          <w:rFonts w:hAnsi="宋体"/>
          <w:b/>
          <w:color w:val="auto"/>
          <w:sz w:val="24"/>
          <w:szCs w:val="18"/>
        </w:rPr>
      </w:pPr>
      <w:r>
        <w:rPr>
          <w:rFonts w:hAnsi="宋体"/>
          <w:b/>
          <w:color w:val="auto"/>
          <w:sz w:val="24"/>
          <w:szCs w:val="18"/>
        </w:rPr>
        <w:t xml:space="preserve">68.3  </w:t>
      </w:r>
    </w:p>
    <w:p w14:paraId="30EF79CA">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1950080" behindDoc="0" locked="0" layoutInCell="1" allowOverlap="1">
                <wp:simplePos x="0" y="0"/>
                <wp:positionH relativeFrom="column">
                  <wp:posOffset>-114300</wp:posOffset>
                </wp:positionH>
                <wp:positionV relativeFrom="paragraph">
                  <wp:posOffset>5080</wp:posOffset>
                </wp:positionV>
                <wp:extent cx="914400" cy="521335"/>
                <wp:effectExtent l="0" t="0" r="0" b="0"/>
                <wp:wrapNone/>
                <wp:docPr id="332" name="文本框 332"/>
                <wp:cNvGraphicFramePr/>
                <a:graphic xmlns:a="http://schemas.openxmlformats.org/drawingml/2006/main">
                  <a:graphicData uri="http://schemas.microsoft.com/office/word/2010/wordprocessingShape">
                    <wps:wsp>
                      <wps:cNvSpPr txBox="1"/>
                      <wps:spPr>
                        <a:xfrm>
                          <a:off x="0" y="0"/>
                          <a:ext cx="914400" cy="521335"/>
                        </a:xfrm>
                        <a:prstGeom prst="rect">
                          <a:avLst/>
                        </a:prstGeom>
                        <a:noFill/>
                        <a:ln>
                          <a:noFill/>
                        </a:ln>
                        <a:effectLst/>
                      </wps:spPr>
                      <wps:txbx>
                        <w:txbxContent>
                          <w:p w14:paraId="20C091FC">
                            <w:pPr>
                              <w:pStyle w:val="5"/>
                              <w:spacing w:line="200" w:lineRule="exact"/>
                              <w:rPr>
                                <w:rFonts w:ascii="宋体"/>
                                <w:sz w:val="18"/>
                                <w:szCs w:val="18"/>
                              </w:rPr>
                            </w:pPr>
                            <w:r>
                              <w:rPr>
                                <w:rFonts w:hint="eastAsia" w:ascii="楷体_GB2312" w:hAnsi="宋体" w:eastAsia="楷体_GB2312"/>
                                <w:b/>
                                <w:color w:val="000000"/>
                                <w:sz w:val="18"/>
                                <w:szCs w:val="18"/>
                              </w:rPr>
                              <w:t>调整合同价款</w:t>
                            </w:r>
                          </w:p>
                        </w:txbxContent>
                      </wps:txbx>
                      <wps:bodyPr upright="1"/>
                    </wps:wsp>
                  </a:graphicData>
                </a:graphic>
              </wp:anchor>
            </w:drawing>
          </mc:Choice>
          <mc:Fallback>
            <w:pict>
              <v:shape id="_x0000_s1026" o:spid="_x0000_s1026" o:spt="202" type="#_x0000_t202" style="position:absolute;left:0pt;margin-left:-9pt;margin-top:0.4pt;height:41.05pt;width:72pt;z-index:251950080;mso-width-relative:page;mso-height-relative:page;" filled="f" stroked="f" coordsize="21600,21600" o:gfxdata="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HO4a/vT&#10;AAAABwEAAA8AAAAAAAAAAQAgAAAAIgAAAGRycy9kb3ducmV2LnhtbFBLAQIUABQAAAAIAIdO4kBD&#10;ATTIswEAAF8DAAAOAAAAAAAAAAEAIAAAACIBAABkcnMvZTJvRG9jLnhtbFBLBQYAAAAABgAGAFkB&#10;AABHBQAAAAA=&#10;">
                <v:fill on="f" focussize="0,0"/>
                <v:stroke on="f"/>
                <v:imagedata o:title=""/>
                <o:lock v:ext="edit" aspectratio="f"/>
                <v:textbox>
                  <w:txbxContent>
                    <w:p w14:paraId="20C091FC">
                      <w:pPr>
                        <w:pStyle w:val="5"/>
                        <w:spacing w:line="200" w:lineRule="exact"/>
                        <w:rPr>
                          <w:rFonts w:ascii="宋体"/>
                          <w:sz w:val="18"/>
                          <w:szCs w:val="18"/>
                        </w:rPr>
                      </w:pPr>
                      <w:r>
                        <w:rPr>
                          <w:rFonts w:hint="eastAsia" w:ascii="楷体_GB2312" w:hAnsi="宋体" w:eastAsia="楷体_GB2312"/>
                          <w:b/>
                          <w:color w:val="000000"/>
                          <w:sz w:val="18"/>
                          <w:szCs w:val="18"/>
                        </w:rPr>
                        <w:t>调整合同价款</w:t>
                      </w:r>
                    </w:p>
                  </w:txbxContent>
                </v:textbox>
              </v:shape>
            </w:pict>
          </mc:Fallback>
        </mc:AlternateContent>
      </w:r>
      <w:r>
        <w:rPr>
          <w:rFonts w:hint="eastAsia" w:hAnsi="宋体"/>
          <w:color w:val="auto"/>
          <w:sz w:val="24"/>
          <w:szCs w:val="18"/>
        </w:rPr>
        <w:t>出现第</w:t>
      </w:r>
      <w:r>
        <w:rPr>
          <w:rFonts w:hAnsi="宋体"/>
          <w:color w:val="auto"/>
          <w:sz w:val="24"/>
          <w:szCs w:val="18"/>
        </w:rPr>
        <w:t>68.2</w:t>
      </w:r>
      <w:r>
        <w:rPr>
          <w:rFonts w:hint="eastAsia" w:hAnsi="宋体"/>
          <w:color w:val="auto"/>
          <w:sz w:val="24"/>
          <w:szCs w:val="18"/>
        </w:rPr>
        <w:t>款规定调整合同价款事件的，合同双方当事人应调整合同价款。除费用索赔、现场签证事件分别按照第</w:t>
      </w:r>
      <w:r>
        <w:rPr>
          <w:rFonts w:hAnsi="宋体"/>
          <w:color w:val="auto"/>
          <w:sz w:val="24"/>
          <w:szCs w:val="18"/>
        </w:rPr>
        <w:t>74</w:t>
      </w:r>
      <w:r>
        <w:rPr>
          <w:rFonts w:hint="eastAsia" w:hAnsi="宋体"/>
          <w:color w:val="auto"/>
          <w:sz w:val="24"/>
          <w:szCs w:val="18"/>
        </w:rPr>
        <w:t>条、第</w:t>
      </w:r>
      <w:r>
        <w:rPr>
          <w:rFonts w:hAnsi="宋体"/>
          <w:color w:val="auto"/>
          <w:sz w:val="24"/>
          <w:szCs w:val="18"/>
        </w:rPr>
        <w:t>75</w:t>
      </w:r>
      <w:r>
        <w:rPr>
          <w:rFonts w:hint="eastAsia" w:hAnsi="宋体"/>
          <w:color w:val="auto"/>
          <w:sz w:val="24"/>
          <w:szCs w:val="18"/>
        </w:rPr>
        <w:t>条规定外，调整合同价款的提出、核实、确认与支付等事项，由合同双方当事人按照第</w:t>
      </w:r>
      <w:r>
        <w:rPr>
          <w:rFonts w:hAnsi="宋体"/>
          <w:color w:val="auto"/>
          <w:sz w:val="24"/>
          <w:szCs w:val="18"/>
        </w:rPr>
        <w:t>77</w:t>
      </w:r>
      <w:r>
        <w:rPr>
          <w:rFonts w:hint="eastAsia" w:hAnsi="宋体"/>
          <w:color w:val="auto"/>
          <w:sz w:val="24"/>
          <w:szCs w:val="18"/>
        </w:rPr>
        <w:t>条规定办理。</w:t>
      </w:r>
    </w:p>
    <w:p w14:paraId="7E7D61CF">
      <w:pPr>
        <w:pStyle w:val="2"/>
        <w:adjustRightInd w:val="0"/>
        <w:snapToGrid w:val="0"/>
        <w:spacing w:line="360" w:lineRule="auto"/>
        <w:ind w:left="1619" w:leftChars="771"/>
        <w:rPr>
          <w:rFonts w:hAnsi="宋体"/>
          <w:b/>
          <w:color w:val="auto"/>
          <w:sz w:val="24"/>
          <w:szCs w:val="18"/>
          <w:u w:val="single"/>
        </w:rPr>
      </w:pPr>
      <w:r>
        <w:rPr>
          <w:rFonts w:hint="eastAsia" w:hAnsi="宋体"/>
          <w:color w:val="auto"/>
          <w:sz w:val="24"/>
          <w:szCs w:val="18"/>
        </w:rPr>
        <w:t>根据第</w:t>
      </w:r>
      <w:r>
        <w:rPr>
          <w:rFonts w:hAnsi="宋体"/>
          <w:color w:val="auto"/>
          <w:sz w:val="24"/>
          <w:szCs w:val="18"/>
        </w:rPr>
        <w:t>68.2</w:t>
      </w:r>
      <w:r>
        <w:rPr>
          <w:rFonts w:hint="eastAsia" w:hAnsi="宋体"/>
          <w:color w:val="auto"/>
          <w:sz w:val="24"/>
          <w:szCs w:val="18"/>
        </w:rPr>
        <w:t>款规定事件调整合同价款，如果是按照第</w:t>
      </w:r>
      <w:r>
        <w:rPr>
          <w:rFonts w:hAnsi="宋体"/>
          <w:color w:val="auto"/>
          <w:sz w:val="24"/>
          <w:szCs w:val="18"/>
        </w:rPr>
        <w:t>48</w:t>
      </w:r>
      <w:r>
        <w:rPr>
          <w:rFonts w:hint="eastAsia" w:hAnsi="宋体"/>
          <w:color w:val="auto"/>
          <w:sz w:val="24"/>
          <w:szCs w:val="18"/>
        </w:rPr>
        <w:t>条规定由发包人自行供应或发包人招标、承包人采购材料和工程设备的，均不应考虑第</w:t>
      </w:r>
      <w:r>
        <w:rPr>
          <w:rFonts w:hAnsi="宋体"/>
          <w:color w:val="auto"/>
          <w:sz w:val="24"/>
          <w:szCs w:val="18"/>
        </w:rPr>
        <w:t>72.2</w:t>
      </w:r>
      <w:r>
        <w:rPr>
          <w:rFonts w:hint="eastAsia" w:hAnsi="宋体"/>
          <w:color w:val="auto"/>
          <w:sz w:val="24"/>
          <w:szCs w:val="18"/>
        </w:rPr>
        <w:t>款规定的承包人报价下浮率因素。</w:t>
      </w:r>
    </w:p>
    <w:p w14:paraId="3335E206">
      <w:pPr>
        <w:spacing w:line="360" w:lineRule="auto"/>
        <w:rPr>
          <w:rFonts w:ascii="宋体"/>
          <w:b/>
          <w:color w:val="auto"/>
          <w:sz w:val="30"/>
        </w:rPr>
      </w:pPr>
    </w:p>
    <w:p w14:paraId="26B71BA3">
      <w:pPr>
        <w:spacing w:line="360" w:lineRule="auto"/>
        <w:rPr>
          <w:rFonts w:ascii="宋体"/>
          <w:b/>
          <w:color w:val="auto"/>
        </w:rPr>
      </w:pPr>
      <w:r>
        <w:rPr>
          <w:rFonts w:ascii="宋体" w:hAnsi="宋体"/>
          <w:b/>
          <w:color w:val="auto"/>
          <w:sz w:val="30"/>
        </w:rPr>
        <w:t xml:space="preserve">69  </w:t>
      </w:r>
      <w:r>
        <w:rPr>
          <w:rFonts w:hint="eastAsia" w:ascii="宋体" w:hAnsi="宋体"/>
          <w:b/>
          <w:color w:val="auto"/>
          <w:sz w:val="30"/>
        </w:rPr>
        <w:t>后继法律变化事件</w:t>
      </w:r>
    </w:p>
    <w:p w14:paraId="1FF252CC">
      <w:pPr>
        <w:pStyle w:val="2"/>
        <w:adjustRightInd w:val="0"/>
        <w:snapToGrid w:val="0"/>
        <w:spacing w:line="360" w:lineRule="auto"/>
        <w:rPr>
          <w:rFonts w:hAnsi="宋体"/>
          <w:b/>
          <w:bCs/>
          <w:color w:val="auto"/>
          <w:sz w:val="18"/>
          <w:szCs w:val="18"/>
        </w:rPr>
      </w:pPr>
      <w:r>
        <w:rPr>
          <w:color w:val="auto"/>
        </w:rPr>
        <mc:AlternateContent>
          <mc:Choice Requires="wps">
            <w:drawing>
              <wp:anchor distT="0" distB="0" distL="114300" distR="114300" simplePos="0" relativeHeight="251951104" behindDoc="0" locked="0" layoutInCell="1" allowOverlap="1">
                <wp:simplePos x="0" y="0"/>
                <wp:positionH relativeFrom="column">
                  <wp:posOffset>-133350</wp:posOffset>
                </wp:positionH>
                <wp:positionV relativeFrom="paragraph">
                  <wp:posOffset>273685</wp:posOffset>
                </wp:positionV>
                <wp:extent cx="914400" cy="619125"/>
                <wp:effectExtent l="0" t="0" r="0" b="0"/>
                <wp:wrapNone/>
                <wp:docPr id="333" name="文本框 333"/>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a:effectLst/>
                      </wps:spPr>
                      <wps:txbx>
                        <w:txbxContent>
                          <w:p w14:paraId="440BECA2">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后继法律变化的价款调整</w:t>
                            </w:r>
                          </w:p>
                        </w:txbxContent>
                      </wps:txbx>
                      <wps:bodyPr upright="1"/>
                    </wps:wsp>
                  </a:graphicData>
                </a:graphic>
              </wp:anchor>
            </w:drawing>
          </mc:Choice>
          <mc:Fallback>
            <w:pict>
              <v:shape id="_x0000_s1026" o:spid="_x0000_s1026" o:spt="202" type="#_x0000_t202" style="position:absolute;left:0pt;margin-left:-10.5pt;margin-top:21.55pt;height:48.75pt;width:72pt;z-index:251951104;mso-width-relative:page;mso-height-relative:page;" filled="f" stroked="f" coordsize="21600,21600" o:gfxdata="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f&#10;dgAc1wAAAAoBAAAPAAAAAAAAAAEAIAAAACIAAABkcnMvZG93bnJldi54bWxQSwECFAAUAAAACACH&#10;TuJATaCOpbMBAABfAwAADgAAAAAAAAABACAAAAAmAQAAZHJzL2Uyb0RvYy54bWxQSwUGAAAAAAYA&#10;BgBZAQAASwUAAAAA&#10;">
                <v:fill on="f" focussize="0,0"/>
                <v:stroke on="f"/>
                <v:imagedata o:title=""/>
                <o:lock v:ext="edit" aspectratio="f"/>
                <v:textbox>
                  <w:txbxContent>
                    <w:p w14:paraId="440BECA2">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后继法律变化的价款调整</w:t>
                      </w:r>
                    </w:p>
                  </w:txbxContent>
                </v:textbox>
              </v:shape>
            </w:pict>
          </mc:Fallback>
        </mc:AlternateContent>
      </w:r>
      <w:r>
        <w:rPr>
          <w:rFonts w:hAnsi="宋体"/>
          <w:b/>
          <w:color w:val="auto"/>
          <w:sz w:val="24"/>
          <w:szCs w:val="18"/>
        </w:rPr>
        <w:t>69.1</w:t>
      </w:r>
    </w:p>
    <w:p w14:paraId="52E8B4E6">
      <w:pPr>
        <w:pStyle w:val="2"/>
        <w:adjustRightInd w:val="0"/>
        <w:snapToGrid w:val="0"/>
        <w:spacing w:line="360" w:lineRule="auto"/>
        <w:ind w:left="1619" w:leftChars="771"/>
        <w:rPr>
          <w:rFonts w:hAnsi="宋体"/>
          <w:color w:val="auto"/>
          <w:sz w:val="24"/>
          <w:szCs w:val="18"/>
        </w:rPr>
      </w:pPr>
      <w:r>
        <w:rPr>
          <w:rFonts w:hint="eastAsia" w:hAnsi="宋体"/>
          <w:color w:val="auto"/>
          <w:sz w:val="24"/>
          <w:szCs w:val="18"/>
        </w:rPr>
        <w:t>合同履行期间，出现国家或省颁布的法律和政策在合同工程基准日期后发生变化，且因执行上述法律和政策引起除第</w:t>
      </w:r>
      <w:r>
        <w:rPr>
          <w:rFonts w:hAnsi="宋体"/>
          <w:color w:val="auto"/>
          <w:sz w:val="24"/>
          <w:szCs w:val="18"/>
        </w:rPr>
        <w:t>76</w:t>
      </w:r>
      <w:r>
        <w:rPr>
          <w:rFonts w:hint="eastAsia" w:hAnsi="宋体"/>
          <w:color w:val="auto"/>
          <w:sz w:val="24"/>
          <w:szCs w:val="18"/>
        </w:rPr>
        <w:t>条规定以外的工程造价增减事件的，合同双方当事人应调整合同价款。</w:t>
      </w:r>
    </w:p>
    <w:p w14:paraId="571E7742">
      <w:pPr>
        <w:pStyle w:val="2"/>
        <w:tabs>
          <w:tab w:val="left" w:pos="540"/>
        </w:tabs>
        <w:adjustRightInd w:val="0"/>
        <w:snapToGrid w:val="0"/>
        <w:spacing w:line="360" w:lineRule="auto"/>
        <w:rPr>
          <w:rFonts w:hAnsi="宋体"/>
          <w:b/>
          <w:color w:val="auto"/>
          <w:sz w:val="24"/>
          <w:szCs w:val="18"/>
          <w:u w:val="dotted"/>
        </w:rPr>
      </w:pPr>
      <w:r>
        <w:rPr>
          <w:rFonts w:hAnsi="宋体"/>
          <w:b/>
          <w:color w:val="auto"/>
          <w:sz w:val="24"/>
          <w:szCs w:val="18"/>
        </w:rPr>
        <w:t xml:space="preserve">69.2  </w:t>
      </w:r>
    </w:p>
    <w:p w14:paraId="786576DB">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1952128" behindDoc="0" locked="0" layoutInCell="1" allowOverlap="1">
                <wp:simplePos x="0" y="0"/>
                <wp:positionH relativeFrom="column">
                  <wp:posOffset>-114300</wp:posOffset>
                </wp:positionH>
                <wp:positionV relativeFrom="paragraph">
                  <wp:posOffset>15875</wp:posOffset>
                </wp:positionV>
                <wp:extent cx="914400" cy="619125"/>
                <wp:effectExtent l="0" t="0" r="0" b="0"/>
                <wp:wrapNone/>
                <wp:docPr id="334" name="文本框 334"/>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a:effectLst/>
                      </wps:spPr>
                      <wps:txbx>
                        <w:txbxContent>
                          <w:p w14:paraId="6CC4F1B9">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调整价款的方法</w:t>
                            </w:r>
                          </w:p>
                        </w:txbxContent>
                      </wps:txbx>
                      <wps:bodyPr upright="1"/>
                    </wps:wsp>
                  </a:graphicData>
                </a:graphic>
              </wp:anchor>
            </w:drawing>
          </mc:Choice>
          <mc:Fallback>
            <w:pict>
              <v:shape id="_x0000_s1026" o:spid="_x0000_s1026" o:spt="202" type="#_x0000_t202" style="position:absolute;left:0pt;margin-left:-9pt;margin-top:1.25pt;height:48.75pt;width:72pt;z-index:251952128;mso-width-relative:page;mso-height-relative:page;" filled="f" stroked="f" coordsize="21600,21600" o:gfxdata="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08gM&#10;B9UAAAAJAQAADwAAAAAAAAABACAAAAAiAAAAZHJzL2Rvd25yZXYueG1sUEsBAhQAFAAAAAgAh07i&#10;QBK6HUezAQAAXwMAAA4AAAAAAAAAAQAgAAAAJAEAAGRycy9lMm9Eb2MueG1sUEsFBgAAAAAGAAYA&#10;WQEAAEkFAAAAAA==&#10;">
                <v:fill on="f" focussize="0,0"/>
                <v:stroke on="f"/>
                <v:imagedata o:title=""/>
                <o:lock v:ext="edit" aspectratio="f"/>
                <v:textbox>
                  <w:txbxContent>
                    <w:p w14:paraId="6CC4F1B9">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调整价款的方法</w:t>
                      </w:r>
                    </w:p>
                  </w:txbxContent>
                </v:textbox>
              </v:shape>
            </w:pict>
          </mc:Fallback>
        </mc:AlternateContent>
      </w:r>
      <w:r>
        <w:rPr>
          <w:rFonts w:hint="eastAsia" w:hAnsi="宋体"/>
          <w:color w:val="auto"/>
          <w:sz w:val="24"/>
          <w:szCs w:val="18"/>
        </w:rPr>
        <w:t>发生第</w:t>
      </w:r>
      <w:r>
        <w:rPr>
          <w:rFonts w:hAnsi="宋体"/>
          <w:color w:val="auto"/>
          <w:sz w:val="24"/>
          <w:szCs w:val="18"/>
        </w:rPr>
        <w:t>69.1</w:t>
      </w:r>
      <w:r>
        <w:rPr>
          <w:rFonts w:hint="eastAsia" w:hAnsi="宋体"/>
          <w:color w:val="auto"/>
          <w:sz w:val="24"/>
          <w:szCs w:val="18"/>
        </w:rPr>
        <w:t>款情况的，应根据合同工程实际情况，按照上述法律和政策规定计算调整的合同价款。</w:t>
      </w:r>
    </w:p>
    <w:p w14:paraId="3DE9FE9B">
      <w:pPr>
        <w:tabs>
          <w:tab w:val="left" w:pos="1620"/>
        </w:tabs>
        <w:spacing w:line="360" w:lineRule="auto"/>
        <w:rPr>
          <w:rFonts w:ascii="宋体"/>
          <w:b/>
          <w:color w:val="auto"/>
          <w:sz w:val="30"/>
        </w:rPr>
      </w:pPr>
    </w:p>
    <w:p w14:paraId="11EC8ED8">
      <w:pPr>
        <w:spacing w:line="360" w:lineRule="auto"/>
        <w:rPr>
          <w:rFonts w:ascii="宋体"/>
          <w:b/>
          <w:bCs/>
          <w:color w:val="auto"/>
          <w:sz w:val="18"/>
          <w:szCs w:val="18"/>
        </w:rPr>
      </w:pPr>
      <w:r>
        <w:rPr>
          <w:rFonts w:ascii="宋体" w:hAnsi="宋体"/>
          <w:b/>
          <w:color w:val="auto"/>
          <w:sz w:val="30"/>
        </w:rPr>
        <w:t xml:space="preserve">70  </w:t>
      </w:r>
      <w:r>
        <w:rPr>
          <w:rFonts w:hint="eastAsia" w:ascii="宋体" w:hAnsi="宋体"/>
          <w:b/>
          <w:color w:val="auto"/>
          <w:sz w:val="30"/>
        </w:rPr>
        <w:t>项目特征描述不符事件</w:t>
      </w:r>
    </w:p>
    <w:p w14:paraId="140F0570">
      <w:pPr>
        <w:pStyle w:val="2"/>
        <w:adjustRightInd w:val="0"/>
        <w:snapToGrid w:val="0"/>
        <w:spacing w:line="360" w:lineRule="auto"/>
        <w:rPr>
          <w:rFonts w:hAnsi="宋体"/>
          <w:b/>
          <w:bCs/>
          <w:color w:val="auto"/>
          <w:sz w:val="18"/>
          <w:szCs w:val="18"/>
        </w:rPr>
      </w:pPr>
      <w:r>
        <w:rPr>
          <w:rFonts w:hAnsi="宋体"/>
          <w:b/>
          <w:color w:val="auto"/>
          <w:sz w:val="24"/>
          <w:szCs w:val="18"/>
        </w:rPr>
        <w:t>70.1</w:t>
      </w:r>
    </w:p>
    <w:p w14:paraId="161C42B7">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1953152" behindDoc="0" locked="0" layoutInCell="1" allowOverlap="1">
                <wp:simplePos x="0" y="0"/>
                <wp:positionH relativeFrom="column">
                  <wp:posOffset>-114300</wp:posOffset>
                </wp:positionH>
                <wp:positionV relativeFrom="paragraph">
                  <wp:posOffset>34290</wp:posOffset>
                </wp:positionV>
                <wp:extent cx="914400" cy="619125"/>
                <wp:effectExtent l="0" t="0" r="0" b="0"/>
                <wp:wrapNone/>
                <wp:docPr id="335" name="文本框 335"/>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a:effectLst/>
                      </wps:spPr>
                      <wps:txbx>
                        <w:txbxContent>
                          <w:p w14:paraId="57053DEF">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项目特征的准确性</w:t>
                            </w:r>
                          </w:p>
                        </w:txbxContent>
                      </wps:txbx>
                      <wps:bodyPr upright="1"/>
                    </wps:wsp>
                  </a:graphicData>
                </a:graphic>
              </wp:anchor>
            </w:drawing>
          </mc:Choice>
          <mc:Fallback>
            <w:pict>
              <v:shape id="_x0000_s1026" o:spid="_x0000_s1026" o:spt="202" type="#_x0000_t202" style="position:absolute;left:0pt;margin-left:-9pt;margin-top:2.7pt;height:48.75pt;width:72pt;z-index:251953152;mso-width-relative:page;mso-height-relative:page;" filled="f" stroked="f" coordsize="21600,21600" o:gfxdata="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x&#10;ySmF1gAAAAkBAAAPAAAAAAAAAAEAIAAAACIAAABkcnMvZG93bnJldi54bWxQSwECFAAUAAAACACH&#10;TuJAjb3W7bQBAABfAwAADgAAAAAAAAABACAAAAAlAQAAZHJzL2Uyb0RvYy54bWxQSwUGAAAAAAYA&#10;BgBZAQAASwUAAAAA&#10;">
                <v:fill on="f" focussize="0,0"/>
                <v:stroke on="f"/>
                <v:imagedata o:title=""/>
                <o:lock v:ext="edit" aspectratio="f"/>
                <v:textbox>
                  <w:txbxContent>
                    <w:p w14:paraId="57053DEF">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项目特征的准确性</w:t>
                      </w:r>
                    </w:p>
                  </w:txbxContent>
                </v:textbox>
              </v:shape>
            </w:pict>
          </mc:Fallback>
        </mc:AlternateContent>
      </w:r>
      <w:r>
        <w:rPr>
          <w:rFonts w:hint="eastAsia" w:hAnsi="宋体"/>
          <w:color w:val="auto"/>
          <w:sz w:val="24"/>
          <w:szCs w:val="18"/>
        </w:rPr>
        <w:t>发包人在工程量清单中对项目特征的描述，应被认为是准确的和全面的，并且与实际施工要求相符合。承包人应按照发包人提供的工程量清单，根据其项目特征描述的内容及有关要求实施合同工程，直到其被改变为止。</w:t>
      </w:r>
    </w:p>
    <w:p w14:paraId="257F3AEB">
      <w:pPr>
        <w:pStyle w:val="2"/>
        <w:adjustRightInd w:val="0"/>
        <w:snapToGrid w:val="0"/>
        <w:spacing w:line="360" w:lineRule="auto"/>
        <w:rPr>
          <w:rFonts w:hAnsi="宋体"/>
          <w:b/>
          <w:color w:val="auto"/>
          <w:sz w:val="24"/>
          <w:szCs w:val="18"/>
        </w:rPr>
      </w:pPr>
      <w:r>
        <w:rPr>
          <w:rFonts w:hAnsi="宋体"/>
          <w:b/>
          <w:color w:val="auto"/>
          <w:sz w:val="24"/>
          <w:szCs w:val="18"/>
        </w:rPr>
        <w:t xml:space="preserve">70.2  </w:t>
      </w:r>
    </w:p>
    <w:p w14:paraId="2BD81C9E">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1954176" behindDoc="0" locked="0" layoutInCell="1" allowOverlap="1">
                <wp:simplePos x="0" y="0"/>
                <wp:positionH relativeFrom="column">
                  <wp:posOffset>-114300</wp:posOffset>
                </wp:positionH>
                <wp:positionV relativeFrom="paragraph">
                  <wp:posOffset>5715</wp:posOffset>
                </wp:positionV>
                <wp:extent cx="914400" cy="619125"/>
                <wp:effectExtent l="0" t="0" r="0" b="0"/>
                <wp:wrapNone/>
                <wp:docPr id="336" name="文本框 336"/>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a:effectLst/>
                      </wps:spPr>
                      <wps:txbx>
                        <w:txbxContent>
                          <w:p w14:paraId="09AD6E53">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项目特征描述不符的价款调整</w:t>
                            </w:r>
                          </w:p>
                          <w:p w14:paraId="41E2076E">
                            <w:pPr>
                              <w:pStyle w:val="13"/>
                              <w:spacing w:line="200" w:lineRule="exact"/>
                              <w:rPr>
                                <w:sz w:val="18"/>
                                <w:szCs w:val="18"/>
                              </w:rPr>
                            </w:pPr>
                          </w:p>
                        </w:txbxContent>
                      </wps:txbx>
                      <wps:bodyPr upright="1"/>
                    </wps:wsp>
                  </a:graphicData>
                </a:graphic>
              </wp:anchor>
            </w:drawing>
          </mc:Choice>
          <mc:Fallback>
            <w:pict>
              <v:shape id="_x0000_s1026" o:spid="_x0000_s1026" o:spt="202" type="#_x0000_t202" style="position:absolute;left:0pt;margin-left:-9pt;margin-top:0.45pt;height:48.75pt;width:72pt;z-index:251954176;mso-width-relative:page;mso-height-relative:page;" filled="f" stroked="f" coordsize="21600,21600" o:gfxdata="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53/+R&#10;1AAAAAcBAAAPAAAAAAAAAAEAIAAAACIAAABkcnMvZG93bnJldi54bWxQSwECFAAUAAAACACHTuJA&#10;bbP6ybMBAABfAwAADgAAAAAAAAABACAAAAAjAQAAZHJzL2Uyb0RvYy54bWxQSwUGAAAAAAYABgBZ&#10;AQAASAUAAAAA&#10;">
                <v:fill on="f" focussize="0,0"/>
                <v:stroke on="f"/>
                <v:imagedata o:title=""/>
                <o:lock v:ext="edit" aspectratio="f"/>
                <v:textbox>
                  <w:txbxContent>
                    <w:p w14:paraId="09AD6E53">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项目特征描述不符的价款调整</w:t>
                      </w:r>
                    </w:p>
                    <w:p w14:paraId="41E2076E">
                      <w:pPr>
                        <w:pStyle w:val="13"/>
                        <w:spacing w:line="200" w:lineRule="exact"/>
                        <w:rPr>
                          <w:sz w:val="18"/>
                          <w:szCs w:val="18"/>
                        </w:rPr>
                      </w:pPr>
                    </w:p>
                  </w:txbxContent>
                </v:textbox>
              </v:shape>
            </w:pict>
          </mc:Fallback>
        </mc:AlternateContent>
      </w:r>
      <w:r>
        <w:rPr>
          <w:rFonts w:hint="eastAsia" w:hAnsi="宋体"/>
          <w:color w:val="auto"/>
          <w:sz w:val="24"/>
          <w:szCs w:val="18"/>
        </w:rPr>
        <w:t>合同履行期间，出现实际施工设计图纸（含设计变更）与招标文件提供的工程量清单任一项目特征描述不符，且该变化引起工程造价增减事件的，合同双方当事人应调整合同价款。</w:t>
      </w:r>
    </w:p>
    <w:p w14:paraId="74422100">
      <w:pPr>
        <w:pStyle w:val="2"/>
        <w:adjustRightInd w:val="0"/>
        <w:snapToGrid w:val="0"/>
        <w:spacing w:line="360" w:lineRule="auto"/>
        <w:rPr>
          <w:rFonts w:hAnsi="宋体"/>
          <w:b/>
          <w:color w:val="auto"/>
          <w:sz w:val="24"/>
          <w:szCs w:val="18"/>
        </w:rPr>
      </w:pPr>
      <w:r>
        <w:rPr>
          <w:rFonts w:hAnsi="宋体"/>
          <w:b/>
          <w:color w:val="auto"/>
          <w:sz w:val="24"/>
          <w:szCs w:val="18"/>
        </w:rPr>
        <w:t xml:space="preserve">70.3 </w:t>
      </w:r>
    </w:p>
    <w:p w14:paraId="12908E63">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1955200" behindDoc="0" locked="0" layoutInCell="1" allowOverlap="1">
                <wp:simplePos x="0" y="0"/>
                <wp:positionH relativeFrom="column">
                  <wp:posOffset>-114300</wp:posOffset>
                </wp:positionH>
                <wp:positionV relativeFrom="paragraph">
                  <wp:posOffset>5715</wp:posOffset>
                </wp:positionV>
                <wp:extent cx="914400" cy="619125"/>
                <wp:effectExtent l="0" t="0" r="0" b="0"/>
                <wp:wrapNone/>
                <wp:docPr id="337" name="文本框 337"/>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a:effectLst/>
                      </wps:spPr>
                      <wps:txbx>
                        <w:txbxContent>
                          <w:p w14:paraId="17E52066">
                            <w:pPr>
                              <w:pStyle w:val="5"/>
                              <w:spacing w:line="200" w:lineRule="exact"/>
                              <w:rPr>
                                <w:rFonts w:ascii="宋体"/>
                                <w:color w:val="FF0000"/>
                                <w:sz w:val="24"/>
                                <w:szCs w:val="18"/>
                              </w:rPr>
                            </w:pPr>
                            <w:r>
                              <w:rPr>
                                <w:rFonts w:hint="eastAsia" w:ascii="楷体_GB2312" w:hAnsi="宋体" w:eastAsia="楷体_GB2312"/>
                                <w:b/>
                                <w:color w:val="000000"/>
                                <w:sz w:val="18"/>
                                <w:szCs w:val="18"/>
                              </w:rPr>
                              <w:t>调整价款的方法</w:t>
                            </w:r>
                          </w:p>
                          <w:p w14:paraId="782F3128">
                            <w:pPr>
                              <w:pStyle w:val="13"/>
                              <w:spacing w:line="200" w:lineRule="exact"/>
                              <w:rPr>
                                <w:sz w:val="18"/>
                                <w:szCs w:val="18"/>
                              </w:rPr>
                            </w:pPr>
                          </w:p>
                        </w:txbxContent>
                      </wps:txbx>
                      <wps:bodyPr upright="1"/>
                    </wps:wsp>
                  </a:graphicData>
                </a:graphic>
              </wp:anchor>
            </w:drawing>
          </mc:Choice>
          <mc:Fallback>
            <w:pict>
              <v:shape id="_x0000_s1026" o:spid="_x0000_s1026" o:spt="202" type="#_x0000_t202" style="position:absolute;left:0pt;margin-left:-9pt;margin-top:0.45pt;height:48.75pt;width:72pt;z-index:251955200;mso-width-relative:page;mso-height-relative:page;" filled="f" stroked="f" coordsize="21600,21600" o:gfxdata="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53/+R&#10;1AAAAAcBAAAPAAAAAAAAAAEAIAAAACIAAABkcnMvZG93bnJldi54bWxQSwECFAAUAAAACACHTuJA&#10;8rQxY7MBAABfAwAADgAAAAAAAAABACAAAAAjAQAAZHJzL2Uyb0RvYy54bWxQSwUGAAAAAAYABgBZ&#10;AQAASAUAAAAA&#10;">
                <v:fill on="f" focussize="0,0"/>
                <v:stroke on="f"/>
                <v:imagedata o:title=""/>
                <o:lock v:ext="edit" aspectratio="f"/>
                <v:textbox>
                  <w:txbxContent>
                    <w:p w14:paraId="17E52066">
                      <w:pPr>
                        <w:pStyle w:val="5"/>
                        <w:spacing w:line="200" w:lineRule="exact"/>
                        <w:rPr>
                          <w:rFonts w:ascii="宋体"/>
                          <w:color w:val="FF0000"/>
                          <w:sz w:val="24"/>
                          <w:szCs w:val="18"/>
                        </w:rPr>
                      </w:pPr>
                      <w:r>
                        <w:rPr>
                          <w:rFonts w:hint="eastAsia" w:ascii="楷体_GB2312" w:hAnsi="宋体" w:eastAsia="楷体_GB2312"/>
                          <w:b/>
                          <w:color w:val="000000"/>
                          <w:sz w:val="18"/>
                          <w:szCs w:val="18"/>
                        </w:rPr>
                        <w:t>调整价款的方法</w:t>
                      </w:r>
                    </w:p>
                    <w:p w14:paraId="782F3128">
                      <w:pPr>
                        <w:pStyle w:val="13"/>
                        <w:spacing w:line="200" w:lineRule="exact"/>
                        <w:rPr>
                          <w:sz w:val="18"/>
                          <w:szCs w:val="18"/>
                        </w:rPr>
                      </w:pPr>
                    </w:p>
                  </w:txbxContent>
                </v:textbox>
              </v:shape>
            </w:pict>
          </mc:Fallback>
        </mc:AlternateContent>
      </w:r>
      <w:r>
        <w:rPr>
          <w:rFonts w:hint="eastAsia" w:hAnsi="宋体"/>
          <w:color w:val="auto"/>
          <w:sz w:val="24"/>
          <w:szCs w:val="18"/>
        </w:rPr>
        <w:t>发生第</w:t>
      </w:r>
      <w:r>
        <w:rPr>
          <w:rFonts w:hAnsi="宋体"/>
          <w:color w:val="auto"/>
          <w:sz w:val="24"/>
          <w:szCs w:val="18"/>
        </w:rPr>
        <w:t>70.2</w:t>
      </w:r>
      <w:r>
        <w:rPr>
          <w:rFonts w:hint="eastAsia" w:hAnsi="宋体"/>
          <w:color w:val="auto"/>
          <w:sz w:val="24"/>
          <w:szCs w:val="18"/>
        </w:rPr>
        <w:t>款情况的，应按照实际施工的项目特征重新确定相应工程量清单项目的综合单价，计算调整的合同价款。</w:t>
      </w:r>
    </w:p>
    <w:p w14:paraId="058D36C1">
      <w:pPr>
        <w:pStyle w:val="2"/>
        <w:adjustRightInd w:val="0"/>
        <w:snapToGrid w:val="0"/>
        <w:spacing w:line="360" w:lineRule="auto"/>
        <w:rPr>
          <w:rFonts w:hAnsi="宋体"/>
          <w:b/>
          <w:color w:val="auto"/>
          <w:sz w:val="24"/>
          <w:szCs w:val="18"/>
          <w:u w:val="single"/>
        </w:rPr>
      </w:pPr>
    </w:p>
    <w:p w14:paraId="38C5807B">
      <w:pPr>
        <w:pStyle w:val="2"/>
        <w:adjustRightInd w:val="0"/>
        <w:snapToGrid w:val="0"/>
        <w:spacing w:line="360" w:lineRule="auto"/>
        <w:rPr>
          <w:rFonts w:hAnsi="宋体"/>
          <w:color w:val="auto"/>
        </w:rPr>
      </w:pPr>
      <w:r>
        <w:rPr>
          <w:rFonts w:hAnsi="宋体"/>
          <w:b/>
          <w:color w:val="auto"/>
          <w:sz w:val="30"/>
          <w:szCs w:val="30"/>
        </w:rPr>
        <w:t xml:space="preserve">71  </w:t>
      </w:r>
      <w:r>
        <w:rPr>
          <w:rFonts w:hint="eastAsia" w:hAnsi="宋体"/>
          <w:b/>
          <w:color w:val="auto"/>
          <w:sz w:val="30"/>
          <w:szCs w:val="30"/>
        </w:rPr>
        <w:t>分部分项工程量清单缺项漏项事件</w:t>
      </w:r>
    </w:p>
    <w:p w14:paraId="3E816BDC">
      <w:pPr>
        <w:pStyle w:val="2"/>
        <w:adjustRightInd w:val="0"/>
        <w:snapToGrid w:val="0"/>
        <w:spacing w:line="360" w:lineRule="auto"/>
        <w:rPr>
          <w:rFonts w:hAnsi="宋体"/>
          <w:b/>
          <w:color w:val="auto"/>
          <w:sz w:val="24"/>
          <w:szCs w:val="18"/>
        </w:rPr>
      </w:pPr>
      <w:r>
        <w:rPr>
          <w:rFonts w:hAnsi="宋体"/>
          <w:b/>
          <w:color w:val="auto"/>
          <w:sz w:val="24"/>
          <w:szCs w:val="18"/>
        </w:rPr>
        <w:t xml:space="preserve">71.1  </w:t>
      </w:r>
    </w:p>
    <w:p w14:paraId="05296F26">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1956224" behindDoc="0" locked="0" layoutInCell="1" allowOverlap="1">
                <wp:simplePos x="0" y="0"/>
                <wp:positionH relativeFrom="column">
                  <wp:posOffset>-133350</wp:posOffset>
                </wp:positionH>
                <wp:positionV relativeFrom="paragraph">
                  <wp:posOffset>6350</wp:posOffset>
                </wp:positionV>
                <wp:extent cx="914400" cy="692150"/>
                <wp:effectExtent l="0" t="0" r="0" b="0"/>
                <wp:wrapNone/>
                <wp:docPr id="338" name="文本框 338"/>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a:effectLst/>
                      </wps:spPr>
                      <wps:txbx>
                        <w:txbxContent>
                          <w:p w14:paraId="60AE96A6">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清单缺项漏项的价款调整</w:t>
                            </w:r>
                          </w:p>
                        </w:txbxContent>
                      </wps:txbx>
                      <wps:bodyPr upright="1"/>
                    </wps:wsp>
                  </a:graphicData>
                </a:graphic>
              </wp:anchor>
            </w:drawing>
          </mc:Choice>
          <mc:Fallback>
            <w:pict>
              <v:shape id="_x0000_s1026" o:spid="_x0000_s1026" o:spt="202" type="#_x0000_t202" style="position:absolute;left:0pt;margin-left:-10.5pt;margin-top:0.5pt;height:54.5pt;width:72pt;z-index:251956224;mso-width-relative:page;mso-height-relative:page;" filled="f" stroked="f" coordsize="21600,21600" o:gfxdata="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IWTe&#10;MNQAAAAJAQAADwAAAAAAAAABACAAAAAiAAAAZHJzL2Rvd25yZXYueG1sUEsBAhQAFAAAAAgAh07i&#10;QFc1ddu0AQAAXwMAAA4AAAAAAAAAAQAgAAAAIwEAAGRycy9lMm9Eb2MueG1sUEsFBgAAAAAGAAYA&#10;WQEAAEkFAAAAAA==&#10;">
                <v:fill on="f" focussize="0,0"/>
                <v:stroke on="f"/>
                <v:imagedata o:title=""/>
                <o:lock v:ext="edit" aspectratio="f"/>
                <v:textbox>
                  <w:txbxContent>
                    <w:p w14:paraId="60AE96A6">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清单缺项漏项的价款调整</w:t>
                      </w:r>
                    </w:p>
                  </w:txbxContent>
                </v:textbox>
              </v:shape>
            </w:pict>
          </mc:Fallback>
        </mc:AlternateContent>
      </w:r>
      <w:r>
        <w:rPr>
          <w:color w:val="auto"/>
        </w:rPr>
        <mc:AlternateContent>
          <mc:Choice Requires="wps">
            <w:drawing>
              <wp:anchor distT="0" distB="0" distL="114300" distR="114300" simplePos="0" relativeHeight="251957248" behindDoc="0" locked="0" layoutInCell="1" allowOverlap="1">
                <wp:simplePos x="0" y="0"/>
                <wp:positionH relativeFrom="column">
                  <wp:posOffset>-133350</wp:posOffset>
                </wp:positionH>
                <wp:positionV relativeFrom="paragraph">
                  <wp:posOffset>6350</wp:posOffset>
                </wp:positionV>
                <wp:extent cx="914400" cy="693420"/>
                <wp:effectExtent l="0" t="0" r="0" b="0"/>
                <wp:wrapNone/>
                <wp:docPr id="339" name="文本框 339"/>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a:effectLst/>
                      </wps:spPr>
                      <wps:txbx>
                        <w:txbxContent>
                          <w:p w14:paraId="4E872602">
                            <w:pPr>
                              <w:rPr>
                                <w:szCs w:val="18"/>
                              </w:rPr>
                            </w:pPr>
                          </w:p>
                        </w:txbxContent>
                      </wps:txbx>
                      <wps:bodyPr upright="1"/>
                    </wps:wsp>
                  </a:graphicData>
                </a:graphic>
              </wp:anchor>
            </w:drawing>
          </mc:Choice>
          <mc:Fallback>
            <w:pict>
              <v:shape id="_x0000_s1026" o:spid="_x0000_s1026" o:spt="202" type="#_x0000_t202" style="position:absolute;left:0pt;margin-left:-10.5pt;margin-top:0.5pt;height:54.6pt;width:72pt;z-index:251957248;mso-width-relative:page;mso-height-relative:page;" filled="f" stroked="f" coordsize="21600,21600" o:gfxdata="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0GJq&#10;RNQAAAAJAQAADwAAAAAAAAABACAAAAAiAAAAZHJzL2Rvd25yZXYueG1sUEsBAhQAFAAAAAgAh07i&#10;QOCKVcC0AQAAXwMAAA4AAAAAAAAAAQAgAAAAIwEAAGRycy9lMm9Eb2MueG1sUEsFBgAAAAAGAAYA&#10;WQEAAEkFAAAAAA==&#10;">
                <v:fill on="f" focussize="0,0"/>
                <v:stroke on="f"/>
                <v:imagedata o:title=""/>
                <o:lock v:ext="edit" aspectratio="f"/>
                <v:textbox>
                  <w:txbxContent>
                    <w:p w14:paraId="4E872602">
                      <w:pPr>
                        <w:rPr>
                          <w:szCs w:val="18"/>
                        </w:rPr>
                      </w:pPr>
                    </w:p>
                  </w:txbxContent>
                </v:textbox>
              </v:shape>
            </w:pict>
          </mc:Fallback>
        </mc:AlternateContent>
      </w:r>
      <w:r>
        <w:rPr>
          <w:rFonts w:hint="eastAsia" w:hAnsi="宋体"/>
          <w:color w:val="auto"/>
          <w:sz w:val="24"/>
          <w:szCs w:val="18"/>
        </w:rPr>
        <w:t>合同履行期间，出现工程量清单中分部分项工程缺项漏项事件的，合同双方当事人应调整合同价款。</w:t>
      </w:r>
    </w:p>
    <w:p w14:paraId="00CC608F">
      <w:pPr>
        <w:pStyle w:val="2"/>
        <w:adjustRightInd w:val="0"/>
        <w:snapToGrid w:val="0"/>
        <w:spacing w:line="360" w:lineRule="auto"/>
        <w:rPr>
          <w:rFonts w:hAnsi="宋体"/>
          <w:b/>
          <w:color w:val="auto"/>
          <w:sz w:val="24"/>
          <w:szCs w:val="18"/>
        </w:rPr>
      </w:pPr>
      <w:r>
        <w:rPr>
          <w:rFonts w:hAnsi="宋体"/>
          <w:b/>
          <w:color w:val="auto"/>
          <w:sz w:val="24"/>
          <w:szCs w:val="18"/>
        </w:rPr>
        <w:t xml:space="preserve">71.2   </w:t>
      </w:r>
    </w:p>
    <w:p w14:paraId="453AEEDF">
      <w:pPr>
        <w:pStyle w:val="2"/>
        <w:adjustRightInd w:val="0"/>
        <w:snapToGrid w:val="0"/>
        <w:spacing w:line="360" w:lineRule="auto"/>
        <w:ind w:left="1619" w:leftChars="771" w:firstLine="1"/>
        <w:rPr>
          <w:rFonts w:hAnsi="宋体"/>
          <w:b/>
          <w:color w:val="auto"/>
          <w:sz w:val="18"/>
          <w:szCs w:val="18"/>
        </w:rPr>
      </w:pPr>
      <w:r>
        <w:rPr>
          <w:color w:val="auto"/>
        </w:rPr>
        <mc:AlternateContent>
          <mc:Choice Requires="wps">
            <w:drawing>
              <wp:anchor distT="0" distB="0" distL="114300" distR="114300" simplePos="0" relativeHeight="251958272" behindDoc="0" locked="0" layoutInCell="1" allowOverlap="1">
                <wp:simplePos x="0" y="0"/>
                <wp:positionH relativeFrom="column">
                  <wp:posOffset>-66675</wp:posOffset>
                </wp:positionH>
                <wp:positionV relativeFrom="paragraph">
                  <wp:posOffset>8890</wp:posOffset>
                </wp:positionV>
                <wp:extent cx="914400" cy="692150"/>
                <wp:effectExtent l="0" t="0" r="0" b="0"/>
                <wp:wrapNone/>
                <wp:docPr id="340" name="文本框 340"/>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a:effectLst/>
                      </wps:spPr>
                      <wps:txbx>
                        <w:txbxContent>
                          <w:p w14:paraId="0090BAEB">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调整分部分项工程费的方法</w:t>
                            </w:r>
                          </w:p>
                          <w:p w14:paraId="3F01E647">
                            <w:pPr>
                              <w:spacing w:line="240" w:lineRule="exact"/>
                              <w:rPr>
                                <w:sz w:val="18"/>
                                <w:szCs w:val="18"/>
                              </w:rPr>
                            </w:pPr>
                          </w:p>
                        </w:txbxContent>
                      </wps:txbx>
                      <wps:bodyPr upright="1"/>
                    </wps:wsp>
                  </a:graphicData>
                </a:graphic>
              </wp:anchor>
            </w:drawing>
          </mc:Choice>
          <mc:Fallback>
            <w:pict>
              <v:shape id="_x0000_s1026" o:spid="_x0000_s1026" o:spt="202" type="#_x0000_t202" style="position:absolute;left:0pt;margin-left:-5.25pt;margin-top:0.7pt;height:54.5pt;width:72pt;z-index:251958272;mso-width-relative:page;mso-height-relative:page;" filled="f" stroked="f" coordsize="21600,21600" o:gfxdata="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OiKMt&#10;1AAAAAkBAAAPAAAAAAAAAAEAIAAAACIAAABkcnMvZG93bnJldi54bWxQSwECFAAUAAAACACHTuJA&#10;F8VMdrMBAABfAwAADgAAAAAAAAABACAAAAAjAQAAZHJzL2Uyb0RvYy54bWxQSwUGAAAAAAYABgBZ&#10;AQAASAUAAAAA&#10;">
                <v:fill on="f" focussize="0,0"/>
                <v:stroke on="f"/>
                <v:imagedata o:title=""/>
                <o:lock v:ext="edit" aspectratio="f"/>
                <v:textbox>
                  <w:txbxContent>
                    <w:p w14:paraId="0090BAEB">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调整分部分项工程费的方法</w:t>
                      </w:r>
                    </w:p>
                    <w:p w14:paraId="3F01E647">
                      <w:pPr>
                        <w:spacing w:line="240" w:lineRule="exact"/>
                        <w:rPr>
                          <w:sz w:val="18"/>
                          <w:szCs w:val="18"/>
                        </w:rPr>
                      </w:pPr>
                    </w:p>
                  </w:txbxContent>
                </v:textbox>
              </v:shape>
            </w:pict>
          </mc:Fallback>
        </mc:AlternateContent>
      </w:r>
      <w:r>
        <w:rPr>
          <w:rFonts w:hint="eastAsia" w:hAnsi="宋体"/>
          <w:color w:val="auto"/>
          <w:sz w:val="24"/>
          <w:szCs w:val="18"/>
        </w:rPr>
        <w:t>工程量清单中分部分项工程出现缺项漏项，造成新增工程量清单项目的，应按照第</w:t>
      </w:r>
      <w:r>
        <w:rPr>
          <w:rFonts w:hAnsi="宋体"/>
          <w:color w:val="auto"/>
          <w:sz w:val="24"/>
          <w:szCs w:val="18"/>
        </w:rPr>
        <w:t>72.2</w:t>
      </w:r>
      <w:r>
        <w:rPr>
          <w:rFonts w:hint="eastAsia" w:hAnsi="宋体"/>
          <w:color w:val="auto"/>
          <w:sz w:val="24"/>
          <w:szCs w:val="18"/>
        </w:rPr>
        <w:t>款规定计算调整的分部分项工程费。</w:t>
      </w:r>
    </w:p>
    <w:p w14:paraId="4172039E">
      <w:pPr>
        <w:pStyle w:val="2"/>
        <w:tabs>
          <w:tab w:val="left" w:pos="540"/>
        </w:tabs>
        <w:adjustRightInd w:val="0"/>
        <w:snapToGrid w:val="0"/>
        <w:spacing w:before="240" w:beforeLines="100" w:line="360" w:lineRule="auto"/>
        <w:ind w:right="-238"/>
        <w:rPr>
          <w:rFonts w:hAnsi="宋体"/>
          <w:color w:val="auto"/>
          <w:sz w:val="30"/>
          <w:szCs w:val="24"/>
        </w:rPr>
      </w:pPr>
      <w:r>
        <w:rPr>
          <w:rFonts w:hAnsi="宋体"/>
          <w:b/>
          <w:color w:val="auto"/>
          <w:sz w:val="24"/>
          <w:szCs w:val="18"/>
        </w:rPr>
        <w:t xml:space="preserve">71.3  </w:t>
      </w:r>
    </w:p>
    <w:p w14:paraId="1CE78353">
      <w:pPr>
        <w:pStyle w:val="2"/>
        <w:adjustRightInd w:val="0"/>
        <w:snapToGrid w:val="0"/>
        <w:spacing w:line="360" w:lineRule="auto"/>
        <w:ind w:left="1619" w:leftChars="771" w:firstLine="2"/>
        <w:rPr>
          <w:rFonts w:hAnsi="宋体"/>
          <w:color w:val="auto"/>
          <w:sz w:val="24"/>
          <w:szCs w:val="18"/>
        </w:rPr>
      </w:pPr>
      <w:r>
        <w:rPr>
          <w:color w:val="auto"/>
        </w:rPr>
        <mc:AlternateContent>
          <mc:Choice Requires="wps">
            <w:drawing>
              <wp:anchor distT="0" distB="0" distL="114300" distR="114300" simplePos="0" relativeHeight="251959296" behindDoc="0" locked="0" layoutInCell="1" allowOverlap="1">
                <wp:simplePos x="0" y="0"/>
                <wp:positionH relativeFrom="column">
                  <wp:posOffset>-133350</wp:posOffset>
                </wp:positionH>
                <wp:positionV relativeFrom="paragraph">
                  <wp:posOffset>5080</wp:posOffset>
                </wp:positionV>
                <wp:extent cx="914400" cy="692150"/>
                <wp:effectExtent l="0" t="0" r="0" b="0"/>
                <wp:wrapNone/>
                <wp:docPr id="341" name="文本框 341"/>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a:effectLst/>
                      </wps:spPr>
                      <wps:txbx>
                        <w:txbxContent>
                          <w:p w14:paraId="38DE7D5E">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调整措施项目费的方法</w:t>
                            </w:r>
                          </w:p>
                          <w:p w14:paraId="5D2315AB">
                            <w:pPr>
                              <w:spacing w:line="240" w:lineRule="exact"/>
                              <w:rPr>
                                <w:sz w:val="18"/>
                                <w:szCs w:val="18"/>
                              </w:rPr>
                            </w:pPr>
                          </w:p>
                        </w:txbxContent>
                      </wps:txbx>
                      <wps:bodyPr upright="1"/>
                    </wps:wsp>
                  </a:graphicData>
                </a:graphic>
              </wp:anchor>
            </w:drawing>
          </mc:Choice>
          <mc:Fallback>
            <w:pict>
              <v:shape id="_x0000_s1026" o:spid="_x0000_s1026" o:spt="202" type="#_x0000_t202" style="position:absolute;left:0pt;margin-left:-10.5pt;margin-top:0.4pt;height:54.5pt;width:72pt;z-index:251959296;mso-width-relative:page;mso-height-relative:page;" filled="f" stroked="f" coordsize="21600,21600" o:gfxdata="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198c&#10;OdUAAAAIAQAADwAAAAAAAAABACAAAAAiAAAAZHJzL2Rvd25yZXYueG1sUEsBAhQAFAAAAAgAh07i&#10;QIjCh9yzAQAAXwMAAA4AAAAAAAAAAQAgAAAAJAEAAGRycy9lMm9Eb2MueG1sUEsFBgAAAAAGAAYA&#10;WQEAAEkFAAAAAA==&#10;">
                <v:fill on="f" focussize="0,0"/>
                <v:stroke on="f"/>
                <v:imagedata o:title=""/>
                <o:lock v:ext="edit" aspectratio="f"/>
                <v:textbox>
                  <w:txbxContent>
                    <w:p w14:paraId="38DE7D5E">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调整措施项目费的方法</w:t>
                      </w:r>
                    </w:p>
                    <w:p w14:paraId="5D2315AB">
                      <w:pPr>
                        <w:spacing w:line="240" w:lineRule="exact"/>
                        <w:rPr>
                          <w:sz w:val="18"/>
                          <w:szCs w:val="18"/>
                        </w:rPr>
                      </w:pPr>
                    </w:p>
                  </w:txbxContent>
                </v:textbox>
              </v:shape>
            </w:pict>
          </mc:Fallback>
        </mc:AlternateContent>
      </w:r>
      <w:r>
        <w:rPr>
          <w:rFonts w:hint="eastAsia" w:hAnsi="宋体"/>
          <w:color w:val="auto"/>
          <w:sz w:val="24"/>
          <w:szCs w:val="18"/>
        </w:rPr>
        <w:t>工程量清单中分部分项工程出现缺项漏项，引起增加措施项目的，应按照第</w:t>
      </w:r>
      <w:r>
        <w:rPr>
          <w:rFonts w:hAnsi="宋体"/>
          <w:color w:val="auto"/>
          <w:sz w:val="24"/>
          <w:szCs w:val="18"/>
        </w:rPr>
        <w:t>72.3</w:t>
      </w:r>
      <w:r>
        <w:rPr>
          <w:rFonts w:hint="eastAsia" w:hAnsi="宋体"/>
          <w:color w:val="auto"/>
          <w:sz w:val="24"/>
          <w:szCs w:val="18"/>
        </w:rPr>
        <w:t>款规定在提交的实施方案被批准后计算调整的措施项目费。</w:t>
      </w:r>
    </w:p>
    <w:p w14:paraId="75C7A0E2">
      <w:pPr>
        <w:pStyle w:val="2"/>
        <w:adjustRightInd w:val="0"/>
        <w:snapToGrid w:val="0"/>
        <w:spacing w:line="360" w:lineRule="auto"/>
        <w:rPr>
          <w:rFonts w:hAnsi="宋体"/>
          <w:b/>
          <w:color w:val="auto"/>
          <w:sz w:val="24"/>
          <w:szCs w:val="18"/>
          <w:u w:val="single"/>
        </w:rPr>
      </w:pPr>
    </w:p>
    <w:p w14:paraId="3901D919">
      <w:pPr>
        <w:pStyle w:val="2"/>
        <w:tabs>
          <w:tab w:val="left" w:pos="540"/>
        </w:tabs>
        <w:adjustRightInd w:val="0"/>
        <w:snapToGrid w:val="0"/>
        <w:spacing w:before="240" w:beforeLines="100" w:line="360" w:lineRule="auto"/>
        <w:ind w:right="-238"/>
        <w:rPr>
          <w:rFonts w:hAnsi="宋体"/>
          <w:b/>
          <w:color w:val="auto"/>
          <w:sz w:val="30"/>
          <w:szCs w:val="24"/>
        </w:rPr>
      </w:pPr>
      <w:r>
        <w:rPr>
          <w:rFonts w:hAnsi="宋体"/>
          <w:b/>
          <w:color w:val="auto"/>
          <w:sz w:val="30"/>
          <w:szCs w:val="24"/>
        </w:rPr>
        <w:t xml:space="preserve">72  </w:t>
      </w:r>
      <w:r>
        <w:rPr>
          <w:rFonts w:hint="eastAsia" w:hAnsi="宋体"/>
          <w:b/>
          <w:color w:val="auto"/>
          <w:sz w:val="30"/>
          <w:szCs w:val="24"/>
        </w:rPr>
        <w:t>工程变更事件</w:t>
      </w:r>
    </w:p>
    <w:p w14:paraId="3849CD42">
      <w:pPr>
        <w:pStyle w:val="2"/>
        <w:adjustRightInd w:val="0"/>
        <w:snapToGrid w:val="0"/>
        <w:spacing w:line="360" w:lineRule="auto"/>
        <w:rPr>
          <w:rFonts w:hAnsi="宋体"/>
          <w:b/>
          <w:color w:val="auto"/>
          <w:sz w:val="24"/>
          <w:szCs w:val="18"/>
        </w:rPr>
      </w:pPr>
      <w:r>
        <w:rPr>
          <w:color w:val="auto"/>
        </w:rPr>
        <mc:AlternateContent>
          <mc:Choice Requires="wps">
            <w:drawing>
              <wp:anchor distT="0" distB="0" distL="114300" distR="114300" simplePos="0" relativeHeight="251960320" behindDoc="0" locked="0" layoutInCell="1" allowOverlap="1">
                <wp:simplePos x="0" y="0"/>
                <wp:positionH relativeFrom="column">
                  <wp:posOffset>-114300</wp:posOffset>
                </wp:positionH>
                <wp:positionV relativeFrom="paragraph">
                  <wp:posOffset>185420</wp:posOffset>
                </wp:positionV>
                <wp:extent cx="1028700" cy="396240"/>
                <wp:effectExtent l="0" t="0" r="0" b="0"/>
                <wp:wrapNone/>
                <wp:docPr id="342" name="文本框 342"/>
                <wp:cNvGraphicFramePr/>
                <a:graphic xmlns:a="http://schemas.openxmlformats.org/drawingml/2006/main">
                  <a:graphicData uri="http://schemas.microsoft.com/office/word/2010/wordprocessingShape">
                    <wps:wsp>
                      <wps:cNvSpPr txBox="1"/>
                      <wps:spPr>
                        <a:xfrm>
                          <a:off x="0" y="0"/>
                          <a:ext cx="1028700" cy="396240"/>
                        </a:xfrm>
                        <a:prstGeom prst="rect">
                          <a:avLst/>
                        </a:prstGeom>
                        <a:noFill/>
                        <a:ln>
                          <a:noFill/>
                        </a:ln>
                        <a:effectLst/>
                      </wps:spPr>
                      <wps:txbx>
                        <w:txbxContent>
                          <w:p w14:paraId="2759D614">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工程变更的价</w:t>
                            </w:r>
                          </w:p>
                          <w:p w14:paraId="3119C1BB">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款调整</w:t>
                            </w:r>
                          </w:p>
                        </w:txbxContent>
                      </wps:txbx>
                      <wps:bodyPr upright="1"/>
                    </wps:wsp>
                  </a:graphicData>
                </a:graphic>
              </wp:anchor>
            </w:drawing>
          </mc:Choice>
          <mc:Fallback>
            <w:pict>
              <v:shape id="_x0000_s1026" o:spid="_x0000_s1026" o:spt="202" type="#_x0000_t202" style="position:absolute;left:0pt;margin-left:-9pt;margin-top:14.6pt;height:31.2pt;width:81pt;z-index:251960320;mso-width-relative:page;mso-height-relative:page;" filled="f" stroked="f" coordsize="21600,21600" o:gfxdata="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3K4/StcAAAAJAQAADwAAAAAAAAABACAAAAAiAAAAZHJzL2Rvd25yZXYueG1sUEsBAhQAFAAAAAgA&#10;h07iQH3hgAK0AQAAYAMAAA4AAAAAAAAAAQAgAAAAJgEAAGRycy9lMm9Eb2MueG1sUEsFBgAAAAAG&#10;AAYAWQEAAEwFAAAAAA==&#10;">
                <v:fill on="f" focussize="0,0"/>
                <v:stroke on="f"/>
                <v:imagedata o:title=""/>
                <o:lock v:ext="edit" aspectratio="f"/>
                <v:textbox>
                  <w:txbxContent>
                    <w:p w14:paraId="2759D614">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工程变更的价</w:t>
                      </w:r>
                    </w:p>
                    <w:p w14:paraId="3119C1BB">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款调整</w:t>
                      </w:r>
                    </w:p>
                  </w:txbxContent>
                </v:textbox>
              </v:shape>
            </w:pict>
          </mc:Fallback>
        </mc:AlternateContent>
      </w:r>
      <w:r>
        <w:rPr>
          <w:rFonts w:hAnsi="宋体"/>
          <w:b/>
          <w:color w:val="auto"/>
          <w:sz w:val="24"/>
          <w:szCs w:val="18"/>
        </w:rPr>
        <w:t xml:space="preserve">72.1      </w:t>
      </w:r>
    </w:p>
    <w:p w14:paraId="48F23EF1">
      <w:pPr>
        <w:pStyle w:val="2"/>
        <w:adjustRightInd w:val="0"/>
        <w:snapToGrid w:val="0"/>
        <w:spacing w:line="360" w:lineRule="auto"/>
        <w:ind w:left="1619" w:leftChars="771"/>
        <w:rPr>
          <w:rFonts w:hAnsi="宋体"/>
          <w:color w:val="auto"/>
          <w:sz w:val="24"/>
          <w:szCs w:val="18"/>
        </w:rPr>
      </w:pPr>
      <w:r>
        <w:rPr>
          <w:rFonts w:hint="eastAsia" w:hAnsi="宋体"/>
          <w:color w:val="auto"/>
          <w:sz w:val="24"/>
          <w:szCs w:val="18"/>
        </w:rPr>
        <w:t>合同履行期间，出现第</w:t>
      </w:r>
      <w:r>
        <w:rPr>
          <w:rFonts w:hAnsi="宋体"/>
          <w:color w:val="auto"/>
          <w:sz w:val="24"/>
          <w:szCs w:val="18"/>
        </w:rPr>
        <w:t>56</w:t>
      </w:r>
      <w:r>
        <w:rPr>
          <w:rFonts w:hint="eastAsia" w:hAnsi="宋体"/>
          <w:color w:val="auto"/>
          <w:sz w:val="24"/>
          <w:szCs w:val="18"/>
        </w:rPr>
        <w:t>条工程变更事件的，合同双方当事人应调整合同价款。</w:t>
      </w:r>
    </w:p>
    <w:p w14:paraId="4879502A">
      <w:pPr>
        <w:pStyle w:val="2"/>
        <w:adjustRightInd w:val="0"/>
        <w:snapToGrid w:val="0"/>
        <w:spacing w:line="360" w:lineRule="auto"/>
        <w:rPr>
          <w:rFonts w:hAnsi="宋体"/>
          <w:b/>
          <w:color w:val="auto"/>
          <w:sz w:val="24"/>
          <w:szCs w:val="18"/>
        </w:rPr>
      </w:pPr>
      <w:r>
        <w:rPr>
          <w:rFonts w:hAnsi="宋体"/>
          <w:b/>
          <w:color w:val="auto"/>
          <w:sz w:val="24"/>
          <w:szCs w:val="18"/>
        </w:rPr>
        <w:t xml:space="preserve">72.2   </w:t>
      </w:r>
    </w:p>
    <w:p w14:paraId="15B67E0E">
      <w:pPr>
        <w:pStyle w:val="2"/>
        <w:adjustRightInd w:val="0"/>
        <w:snapToGrid w:val="0"/>
        <w:spacing w:line="360" w:lineRule="auto"/>
        <w:ind w:left="1620"/>
        <w:rPr>
          <w:rFonts w:hAnsi="宋体"/>
          <w:color w:val="auto"/>
          <w:sz w:val="24"/>
          <w:szCs w:val="18"/>
        </w:rPr>
      </w:pPr>
      <w:r>
        <w:rPr>
          <w:color w:val="auto"/>
        </w:rPr>
        <mc:AlternateContent>
          <mc:Choice Requires="wps">
            <w:drawing>
              <wp:anchor distT="0" distB="0" distL="114300" distR="114300" simplePos="0" relativeHeight="251961344" behindDoc="0" locked="0" layoutInCell="1" allowOverlap="1">
                <wp:simplePos x="0" y="0"/>
                <wp:positionH relativeFrom="column">
                  <wp:posOffset>-114300</wp:posOffset>
                </wp:positionH>
                <wp:positionV relativeFrom="paragraph">
                  <wp:posOffset>6350</wp:posOffset>
                </wp:positionV>
                <wp:extent cx="914400" cy="593090"/>
                <wp:effectExtent l="0" t="0" r="0" b="0"/>
                <wp:wrapNone/>
                <wp:docPr id="343" name="文本框 343"/>
                <wp:cNvGraphicFramePr/>
                <a:graphic xmlns:a="http://schemas.openxmlformats.org/drawingml/2006/main">
                  <a:graphicData uri="http://schemas.microsoft.com/office/word/2010/wordprocessingShape">
                    <wps:wsp>
                      <wps:cNvSpPr txBox="1"/>
                      <wps:spPr>
                        <a:xfrm>
                          <a:off x="0" y="0"/>
                          <a:ext cx="914400" cy="593090"/>
                        </a:xfrm>
                        <a:prstGeom prst="rect">
                          <a:avLst/>
                        </a:prstGeom>
                        <a:noFill/>
                        <a:ln>
                          <a:noFill/>
                        </a:ln>
                        <a:effectLst/>
                      </wps:spPr>
                      <wps:txbx>
                        <w:txbxContent>
                          <w:p w14:paraId="45774BCA">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调整分部分项工程费的方法</w:t>
                            </w:r>
                          </w:p>
                        </w:txbxContent>
                      </wps:txbx>
                      <wps:bodyPr upright="1"/>
                    </wps:wsp>
                  </a:graphicData>
                </a:graphic>
              </wp:anchor>
            </w:drawing>
          </mc:Choice>
          <mc:Fallback>
            <w:pict>
              <v:shape id="_x0000_s1026" o:spid="_x0000_s1026" o:spt="202" type="#_x0000_t202" style="position:absolute;left:0pt;margin-left:-9pt;margin-top:0.5pt;height:46.7pt;width:72pt;z-index:251961344;mso-width-relative:page;mso-height-relative:page;" filled="f" stroked="f" coordsize="21600,21600" o:gfxdata="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xj&#10;j/zVAAAACAEAAA8AAAAAAAAAAQAgAAAAIgAAAGRycy9kb3ducmV2LnhtbFBLAQIUABQAAAAIAIdO&#10;4kAFiMAutAEAAF8DAAAOAAAAAAAAAAEAIAAAACQBAABkcnMvZTJvRG9jLnhtbFBLBQYAAAAABgAG&#10;AFkBAABKBQAAAAA=&#10;">
                <v:fill on="f" focussize="0,0"/>
                <v:stroke on="f"/>
                <v:imagedata o:title=""/>
                <o:lock v:ext="edit" aspectratio="f"/>
                <v:textbox>
                  <w:txbxContent>
                    <w:p w14:paraId="45774BCA">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调整分部分项工程费的方法</w:t>
                      </w:r>
                    </w:p>
                  </w:txbxContent>
                </v:textbox>
              </v:shape>
            </w:pict>
          </mc:Fallback>
        </mc:AlternateContent>
      </w:r>
      <w:r>
        <w:rPr>
          <w:rFonts w:hint="eastAsia" w:hAnsi="宋体"/>
          <w:color w:val="auto"/>
          <w:sz w:val="24"/>
          <w:szCs w:val="18"/>
        </w:rPr>
        <w:t>工程变更引起分部分项工程项目发生变化，属于第</w:t>
      </w:r>
      <w:r>
        <w:rPr>
          <w:rFonts w:hAnsi="宋体"/>
          <w:color w:val="auto"/>
          <w:sz w:val="24"/>
          <w:szCs w:val="18"/>
        </w:rPr>
        <w:t>73.2</w:t>
      </w:r>
      <w:r>
        <w:rPr>
          <w:rFonts w:hint="eastAsia" w:hAnsi="宋体"/>
          <w:color w:val="auto"/>
          <w:sz w:val="24"/>
          <w:szCs w:val="18"/>
        </w:rPr>
        <w:t>款规定情况的，按照其规定调整；否则按照下列规定调整分部分项工程费：</w:t>
      </w:r>
    </w:p>
    <w:p w14:paraId="4663D159">
      <w:pPr>
        <w:pStyle w:val="2"/>
        <w:tabs>
          <w:tab w:val="left" w:pos="1380"/>
          <w:tab w:val="left" w:pos="2160"/>
        </w:tabs>
        <w:adjustRightInd w:val="0"/>
        <w:snapToGrid w:val="0"/>
        <w:spacing w:line="360" w:lineRule="auto"/>
        <w:ind w:left="1380" w:leftChars="657" w:firstLine="240" w:firstLineChars="100"/>
        <w:rPr>
          <w:rFonts w:hAnsi="宋体"/>
          <w:color w:val="auto"/>
          <w:sz w:val="24"/>
          <w:szCs w:val="18"/>
        </w:rPr>
      </w:pPr>
      <w:r>
        <w:rPr>
          <w:rFonts w:hAnsi="宋体"/>
          <w:color w:val="auto"/>
          <w:sz w:val="24"/>
          <w:szCs w:val="18"/>
        </w:rPr>
        <w:t>(1)</w:t>
      </w:r>
      <w:r>
        <w:rPr>
          <w:rFonts w:hint="eastAsia" w:hAnsi="宋体"/>
          <w:color w:val="auto"/>
          <w:sz w:val="24"/>
          <w:szCs w:val="18"/>
        </w:rPr>
        <w:t>合同中有适用于变更工程项目的，按照该项目的单价或合价调整</w:t>
      </w:r>
      <w:r>
        <w:rPr>
          <w:rFonts w:hAnsi="宋体"/>
          <w:color w:val="auto"/>
          <w:sz w:val="24"/>
          <w:szCs w:val="18"/>
        </w:rPr>
        <w:t>;</w:t>
      </w:r>
    </w:p>
    <w:p w14:paraId="4E252FD7">
      <w:pPr>
        <w:pStyle w:val="2"/>
        <w:tabs>
          <w:tab w:val="left" w:pos="1620"/>
          <w:tab w:val="left" w:pos="2160"/>
        </w:tabs>
        <w:adjustRightInd w:val="0"/>
        <w:snapToGrid w:val="0"/>
        <w:spacing w:line="360" w:lineRule="auto"/>
        <w:ind w:left="1619" w:leftChars="771"/>
        <w:rPr>
          <w:rFonts w:hAnsi="宋体"/>
          <w:color w:val="auto"/>
          <w:sz w:val="24"/>
          <w:szCs w:val="18"/>
        </w:rPr>
      </w:pPr>
      <w:r>
        <w:rPr>
          <w:rFonts w:hAnsi="宋体"/>
          <w:color w:val="auto"/>
          <w:sz w:val="24"/>
          <w:szCs w:val="18"/>
        </w:rPr>
        <w:t>(2)</w:t>
      </w:r>
      <w:r>
        <w:rPr>
          <w:rFonts w:hint="eastAsia" w:hAnsi="宋体"/>
          <w:color w:val="auto"/>
          <w:sz w:val="24"/>
          <w:szCs w:val="18"/>
        </w:rPr>
        <w:t>合同中没有适用、只有类似于变更工程项目的，可在合理范围内参照类似项目的单价或合价调整</w:t>
      </w:r>
      <w:r>
        <w:rPr>
          <w:rFonts w:hAnsi="宋体"/>
          <w:color w:val="auto"/>
          <w:sz w:val="24"/>
          <w:szCs w:val="18"/>
        </w:rPr>
        <w:t>;</w:t>
      </w:r>
    </w:p>
    <w:p w14:paraId="556A7194">
      <w:pPr>
        <w:pStyle w:val="2"/>
        <w:tabs>
          <w:tab w:val="left" w:pos="1380"/>
          <w:tab w:val="left" w:pos="2160"/>
        </w:tabs>
        <w:adjustRightInd w:val="0"/>
        <w:snapToGrid w:val="0"/>
        <w:spacing w:line="360" w:lineRule="auto"/>
        <w:ind w:left="1619"/>
        <w:rPr>
          <w:rFonts w:hAnsi="宋体"/>
          <w:color w:val="auto"/>
          <w:sz w:val="24"/>
          <w:szCs w:val="18"/>
        </w:rPr>
      </w:pPr>
      <w:r>
        <w:rPr>
          <w:rFonts w:hAnsi="宋体"/>
          <w:color w:val="auto"/>
          <w:sz w:val="24"/>
          <w:szCs w:val="18"/>
        </w:rPr>
        <w:t>(3)</w:t>
      </w:r>
      <w:r>
        <w:rPr>
          <w:rFonts w:hint="eastAsia" w:hAnsi="宋体"/>
          <w:color w:val="auto"/>
          <w:sz w:val="24"/>
          <w:szCs w:val="18"/>
        </w:rPr>
        <w:t>合同中没有适用也没有类似于变更工程项目的，根据变更工程资料、计量规则和计价办法、施工相应时期工程造价管理机构发布的价格信息和承包人报价浮动率提出变更工程项目的单价或合价，经合同双方当事人确认后调整</w:t>
      </w:r>
      <w:r>
        <w:rPr>
          <w:rFonts w:hAnsi="宋体"/>
          <w:color w:val="auto"/>
          <w:sz w:val="24"/>
          <w:szCs w:val="18"/>
        </w:rPr>
        <w:t>;</w:t>
      </w:r>
    </w:p>
    <w:p w14:paraId="5E63AEE5">
      <w:pPr>
        <w:pStyle w:val="2"/>
        <w:adjustRightInd w:val="0"/>
        <w:snapToGrid w:val="0"/>
        <w:spacing w:line="360" w:lineRule="auto"/>
        <w:ind w:left="1619" w:leftChars="771"/>
        <w:rPr>
          <w:rFonts w:hAnsi="宋体"/>
          <w:color w:val="auto"/>
          <w:sz w:val="24"/>
          <w:szCs w:val="18"/>
        </w:rPr>
      </w:pPr>
      <w:r>
        <w:rPr>
          <w:rFonts w:hint="eastAsia" w:hAnsi="宋体"/>
          <w:color w:val="auto"/>
          <w:sz w:val="24"/>
          <w:szCs w:val="18"/>
        </w:rPr>
        <w:t>其中，招标工程：承包人报价浮动率</w:t>
      </w:r>
      <w:r>
        <w:rPr>
          <w:rFonts w:hAnsi="宋体"/>
          <w:color w:val="auto"/>
          <w:sz w:val="24"/>
          <w:szCs w:val="18"/>
        </w:rPr>
        <w:t>L=</w:t>
      </w:r>
      <w:r>
        <w:rPr>
          <w:rFonts w:hint="eastAsia" w:hAnsi="宋体"/>
          <w:color w:val="auto"/>
          <w:sz w:val="24"/>
          <w:szCs w:val="18"/>
        </w:rPr>
        <w:t>（</w:t>
      </w:r>
      <w:r>
        <w:rPr>
          <w:rFonts w:hAnsi="宋体"/>
          <w:color w:val="auto"/>
          <w:sz w:val="24"/>
          <w:szCs w:val="18"/>
        </w:rPr>
        <w:t>1—</w:t>
      </w:r>
      <w:r>
        <w:rPr>
          <w:rFonts w:hint="eastAsia" w:hAnsi="宋体"/>
          <w:color w:val="auto"/>
          <w:sz w:val="24"/>
          <w:szCs w:val="18"/>
        </w:rPr>
        <w:t>中标价格</w:t>
      </w:r>
      <w:r>
        <w:rPr>
          <w:rFonts w:hAnsi="宋体"/>
          <w:color w:val="auto"/>
          <w:sz w:val="24"/>
          <w:szCs w:val="18"/>
        </w:rPr>
        <w:t>/</w:t>
      </w:r>
      <w:r>
        <w:rPr>
          <w:rFonts w:hint="eastAsia" w:hAnsi="宋体"/>
          <w:color w:val="auto"/>
          <w:sz w:val="24"/>
          <w:szCs w:val="18"/>
        </w:rPr>
        <w:t>招标控制价）×</w:t>
      </w:r>
      <w:r>
        <w:rPr>
          <w:rFonts w:hAnsi="宋体"/>
          <w:color w:val="auto"/>
          <w:sz w:val="24"/>
          <w:szCs w:val="18"/>
        </w:rPr>
        <w:t>100%</w:t>
      </w:r>
      <w:r>
        <w:rPr>
          <w:rFonts w:hint="eastAsia" w:hAnsi="宋体"/>
          <w:color w:val="auto"/>
          <w:sz w:val="24"/>
          <w:szCs w:val="18"/>
        </w:rPr>
        <w:t>；</w:t>
      </w:r>
    </w:p>
    <w:p w14:paraId="757A871C">
      <w:pPr>
        <w:pStyle w:val="2"/>
        <w:adjustRightInd w:val="0"/>
        <w:snapToGrid w:val="0"/>
        <w:spacing w:line="360" w:lineRule="auto"/>
        <w:ind w:firstLine="2160" w:firstLineChars="900"/>
        <w:rPr>
          <w:rFonts w:hAnsi="宋体"/>
          <w:color w:val="auto"/>
          <w:sz w:val="24"/>
          <w:szCs w:val="18"/>
        </w:rPr>
      </w:pPr>
      <w:r>
        <w:rPr>
          <w:rFonts w:hint="eastAsia" w:hAnsi="宋体"/>
          <w:color w:val="auto"/>
          <w:sz w:val="24"/>
          <w:szCs w:val="18"/>
        </w:rPr>
        <w:t>非招标工程：承包人报价浮动率</w:t>
      </w:r>
      <w:r>
        <w:rPr>
          <w:rFonts w:hAnsi="宋体"/>
          <w:color w:val="auto"/>
          <w:sz w:val="24"/>
          <w:szCs w:val="18"/>
        </w:rPr>
        <w:t>L=</w:t>
      </w:r>
      <w:r>
        <w:rPr>
          <w:rFonts w:hint="eastAsia" w:hAnsi="宋体"/>
          <w:color w:val="auto"/>
          <w:sz w:val="24"/>
          <w:szCs w:val="18"/>
        </w:rPr>
        <w:t>（</w:t>
      </w:r>
      <w:r>
        <w:rPr>
          <w:rFonts w:hAnsi="宋体"/>
          <w:color w:val="auto"/>
          <w:sz w:val="24"/>
          <w:szCs w:val="18"/>
        </w:rPr>
        <w:t>1—</w:t>
      </w:r>
      <w:r>
        <w:rPr>
          <w:rFonts w:hint="eastAsia" w:hAnsi="宋体"/>
          <w:color w:val="auto"/>
          <w:sz w:val="24"/>
          <w:szCs w:val="18"/>
        </w:rPr>
        <w:t>报价值</w:t>
      </w:r>
      <w:r>
        <w:rPr>
          <w:rFonts w:hAnsi="宋体"/>
          <w:color w:val="auto"/>
          <w:sz w:val="24"/>
          <w:szCs w:val="18"/>
        </w:rPr>
        <w:t>/</w:t>
      </w:r>
      <w:r>
        <w:rPr>
          <w:rFonts w:hint="eastAsia" w:hAnsi="宋体"/>
          <w:color w:val="auto"/>
          <w:sz w:val="24"/>
          <w:szCs w:val="18"/>
        </w:rPr>
        <w:t>施工图预算）×</w:t>
      </w:r>
      <w:r>
        <w:rPr>
          <w:rFonts w:hAnsi="宋体"/>
          <w:color w:val="auto"/>
          <w:sz w:val="24"/>
          <w:szCs w:val="18"/>
        </w:rPr>
        <w:t>100%</w:t>
      </w:r>
      <w:r>
        <w:rPr>
          <w:rFonts w:hint="eastAsia" w:hAnsi="宋体"/>
          <w:color w:val="auto"/>
          <w:sz w:val="24"/>
          <w:szCs w:val="18"/>
        </w:rPr>
        <w:t>。</w:t>
      </w:r>
    </w:p>
    <w:p w14:paraId="34E82AA1">
      <w:pPr>
        <w:pStyle w:val="2"/>
        <w:adjustRightInd w:val="0"/>
        <w:snapToGrid w:val="0"/>
        <w:spacing w:line="360" w:lineRule="auto"/>
        <w:ind w:left="1619" w:leftChars="771" w:firstLine="1"/>
        <w:rPr>
          <w:rFonts w:hAnsi="宋体"/>
          <w:color w:val="auto"/>
          <w:sz w:val="24"/>
          <w:szCs w:val="18"/>
        </w:rPr>
      </w:pPr>
      <w:r>
        <w:rPr>
          <w:rFonts w:hint="eastAsia" w:hAnsi="宋体"/>
          <w:color w:val="auto"/>
          <w:sz w:val="24"/>
          <w:szCs w:val="18"/>
        </w:rPr>
        <w:t>式中：中标价格、招标控制价或报价值、施工图预算，均不含安全文明施工费。</w:t>
      </w:r>
    </w:p>
    <w:p w14:paraId="0E0591D1">
      <w:pPr>
        <w:pStyle w:val="2"/>
        <w:adjustRightInd w:val="0"/>
        <w:snapToGrid w:val="0"/>
        <w:spacing w:line="360" w:lineRule="auto"/>
        <w:ind w:left="1619" w:leftChars="771"/>
        <w:rPr>
          <w:rFonts w:hAnsi="宋体"/>
          <w:color w:val="auto"/>
          <w:sz w:val="24"/>
          <w:szCs w:val="18"/>
        </w:rPr>
      </w:pPr>
      <w:r>
        <w:rPr>
          <w:rFonts w:hAnsi="宋体"/>
          <w:color w:val="auto"/>
          <w:sz w:val="24"/>
          <w:szCs w:val="18"/>
        </w:rPr>
        <w:t xml:space="preserve">(4) </w:t>
      </w:r>
      <w:r>
        <w:rPr>
          <w:rFonts w:hint="eastAsia" w:hAnsi="宋体"/>
          <w:color w:val="auto"/>
          <w:sz w:val="24"/>
          <w:szCs w:val="18"/>
        </w:rPr>
        <w:t>合同中没有适用也没有类似于变更工程项目，且施工相应时期工程造价管理机构发布的价格信息缺项的，根据变更工程资料、计量规则、计价办法和通过市场调查等的有合法依据的市场价格提出变更工程项目的单价或合价，经合同双方当事人确认后调整。</w:t>
      </w:r>
    </w:p>
    <w:p w14:paraId="0522502B">
      <w:pPr>
        <w:pStyle w:val="2"/>
        <w:adjustRightInd w:val="0"/>
        <w:snapToGrid w:val="0"/>
        <w:spacing w:line="360" w:lineRule="auto"/>
        <w:rPr>
          <w:rFonts w:hAnsi="宋体"/>
          <w:b/>
          <w:color w:val="auto"/>
          <w:sz w:val="24"/>
          <w:szCs w:val="18"/>
        </w:rPr>
      </w:pPr>
      <w:r>
        <w:rPr>
          <w:rFonts w:hAnsi="宋体"/>
          <w:b/>
          <w:color w:val="auto"/>
          <w:sz w:val="24"/>
          <w:szCs w:val="18"/>
        </w:rPr>
        <w:t xml:space="preserve">72.3  </w:t>
      </w:r>
    </w:p>
    <w:p w14:paraId="32F9C77B">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1962368" behindDoc="0" locked="0" layoutInCell="1" allowOverlap="1">
                <wp:simplePos x="0" y="0"/>
                <wp:positionH relativeFrom="column">
                  <wp:posOffset>-114300</wp:posOffset>
                </wp:positionH>
                <wp:positionV relativeFrom="paragraph">
                  <wp:posOffset>45720</wp:posOffset>
                </wp:positionV>
                <wp:extent cx="914400" cy="396240"/>
                <wp:effectExtent l="0" t="0" r="0" b="0"/>
                <wp:wrapNone/>
                <wp:docPr id="344" name="文本框 34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5AF249C0">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调整措施项目费的方法</w:t>
                            </w:r>
                          </w:p>
                        </w:txbxContent>
                      </wps:txbx>
                      <wps:bodyPr upright="1"/>
                    </wps:wsp>
                  </a:graphicData>
                </a:graphic>
              </wp:anchor>
            </w:drawing>
          </mc:Choice>
          <mc:Fallback>
            <w:pict>
              <v:shape id="_x0000_s1026" o:spid="_x0000_s1026" o:spt="202" type="#_x0000_t202" style="position:absolute;left:0pt;margin-left:-9pt;margin-top:3.6pt;height:31.2pt;width:72pt;z-index:251962368;mso-width-relative:page;mso-height-relative:page;" filled="f" stroked="f" coordsize="21600,21600" o:gfxdata="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pT0t&#10;N9UAAAAIAQAADwAAAAAAAAABACAAAAAiAAAAZHJzL2Rvd25yZXYueG1sUEsBAhQAFAAAAAgAh07i&#10;QGhJx/6zAQAAXwMAAA4AAAAAAAAAAQAgAAAAJAEAAGRycy9lMm9Eb2MueG1sUEsFBgAAAAAGAAYA&#10;WQEAAEkFAAAAAA==&#10;">
                <v:fill on="f" focussize="0,0"/>
                <v:stroke on="f"/>
                <v:imagedata o:title=""/>
                <o:lock v:ext="edit" aspectratio="f"/>
                <v:textbox>
                  <w:txbxContent>
                    <w:p w14:paraId="5AF249C0">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调整措施项目费的方法</w:t>
                      </w:r>
                    </w:p>
                  </w:txbxContent>
                </v:textbox>
              </v:shape>
            </w:pict>
          </mc:Fallback>
        </mc:AlternateContent>
      </w:r>
      <w:r>
        <w:rPr>
          <w:rFonts w:hint="eastAsia" w:hAnsi="宋体"/>
          <w:color w:val="auto"/>
          <w:sz w:val="24"/>
          <w:szCs w:val="18"/>
        </w:rPr>
        <w:t>工程变更引起措施项目发生变化的，合同双方当事人不利一方当事人有权提出调整措施项目费。提出调整措施项目费的，应事先将拟实施的方案提交另一方当事人确认，并详细说明与原方案措施项目相比的变化情况。拟实施的方案，经合同双方当事人确认后执行。该情况下，应按照下列规定调整措施项目费：</w:t>
      </w:r>
    </w:p>
    <w:p w14:paraId="06A5B737">
      <w:pPr>
        <w:pStyle w:val="2"/>
        <w:adjustRightInd w:val="0"/>
        <w:snapToGrid w:val="0"/>
        <w:spacing w:line="360" w:lineRule="auto"/>
        <w:ind w:left="1619" w:leftChars="771"/>
        <w:rPr>
          <w:rFonts w:hAnsi="宋体"/>
          <w:color w:val="auto"/>
          <w:sz w:val="24"/>
          <w:szCs w:val="18"/>
        </w:rPr>
      </w:pPr>
      <w:r>
        <w:rPr>
          <w:rFonts w:hAnsi="宋体"/>
          <w:color w:val="auto"/>
          <w:sz w:val="24"/>
          <w:szCs w:val="18"/>
        </w:rPr>
        <w:t>(1)</w:t>
      </w:r>
      <w:r>
        <w:rPr>
          <w:rFonts w:hint="eastAsia" w:hAnsi="宋体"/>
          <w:color w:val="auto"/>
          <w:sz w:val="24"/>
          <w:szCs w:val="18"/>
        </w:rPr>
        <w:t>安全文明施工费，按照实际发生变化的措施项目调整，不得浮动。</w:t>
      </w:r>
    </w:p>
    <w:p w14:paraId="24ADCB21">
      <w:pPr>
        <w:pStyle w:val="2"/>
        <w:adjustRightInd w:val="0"/>
        <w:snapToGrid w:val="0"/>
        <w:spacing w:line="360" w:lineRule="auto"/>
        <w:ind w:left="1630" w:leftChars="776"/>
        <w:rPr>
          <w:rFonts w:hAnsi="宋体"/>
          <w:color w:val="auto"/>
          <w:sz w:val="24"/>
          <w:szCs w:val="18"/>
        </w:rPr>
      </w:pPr>
      <w:r>
        <w:rPr>
          <w:rFonts w:hAnsi="宋体"/>
          <w:color w:val="auto"/>
          <w:sz w:val="24"/>
          <w:szCs w:val="18"/>
        </w:rPr>
        <w:t>(2)</w:t>
      </w:r>
      <w:r>
        <w:rPr>
          <w:rFonts w:hint="eastAsia" w:hAnsi="宋体"/>
          <w:color w:val="auto"/>
          <w:sz w:val="24"/>
          <w:szCs w:val="18"/>
        </w:rPr>
        <w:t>凡可计算工程量的措施项目费，按照实际发生变化的措施项目的工程量乘以第</w:t>
      </w:r>
      <w:r>
        <w:rPr>
          <w:rFonts w:hAnsi="宋体"/>
          <w:color w:val="auto"/>
          <w:sz w:val="24"/>
          <w:szCs w:val="18"/>
        </w:rPr>
        <w:t>72.2</w:t>
      </w:r>
      <w:r>
        <w:rPr>
          <w:rFonts w:hint="eastAsia" w:hAnsi="宋体"/>
          <w:color w:val="auto"/>
          <w:sz w:val="24"/>
          <w:szCs w:val="18"/>
        </w:rPr>
        <w:t>款规定的单价或合价调整。</w:t>
      </w:r>
    </w:p>
    <w:p w14:paraId="1CF5ABD3">
      <w:pPr>
        <w:pStyle w:val="2"/>
        <w:adjustRightInd w:val="0"/>
        <w:snapToGrid w:val="0"/>
        <w:spacing w:line="360" w:lineRule="auto"/>
        <w:ind w:left="1619" w:leftChars="771"/>
        <w:rPr>
          <w:rFonts w:hAnsi="宋体"/>
          <w:color w:val="auto"/>
          <w:sz w:val="24"/>
          <w:szCs w:val="18"/>
        </w:rPr>
      </w:pPr>
      <w:r>
        <w:rPr>
          <w:rFonts w:hAnsi="宋体"/>
          <w:color w:val="auto"/>
          <w:sz w:val="24"/>
          <w:szCs w:val="18"/>
        </w:rPr>
        <w:t>(3)</w:t>
      </w:r>
      <w:r>
        <w:rPr>
          <w:rFonts w:hint="eastAsia" w:hAnsi="宋体"/>
          <w:color w:val="auto"/>
          <w:sz w:val="24"/>
          <w:szCs w:val="18"/>
        </w:rPr>
        <w:t>凡按系数计算的措施项目费，除本款第</w:t>
      </w:r>
      <w:r>
        <w:rPr>
          <w:rFonts w:hAnsi="宋体"/>
          <w:color w:val="auto"/>
          <w:sz w:val="24"/>
          <w:szCs w:val="18"/>
        </w:rPr>
        <w:t>(1)</w:t>
      </w:r>
      <w:r>
        <w:rPr>
          <w:rFonts w:hint="eastAsia" w:hAnsi="宋体"/>
          <w:color w:val="auto"/>
          <w:sz w:val="24"/>
          <w:szCs w:val="18"/>
        </w:rPr>
        <w:t>点情形外，按照实际发生变化的措施项目调整，但应考虑承包人报价浮动因素，即调整金额按照实际调整金额乘以第</w:t>
      </w:r>
      <w:r>
        <w:rPr>
          <w:rFonts w:hAnsi="宋体"/>
          <w:color w:val="auto"/>
          <w:sz w:val="24"/>
          <w:szCs w:val="18"/>
        </w:rPr>
        <w:t>72.2</w:t>
      </w:r>
      <w:r>
        <w:rPr>
          <w:rFonts w:hint="eastAsia" w:hAnsi="宋体"/>
          <w:color w:val="auto"/>
          <w:sz w:val="24"/>
          <w:szCs w:val="18"/>
        </w:rPr>
        <w:t>款规定的承包人报价浮动率计算。</w:t>
      </w:r>
    </w:p>
    <w:p w14:paraId="611ED58C">
      <w:pPr>
        <w:pStyle w:val="2"/>
        <w:adjustRightInd w:val="0"/>
        <w:snapToGrid w:val="0"/>
        <w:spacing w:line="360" w:lineRule="auto"/>
        <w:ind w:left="1619" w:leftChars="771"/>
        <w:rPr>
          <w:rFonts w:hAnsi="宋体"/>
          <w:color w:val="auto"/>
          <w:sz w:val="24"/>
          <w:szCs w:val="18"/>
        </w:rPr>
      </w:pPr>
      <w:r>
        <w:rPr>
          <w:rFonts w:hint="eastAsia" w:hAnsi="宋体"/>
          <w:color w:val="auto"/>
          <w:sz w:val="24"/>
          <w:szCs w:val="18"/>
        </w:rPr>
        <w:t>如果不利一方当事人未按本款规定事先将拟实施的方案提交给另一方当事人，则认为工程变更不引起措施项目费的调整或不利一方当事人放弃调整措施项目费的权利。</w:t>
      </w:r>
    </w:p>
    <w:p w14:paraId="4E0A561F">
      <w:pPr>
        <w:pStyle w:val="2"/>
        <w:adjustRightInd w:val="0"/>
        <w:snapToGrid w:val="0"/>
        <w:spacing w:line="360" w:lineRule="auto"/>
        <w:rPr>
          <w:rFonts w:hAnsi="宋体"/>
          <w:b/>
          <w:color w:val="auto"/>
          <w:sz w:val="24"/>
          <w:szCs w:val="18"/>
        </w:rPr>
      </w:pPr>
      <w:r>
        <w:rPr>
          <w:rFonts w:hAnsi="宋体"/>
          <w:b/>
          <w:color w:val="auto"/>
          <w:sz w:val="24"/>
          <w:szCs w:val="18"/>
        </w:rPr>
        <w:t xml:space="preserve">72.4  </w:t>
      </w:r>
    </w:p>
    <w:p w14:paraId="064FFABC">
      <w:pPr>
        <w:spacing w:line="360" w:lineRule="auto"/>
        <w:ind w:left="1676" w:leftChars="798"/>
        <w:rPr>
          <w:rFonts w:ascii="宋体"/>
          <w:color w:val="auto"/>
          <w:sz w:val="24"/>
        </w:rPr>
      </w:pPr>
      <w:r>
        <w:rPr>
          <w:color w:val="auto"/>
        </w:rPr>
        <mc:AlternateContent>
          <mc:Choice Requires="wps">
            <w:drawing>
              <wp:anchor distT="0" distB="0" distL="114300" distR="114300" simplePos="0" relativeHeight="251963392" behindDoc="0" locked="0" layoutInCell="1" allowOverlap="1">
                <wp:simplePos x="0" y="0"/>
                <wp:positionH relativeFrom="column">
                  <wp:posOffset>-114300</wp:posOffset>
                </wp:positionH>
                <wp:positionV relativeFrom="paragraph">
                  <wp:posOffset>13335</wp:posOffset>
                </wp:positionV>
                <wp:extent cx="1028700" cy="766445"/>
                <wp:effectExtent l="0" t="0" r="0" b="0"/>
                <wp:wrapNone/>
                <wp:docPr id="345" name="文本框 345"/>
                <wp:cNvGraphicFramePr/>
                <a:graphic xmlns:a="http://schemas.openxmlformats.org/drawingml/2006/main">
                  <a:graphicData uri="http://schemas.microsoft.com/office/word/2010/wordprocessingShape">
                    <wps:wsp>
                      <wps:cNvSpPr txBox="1"/>
                      <wps:spPr>
                        <a:xfrm>
                          <a:off x="0" y="0"/>
                          <a:ext cx="1028700" cy="766445"/>
                        </a:xfrm>
                        <a:prstGeom prst="rect">
                          <a:avLst/>
                        </a:prstGeom>
                        <a:noFill/>
                        <a:ln>
                          <a:noFill/>
                        </a:ln>
                        <a:effectLst/>
                      </wps:spPr>
                      <wps:txbx>
                        <w:txbxContent>
                          <w:p w14:paraId="777B43BE">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调整承包人报</w:t>
                            </w:r>
                          </w:p>
                          <w:p w14:paraId="4FDCF6A1">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价偏差的方法</w:t>
                            </w:r>
                          </w:p>
                        </w:txbxContent>
                      </wps:txbx>
                      <wps:bodyPr upright="1"/>
                    </wps:wsp>
                  </a:graphicData>
                </a:graphic>
              </wp:anchor>
            </w:drawing>
          </mc:Choice>
          <mc:Fallback>
            <w:pict>
              <v:shape id="_x0000_s1026" o:spid="_x0000_s1026" o:spt="202" type="#_x0000_t202" style="position:absolute;left:0pt;margin-left:-9pt;margin-top:1.05pt;height:60.35pt;width:81pt;z-index:251963392;mso-width-relative:page;mso-height-relative:page;" filled="f" stroked="f" coordsize="21600,21600" o:gfxdata="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AM&#10;uQHWAAAACQEAAA8AAAAAAAAAAQAgAAAAIgAAAGRycy9kb3ducmV2LnhtbFBLAQIUABQAAAAIAIdO&#10;4kAs98W1swEAAGADAAAOAAAAAAAAAAEAIAAAACUBAABkcnMvZTJvRG9jLnhtbFBLBQYAAAAABgAG&#10;AFkBAABKBQAAAAA=&#10;">
                <v:fill on="f" focussize="0,0"/>
                <v:stroke on="f"/>
                <v:imagedata o:title=""/>
                <o:lock v:ext="edit" aspectratio="f"/>
                <v:textbox>
                  <w:txbxContent>
                    <w:p w14:paraId="777B43BE">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调整承包人报</w:t>
                      </w:r>
                    </w:p>
                    <w:p w14:paraId="4FDCF6A1">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价偏差的方法</w:t>
                      </w:r>
                    </w:p>
                  </w:txbxContent>
                </v:textbox>
              </v:shape>
            </w:pict>
          </mc:Fallback>
        </mc:AlternateContent>
      </w:r>
      <w:r>
        <w:rPr>
          <w:rFonts w:hint="eastAsia" w:ascii="宋体" w:hAnsi="宋体"/>
          <w:color w:val="auto"/>
          <w:sz w:val="24"/>
        </w:rPr>
        <w:t>工程量发生变化的分部分项工程项目，如承包人投标价分部分项清单项目填报的综合单价与发包人招标控制价或预算价相应清单项目的综合单价偏差超过一定幅度时，合同双方当事人应调整</w:t>
      </w:r>
      <w:r>
        <w:rPr>
          <w:rFonts w:hint="eastAsia" w:ascii="宋体" w:hAnsi="宋体"/>
          <w:color w:val="auto"/>
          <w:sz w:val="24"/>
          <w:szCs w:val="18"/>
        </w:rPr>
        <w:t>合同价款</w:t>
      </w:r>
      <w:r>
        <w:rPr>
          <w:rFonts w:hint="eastAsia" w:ascii="宋体" w:hAnsi="宋体"/>
          <w:color w:val="auto"/>
          <w:sz w:val="24"/>
        </w:rPr>
        <w:t>。调整工程价款时，合同双方当事人不利一方应事先向另一方提出，经合同双方当事人确认后执行。除专用条款另有约定外，应按照下列规定调整</w:t>
      </w:r>
      <w:r>
        <w:rPr>
          <w:rFonts w:hint="eastAsia" w:ascii="宋体" w:hAnsi="宋体"/>
          <w:color w:val="auto"/>
          <w:sz w:val="24"/>
          <w:szCs w:val="18"/>
        </w:rPr>
        <w:t>分部分项工程费</w:t>
      </w:r>
      <w:r>
        <w:rPr>
          <w:rFonts w:hint="eastAsia" w:ascii="宋体" w:hAnsi="宋体"/>
          <w:color w:val="auto"/>
          <w:sz w:val="24"/>
        </w:rPr>
        <w:t>：</w:t>
      </w:r>
    </w:p>
    <w:p w14:paraId="3F6BA765">
      <w:pPr>
        <w:pStyle w:val="2"/>
        <w:adjustRightInd w:val="0"/>
        <w:snapToGrid w:val="0"/>
        <w:spacing w:line="360" w:lineRule="auto"/>
        <w:ind w:left="1619" w:leftChars="771"/>
        <w:rPr>
          <w:rFonts w:hAnsi="宋体"/>
          <w:color w:val="auto"/>
          <w:sz w:val="24"/>
          <w:szCs w:val="18"/>
        </w:rPr>
      </w:pPr>
      <w:r>
        <w:rPr>
          <w:rFonts w:hAnsi="宋体"/>
          <w:color w:val="auto"/>
          <w:sz w:val="24"/>
          <w:szCs w:val="18"/>
        </w:rPr>
        <w:t>(1)</w:t>
      </w:r>
      <w:r>
        <w:rPr>
          <w:rFonts w:hint="eastAsia" w:hAnsi="宋体"/>
          <w:color w:val="auto"/>
          <w:sz w:val="24"/>
          <w:szCs w:val="18"/>
        </w:rPr>
        <w:t>当</w:t>
      </w:r>
      <w:r>
        <w:rPr>
          <w:rFonts w:hAnsi="宋体"/>
          <w:color w:val="auto"/>
          <w:sz w:val="24"/>
          <w:szCs w:val="18"/>
        </w:rPr>
        <w:t>P</w:t>
      </w:r>
      <w:r>
        <w:rPr>
          <w:rFonts w:hAnsi="宋体"/>
          <w:color w:val="auto"/>
          <w:sz w:val="24"/>
          <w:szCs w:val="24"/>
          <w:vertAlign w:val="subscript"/>
        </w:rPr>
        <w:t xml:space="preserve">0 </w:t>
      </w:r>
      <w:r>
        <w:rPr>
          <w:rFonts w:hAnsi="宋体"/>
          <w:color w:val="auto"/>
          <w:sz w:val="24"/>
          <w:szCs w:val="18"/>
        </w:rPr>
        <w:t>&lt;P</w:t>
      </w:r>
      <w:r>
        <w:rPr>
          <w:rFonts w:hAnsi="宋体"/>
          <w:color w:val="auto"/>
          <w:sz w:val="24"/>
          <w:szCs w:val="24"/>
          <w:vertAlign w:val="subscript"/>
        </w:rPr>
        <w:t>1</w:t>
      </w:r>
      <w:r>
        <w:rPr>
          <w:rFonts w:hint="eastAsia" w:hAnsi="宋体"/>
          <w:color w:val="auto"/>
          <w:sz w:val="24"/>
          <w:szCs w:val="18"/>
        </w:rPr>
        <w:t>×</w:t>
      </w:r>
      <w:r>
        <w:rPr>
          <w:rFonts w:hAnsi="宋体"/>
          <w:color w:val="auto"/>
          <w:sz w:val="24"/>
          <w:szCs w:val="18"/>
        </w:rPr>
        <w:t>(1-L)</w:t>
      </w:r>
      <w:r>
        <w:rPr>
          <w:rFonts w:hint="eastAsia" w:hAnsi="宋体"/>
          <w:color w:val="auto"/>
          <w:sz w:val="24"/>
          <w:szCs w:val="18"/>
        </w:rPr>
        <w:t>×</w:t>
      </w:r>
      <w:r>
        <w:rPr>
          <w:rFonts w:hAnsi="宋体"/>
          <w:color w:val="auto"/>
          <w:sz w:val="24"/>
          <w:szCs w:val="18"/>
        </w:rPr>
        <w:t>(1-15%)</w:t>
      </w:r>
      <w:r>
        <w:rPr>
          <w:rFonts w:hint="eastAsia" w:hAnsi="宋体"/>
          <w:color w:val="auto"/>
          <w:sz w:val="24"/>
          <w:szCs w:val="18"/>
        </w:rPr>
        <w:t>时，该类项目的综合单价按照</w:t>
      </w:r>
      <w:r>
        <w:rPr>
          <w:rFonts w:hAnsi="宋体"/>
          <w:color w:val="auto"/>
          <w:sz w:val="24"/>
          <w:szCs w:val="18"/>
        </w:rPr>
        <w:t>P</w:t>
      </w:r>
      <w:r>
        <w:rPr>
          <w:rFonts w:hAnsi="宋体"/>
          <w:color w:val="auto"/>
          <w:sz w:val="24"/>
          <w:szCs w:val="24"/>
          <w:vertAlign w:val="subscript"/>
        </w:rPr>
        <w:t>1</w:t>
      </w:r>
      <w:r>
        <w:rPr>
          <w:rFonts w:hint="eastAsia" w:hAnsi="宋体"/>
          <w:color w:val="auto"/>
          <w:sz w:val="24"/>
          <w:szCs w:val="18"/>
        </w:rPr>
        <w:t>×</w:t>
      </w:r>
      <w:r>
        <w:rPr>
          <w:rFonts w:hAnsi="宋体"/>
          <w:color w:val="auto"/>
          <w:sz w:val="24"/>
          <w:szCs w:val="18"/>
        </w:rPr>
        <w:t>(1-L)</w:t>
      </w:r>
      <w:r>
        <w:rPr>
          <w:rFonts w:hint="eastAsia" w:hAnsi="宋体"/>
          <w:color w:val="auto"/>
          <w:sz w:val="24"/>
          <w:szCs w:val="18"/>
        </w:rPr>
        <w:t>×</w:t>
      </w:r>
      <w:r>
        <w:rPr>
          <w:rFonts w:hAnsi="宋体"/>
          <w:color w:val="auto"/>
          <w:sz w:val="24"/>
          <w:szCs w:val="18"/>
        </w:rPr>
        <w:t>(1-15%)</w:t>
      </w:r>
      <w:r>
        <w:rPr>
          <w:rFonts w:hint="eastAsia" w:hAnsi="宋体"/>
          <w:color w:val="auto"/>
          <w:sz w:val="24"/>
          <w:szCs w:val="18"/>
        </w:rPr>
        <w:t>调整。</w:t>
      </w:r>
    </w:p>
    <w:p w14:paraId="6DAE0378">
      <w:pPr>
        <w:pStyle w:val="2"/>
        <w:adjustRightInd w:val="0"/>
        <w:snapToGrid w:val="0"/>
        <w:spacing w:line="360" w:lineRule="auto"/>
        <w:ind w:left="1619" w:leftChars="771"/>
        <w:rPr>
          <w:rFonts w:hAnsi="宋体"/>
          <w:color w:val="auto"/>
          <w:sz w:val="24"/>
          <w:szCs w:val="18"/>
        </w:rPr>
      </w:pPr>
      <w:r>
        <w:rPr>
          <w:rFonts w:hAnsi="宋体"/>
          <w:color w:val="auto"/>
          <w:sz w:val="24"/>
          <w:szCs w:val="18"/>
        </w:rPr>
        <w:t>(2)</w:t>
      </w:r>
      <w:r>
        <w:rPr>
          <w:rFonts w:hint="eastAsia" w:hAnsi="宋体"/>
          <w:color w:val="auto"/>
          <w:sz w:val="24"/>
          <w:szCs w:val="18"/>
        </w:rPr>
        <w:t>当</w:t>
      </w:r>
      <w:r>
        <w:rPr>
          <w:rFonts w:hAnsi="宋体"/>
          <w:color w:val="auto"/>
          <w:sz w:val="24"/>
          <w:szCs w:val="18"/>
        </w:rPr>
        <w:t>P</w:t>
      </w:r>
      <w:r>
        <w:rPr>
          <w:rFonts w:hAnsi="宋体"/>
          <w:color w:val="auto"/>
          <w:sz w:val="24"/>
          <w:szCs w:val="24"/>
          <w:vertAlign w:val="subscript"/>
        </w:rPr>
        <w:t xml:space="preserve">0 </w:t>
      </w:r>
      <w:r>
        <w:rPr>
          <w:rFonts w:hAnsi="宋体"/>
          <w:color w:val="auto"/>
          <w:sz w:val="24"/>
          <w:szCs w:val="18"/>
        </w:rPr>
        <w:t>&gt;P</w:t>
      </w:r>
      <w:r>
        <w:rPr>
          <w:rFonts w:hAnsi="宋体"/>
          <w:color w:val="auto"/>
          <w:sz w:val="24"/>
          <w:szCs w:val="24"/>
          <w:vertAlign w:val="subscript"/>
        </w:rPr>
        <w:t>1</w:t>
      </w:r>
      <w:r>
        <w:rPr>
          <w:rFonts w:hint="eastAsia" w:hAnsi="宋体"/>
          <w:color w:val="auto"/>
          <w:sz w:val="24"/>
          <w:szCs w:val="18"/>
        </w:rPr>
        <w:t>×</w:t>
      </w:r>
      <w:r>
        <w:rPr>
          <w:rFonts w:hAnsi="宋体"/>
          <w:color w:val="auto"/>
          <w:sz w:val="24"/>
          <w:szCs w:val="18"/>
        </w:rPr>
        <w:t xml:space="preserve"> (1+15%)</w:t>
      </w:r>
      <w:r>
        <w:rPr>
          <w:rFonts w:hint="eastAsia" w:hAnsi="宋体"/>
          <w:color w:val="auto"/>
          <w:sz w:val="24"/>
          <w:szCs w:val="18"/>
        </w:rPr>
        <w:t>时，该类项目的综合单价按照</w:t>
      </w:r>
      <w:r>
        <w:rPr>
          <w:rFonts w:hAnsi="宋体"/>
          <w:color w:val="auto"/>
          <w:sz w:val="24"/>
          <w:szCs w:val="18"/>
        </w:rPr>
        <w:t>P</w:t>
      </w:r>
      <w:r>
        <w:rPr>
          <w:rFonts w:hAnsi="宋体"/>
          <w:color w:val="auto"/>
          <w:sz w:val="24"/>
          <w:szCs w:val="24"/>
          <w:vertAlign w:val="subscript"/>
        </w:rPr>
        <w:t>1</w:t>
      </w:r>
      <w:r>
        <w:rPr>
          <w:rFonts w:hint="eastAsia" w:hAnsi="宋体"/>
          <w:color w:val="auto"/>
          <w:sz w:val="24"/>
          <w:szCs w:val="18"/>
        </w:rPr>
        <w:t>×（</w:t>
      </w:r>
      <w:r>
        <w:rPr>
          <w:rFonts w:hAnsi="宋体"/>
          <w:color w:val="auto"/>
          <w:sz w:val="24"/>
          <w:szCs w:val="18"/>
        </w:rPr>
        <w:t>1+15%)</w:t>
      </w:r>
      <w:r>
        <w:rPr>
          <w:rFonts w:hint="eastAsia" w:hAnsi="宋体"/>
          <w:color w:val="auto"/>
          <w:sz w:val="24"/>
          <w:szCs w:val="18"/>
        </w:rPr>
        <w:t>调整。</w:t>
      </w:r>
    </w:p>
    <w:p w14:paraId="57F41522">
      <w:pPr>
        <w:pStyle w:val="2"/>
        <w:adjustRightInd w:val="0"/>
        <w:snapToGrid w:val="0"/>
        <w:spacing w:line="360" w:lineRule="auto"/>
        <w:ind w:firstLine="1620" w:firstLineChars="675"/>
        <w:rPr>
          <w:rFonts w:hAnsi="宋体"/>
          <w:color w:val="auto"/>
          <w:sz w:val="24"/>
          <w:szCs w:val="18"/>
        </w:rPr>
      </w:pPr>
      <w:r>
        <w:rPr>
          <w:rFonts w:hint="eastAsia" w:hAnsi="宋体"/>
          <w:color w:val="auto"/>
          <w:sz w:val="24"/>
          <w:szCs w:val="18"/>
        </w:rPr>
        <w:t>式中：</w:t>
      </w:r>
      <w:r>
        <w:rPr>
          <w:rFonts w:hAnsi="宋体"/>
          <w:color w:val="auto"/>
          <w:sz w:val="24"/>
          <w:szCs w:val="18"/>
        </w:rPr>
        <w:t>P</w:t>
      </w:r>
      <w:r>
        <w:rPr>
          <w:rFonts w:hAnsi="宋体"/>
          <w:color w:val="auto"/>
          <w:sz w:val="24"/>
          <w:szCs w:val="24"/>
          <w:vertAlign w:val="subscript"/>
        </w:rPr>
        <w:t>0</w:t>
      </w:r>
      <w:r>
        <w:rPr>
          <w:rFonts w:hAnsi="宋体"/>
          <w:color w:val="auto"/>
          <w:sz w:val="24"/>
          <w:szCs w:val="18"/>
        </w:rPr>
        <w:t>——</w:t>
      </w:r>
      <w:r>
        <w:rPr>
          <w:rFonts w:hint="eastAsia" w:hAnsi="宋体"/>
          <w:color w:val="auto"/>
          <w:sz w:val="24"/>
          <w:szCs w:val="18"/>
        </w:rPr>
        <w:t>承包人在工程量清单中填报的综合单价。</w:t>
      </w:r>
    </w:p>
    <w:p w14:paraId="0E6B1273">
      <w:pPr>
        <w:pStyle w:val="2"/>
        <w:adjustRightInd w:val="0"/>
        <w:snapToGrid w:val="0"/>
        <w:spacing w:line="360" w:lineRule="auto"/>
        <w:ind w:firstLine="2340" w:firstLineChars="975"/>
        <w:rPr>
          <w:rFonts w:hAnsi="宋体"/>
          <w:color w:val="auto"/>
          <w:sz w:val="24"/>
          <w:szCs w:val="18"/>
        </w:rPr>
      </w:pPr>
      <w:r>
        <w:rPr>
          <w:rFonts w:hAnsi="宋体"/>
          <w:color w:val="auto"/>
          <w:sz w:val="24"/>
          <w:szCs w:val="18"/>
        </w:rPr>
        <w:t>P</w:t>
      </w:r>
      <w:r>
        <w:rPr>
          <w:rFonts w:hAnsi="宋体"/>
          <w:color w:val="auto"/>
          <w:sz w:val="24"/>
          <w:szCs w:val="24"/>
          <w:vertAlign w:val="subscript"/>
        </w:rPr>
        <w:t>1</w:t>
      </w:r>
      <w:r>
        <w:rPr>
          <w:rFonts w:hAnsi="宋体"/>
          <w:color w:val="auto"/>
          <w:sz w:val="24"/>
          <w:szCs w:val="18"/>
        </w:rPr>
        <w:t>——</w:t>
      </w:r>
      <w:r>
        <w:rPr>
          <w:rFonts w:hint="eastAsia" w:hAnsi="宋体"/>
          <w:color w:val="auto"/>
          <w:sz w:val="24"/>
          <w:szCs w:val="18"/>
        </w:rPr>
        <w:t>发包人招标控制价或施工预算相应清单项目的综合单价。</w:t>
      </w:r>
    </w:p>
    <w:p w14:paraId="1A2D6155">
      <w:pPr>
        <w:pStyle w:val="2"/>
        <w:adjustRightInd w:val="0"/>
        <w:snapToGrid w:val="0"/>
        <w:spacing w:line="360" w:lineRule="auto"/>
        <w:ind w:firstLine="2340" w:firstLineChars="975"/>
        <w:rPr>
          <w:rFonts w:hAnsi="宋体"/>
          <w:b/>
          <w:color w:val="auto"/>
          <w:sz w:val="24"/>
          <w:szCs w:val="18"/>
        </w:rPr>
      </w:pPr>
      <w:r>
        <w:rPr>
          <w:rFonts w:hAnsi="宋体"/>
          <w:color w:val="auto"/>
          <w:sz w:val="24"/>
          <w:szCs w:val="18"/>
        </w:rPr>
        <w:t>L——</w:t>
      </w:r>
      <w:r>
        <w:rPr>
          <w:rFonts w:hint="eastAsia" w:hAnsi="宋体"/>
          <w:color w:val="auto"/>
          <w:sz w:val="24"/>
          <w:szCs w:val="18"/>
        </w:rPr>
        <w:t>第</w:t>
      </w:r>
      <w:r>
        <w:rPr>
          <w:rFonts w:hAnsi="宋体"/>
          <w:color w:val="auto"/>
          <w:sz w:val="24"/>
          <w:szCs w:val="18"/>
        </w:rPr>
        <w:t>72.2</w:t>
      </w:r>
      <w:r>
        <w:rPr>
          <w:rFonts w:hint="eastAsia" w:hAnsi="宋体"/>
          <w:color w:val="auto"/>
          <w:sz w:val="24"/>
          <w:szCs w:val="18"/>
        </w:rPr>
        <w:t>款规定的承包人报价浮动率。</w:t>
      </w:r>
    </w:p>
    <w:p w14:paraId="1955E012">
      <w:pPr>
        <w:pStyle w:val="2"/>
        <w:adjustRightInd w:val="0"/>
        <w:snapToGrid w:val="0"/>
        <w:spacing w:line="360" w:lineRule="auto"/>
        <w:rPr>
          <w:rFonts w:hAnsi="宋体"/>
          <w:b/>
          <w:color w:val="auto"/>
          <w:sz w:val="24"/>
          <w:szCs w:val="18"/>
        </w:rPr>
      </w:pPr>
      <w:r>
        <w:rPr>
          <w:rFonts w:hAnsi="宋体"/>
          <w:b/>
          <w:color w:val="auto"/>
          <w:sz w:val="24"/>
          <w:szCs w:val="18"/>
        </w:rPr>
        <w:t xml:space="preserve">72.5  </w:t>
      </w:r>
    </w:p>
    <w:p w14:paraId="651286AA">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1964416" behindDoc="0" locked="0" layoutInCell="1" allowOverlap="1">
                <wp:simplePos x="0" y="0"/>
                <wp:positionH relativeFrom="column">
                  <wp:posOffset>-114300</wp:posOffset>
                </wp:positionH>
                <wp:positionV relativeFrom="paragraph">
                  <wp:posOffset>45720</wp:posOffset>
                </wp:positionV>
                <wp:extent cx="914400" cy="396240"/>
                <wp:effectExtent l="0" t="0" r="0" b="0"/>
                <wp:wrapNone/>
                <wp:docPr id="346" name="文本框 346"/>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3DA3723A">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删减工作或工程的补偿</w:t>
                            </w:r>
                          </w:p>
                        </w:txbxContent>
                      </wps:txbx>
                      <wps:bodyPr upright="1"/>
                    </wps:wsp>
                  </a:graphicData>
                </a:graphic>
              </wp:anchor>
            </w:drawing>
          </mc:Choice>
          <mc:Fallback>
            <w:pict>
              <v:shape id="_x0000_s1026" o:spid="_x0000_s1026" o:spt="202" type="#_x0000_t202" style="position:absolute;left:0pt;margin-left:-9pt;margin-top:3.6pt;height:31.2pt;width:72pt;z-index:251964416;mso-width-relative:page;mso-height-relative:page;" filled="f" stroked="f" coordsize="21600,21600" o:gfxdata="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KU9&#10;LTfVAAAACAEAAA8AAAAAAAAAAQAgAAAAIgAAAGRycy9kb3ducmV2LnhtbFBLAQIUABQAAAAIAIdO&#10;4kAXQCBwtAEAAF8DAAAOAAAAAAAAAAEAIAAAACQBAABkcnMvZTJvRG9jLnhtbFBLBQYAAAAABgAG&#10;AFkBAABKBQAAAAA=&#10;">
                <v:fill on="f" focussize="0,0"/>
                <v:stroke on="f"/>
                <v:imagedata o:title=""/>
                <o:lock v:ext="edit" aspectratio="f"/>
                <v:textbox>
                  <w:txbxContent>
                    <w:p w14:paraId="3DA3723A">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删减工作或工程的补偿</w:t>
                      </w:r>
                    </w:p>
                  </w:txbxContent>
                </v:textbox>
              </v:shape>
            </w:pict>
          </mc:Fallback>
        </mc:AlternateContent>
      </w:r>
      <w:r>
        <w:rPr>
          <w:rFonts w:hint="eastAsia" w:hAnsi="宋体"/>
          <w:color w:val="auto"/>
          <w:sz w:val="24"/>
          <w:szCs w:val="18"/>
        </w:rPr>
        <w:t>如果因为非承包人原因删减了合同中的某项原定工作或工程，致使承包人发生的费用或</w:t>
      </w:r>
      <w:r>
        <w:rPr>
          <w:rFonts w:hAnsi="宋体"/>
          <w:color w:val="auto"/>
          <w:sz w:val="24"/>
          <w:szCs w:val="18"/>
        </w:rPr>
        <w:t>(</w:t>
      </w:r>
      <w:r>
        <w:rPr>
          <w:rFonts w:hint="eastAsia" w:hAnsi="宋体"/>
          <w:color w:val="auto"/>
          <w:sz w:val="24"/>
          <w:szCs w:val="18"/>
        </w:rPr>
        <w:t>和</w:t>
      </w:r>
      <w:r>
        <w:rPr>
          <w:rFonts w:hAnsi="宋体"/>
          <w:color w:val="auto"/>
          <w:sz w:val="24"/>
          <w:szCs w:val="18"/>
        </w:rPr>
        <w:t>)</w:t>
      </w:r>
      <w:r>
        <w:rPr>
          <w:rFonts w:hint="eastAsia" w:hAnsi="宋体"/>
          <w:color w:val="auto"/>
          <w:sz w:val="24"/>
          <w:szCs w:val="18"/>
        </w:rPr>
        <w:t>得到的收益不能被包括在其他已支付或应支付的项目中，也未被包含在任何替代的工作或工程中，则承包人有权按照本条规定提出并得到补偿。</w:t>
      </w:r>
    </w:p>
    <w:p w14:paraId="24F3E5BF">
      <w:pPr>
        <w:pStyle w:val="2"/>
        <w:adjustRightInd w:val="0"/>
        <w:snapToGrid w:val="0"/>
        <w:spacing w:line="360" w:lineRule="auto"/>
        <w:ind w:right="-238"/>
        <w:rPr>
          <w:color w:val="auto"/>
        </w:rPr>
      </w:pPr>
    </w:p>
    <w:p w14:paraId="76CB5B72">
      <w:pPr>
        <w:pStyle w:val="2"/>
        <w:tabs>
          <w:tab w:val="left" w:pos="540"/>
        </w:tabs>
        <w:adjustRightInd w:val="0"/>
        <w:snapToGrid w:val="0"/>
        <w:spacing w:before="240" w:beforeLines="100" w:line="360" w:lineRule="auto"/>
        <w:ind w:right="-238"/>
        <w:rPr>
          <w:rFonts w:hAnsi="宋体"/>
          <w:b/>
          <w:color w:val="auto"/>
          <w:sz w:val="30"/>
          <w:szCs w:val="24"/>
        </w:rPr>
      </w:pPr>
      <w:r>
        <w:rPr>
          <w:rFonts w:hAnsi="宋体"/>
          <w:b/>
          <w:color w:val="auto"/>
          <w:sz w:val="30"/>
          <w:szCs w:val="24"/>
        </w:rPr>
        <w:t xml:space="preserve">73  </w:t>
      </w:r>
      <w:r>
        <w:rPr>
          <w:rFonts w:hint="eastAsia" w:hAnsi="宋体"/>
          <w:b/>
          <w:color w:val="auto"/>
          <w:sz w:val="30"/>
          <w:szCs w:val="24"/>
        </w:rPr>
        <w:t>工程量偏差事件</w:t>
      </w:r>
    </w:p>
    <w:p w14:paraId="228EAC21">
      <w:pPr>
        <w:pStyle w:val="2"/>
        <w:adjustRightInd w:val="0"/>
        <w:snapToGrid w:val="0"/>
        <w:spacing w:line="360" w:lineRule="auto"/>
        <w:rPr>
          <w:rFonts w:hAnsi="宋体"/>
          <w:b/>
          <w:color w:val="auto"/>
          <w:sz w:val="24"/>
          <w:szCs w:val="18"/>
        </w:rPr>
      </w:pPr>
      <w:r>
        <w:rPr>
          <w:rFonts w:hAnsi="宋体"/>
          <w:b/>
          <w:color w:val="auto"/>
          <w:sz w:val="24"/>
          <w:szCs w:val="18"/>
        </w:rPr>
        <w:t>73.1</w:t>
      </w:r>
    </w:p>
    <w:p w14:paraId="328E1C1D">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1965440" behindDoc="0" locked="0" layoutInCell="1" allowOverlap="1">
                <wp:simplePos x="0" y="0"/>
                <wp:positionH relativeFrom="column">
                  <wp:posOffset>-114300</wp:posOffset>
                </wp:positionH>
                <wp:positionV relativeFrom="paragraph">
                  <wp:posOffset>1905</wp:posOffset>
                </wp:positionV>
                <wp:extent cx="1028700" cy="760095"/>
                <wp:effectExtent l="0" t="0" r="0" b="0"/>
                <wp:wrapNone/>
                <wp:docPr id="347" name="文本框 347"/>
                <wp:cNvGraphicFramePr/>
                <a:graphic xmlns:a="http://schemas.openxmlformats.org/drawingml/2006/main">
                  <a:graphicData uri="http://schemas.microsoft.com/office/word/2010/wordprocessingShape">
                    <wps:wsp>
                      <wps:cNvSpPr txBox="1"/>
                      <wps:spPr>
                        <a:xfrm>
                          <a:off x="0" y="0"/>
                          <a:ext cx="1028700" cy="760095"/>
                        </a:xfrm>
                        <a:prstGeom prst="rect">
                          <a:avLst/>
                        </a:prstGeom>
                        <a:noFill/>
                        <a:ln>
                          <a:noFill/>
                        </a:ln>
                        <a:effectLst/>
                      </wps:spPr>
                      <wps:txbx>
                        <w:txbxContent>
                          <w:p w14:paraId="392239FD">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工程量偏差价</w:t>
                            </w:r>
                          </w:p>
                          <w:p w14:paraId="5B1E404F">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款调整</w:t>
                            </w:r>
                          </w:p>
                        </w:txbxContent>
                      </wps:txbx>
                      <wps:bodyPr upright="1"/>
                    </wps:wsp>
                  </a:graphicData>
                </a:graphic>
              </wp:anchor>
            </w:drawing>
          </mc:Choice>
          <mc:Fallback>
            <w:pict>
              <v:shape id="_x0000_s1026" o:spid="_x0000_s1026" o:spt="202" type="#_x0000_t202" style="position:absolute;left:0pt;margin-left:-9pt;margin-top:0.15pt;height:59.85pt;width:81pt;z-index:251965440;mso-width-relative:page;mso-height-relative:page;" filled="f" stroked="f" coordsize="21600,21600" o:gfxdata="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589U7U&#10;AAAACAEAAA8AAAAAAAAAAQAgAAAAIgAAAGRycy9kb3ducmV2LnhtbFBLAQIUABQAAAAIAIdO4kDA&#10;OHTGsgEAAGADAAAOAAAAAAAAAAEAIAAAACMBAABkcnMvZTJvRG9jLnhtbFBLBQYAAAAABgAGAFkB&#10;AABHBQAAAAA=&#10;">
                <v:fill on="f" focussize="0,0"/>
                <v:stroke on="f"/>
                <v:imagedata o:title=""/>
                <o:lock v:ext="edit" aspectratio="f"/>
                <v:textbox>
                  <w:txbxContent>
                    <w:p w14:paraId="392239FD">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工程量偏差价</w:t>
                      </w:r>
                    </w:p>
                    <w:p w14:paraId="5B1E404F">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款调整</w:t>
                      </w:r>
                    </w:p>
                  </w:txbxContent>
                </v:textbox>
              </v:shape>
            </w:pict>
          </mc:Fallback>
        </mc:AlternateContent>
      </w:r>
      <w:r>
        <w:rPr>
          <w:rFonts w:hint="eastAsia" w:hAnsi="宋体"/>
          <w:color w:val="auto"/>
          <w:sz w:val="24"/>
          <w:szCs w:val="18"/>
        </w:rPr>
        <w:t>工程量偏差是指承包人按照合同签订时的图纸（含经发包人批准由承包人提供的施工设计图纸和履行本合同的相关大样图等）实施、完成合同工程的应予计量的实际工程量与工程量清单开列的工程量之间的偏差。</w:t>
      </w:r>
    </w:p>
    <w:p w14:paraId="27041C84">
      <w:pPr>
        <w:pStyle w:val="2"/>
        <w:adjustRightInd w:val="0"/>
        <w:snapToGrid w:val="0"/>
        <w:spacing w:line="360" w:lineRule="auto"/>
        <w:ind w:left="1619" w:leftChars="771"/>
        <w:rPr>
          <w:rFonts w:hAnsi="宋体"/>
          <w:color w:val="auto"/>
          <w:sz w:val="24"/>
          <w:szCs w:val="18"/>
        </w:rPr>
      </w:pPr>
      <w:r>
        <w:rPr>
          <w:rFonts w:hint="eastAsia" w:hAnsi="宋体"/>
          <w:color w:val="auto"/>
          <w:sz w:val="24"/>
          <w:szCs w:val="18"/>
        </w:rPr>
        <w:t>合同履行期间，出现工程量偏差，且符合第</w:t>
      </w:r>
      <w:r>
        <w:rPr>
          <w:rFonts w:hAnsi="宋体"/>
          <w:color w:val="auto"/>
          <w:sz w:val="24"/>
          <w:szCs w:val="18"/>
        </w:rPr>
        <w:t>73.2</w:t>
      </w:r>
      <w:r>
        <w:rPr>
          <w:rFonts w:hint="eastAsia" w:hAnsi="宋体"/>
          <w:color w:val="auto"/>
          <w:sz w:val="24"/>
          <w:szCs w:val="18"/>
        </w:rPr>
        <w:t>款、第</w:t>
      </w:r>
      <w:r>
        <w:rPr>
          <w:rFonts w:hAnsi="宋体"/>
          <w:color w:val="auto"/>
          <w:sz w:val="24"/>
          <w:szCs w:val="18"/>
        </w:rPr>
        <w:t>73.3</w:t>
      </w:r>
      <w:r>
        <w:rPr>
          <w:rFonts w:hint="eastAsia" w:hAnsi="宋体"/>
          <w:color w:val="auto"/>
          <w:sz w:val="24"/>
          <w:szCs w:val="18"/>
        </w:rPr>
        <w:t>款规定事件的，合同双方当事人应调整合同价款。调整合同价款时，出现第</w:t>
      </w:r>
      <w:r>
        <w:rPr>
          <w:rFonts w:hAnsi="宋体"/>
          <w:color w:val="auto"/>
          <w:sz w:val="24"/>
          <w:szCs w:val="18"/>
        </w:rPr>
        <w:t>72.4</w:t>
      </w:r>
      <w:r>
        <w:rPr>
          <w:rFonts w:hint="eastAsia" w:hAnsi="宋体"/>
          <w:color w:val="auto"/>
          <w:sz w:val="24"/>
          <w:szCs w:val="18"/>
        </w:rPr>
        <w:t>款情形的，应先按照其规定调整，再按照本条规定调整。</w:t>
      </w:r>
    </w:p>
    <w:p w14:paraId="1AF50409">
      <w:pPr>
        <w:pStyle w:val="2"/>
        <w:adjustRightInd w:val="0"/>
        <w:snapToGrid w:val="0"/>
        <w:spacing w:line="360" w:lineRule="auto"/>
        <w:rPr>
          <w:rFonts w:hAnsi="宋体"/>
          <w:b/>
          <w:color w:val="auto"/>
          <w:sz w:val="24"/>
          <w:szCs w:val="18"/>
        </w:rPr>
      </w:pPr>
      <w:r>
        <w:rPr>
          <w:rFonts w:hAnsi="宋体"/>
          <w:b/>
          <w:color w:val="auto"/>
          <w:sz w:val="24"/>
          <w:szCs w:val="18"/>
        </w:rPr>
        <w:t xml:space="preserve">73.2  </w:t>
      </w:r>
    </w:p>
    <w:p w14:paraId="516D3260">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1966464" behindDoc="0" locked="0" layoutInCell="1" allowOverlap="1">
                <wp:simplePos x="0" y="0"/>
                <wp:positionH relativeFrom="column">
                  <wp:posOffset>-114300</wp:posOffset>
                </wp:positionH>
                <wp:positionV relativeFrom="paragraph">
                  <wp:posOffset>26670</wp:posOffset>
                </wp:positionV>
                <wp:extent cx="914400" cy="444500"/>
                <wp:effectExtent l="0" t="0" r="0" b="0"/>
                <wp:wrapNone/>
                <wp:docPr id="348" name="文本框 348"/>
                <wp:cNvGraphicFramePr/>
                <a:graphic xmlns:a="http://schemas.openxmlformats.org/drawingml/2006/main">
                  <a:graphicData uri="http://schemas.microsoft.com/office/word/2010/wordprocessingShape">
                    <wps:wsp>
                      <wps:cNvSpPr txBox="1"/>
                      <wps:spPr>
                        <a:xfrm>
                          <a:off x="0" y="0"/>
                          <a:ext cx="914400" cy="444500"/>
                        </a:xfrm>
                        <a:prstGeom prst="rect">
                          <a:avLst/>
                        </a:prstGeom>
                        <a:noFill/>
                        <a:ln>
                          <a:noFill/>
                        </a:ln>
                        <a:effectLst/>
                      </wps:spPr>
                      <wps:txbx>
                        <w:txbxContent>
                          <w:p w14:paraId="1B5D51A9">
                            <w:pPr>
                              <w:pStyle w:val="5"/>
                              <w:spacing w:line="200" w:lineRule="exact"/>
                              <w:rPr>
                                <w:rFonts w:ascii="宋体"/>
                                <w:sz w:val="18"/>
                                <w:szCs w:val="18"/>
                              </w:rPr>
                            </w:pPr>
                            <w:r>
                              <w:rPr>
                                <w:rFonts w:hint="eastAsia" w:ascii="楷体_GB2312" w:hAnsi="宋体" w:eastAsia="楷体_GB2312"/>
                                <w:b/>
                                <w:color w:val="000000"/>
                                <w:sz w:val="18"/>
                                <w:szCs w:val="18"/>
                              </w:rPr>
                              <w:t>调整分部分项工程费的方法</w:t>
                            </w:r>
                          </w:p>
                        </w:txbxContent>
                      </wps:txbx>
                      <wps:bodyPr upright="1"/>
                    </wps:wsp>
                  </a:graphicData>
                </a:graphic>
              </wp:anchor>
            </w:drawing>
          </mc:Choice>
          <mc:Fallback>
            <w:pict>
              <v:shape id="_x0000_s1026" o:spid="_x0000_s1026" o:spt="202" type="#_x0000_t202" style="position:absolute;left:0pt;margin-left:-9pt;margin-top:2.1pt;height:35pt;width:72pt;z-index:251966464;mso-width-relative:page;mso-height-relative:page;" filled="f" stroked="f" coordsize="21600,21600" o:gfxdata="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Uiq+t&#10;1QAAAAgBAAAPAAAAAAAAAAEAIAAAACIAAABkcnMvZG93bnJldi54bWxQSwECFAAUAAAACACHTuJA&#10;ZCEoULIBAABfAwAADgAAAAAAAAABACAAAAAkAQAAZHJzL2Uyb0RvYy54bWxQSwUGAAAAAAYABgBZ&#10;AQAASAUAAAAA&#10;">
                <v:fill on="f" focussize="0,0"/>
                <v:stroke on="f"/>
                <v:imagedata o:title=""/>
                <o:lock v:ext="edit" aspectratio="f"/>
                <v:textbox>
                  <w:txbxContent>
                    <w:p w14:paraId="1B5D51A9">
                      <w:pPr>
                        <w:pStyle w:val="5"/>
                        <w:spacing w:line="200" w:lineRule="exact"/>
                        <w:rPr>
                          <w:rFonts w:ascii="宋体"/>
                          <w:sz w:val="18"/>
                          <w:szCs w:val="18"/>
                        </w:rPr>
                      </w:pPr>
                      <w:r>
                        <w:rPr>
                          <w:rFonts w:hint="eastAsia" w:ascii="楷体_GB2312" w:hAnsi="宋体" w:eastAsia="楷体_GB2312"/>
                          <w:b/>
                          <w:color w:val="000000"/>
                          <w:sz w:val="18"/>
                          <w:szCs w:val="18"/>
                        </w:rPr>
                        <w:t>调整分部分项工程费的方法</w:t>
                      </w:r>
                    </w:p>
                  </w:txbxContent>
                </v:textbox>
              </v:shape>
            </w:pict>
          </mc:Fallback>
        </mc:AlternateContent>
      </w:r>
      <w:r>
        <w:rPr>
          <w:rFonts w:hint="eastAsia" w:hAnsi="宋体"/>
          <w:color w:val="auto"/>
          <w:sz w:val="24"/>
          <w:szCs w:val="18"/>
        </w:rPr>
        <w:t>对于某一分部分项工程项目，如果因本条规定工程量偏差和第</w:t>
      </w:r>
      <w:r>
        <w:rPr>
          <w:rFonts w:hAnsi="宋体"/>
          <w:color w:val="auto"/>
          <w:sz w:val="24"/>
          <w:szCs w:val="18"/>
        </w:rPr>
        <w:t>56</w:t>
      </w:r>
      <w:r>
        <w:rPr>
          <w:rFonts w:hint="eastAsia" w:hAnsi="宋体"/>
          <w:color w:val="auto"/>
          <w:sz w:val="24"/>
          <w:szCs w:val="18"/>
        </w:rPr>
        <w:t>条规定工程变更等原因导致工程量偏差超过</w:t>
      </w:r>
      <w:r>
        <w:rPr>
          <w:rFonts w:hAnsi="宋体"/>
          <w:color w:val="auto"/>
          <w:sz w:val="24"/>
          <w:szCs w:val="18"/>
        </w:rPr>
        <w:t>10%</w:t>
      </w:r>
      <w:r>
        <w:rPr>
          <w:rFonts w:hint="eastAsia" w:hAnsi="宋体"/>
          <w:color w:val="auto"/>
          <w:sz w:val="24"/>
          <w:szCs w:val="18"/>
        </w:rPr>
        <w:t>，且该变化使其分部分项工程费变化超过</w:t>
      </w:r>
      <w:r>
        <w:rPr>
          <w:rFonts w:hAnsi="宋体"/>
          <w:color w:val="auto"/>
          <w:sz w:val="24"/>
          <w:szCs w:val="18"/>
        </w:rPr>
        <w:t>0.1%</w:t>
      </w:r>
      <w:r>
        <w:rPr>
          <w:rFonts w:hint="eastAsia" w:hAnsi="宋体"/>
          <w:color w:val="auto"/>
          <w:sz w:val="24"/>
          <w:szCs w:val="18"/>
        </w:rPr>
        <w:t>，则超过</w:t>
      </w:r>
      <w:r>
        <w:rPr>
          <w:rFonts w:hAnsi="宋体"/>
          <w:color w:val="auto"/>
          <w:sz w:val="24"/>
          <w:szCs w:val="18"/>
        </w:rPr>
        <w:t>10%</w:t>
      </w:r>
      <w:r>
        <w:rPr>
          <w:rFonts w:hint="eastAsia" w:hAnsi="宋体"/>
          <w:color w:val="auto"/>
          <w:sz w:val="24"/>
          <w:szCs w:val="18"/>
        </w:rPr>
        <w:t>部分的综合单价应予调整。除专用条款另有约定外，应按照下列规定调整该分部分项工程费结算价：</w:t>
      </w:r>
    </w:p>
    <w:p w14:paraId="588EC04D">
      <w:pPr>
        <w:pStyle w:val="2"/>
        <w:adjustRightInd w:val="0"/>
        <w:snapToGrid w:val="0"/>
        <w:spacing w:line="360" w:lineRule="auto"/>
        <w:ind w:left="2145" w:leftChars="707" w:hanging="660" w:hangingChars="275"/>
        <w:rPr>
          <w:rFonts w:hAnsi="宋体"/>
          <w:iCs/>
          <w:color w:val="auto"/>
          <w:sz w:val="24"/>
          <w:szCs w:val="18"/>
        </w:rPr>
      </w:pPr>
      <w:r>
        <w:rPr>
          <w:rFonts w:hint="eastAsia" w:hAnsi="宋体"/>
          <w:color w:val="auto"/>
          <w:sz w:val="24"/>
          <w:szCs w:val="18"/>
        </w:rPr>
        <w:t>（</w:t>
      </w:r>
      <w:r>
        <w:rPr>
          <w:rFonts w:hAnsi="宋体"/>
          <w:color w:val="auto"/>
          <w:sz w:val="24"/>
          <w:szCs w:val="18"/>
        </w:rPr>
        <w:t>1</w:t>
      </w:r>
      <w:r>
        <w:rPr>
          <w:rFonts w:hint="eastAsia" w:hAnsi="宋体"/>
          <w:color w:val="auto"/>
          <w:sz w:val="24"/>
          <w:szCs w:val="18"/>
        </w:rPr>
        <w:t>）当</w:t>
      </w:r>
      <w:r>
        <w:rPr>
          <w:rFonts w:hAnsi="宋体"/>
          <w:iCs/>
          <w:color w:val="auto"/>
          <w:sz w:val="24"/>
          <w:szCs w:val="18"/>
        </w:rPr>
        <w:t>Q</w:t>
      </w:r>
      <w:r>
        <w:rPr>
          <w:rFonts w:hAnsi="宋体"/>
          <w:iCs/>
          <w:color w:val="auto"/>
          <w:sz w:val="24"/>
          <w:szCs w:val="18"/>
          <w:vertAlign w:val="subscript"/>
        </w:rPr>
        <w:t>1</w:t>
      </w:r>
      <w:r>
        <w:rPr>
          <w:rFonts w:hint="eastAsia" w:hAnsi="宋体"/>
          <w:iCs/>
          <w:color w:val="auto"/>
          <w:sz w:val="24"/>
          <w:szCs w:val="18"/>
        </w:rPr>
        <w:t>﹥</w:t>
      </w:r>
      <w:r>
        <w:rPr>
          <w:rFonts w:hAnsi="宋体"/>
          <w:color w:val="auto"/>
          <w:sz w:val="24"/>
          <w:szCs w:val="18"/>
        </w:rPr>
        <w:t>1.1</w:t>
      </w:r>
      <w:r>
        <w:rPr>
          <w:rFonts w:hAnsi="宋体"/>
          <w:iCs/>
          <w:color w:val="auto"/>
          <w:sz w:val="24"/>
          <w:szCs w:val="18"/>
        </w:rPr>
        <w:t>Q</w:t>
      </w:r>
      <w:r>
        <w:rPr>
          <w:rFonts w:hAnsi="宋体"/>
          <w:iCs/>
          <w:color w:val="auto"/>
          <w:sz w:val="24"/>
          <w:szCs w:val="18"/>
          <w:vertAlign w:val="subscript"/>
        </w:rPr>
        <w:t>0</w:t>
      </w:r>
      <w:r>
        <w:rPr>
          <w:rFonts w:hint="eastAsia" w:hAnsi="宋体"/>
          <w:color w:val="auto"/>
          <w:sz w:val="24"/>
          <w:szCs w:val="18"/>
        </w:rPr>
        <w:t>时，</w:t>
      </w:r>
      <w:r>
        <w:rPr>
          <w:rFonts w:hAnsi="宋体"/>
          <w:color w:val="auto"/>
          <w:sz w:val="24"/>
          <w:szCs w:val="18"/>
        </w:rPr>
        <w:t>S</w:t>
      </w:r>
      <w:r>
        <w:rPr>
          <w:rFonts w:hAnsi="宋体"/>
          <w:iCs/>
          <w:color w:val="auto"/>
          <w:sz w:val="24"/>
          <w:szCs w:val="18"/>
        </w:rPr>
        <w:t>=</w:t>
      </w:r>
      <w:r>
        <w:rPr>
          <w:rFonts w:hAnsi="宋体"/>
          <w:color w:val="auto"/>
          <w:sz w:val="24"/>
          <w:szCs w:val="18"/>
        </w:rPr>
        <w:t>1.1</w:t>
      </w:r>
      <w:r>
        <w:rPr>
          <w:rFonts w:hAnsi="宋体"/>
          <w:iCs/>
          <w:color w:val="auto"/>
          <w:sz w:val="24"/>
          <w:szCs w:val="18"/>
        </w:rPr>
        <w:t>Q</w:t>
      </w:r>
      <w:r>
        <w:rPr>
          <w:rFonts w:hAnsi="宋体"/>
          <w:iCs/>
          <w:color w:val="auto"/>
          <w:sz w:val="24"/>
          <w:szCs w:val="18"/>
          <w:vertAlign w:val="subscript"/>
        </w:rPr>
        <w:t>0</w:t>
      </w:r>
      <w:r>
        <w:rPr>
          <w:rFonts w:hint="eastAsia" w:hAnsi="宋体"/>
          <w:iCs/>
          <w:color w:val="auto"/>
          <w:sz w:val="24"/>
          <w:szCs w:val="18"/>
        </w:rPr>
        <w:t>×</w:t>
      </w:r>
      <w:r>
        <w:rPr>
          <w:rFonts w:hAnsi="宋体"/>
          <w:iCs/>
          <w:color w:val="auto"/>
          <w:sz w:val="24"/>
          <w:szCs w:val="18"/>
        </w:rPr>
        <w:t>P</w:t>
      </w:r>
      <w:r>
        <w:rPr>
          <w:rFonts w:hAnsi="宋体"/>
          <w:iCs/>
          <w:color w:val="auto"/>
          <w:sz w:val="24"/>
          <w:szCs w:val="18"/>
          <w:vertAlign w:val="subscript"/>
        </w:rPr>
        <w:t>0</w:t>
      </w:r>
      <w:r>
        <w:rPr>
          <w:rFonts w:hAnsi="宋体"/>
          <w:iCs/>
          <w:color w:val="auto"/>
          <w:sz w:val="24"/>
          <w:szCs w:val="18"/>
        </w:rPr>
        <w:t>+</w:t>
      </w:r>
      <w:r>
        <w:rPr>
          <w:rFonts w:hint="eastAsia" w:hAnsi="宋体"/>
          <w:iCs/>
          <w:color w:val="auto"/>
          <w:sz w:val="24"/>
          <w:szCs w:val="18"/>
        </w:rPr>
        <w:t>（</w:t>
      </w:r>
      <w:r>
        <w:rPr>
          <w:rFonts w:hAnsi="宋体"/>
          <w:iCs/>
          <w:color w:val="auto"/>
          <w:sz w:val="24"/>
          <w:szCs w:val="18"/>
        </w:rPr>
        <w:t>Q</w:t>
      </w:r>
      <w:r>
        <w:rPr>
          <w:rFonts w:hAnsi="宋体"/>
          <w:iCs/>
          <w:color w:val="auto"/>
          <w:sz w:val="24"/>
          <w:szCs w:val="18"/>
          <w:vertAlign w:val="subscript"/>
        </w:rPr>
        <w:t>1</w:t>
      </w:r>
      <w:r>
        <w:rPr>
          <w:rFonts w:hAnsi="宋体"/>
          <w:iCs/>
          <w:color w:val="auto"/>
          <w:sz w:val="24"/>
          <w:szCs w:val="18"/>
        </w:rPr>
        <w:t>-</w:t>
      </w:r>
      <w:r>
        <w:rPr>
          <w:rFonts w:hAnsi="宋体"/>
          <w:color w:val="auto"/>
          <w:sz w:val="24"/>
          <w:szCs w:val="18"/>
        </w:rPr>
        <w:t>1.1</w:t>
      </w:r>
      <w:r>
        <w:rPr>
          <w:rFonts w:hAnsi="宋体"/>
          <w:iCs/>
          <w:color w:val="auto"/>
          <w:sz w:val="24"/>
          <w:szCs w:val="18"/>
        </w:rPr>
        <w:t>Q</w:t>
      </w:r>
      <w:r>
        <w:rPr>
          <w:rFonts w:hAnsi="宋体"/>
          <w:iCs/>
          <w:color w:val="auto"/>
          <w:sz w:val="24"/>
          <w:szCs w:val="18"/>
          <w:vertAlign w:val="subscript"/>
        </w:rPr>
        <w:t>0</w:t>
      </w:r>
      <w:r>
        <w:rPr>
          <w:rFonts w:hint="eastAsia" w:hAnsi="宋体"/>
          <w:iCs/>
          <w:color w:val="auto"/>
          <w:sz w:val="24"/>
          <w:szCs w:val="18"/>
        </w:rPr>
        <w:t>）×</w:t>
      </w:r>
      <w:r>
        <w:rPr>
          <w:rFonts w:hAnsi="宋体"/>
          <w:iCs/>
          <w:color w:val="auto"/>
          <w:sz w:val="24"/>
          <w:szCs w:val="18"/>
        </w:rPr>
        <w:t>P</w:t>
      </w:r>
      <w:r>
        <w:rPr>
          <w:rFonts w:hAnsi="宋体"/>
          <w:iCs/>
          <w:color w:val="auto"/>
          <w:sz w:val="24"/>
          <w:szCs w:val="18"/>
          <w:vertAlign w:val="subscript"/>
        </w:rPr>
        <w:t>1</w:t>
      </w:r>
    </w:p>
    <w:p w14:paraId="486DF37C">
      <w:pPr>
        <w:pStyle w:val="2"/>
        <w:adjustRightInd w:val="0"/>
        <w:snapToGrid w:val="0"/>
        <w:spacing w:line="360" w:lineRule="auto"/>
        <w:ind w:left="2057" w:leftChars="694" w:hanging="600" w:hangingChars="250"/>
        <w:rPr>
          <w:rFonts w:hAnsi="宋体"/>
          <w:iCs/>
          <w:color w:val="auto"/>
          <w:sz w:val="24"/>
          <w:szCs w:val="18"/>
          <w:vertAlign w:val="subscript"/>
        </w:rPr>
      </w:pPr>
      <w:r>
        <w:rPr>
          <w:rFonts w:hint="eastAsia" w:hAnsi="宋体"/>
          <w:color w:val="auto"/>
          <w:sz w:val="24"/>
          <w:szCs w:val="18"/>
        </w:rPr>
        <w:t>（</w:t>
      </w:r>
      <w:r>
        <w:rPr>
          <w:rFonts w:hAnsi="宋体"/>
          <w:color w:val="auto"/>
          <w:sz w:val="24"/>
          <w:szCs w:val="18"/>
        </w:rPr>
        <w:t>2</w:t>
      </w:r>
      <w:r>
        <w:rPr>
          <w:rFonts w:hint="eastAsia" w:hAnsi="宋体"/>
          <w:color w:val="auto"/>
          <w:sz w:val="24"/>
          <w:szCs w:val="18"/>
        </w:rPr>
        <w:t>）当</w:t>
      </w:r>
      <w:r>
        <w:rPr>
          <w:rFonts w:hAnsi="宋体"/>
          <w:iCs/>
          <w:color w:val="auto"/>
          <w:sz w:val="24"/>
          <w:szCs w:val="18"/>
        </w:rPr>
        <w:t>Q</w:t>
      </w:r>
      <w:r>
        <w:rPr>
          <w:rFonts w:hAnsi="宋体"/>
          <w:iCs/>
          <w:color w:val="auto"/>
          <w:sz w:val="24"/>
          <w:szCs w:val="18"/>
          <w:vertAlign w:val="subscript"/>
        </w:rPr>
        <w:t>1</w:t>
      </w:r>
      <w:r>
        <w:rPr>
          <w:rFonts w:hint="eastAsia" w:hAnsi="宋体"/>
          <w:iCs/>
          <w:color w:val="auto"/>
          <w:sz w:val="24"/>
          <w:szCs w:val="18"/>
        </w:rPr>
        <w:t>﹤</w:t>
      </w:r>
      <w:r>
        <w:rPr>
          <w:rFonts w:hAnsi="宋体"/>
          <w:color w:val="auto"/>
          <w:sz w:val="24"/>
          <w:szCs w:val="18"/>
        </w:rPr>
        <w:t>0.9</w:t>
      </w:r>
      <w:r>
        <w:rPr>
          <w:rFonts w:hAnsi="宋体"/>
          <w:iCs/>
          <w:color w:val="auto"/>
          <w:sz w:val="24"/>
          <w:szCs w:val="18"/>
        </w:rPr>
        <w:t>Q</w:t>
      </w:r>
      <w:r>
        <w:rPr>
          <w:rFonts w:hAnsi="宋体"/>
          <w:color w:val="auto"/>
          <w:sz w:val="24"/>
          <w:szCs w:val="18"/>
          <w:vertAlign w:val="subscript"/>
        </w:rPr>
        <w:t>0</w:t>
      </w:r>
      <w:r>
        <w:rPr>
          <w:rFonts w:hint="eastAsia" w:hAnsi="宋体"/>
          <w:color w:val="auto"/>
          <w:sz w:val="24"/>
          <w:szCs w:val="18"/>
        </w:rPr>
        <w:t>时，</w:t>
      </w:r>
      <w:r>
        <w:rPr>
          <w:rFonts w:hAnsi="宋体"/>
          <w:color w:val="auto"/>
          <w:sz w:val="24"/>
          <w:szCs w:val="18"/>
        </w:rPr>
        <w:t>S</w:t>
      </w:r>
      <w:r>
        <w:rPr>
          <w:rFonts w:hAnsi="宋体"/>
          <w:iCs/>
          <w:color w:val="auto"/>
          <w:sz w:val="24"/>
          <w:szCs w:val="18"/>
        </w:rPr>
        <w:t>=</w:t>
      </w:r>
      <w:r>
        <w:rPr>
          <w:rFonts w:hAnsi="宋体"/>
          <w:color w:val="auto"/>
          <w:sz w:val="24"/>
          <w:szCs w:val="18"/>
        </w:rPr>
        <w:t>0.9</w:t>
      </w:r>
      <w:r>
        <w:rPr>
          <w:rFonts w:hAnsi="宋体"/>
          <w:iCs/>
          <w:color w:val="auto"/>
          <w:sz w:val="24"/>
          <w:szCs w:val="18"/>
        </w:rPr>
        <w:t>Q</w:t>
      </w:r>
      <w:r>
        <w:rPr>
          <w:rFonts w:hAnsi="宋体"/>
          <w:iCs/>
          <w:color w:val="auto"/>
          <w:sz w:val="24"/>
          <w:szCs w:val="18"/>
          <w:vertAlign w:val="subscript"/>
        </w:rPr>
        <w:t>0</w:t>
      </w:r>
      <w:r>
        <w:rPr>
          <w:rFonts w:hint="eastAsia" w:hAnsi="宋体"/>
          <w:iCs/>
          <w:color w:val="auto"/>
          <w:sz w:val="24"/>
          <w:szCs w:val="18"/>
        </w:rPr>
        <w:t>×</w:t>
      </w:r>
      <w:r>
        <w:rPr>
          <w:rFonts w:hAnsi="宋体"/>
          <w:iCs/>
          <w:color w:val="auto"/>
          <w:sz w:val="24"/>
          <w:szCs w:val="18"/>
        </w:rPr>
        <w:t>P</w:t>
      </w:r>
      <w:r>
        <w:rPr>
          <w:rFonts w:hAnsi="宋体"/>
          <w:iCs/>
          <w:color w:val="auto"/>
          <w:sz w:val="24"/>
          <w:szCs w:val="18"/>
          <w:vertAlign w:val="subscript"/>
        </w:rPr>
        <w:t>0</w:t>
      </w:r>
      <w:r>
        <w:rPr>
          <w:rFonts w:hAnsi="宋体"/>
          <w:iCs/>
          <w:color w:val="auto"/>
          <w:sz w:val="24"/>
          <w:szCs w:val="18"/>
        </w:rPr>
        <w:t>-</w:t>
      </w:r>
      <w:r>
        <w:rPr>
          <w:rFonts w:hint="eastAsia" w:hAnsi="宋体"/>
          <w:iCs/>
          <w:color w:val="auto"/>
          <w:sz w:val="24"/>
          <w:szCs w:val="18"/>
        </w:rPr>
        <w:t>（</w:t>
      </w:r>
      <w:r>
        <w:rPr>
          <w:rFonts w:hAnsi="宋体"/>
          <w:iCs/>
          <w:color w:val="auto"/>
          <w:sz w:val="24"/>
          <w:szCs w:val="18"/>
        </w:rPr>
        <w:t>0.9Q</w:t>
      </w:r>
      <w:r>
        <w:rPr>
          <w:rFonts w:hAnsi="宋体"/>
          <w:iCs/>
          <w:color w:val="auto"/>
          <w:sz w:val="24"/>
          <w:szCs w:val="18"/>
          <w:vertAlign w:val="subscript"/>
        </w:rPr>
        <w:t>0</w:t>
      </w:r>
      <w:r>
        <w:rPr>
          <w:rFonts w:hAnsi="宋体"/>
          <w:iCs/>
          <w:color w:val="auto"/>
          <w:sz w:val="24"/>
          <w:szCs w:val="18"/>
        </w:rPr>
        <w:t>-Q</w:t>
      </w:r>
      <w:r>
        <w:rPr>
          <w:rFonts w:hAnsi="宋体"/>
          <w:iCs/>
          <w:color w:val="auto"/>
          <w:sz w:val="24"/>
          <w:szCs w:val="18"/>
          <w:vertAlign w:val="subscript"/>
        </w:rPr>
        <w:t>1</w:t>
      </w:r>
      <w:r>
        <w:rPr>
          <w:rFonts w:hint="eastAsia" w:hAnsi="宋体"/>
          <w:iCs/>
          <w:color w:val="auto"/>
          <w:sz w:val="24"/>
          <w:szCs w:val="18"/>
        </w:rPr>
        <w:t>）×</w:t>
      </w:r>
      <w:r>
        <w:rPr>
          <w:rFonts w:hAnsi="宋体"/>
          <w:iCs/>
          <w:color w:val="auto"/>
          <w:sz w:val="24"/>
          <w:szCs w:val="18"/>
        </w:rPr>
        <w:t>P</w:t>
      </w:r>
      <w:r>
        <w:rPr>
          <w:rFonts w:hAnsi="宋体"/>
          <w:iCs/>
          <w:color w:val="auto"/>
          <w:sz w:val="24"/>
          <w:szCs w:val="18"/>
          <w:vertAlign w:val="subscript"/>
        </w:rPr>
        <w:t>1</w:t>
      </w:r>
    </w:p>
    <w:p w14:paraId="5D616D28">
      <w:pPr>
        <w:pStyle w:val="2"/>
        <w:adjustRightInd w:val="0"/>
        <w:snapToGrid w:val="0"/>
        <w:spacing w:line="360" w:lineRule="auto"/>
        <w:ind w:firstLine="1620" w:firstLineChars="675"/>
        <w:rPr>
          <w:rFonts w:hAnsi="宋体"/>
          <w:color w:val="auto"/>
          <w:sz w:val="24"/>
          <w:szCs w:val="18"/>
        </w:rPr>
      </w:pPr>
      <w:r>
        <w:rPr>
          <w:rFonts w:hint="eastAsia" w:hAnsi="宋体"/>
          <w:color w:val="auto"/>
          <w:sz w:val="24"/>
          <w:szCs w:val="18"/>
        </w:rPr>
        <w:t>式中</w:t>
      </w:r>
      <w:r>
        <w:rPr>
          <w:rFonts w:hAnsi="宋体"/>
          <w:iCs/>
          <w:color w:val="auto"/>
          <w:sz w:val="24"/>
          <w:szCs w:val="18"/>
        </w:rPr>
        <w:t>S——</w:t>
      </w:r>
      <w:r>
        <w:rPr>
          <w:rFonts w:hint="eastAsia" w:hAnsi="宋体"/>
          <w:color w:val="auto"/>
          <w:sz w:val="24"/>
          <w:szCs w:val="18"/>
        </w:rPr>
        <w:t>调整后的某一分部分项工程费结算价；</w:t>
      </w:r>
    </w:p>
    <w:p w14:paraId="4B3F344E">
      <w:pPr>
        <w:pStyle w:val="2"/>
        <w:adjustRightInd w:val="0"/>
        <w:snapToGrid w:val="0"/>
        <w:spacing w:line="360" w:lineRule="auto"/>
        <w:ind w:firstLine="2160" w:firstLineChars="900"/>
        <w:rPr>
          <w:rFonts w:hAnsi="宋体"/>
          <w:color w:val="auto"/>
          <w:sz w:val="24"/>
          <w:szCs w:val="18"/>
        </w:rPr>
      </w:pPr>
      <w:r>
        <w:rPr>
          <w:rFonts w:hAnsi="宋体"/>
          <w:iCs/>
          <w:color w:val="auto"/>
          <w:sz w:val="24"/>
          <w:szCs w:val="18"/>
        </w:rPr>
        <w:t>Q</w:t>
      </w:r>
      <w:r>
        <w:rPr>
          <w:rFonts w:hAnsi="宋体"/>
          <w:iCs/>
          <w:color w:val="auto"/>
          <w:sz w:val="24"/>
          <w:szCs w:val="18"/>
          <w:vertAlign w:val="subscript"/>
        </w:rPr>
        <w:t>1</w:t>
      </w:r>
      <w:r>
        <w:rPr>
          <w:rFonts w:hAnsi="宋体"/>
          <w:iCs/>
          <w:color w:val="auto"/>
          <w:sz w:val="24"/>
          <w:szCs w:val="18"/>
        </w:rPr>
        <w:t>——</w:t>
      </w:r>
      <w:r>
        <w:rPr>
          <w:rFonts w:hint="eastAsia" w:hAnsi="宋体"/>
          <w:color w:val="auto"/>
          <w:sz w:val="24"/>
          <w:szCs w:val="18"/>
        </w:rPr>
        <w:t>最终完成的工程量；</w:t>
      </w:r>
    </w:p>
    <w:p w14:paraId="726D948E">
      <w:pPr>
        <w:pStyle w:val="2"/>
        <w:adjustRightInd w:val="0"/>
        <w:snapToGrid w:val="0"/>
        <w:spacing w:line="360" w:lineRule="auto"/>
        <w:ind w:firstLine="2160" w:firstLineChars="900"/>
        <w:rPr>
          <w:rFonts w:hAnsi="宋体"/>
          <w:color w:val="auto"/>
          <w:sz w:val="24"/>
          <w:szCs w:val="18"/>
        </w:rPr>
      </w:pPr>
      <w:r>
        <w:rPr>
          <w:rFonts w:hAnsi="宋体"/>
          <w:iCs/>
          <w:color w:val="auto"/>
          <w:sz w:val="24"/>
          <w:szCs w:val="18"/>
        </w:rPr>
        <w:t>Q</w:t>
      </w:r>
      <w:r>
        <w:rPr>
          <w:rFonts w:hAnsi="宋体"/>
          <w:iCs/>
          <w:color w:val="auto"/>
          <w:sz w:val="24"/>
          <w:szCs w:val="18"/>
          <w:vertAlign w:val="subscript"/>
        </w:rPr>
        <w:t>0</w:t>
      </w:r>
      <w:r>
        <w:rPr>
          <w:rFonts w:hAnsi="宋体"/>
          <w:iCs/>
          <w:color w:val="auto"/>
          <w:sz w:val="24"/>
          <w:szCs w:val="18"/>
        </w:rPr>
        <w:t>——</w:t>
      </w:r>
      <w:r>
        <w:rPr>
          <w:rFonts w:hint="eastAsia" w:hAnsi="宋体"/>
          <w:color w:val="auto"/>
          <w:sz w:val="24"/>
          <w:szCs w:val="18"/>
        </w:rPr>
        <w:t>工程量清单中开列的工程量；</w:t>
      </w:r>
    </w:p>
    <w:p w14:paraId="2F37ED78">
      <w:pPr>
        <w:pStyle w:val="2"/>
        <w:adjustRightInd w:val="0"/>
        <w:snapToGrid w:val="0"/>
        <w:spacing w:line="360" w:lineRule="auto"/>
        <w:ind w:firstLine="2160" w:firstLineChars="900"/>
        <w:rPr>
          <w:rFonts w:hAnsi="宋体"/>
          <w:color w:val="auto"/>
          <w:sz w:val="24"/>
          <w:szCs w:val="18"/>
        </w:rPr>
      </w:pPr>
      <w:r>
        <w:rPr>
          <w:rFonts w:hAnsi="宋体"/>
          <w:iCs/>
          <w:color w:val="auto"/>
          <w:sz w:val="24"/>
          <w:szCs w:val="18"/>
        </w:rPr>
        <w:t>P</w:t>
      </w:r>
      <w:r>
        <w:rPr>
          <w:rFonts w:hAnsi="宋体"/>
          <w:iCs/>
          <w:color w:val="auto"/>
          <w:sz w:val="24"/>
          <w:szCs w:val="18"/>
          <w:vertAlign w:val="subscript"/>
        </w:rPr>
        <w:t>1</w:t>
      </w:r>
      <w:r>
        <w:rPr>
          <w:rFonts w:hAnsi="宋体"/>
          <w:iCs/>
          <w:color w:val="auto"/>
          <w:sz w:val="24"/>
          <w:szCs w:val="18"/>
        </w:rPr>
        <w:t>——</w:t>
      </w:r>
      <w:r>
        <w:rPr>
          <w:rFonts w:hint="eastAsia" w:hAnsi="宋体"/>
          <w:color w:val="auto"/>
          <w:sz w:val="24"/>
          <w:szCs w:val="18"/>
        </w:rPr>
        <w:t>按照最终完成工程量重新调整后的综合单价；</w:t>
      </w:r>
    </w:p>
    <w:p w14:paraId="6708A007">
      <w:pPr>
        <w:pStyle w:val="2"/>
        <w:adjustRightInd w:val="0"/>
        <w:snapToGrid w:val="0"/>
        <w:spacing w:line="360" w:lineRule="auto"/>
        <w:ind w:firstLine="2160" w:firstLineChars="900"/>
        <w:rPr>
          <w:rFonts w:hAnsi="宋体"/>
          <w:b/>
          <w:color w:val="auto"/>
          <w:sz w:val="24"/>
          <w:szCs w:val="18"/>
        </w:rPr>
      </w:pPr>
      <w:r>
        <w:rPr>
          <w:rFonts w:hAnsi="宋体"/>
          <w:iCs/>
          <w:color w:val="auto"/>
          <w:sz w:val="24"/>
          <w:szCs w:val="18"/>
        </w:rPr>
        <w:t>P</w:t>
      </w:r>
      <w:r>
        <w:rPr>
          <w:rFonts w:hAnsi="宋体"/>
          <w:iCs/>
          <w:color w:val="auto"/>
          <w:sz w:val="24"/>
          <w:szCs w:val="18"/>
          <w:vertAlign w:val="subscript"/>
        </w:rPr>
        <w:t>0</w:t>
      </w:r>
      <w:r>
        <w:rPr>
          <w:rFonts w:hAnsi="宋体"/>
          <w:iCs/>
          <w:color w:val="auto"/>
          <w:sz w:val="24"/>
          <w:szCs w:val="18"/>
        </w:rPr>
        <w:t>——</w:t>
      </w:r>
      <w:r>
        <w:rPr>
          <w:rFonts w:hint="eastAsia" w:hAnsi="宋体"/>
          <w:color w:val="auto"/>
          <w:sz w:val="24"/>
          <w:szCs w:val="18"/>
        </w:rPr>
        <w:t>承包人在工程量清单中填报的综合单价。</w:t>
      </w:r>
    </w:p>
    <w:p w14:paraId="09346821">
      <w:pPr>
        <w:pStyle w:val="2"/>
        <w:adjustRightInd w:val="0"/>
        <w:snapToGrid w:val="0"/>
        <w:spacing w:line="360" w:lineRule="auto"/>
        <w:rPr>
          <w:rFonts w:hAnsi="宋体"/>
          <w:color w:val="auto"/>
          <w:sz w:val="24"/>
          <w:szCs w:val="18"/>
        </w:rPr>
      </w:pPr>
      <w:r>
        <w:rPr>
          <w:rFonts w:hAnsi="宋体"/>
          <w:b/>
          <w:color w:val="auto"/>
          <w:sz w:val="24"/>
          <w:szCs w:val="18"/>
        </w:rPr>
        <w:t>73.3</w:t>
      </w:r>
    </w:p>
    <w:p w14:paraId="2951D761">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1967488" behindDoc="0" locked="0" layoutInCell="1" allowOverlap="1">
                <wp:simplePos x="0" y="0"/>
                <wp:positionH relativeFrom="column">
                  <wp:posOffset>-114300</wp:posOffset>
                </wp:positionH>
                <wp:positionV relativeFrom="paragraph">
                  <wp:posOffset>51435</wp:posOffset>
                </wp:positionV>
                <wp:extent cx="914400" cy="505460"/>
                <wp:effectExtent l="0" t="0" r="0" b="0"/>
                <wp:wrapNone/>
                <wp:docPr id="349" name="文本框 349"/>
                <wp:cNvGraphicFramePr/>
                <a:graphic xmlns:a="http://schemas.openxmlformats.org/drawingml/2006/main">
                  <a:graphicData uri="http://schemas.microsoft.com/office/word/2010/wordprocessingShape">
                    <wps:wsp>
                      <wps:cNvSpPr txBox="1"/>
                      <wps:spPr>
                        <a:xfrm>
                          <a:off x="0" y="0"/>
                          <a:ext cx="914400" cy="505460"/>
                        </a:xfrm>
                        <a:prstGeom prst="rect">
                          <a:avLst/>
                        </a:prstGeom>
                        <a:noFill/>
                        <a:ln>
                          <a:noFill/>
                        </a:ln>
                        <a:effectLst/>
                      </wps:spPr>
                      <wps:txbx>
                        <w:txbxContent>
                          <w:p w14:paraId="51246A86">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调整措施项目费的方法</w:t>
                            </w:r>
                          </w:p>
                        </w:txbxContent>
                      </wps:txbx>
                      <wps:bodyPr upright="1"/>
                    </wps:wsp>
                  </a:graphicData>
                </a:graphic>
              </wp:anchor>
            </w:drawing>
          </mc:Choice>
          <mc:Fallback>
            <w:pict>
              <v:shape id="_x0000_s1026" o:spid="_x0000_s1026" o:spt="202" type="#_x0000_t202" style="position:absolute;left:0pt;margin-left:-9pt;margin-top:4.05pt;height:39.8pt;width:72pt;z-index:251967488;mso-width-relative:page;mso-height-relative:page;" filled="f" stroked="f" coordsize="21600,21600" o:gfxdata="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dUWM&#10;ptQAAAAIAQAADwAAAAAAAAABACAAAAAiAAAAZHJzL2Rvd25yZXYueG1sUEsBAhQAFAAAAAgAh07i&#10;QDgHU3C0AQAAXwMAAA4AAAAAAAAAAQAgAAAAIwEAAGRycy9lMm9Eb2MueG1sUEsFBgAAAAAGAAYA&#10;WQEAAEkFAAAAAA==&#10;">
                <v:fill on="f" focussize="0,0"/>
                <v:stroke on="f"/>
                <v:imagedata o:title=""/>
                <o:lock v:ext="edit" aspectratio="f"/>
                <v:textbox>
                  <w:txbxContent>
                    <w:p w14:paraId="51246A86">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调整措施项目费的方法</w:t>
                      </w:r>
                    </w:p>
                  </w:txbxContent>
                </v:textbox>
              </v:shape>
            </w:pict>
          </mc:Fallback>
        </mc:AlternateContent>
      </w:r>
      <w:r>
        <w:rPr>
          <w:rFonts w:hint="eastAsia" w:hAnsi="宋体"/>
          <w:color w:val="auto"/>
          <w:sz w:val="24"/>
          <w:szCs w:val="18"/>
        </w:rPr>
        <w:t>如果因本条规定工程量偏差使某一分部分项工程费的变化超过</w:t>
      </w:r>
      <w:r>
        <w:rPr>
          <w:rFonts w:hAnsi="宋体"/>
          <w:color w:val="auto"/>
          <w:sz w:val="24"/>
          <w:szCs w:val="18"/>
        </w:rPr>
        <w:t>10%</w:t>
      </w:r>
      <w:r>
        <w:rPr>
          <w:rFonts w:hint="eastAsia" w:hAnsi="宋体"/>
          <w:color w:val="auto"/>
          <w:sz w:val="24"/>
          <w:szCs w:val="18"/>
        </w:rPr>
        <w:t>，且该变化引起措施项目相应发生变化，则发生变化部分的措施项目费应按照第</w:t>
      </w:r>
      <w:r>
        <w:rPr>
          <w:rFonts w:hAnsi="宋体"/>
          <w:color w:val="auto"/>
          <w:sz w:val="24"/>
          <w:szCs w:val="18"/>
        </w:rPr>
        <w:t>72.3</w:t>
      </w:r>
      <w:r>
        <w:rPr>
          <w:rFonts w:hint="eastAsia" w:hAnsi="宋体"/>
          <w:color w:val="auto"/>
          <w:sz w:val="24"/>
          <w:szCs w:val="18"/>
        </w:rPr>
        <w:t>款规定调整。除专用条款另有约定外，应按照下列规定调整发生变化的措施项目费结算价：</w:t>
      </w:r>
    </w:p>
    <w:p w14:paraId="5D065440">
      <w:pPr>
        <w:pStyle w:val="2"/>
        <w:tabs>
          <w:tab w:val="left" w:pos="900"/>
        </w:tabs>
        <w:adjustRightInd w:val="0"/>
        <w:snapToGrid w:val="0"/>
        <w:spacing w:line="360" w:lineRule="auto"/>
        <w:ind w:left="2240" w:leftChars="781" w:hanging="600" w:hangingChars="250"/>
        <w:rPr>
          <w:rFonts w:hAnsi="宋体"/>
          <w:iCs/>
          <w:color w:val="auto"/>
          <w:sz w:val="24"/>
          <w:szCs w:val="18"/>
        </w:rPr>
      </w:pPr>
      <w:r>
        <w:rPr>
          <w:rFonts w:hint="eastAsia" w:hAnsi="宋体"/>
          <w:color w:val="auto"/>
          <w:sz w:val="24"/>
          <w:szCs w:val="18"/>
        </w:rPr>
        <w:t>（</w:t>
      </w:r>
      <w:r>
        <w:rPr>
          <w:rFonts w:hAnsi="宋体"/>
          <w:color w:val="auto"/>
          <w:sz w:val="24"/>
          <w:szCs w:val="18"/>
        </w:rPr>
        <w:t>1</w:t>
      </w:r>
      <w:r>
        <w:rPr>
          <w:rFonts w:hint="eastAsia" w:hAnsi="宋体"/>
          <w:color w:val="auto"/>
          <w:sz w:val="24"/>
          <w:szCs w:val="18"/>
        </w:rPr>
        <w:t>）当</w:t>
      </w:r>
      <w:r>
        <w:rPr>
          <w:rFonts w:hAnsi="宋体"/>
          <w:iCs/>
          <w:color w:val="auto"/>
          <w:sz w:val="24"/>
          <w:szCs w:val="18"/>
        </w:rPr>
        <w:t>S</w:t>
      </w:r>
      <w:r>
        <w:rPr>
          <w:rFonts w:hAnsi="宋体"/>
          <w:iCs/>
          <w:color w:val="auto"/>
          <w:sz w:val="24"/>
          <w:szCs w:val="18"/>
          <w:vertAlign w:val="subscript"/>
        </w:rPr>
        <w:t>1</w:t>
      </w:r>
      <w:r>
        <w:rPr>
          <w:rFonts w:hint="eastAsia" w:hAnsi="宋体"/>
          <w:iCs/>
          <w:color w:val="auto"/>
          <w:sz w:val="24"/>
          <w:szCs w:val="18"/>
        </w:rPr>
        <w:t>﹥</w:t>
      </w:r>
      <w:r>
        <w:rPr>
          <w:rFonts w:hAnsi="宋体"/>
          <w:color w:val="auto"/>
          <w:sz w:val="24"/>
          <w:szCs w:val="18"/>
        </w:rPr>
        <w:t>1.1</w:t>
      </w:r>
      <w:r>
        <w:rPr>
          <w:rFonts w:hAnsi="宋体"/>
          <w:iCs/>
          <w:color w:val="auto"/>
          <w:sz w:val="24"/>
          <w:szCs w:val="18"/>
        </w:rPr>
        <w:t>S</w:t>
      </w:r>
      <w:r>
        <w:rPr>
          <w:rFonts w:hAnsi="宋体"/>
          <w:iCs/>
          <w:color w:val="auto"/>
          <w:sz w:val="24"/>
          <w:szCs w:val="18"/>
          <w:vertAlign w:val="subscript"/>
        </w:rPr>
        <w:t>0</w:t>
      </w:r>
      <w:r>
        <w:rPr>
          <w:rFonts w:hint="eastAsia" w:hAnsi="宋体"/>
          <w:color w:val="auto"/>
          <w:sz w:val="24"/>
          <w:szCs w:val="18"/>
        </w:rPr>
        <w:t>时，</w:t>
      </w:r>
      <w:r>
        <w:rPr>
          <w:rFonts w:hAnsi="宋体"/>
          <w:iCs/>
          <w:color w:val="auto"/>
          <w:sz w:val="24"/>
          <w:szCs w:val="18"/>
        </w:rPr>
        <w:t>M</w:t>
      </w:r>
      <w:r>
        <w:rPr>
          <w:rFonts w:hAnsi="宋体"/>
          <w:iCs/>
          <w:color w:val="auto"/>
          <w:sz w:val="24"/>
          <w:szCs w:val="18"/>
          <w:vertAlign w:val="subscript"/>
        </w:rPr>
        <w:t>1</w:t>
      </w:r>
      <w:r>
        <w:rPr>
          <w:rFonts w:hAnsi="宋体"/>
          <w:iCs/>
          <w:color w:val="auto"/>
          <w:sz w:val="24"/>
          <w:szCs w:val="18"/>
        </w:rPr>
        <w:t>=M</w:t>
      </w:r>
      <w:r>
        <w:rPr>
          <w:rFonts w:hAnsi="宋体"/>
          <w:iCs/>
          <w:color w:val="auto"/>
          <w:sz w:val="24"/>
          <w:szCs w:val="18"/>
          <w:vertAlign w:val="subscript"/>
        </w:rPr>
        <w:t>0</w:t>
      </w:r>
      <w:r>
        <w:rPr>
          <w:rFonts w:hAnsi="宋体"/>
          <w:iCs/>
          <w:color w:val="auto"/>
          <w:sz w:val="24"/>
          <w:szCs w:val="18"/>
        </w:rPr>
        <w:t>+</w:t>
      </w:r>
      <w:r>
        <w:rPr>
          <w:rFonts w:hint="eastAsia" w:hAnsi="宋体"/>
          <w:iCs/>
          <w:color w:val="auto"/>
          <w:sz w:val="24"/>
          <w:szCs w:val="18"/>
        </w:rPr>
        <w:t>△</w:t>
      </w:r>
      <w:r>
        <w:rPr>
          <w:rFonts w:hAnsi="宋体"/>
          <w:iCs/>
          <w:color w:val="auto"/>
          <w:sz w:val="24"/>
          <w:szCs w:val="18"/>
        </w:rPr>
        <w:t>M</w:t>
      </w:r>
    </w:p>
    <w:p w14:paraId="20A339DB">
      <w:pPr>
        <w:pStyle w:val="2"/>
        <w:adjustRightInd w:val="0"/>
        <w:snapToGrid w:val="0"/>
        <w:spacing w:line="360" w:lineRule="auto"/>
        <w:ind w:left="2240" w:leftChars="781" w:hanging="600" w:hangingChars="250"/>
        <w:rPr>
          <w:rFonts w:hAnsi="宋体"/>
          <w:iCs/>
          <w:color w:val="auto"/>
          <w:sz w:val="24"/>
          <w:szCs w:val="18"/>
        </w:rPr>
      </w:pPr>
      <w:r>
        <w:rPr>
          <w:rFonts w:hint="eastAsia" w:hAnsi="宋体"/>
          <w:color w:val="auto"/>
          <w:sz w:val="24"/>
          <w:szCs w:val="18"/>
        </w:rPr>
        <w:t>（</w:t>
      </w:r>
      <w:r>
        <w:rPr>
          <w:rFonts w:hAnsi="宋体"/>
          <w:color w:val="auto"/>
          <w:sz w:val="24"/>
          <w:szCs w:val="18"/>
        </w:rPr>
        <w:t>2</w:t>
      </w:r>
      <w:r>
        <w:rPr>
          <w:rFonts w:hint="eastAsia" w:hAnsi="宋体"/>
          <w:color w:val="auto"/>
          <w:sz w:val="24"/>
          <w:szCs w:val="18"/>
        </w:rPr>
        <w:t>）当</w:t>
      </w:r>
      <w:r>
        <w:rPr>
          <w:rFonts w:hAnsi="宋体"/>
          <w:color w:val="auto"/>
          <w:sz w:val="24"/>
          <w:szCs w:val="18"/>
        </w:rPr>
        <w:t>S</w:t>
      </w:r>
      <w:r>
        <w:rPr>
          <w:rFonts w:hAnsi="宋体"/>
          <w:color w:val="auto"/>
          <w:sz w:val="24"/>
          <w:szCs w:val="18"/>
          <w:vertAlign w:val="subscript"/>
        </w:rPr>
        <w:t>1</w:t>
      </w:r>
      <w:r>
        <w:rPr>
          <w:rFonts w:hint="eastAsia" w:hAnsi="宋体"/>
          <w:color w:val="auto"/>
          <w:sz w:val="24"/>
          <w:szCs w:val="18"/>
        </w:rPr>
        <w:t>﹤</w:t>
      </w:r>
      <w:r>
        <w:rPr>
          <w:rFonts w:hAnsi="宋体"/>
          <w:color w:val="auto"/>
          <w:sz w:val="24"/>
          <w:szCs w:val="18"/>
        </w:rPr>
        <w:t>0.9S</w:t>
      </w:r>
      <w:r>
        <w:rPr>
          <w:rFonts w:hAnsi="宋体"/>
          <w:color w:val="auto"/>
          <w:sz w:val="24"/>
          <w:szCs w:val="18"/>
          <w:vertAlign w:val="subscript"/>
        </w:rPr>
        <w:t>0</w:t>
      </w:r>
      <w:r>
        <w:rPr>
          <w:rFonts w:hint="eastAsia" w:hAnsi="宋体"/>
          <w:color w:val="auto"/>
          <w:sz w:val="24"/>
          <w:szCs w:val="18"/>
        </w:rPr>
        <w:t>时，</w:t>
      </w:r>
      <w:r>
        <w:rPr>
          <w:rFonts w:hAnsi="宋体"/>
          <w:iCs/>
          <w:color w:val="auto"/>
          <w:sz w:val="24"/>
          <w:szCs w:val="18"/>
        </w:rPr>
        <w:t>M</w:t>
      </w:r>
      <w:r>
        <w:rPr>
          <w:rFonts w:hAnsi="宋体"/>
          <w:iCs/>
          <w:color w:val="auto"/>
          <w:sz w:val="24"/>
          <w:szCs w:val="18"/>
          <w:vertAlign w:val="subscript"/>
        </w:rPr>
        <w:t>1</w:t>
      </w:r>
      <w:r>
        <w:rPr>
          <w:rFonts w:hAnsi="宋体"/>
          <w:iCs/>
          <w:color w:val="auto"/>
          <w:sz w:val="24"/>
          <w:szCs w:val="18"/>
        </w:rPr>
        <w:t>=M</w:t>
      </w:r>
      <w:r>
        <w:rPr>
          <w:rFonts w:hAnsi="宋体"/>
          <w:iCs/>
          <w:color w:val="auto"/>
          <w:sz w:val="24"/>
          <w:szCs w:val="18"/>
          <w:vertAlign w:val="subscript"/>
        </w:rPr>
        <w:t>0</w:t>
      </w:r>
      <w:r>
        <w:rPr>
          <w:rFonts w:hAnsi="宋体"/>
          <w:iCs/>
          <w:color w:val="auto"/>
          <w:sz w:val="24"/>
          <w:szCs w:val="18"/>
        </w:rPr>
        <w:t>–</w:t>
      </w:r>
      <w:r>
        <w:rPr>
          <w:rFonts w:hint="eastAsia" w:hAnsi="宋体"/>
          <w:iCs/>
          <w:color w:val="auto"/>
          <w:sz w:val="24"/>
          <w:szCs w:val="18"/>
        </w:rPr>
        <w:t>△</w:t>
      </w:r>
      <w:r>
        <w:rPr>
          <w:rFonts w:hAnsi="宋体"/>
          <w:iCs/>
          <w:color w:val="auto"/>
          <w:sz w:val="24"/>
          <w:szCs w:val="18"/>
        </w:rPr>
        <w:t>M</w:t>
      </w:r>
    </w:p>
    <w:p w14:paraId="77C06F43">
      <w:pPr>
        <w:pStyle w:val="2"/>
        <w:adjustRightInd w:val="0"/>
        <w:snapToGrid w:val="0"/>
        <w:spacing w:line="360" w:lineRule="auto"/>
        <w:ind w:firstLine="1800" w:firstLineChars="750"/>
        <w:rPr>
          <w:rFonts w:hAnsi="宋体"/>
          <w:color w:val="auto"/>
          <w:sz w:val="24"/>
          <w:szCs w:val="18"/>
        </w:rPr>
      </w:pPr>
      <w:r>
        <w:rPr>
          <w:rFonts w:hint="eastAsia" w:hAnsi="宋体"/>
          <w:color w:val="auto"/>
          <w:sz w:val="24"/>
          <w:szCs w:val="18"/>
        </w:rPr>
        <w:t>式中</w:t>
      </w:r>
      <w:r>
        <w:rPr>
          <w:rFonts w:hAnsi="宋体"/>
          <w:iCs/>
          <w:color w:val="auto"/>
          <w:sz w:val="24"/>
          <w:szCs w:val="18"/>
        </w:rPr>
        <w:t>M</w:t>
      </w:r>
      <w:r>
        <w:rPr>
          <w:rFonts w:hAnsi="宋体"/>
          <w:iCs/>
          <w:color w:val="auto"/>
          <w:sz w:val="24"/>
          <w:szCs w:val="18"/>
          <w:vertAlign w:val="subscript"/>
        </w:rPr>
        <w:t>1</w:t>
      </w:r>
      <w:r>
        <w:rPr>
          <w:rFonts w:hAnsi="宋体"/>
          <w:iCs/>
          <w:color w:val="auto"/>
          <w:sz w:val="24"/>
          <w:szCs w:val="18"/>
        </w:rPr>
        <w:t>——</w:t>
      </w:r>
      <w:r>
        <w:rPr>
          <w:rFonts w:hint="eastAsia" w:hAnsi="宋体"/>
          <w:color w:val="auto"/>
          <w:sz w:val="24"/>
          <w:szCs w:val="18"/>
        </w:rPr>
        <w:t>调整后的发生变化措施项目费结算价；</w:t>
      </w:r>
    </w:p>
    <w:p w14:paraId="11DCDEE7">
      <w:pPr>
        <w:pStyle w:val="2"/>
        <w:adjustRightInd w:val="0"/>
        <w:snapToGrid w:val="0"/>
        <w:spacing w:line="360" w:lineRule="auto"/>
        <w:ind w:firstLine="2280" w:firstLineChars="950"/>
        <w:rPr>
          <w:rFonts w:hAnsi="宋体"/>
          <w:color w:val="auto"/>
          <w:sz w:val="24"/>
          <w:szCs w:val="18"/>
        </w:rPr>
      </w:pPr>
      <w:r>
        <w:rPr>
          <w:rFonts w:hAnsi="宋体"/>
          <w:iCs/>
          <w:color w:val="auto"/>
          <w:sz w:val="24"/>
          <w:szCs w:val="18"/>
        </w:rPr>
        <w:t>M</w:t>
      </w:r>
      <w:r>
        <w:rPr>
          <w:rFonts w:hAnsi="宋体"/>
          <w:iCs/>
          <w:color w:val="auto"/>
          <w:sz w:val="24"/>
          <w:szCs w:val="18"/>
          <w:vertAlign w:val="subscript"/>
        </w:rPr>
        <w:t>0</w:t>
      </w:r>
      <w:r>
        <w:rPr>
          <w:rFonts w:hAnsi="宋体"/>
          <w:iCs/>
          <w:color w:val="auto"/>
          <w:sz w:val="24"/>
          <w:szCs w:val="18"/>
        </w:rPr>
        <w:t>——</w:t>
      </w:r>
      <w:r>
        <w:rPr>
          <w:rFonts w:hint="eastAsia" w:hAnsi="宋体"/>
          <w:color w:val="auto"/>
          <w:sz w:val="24"/>
          <w:szCs w:val="18"/>
        </w:rPr>
        <w:t>承包人在工程量清单中填报的措施项目费；</w:t>
      </w:r>
    </w:p>
    <w:p w14:paraId="7BCAF58D">
      <w:pPr>
        <w:pStyle w:val="2"/>
        <w:adjustRightInd w:val="0"/>
        <w:snapToGrid w:val="0"/>
        <w:spacing w:line="360" w:lineRule="auto"/>
        <w:ind w:left="960" w:leftChars="457" w:firstLine="1320" w:firstLineChars="550"/>
        <w:rPr>
          <w:rFonts w:hAnsi="宋体"/>
          <w:color w:val="auto"/>
          <w:sz w:val="24"/>
          <w:szCs w:val="18"/>
        </w:rPr>
      </w:pPr>
      <w:r>
        <w:rPr>
          <w:rFonts w:ascii="Times New Roman" w:hAnsi="Times New Roman"/>
          <w:iCs/>
          <w:color w:val="auto"/>
          <w:sz w:val="24"/>
          <w:szCs w:val="18"/>
        </w:rPr>
        <w:t>∆</w:t>
      </w:r>
      <w:r>
        <w:rPr>
          <w:rFonts w:hAnsi="宋体"/>
          <w:iCs/>
          <w:color w:val="auto"/>
          <w:sz w:val="24"/>
          <w:szCs w:val="18"/>
        </w:rPr>
        <w:t>M——</w:t>
      </w:r>
      <w:r>
        <w:rPr>
          <w:rFonts w:hint="eastAsia" w:hAnsi="宋体"/>
          <w:color w:val="auto"/>
          <w:sz w:val="24"/>
          <w:szCs w:val="18"/>
        </w:rPr>
        <w:t>按照第</w:t>
      </w:r>
      <w:r>
        <w:rPr>
          <w:rFonts w:hAnsi="宋体"/>
          <w:color w:val="auto"/>
          <w:sz w:val="24"/>
          <w:szCs w:val="18"/>
        </w:rPr>
        <w:t>72.3</w:t>
      </w:r>
      <w:r>
        <w:rPr>
          <w:rFonts w:hint="eastAsia" w:hAnsi="宋体"/>
          <w:color w:val="auto"/>
          <w:sz w:val="24"/>
          <w:szCs w:val="18"/>
        </w:rPr>
        <w:t>款规定调整的发生变化部分的措施项目费；</w:t>
      </w:r>
    </w:p>
    <w:p w14:paraId="4D51721F">
      <w:pPr>
        <w:pStyle w:val="2"/>
        <w:adjustRightInd w:val="0"/>
        <w:snapToGrid w:val="0"/>
        <w:spacing w:line="360" w:lineRule="auto"/>
        <w:ind w:firstLine="2280" w:firstLineChars="950"/>
        <w:rPr>
          <w:rFonts w:hAnsi="宋体"/>
          <w:color w:val="auto"/>
          <w:sz w:val="24"/>
          <w:szCs w:val="18"/>
        </w:rPr>
      </w:pPr>
      <w:r>
        <w:rPr>
          <w:rFonts w:hAnsi="宋体"/>
          <w:iCs/>
          <w:color w:val="auto"/>
          <w:sz w:val="24"/>
          <w:szCs w:val="18"/>
        </w:rPr>
        <w:t>S</w:t>
      </w:r>
      <w:r>
        <w:rPr>
          <w:rFonts w:hAnsi="宋体"/>
          <w:iCs/>
          <w:color w:val="auto"/>
          <w:sz w:val="24"/>
          <w:szCs w:val="18"/>
          <w:vertAlign w:val="subscript"/>
        </w:rPr>
        <w:t>1</w:t>
      </w:r>
      <w:r>
        <w:rPr>
          <w:rFonts w:hAnsi="宋体"/>
          <w:iCs/>
          <w:color w:val="auto"/>
          <w:sz w:val="24"/>
          <w:szCs w:val="18"/>
        </w:rPr>
        <w:t>——</w:t>
      </w:r>
      <w:r>
        <w:rPr>
          <w:rFonts w:hint="eastAsia" w:hAnsi="宋体"/>
          <w:color w:val="auto"/>
          <w:sz w:val="24"/>
          <w:szCs w:val="18"/>
        </w:rPr>
        <w:t>调整后的某一分部分项工程费结算价；</w:t>
      </w:r>
    </w:p>
    <w:p w14:paraId="7632C37E">
      <w:pPr>
        <w:pStyle w:val="2"/>
        <w:adjustRightInd w:val="0"/>
        <w:snapToGrid w:val="0"/>
        <w:spacing w:line="360" w:lineRule="auto"/>
        <w:ind w:firstLine="2280" w:firstLineChars="950"/>
        <w:rPr>
          <w:rFonts w:hAnsi="宋体"/>
          <w:iCs/>
          <w:color w:val="auto"/>
          <w:sz w:val="24"/>
          <w:szCs w:val="18"/>
        </w:rPr>
      </w:pPr>
      <w:r>
        <w:rPr>
          <w:rFonts w:hAnsi="宋体"/>
          <w:iCs/>
          <w:color w:val="auto"/>
          <w:sz w:val="24"/>
          <w:szCs w:val="18"/>
        </w:rPr>
        <w:t>S</w:t>
      </w:r>
      <w:r>
        <w:rPr>
          <w:rFonts w:hAnsi="宋体"/>
          <w:iCs/>
          <w:color w:val="auto"/>
          <w:sz w:val="24"/>
          <w:szCs w:val="18"/>
          <w:vertAlign w:val="subscript"/>
        </w:rPr>
        <w:t>0</w:t>
      </w:r>
      <w:r>
        <w:rPr>
          <w:rFonts w:hAnsi="宋体"/>
          <w:iCs/>
          <w:color w:val="auto"/>
          <w:sz w:val="24"/>
          <w:szCs w:val="18"/>
        </w:rPr>
        <w:t>——</w:t>
      </w:r>
      <w:r>
        <w:rPr>
          <w:rFonts w:hint="eastAsia" w:hAnsi="宋体"/>
          <w:color w:val="auto"/>
          <w:sz w:val="24"/>
          <w:szCs w:val="18"/>
        </w:rPr>
        <w:t>承包人报价文件对应的某一分部分项工程费。</w:t>
      </w:r>
    </w:p>
    <w:p w14:paraId="5143D784">
      <w:pPr>
        <w:tabs>
          <w:tab w:val="left" w:pos="1620"/>
        </w:tabs>
        <w:spacing w:line="360" w:lineRule="auto"/>
        <w:rPr>
          <w:color w:val="auto"/>
        </w:rPr>
      </w:pPr>
    </w:p>
    <w:p w14:paraId="6AA36124">
      <w:pPr>
        <w:pStyle w:val="2"/>
        <w:tabs>
          <w:tab w:val="left" w:pos="540"/>
        </w:tabs>
        <w:adjustRightInd w:val="0"/>
        <w:snapToGrid w:val="0"/>
        <w:spacing w:before="240" w:beforeLines="100" w:line="360" w:lineRule="auto"/>
        <w:ind w:right="-238"/>
        <w:rPr>
          <w:rFonts w:hAnsi="宋体"/>
          <w:b/>
          <w:color w:val="auto"/>
          <w:sz w:val="30"/>
          <w:szCs w:val="24"/>
        </w:rPr>
      </w:pPr>
      <w:r>
        <w:rPr>
          <w:rFonts w:hAnsi="宋体"/>
          <w:b/>
          <w:color w:val="auto"/>
          <w:sz w:val="30"/>
          <w:szCs w:val="24"/>
        </w:rPr>
        <w:t xml:space="preserve">74  </w:t>
      </w:r>
      <w:r>
        <w:rPr>
          <w:rFonts w:hint="eastAsia" w:hAnsi="宋体"/>
          <w:b/>
          <w:color w:val="auto"/>
          <w:sz w:val="30"/>
          <w:szCs w:val="24"/>
        </w:rPr>
        <w:t>费用索赔事件</w:t>
      </w:r>
    </w:p>
    <w:p w14:paraId="7AD8A470">
      <w:pPr>
        <w:pStyle w:val="2"/>
        <w:adjustRightInd w:val="0"/>
        <w:snapToGrid w:val="0"/>
        <w:spacing w:line="360" w:lineRule="auto"/>
        <w:rPr>
          <w:rFonts w:hAnsi="宋体"/>
          <w:b/>
          <w:color w:val="auto"/>
          <w:sz w:val="24"/>
          <w:szCs w:val="18"/>
        </w:rPr>
      </w:pPr>
      <w:r>
        <w:rPr>
          <w:rFonts w:hAnsi="宋体"/>
          <w:b/>
          <w:color w:val="auto"/>
          <w:sz w:val="24"/>
          <w:szCs w:val="18"/>
        </w:rPr>
        <w:t xml:space="preserve">74.1      </w:t>
      </w:r>
    </w:p>
    <w:p w14:paraId="73C0258B">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1968512"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350" name="文本框 350"/>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267C6EEA">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索赔的价款调整</w:t>
                            </w:r>
                          </w:p>
                        </w:txbxContent>
                      </wps:txbx>
                      <wps:bodyPr upright="1"/>
                    </wps:wsp>
                  </a:graphicData>
                </a:graphic>
              </wp:anchor>
            </w:drawing>
          </mc:Choice>
          <mc:Fallback>
            <w:pict>
              <v:shape id="_x0000_s1026" o:spid="_x0000_s1026" o:spt="202" type="#_x0000_t202" style="position:absolute;left:0pt;margin-left:-9pt;margin-top:1.25pt;height:31.2pt;width:72pt;z-index:251968512;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D8/w&#10;cNUAAAAIAQAADwAAAAAAAAABACAAAAAiAAAAZHJzL2Rvd25yZXYueG1sUEsBAhQAFAAAAAgAh07i&#10;QAUYYlizAQAAXwMAAA4AAAAAAAAAAQAgAAAAJAEAAGRycy9lMm9Eb2MueG1sUEsFBgAAAAAGAAYA&#10;WQEAAEkFAAAAAA==&#10;">
                <v:fill on="f" focussize="0,0"/>
                <v:stroke on="f"/>
                <v:imagedata o:title=""/>
                <o:lock v:ext="edit" aspectratio="f"/>
                <v:textbox>
                  <w:txbxContent>
                    <w:p w14:paraId="267C6EEA">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索赔的价款调整</w:t>
                      </w:r>
                    </w:p>
                  </w:txbxContent>
                </v:textbox>
              </v:shape>
            </w:pict>
          </mc:Fallback>
        </mc:AlternateContent>
      </w:r>
      <w:r>
        <w:rPr>
          <w:rFonts w:hint="eastAsia" w:hAnsi="宋体"/>
          <w:color w:val="auto"/>
          <w:sz w:val="24"/>
          <w:szCs w:val="18"/>
        </w:rPr>
        <w:t>费用索赔是指合同履行期间，对于非自己过错而应由对方当事人承担责任的情况造成的损失，向对方当事人提出经济补偿要求的行为。</w:t>
      </w:r>
    </w:p>
    <w:p w14:paraId="73733CF1">
      <w:pPr>
        <w:pStyle w:val="2"/>
        <w:adjustRightInd w:val="0"/>
        <w:snapToGrid w:val="0"/>
        <w:spacing w:line="360" w:lineRule="auto"/>
        <w:ind w:left="1619" w:leftChars="771"/>
        <w:rPr>
          <w:rFonts w:hAnsi="宋体"/>
          <w:color w:val="auto"/>
          <w:sz w:val="24"/>
          <w:szCs w:val="18"/>
        </w:rPr>
      </w:pPr>
      <w:r>
        <w:rPr>
          <w:rFonts w:hint="eastAsia" w:hAnsi="宋体"/>
          <w:color w:val="auto"/>
          <w:sz w:val="24"/>
          <w:szCs w:val="18"/>
        </w:rPr>
        <w:t>合同履行期间，出现费用索赔事件的，合同双方当事人应调整合同价款。</w:t>
      </w:r>
    </w:p>
    <w:p w14:paraId="3E9B72D2">
      <w:pPr>
        <w:pStyle w:val="2"/>
        <w:adjustRightInd w:val="0"/>
        <w:snapToGrid w:val="0"/>
        <w:spacing w:line="360" w:lineRule="auto"/>
        <w:rPr>
          <w:rFonts w:hAnsi="宋体"/>
          <w:b/>
          <w:color w:val="auto"/>
          <w:sz w:val="24"/>
          <w:szCs w:val="18"/>
        </w:rPr>
      </w:pPr>
      <w:r>
        <w:rPr>
          <w:rFonts w:hAnsi="宋体"/>
          <w:b/>
          <w:color w:val="auto"/>
          <w:sz w:val="24"/>
          <w:szCs w:val="18"/>
        </w:rPr>
        <w:t xml:space="preserve">74.2  </w:t>
      </w:r>
    </w:p>
    <w:p w14:paraId="038922CA">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1969536"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351" name="文本框 35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66CDA810">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发出索赔意向书</w:t>
                            </w:r>
                          </w:p>
                        </w:txbxContent>
                      </wps:txbx>
                      <wps:bodyPr upright="1"/>
                    </wps:wsp>
                  </a:graphicData>
                </a:graphic>
              </wp:anchor>
            </w:drawing>
          </mc:Choice>
          <mc:Fallback>
            <w:pict>
              <v:shape id="_x0000_s1026" o:spid="_x0000_s1026" o:spt="202" type="#_x0000_t202" style="position:absolute;left:0pt;margin-left:-9pt;margin-top:1.25pt;height:31.2pt;width:72pt;z-index:251969536;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A/P&#10;8HDVAAAACAEAAA8AAAAAAAAAAQAgAAAAIgAAAGRycy9kb3ducmV2LnhtbFBLAQIUABQAAAAIAIdO&#10;4kCaH6nytAEAAF8DAAAOAAAAAAAAAAEAIAAAACQBAABkcnMvZTJvRG9jLnhtbFBLBQYAAAAABgAG&#10;AFkBAABKBQAAAAA=&#10;">
                <v:fill on="f" focussize="0,0"/>
                <v:stroke on="f"/>
                <v:imagedata o:title=""/>
                <o:lock v:ext="edit" aspectratio="f"/>
                <v:textbox>
                  <w:txbxContent>
                    <w:p w14:paraId="66CDA810">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发出索赔意向书</w:t>
                      </w:r>
                    </w:p>
                  </w:txbxContent>
                </v:textbox>
              </v:shape>
            </w:pict>
          </mc:Fallback>
        </mc:AlternateContent>
      </w:r>
      <w:r>
        <w:rPr>
          <w:rFonts w:hint="eastAsia" w:hAnsi="宋体"/>
          <w:color w:val="auto"/>
          <w:sz w:val="24"/>
          <w:szCs w:val="18"/>
        </w:rPr>
        <w:t>如果承包人根据合同约定提出任何费用或其它形式的损失索赔时，应在该索赔事件首次发生之后的</w:t>
      </w:r>
      <w:r>
        <w:rPr>
          <w:rFonts w:hAnsi="宋体"/>
          <w:color w:val="auto"/>
          <w:sz w:val="24"/>
          <w:szCs w:val="18"/>
        </w:rPr>
        <w:t>14</w:t>
      </w:r>
      <w:r>
        <w:rPr>
          <w:rFonts w:hint="eastAsia" w:hAnsi="宋体"/>
          <w:color w:val="auto"/>
          <w:sz w:val="24"/>
          <w:szCs w:val="18"/>
        </w:rPr>
        <w:t>天内向造价工程师发出索赔意向书，并抄送发包人。</w:t>
      </w:r>
    </w:p>
    <w:p w14:paraId="27F81E38">
      <w:pPr>
        <w:pStyle w:val="2"/>
        <w:adjustRightInd w:val="0"/>
        <w:snapToGrid w:val="0"/>
        <w:spacing w:line="360" w:lineRule="auto"/>
        <w:rPr>
          <w:rFonts w:hAnsi="宋体"/>
          <w:b/>
          <w:color w:val="auto"/>
          <w:sz w:val="24"/>
          <w:szCs w:val="18"/>
        </w:rPr>
      </w:pPr>
      <w:r>
        <w:rPr>
          <w:rFonts w:hAnsi="宋体"/>
          <w:b/>
          <w:color w:val="auto"/>
          <w:sz w:val="24"/>
          <w:szCs w:val="18"/>
        </w:rPr>
        <w:t xml:space="preserve">74.3  </w:t>
      </w:r>
    </w:p>
    <w:p w14:paraId="4553E3BA">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1970560" behindDoc="0" locked="0" layoutInCell="1" allowOverlap="1">
                <wp:simplePos x="0" y="0"/>
                <wp:positionH relativeFrom="column">
                  <wp:posOffset>-114300</wp:posOffset>
                </wp:positionH>
                <wp:positionV relativeFrom="paragraph">
                  <wp:posOffset>635</wp:posOffset>
                </wp:positionV>
                <wp:extent cx="914400" cy="522605"/>
                <wp:effectExtent l="0" t="0" r="0" b="0"/>
                <wp:wrapNone/>
                <wp:docPr id="352" name="文本框 352"/>
                <wp:cNvGraphicFramePr/>
                <a:graphic xmlns:a="http://schemas.openxmlformats.org/drawingml/2006/main">
                  <a:graphicData uri="http://schemas.microsoft.com/office/word/2010/wordprocessingShape">
                    <wps:wsp>
                      <wps:cNvSpPr txBox="1"/>
                      <wps:spPr>
                        <a:xfrm>
                          <a:off x="0" y="0"/>
                          <a:ext cx="914400" cy="522605"/>
                        </a:xfrm>
                        <a:prstGeom prst="rect">
                          <a:avLst/>
                        </a:prstGeom>
                        <a:noFill/>
                        <a:ln>
                          <a:noFill/>
                        </a:ln>
                        <a:effectLst/>
                      </wps:spPr>
                      <wps:txbx>
                        <w:txbxContent>
                          <w:p w14:paraId="6ED14743">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索赔记录的保存和审查</w:t>
                            </w:r>
                          </w:p>
                        </w:txbxContent>
                      </wps:txbx>
                      <wps:bodyPr upright="1"/>
                    </wps:wsp>
                  </a:graphicData>
                </a:graphic>
              </wp:anchor>
            </w:drawing>
          </mc:Choice>
          <mc:Fallback>
            <w:pict>
              <v:shape id="_x0000_s1026" o:spid="_x0000_s1026" o:spt="202" type="#_x0000_t202" style="position:absolute;left:0pt;margin-left:-9pt;margin-top:0.05pt;height:41.15pt;width:72pt;z-index:251970560;mso-width-relative:page;mso-height-relative:page;" filled="f" stroked="f" coordsize="21600,21600" o:gfxdata="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902QKdMA&#10;AAAHAQAADwAAAAAAAAABACAAAAAiAAAAZHJzL2Rvd25yZXYueG1sUEsBAhQAFAAAAAgAh07iQDOL&#10;EVeyAQAAXwMAAA4AAAAAAAAAAQAgAAAAIgEAAGRycy9lMm9Eb2MueG1sUEsFBgAAAAAGAAYAWQEA&#10;AEYFAAAAAA==&#10;">
                <v:fill on="f" focussize="0,0"/>
                <v:stroke on="f"/>
                <v:imagedata o:title=""/>
                <o:lock v:ext="edit" aspectratio="f"/>
                <v:textbox>
                  <w:txbxContent>
                    <w:p w14:paraId="6ED14743">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索赔记录的保存和审查</w:t>
                      </w:r>
                    </w:p>
                  </w:txbxContent>
                </v:textbox>
              </v:shape>
            </w:pict>
          </mc:Fallback>
        </mc:AlternateContent>
      </w:r>
      <w:r>
        <w:rPr>
          <w:rFonts w:hint="eastAsia" w:hAnsi="宋体"/>
          <w:color w:val="auto"/>
          <w:sz w:val="24"/>
          <w:szCs w:val="18"/>
        </w:rPr>
        <w:t>在索赔事件发生时，承包人应保存当时的记录，作为申请索赔的凭证。造价工程师在接到索赔意向书时，无需确认是否属于发包人责任，应先审查记录并可要求承包人进一步作好补充记录。承包人应配合造价工程师审查其记录，在造价工程师有要求时，应当向造价工程师提供记录的复印件。</w:t>
      </w:r>
    </w:p>
    <w:p w14:paraId="04EF723A">
      <w:pPr>
        <w:pStyle w:val="2"/>
        <w:adjustRightInd w:val="0"/>
        <w:snapToGrid w:val="0"/>
        <w:spacing w:line="360" w:lineRule="auto"/>
        <w:rPr>
          <w:rFonts w:hAnsi="宋体"/>
          <w:color w:val="auto"/>
          <w:sz w:val="24"/>
          <w:szCs w:val="18"/>
        </w:rPr>
      </w:pPr>
      <w:r>
        <w:rPr>
          <w:rFonts w:hAnsi="宋体"/>
          <w:b/>
          <w:color w:val="auto"/>
          <w:sz w:val="24"/>
          <w:szCs w:val="18"/>
        </w:rPr>
        <w:t xml:space="preserve">74.4 </w:t>
      </w:r>
    </w:p>
    <w:p w14:paraId="35997AC4">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1971584" behindDoc="0" locked="0" layoutInCell="1" allowOverlap="1">
                <wp:simplePos x="0" y="0"/>
                <wp:positionH relativeFrom="column">
                  <wp:posOffset>-114300</wp:posOffset>
                </wp:positionH>
                <wp:positionV relativeFrom="paragraph">
                  <wp:posOffset>5080</wp:posOffset>
                </wp:positionV>
                <wp:extent cx="1028700" cy="480060"/>
                <wp:effectExtent l="0" t="0" r="0" b="0"/>
                <wp:wrapNone/>
                <wp:docPr id="353" name="文本框 353"/>
                <wp:cNvGraphicFramePr/>
                <a:graphic xmlns:a="http://schemas.openxmlformats.org/drawingml/2006/main">
                  <a:graphicData uri="http://schemas.microsoft.com/office/word/2010/wordprocessingShape">
                    <wps:wsp>
                      <wps:cNvSpPr txBox="1"/>
                      <wps:spPr>
                        <a:xfrm>
                          <a:off x="0" y="0"/>
                          <a:ext cx="1028700" cy="480060"/>
                        </a:xfrm>
                        <a:prstGeom prst="rect">
                          <a:avLst/>
                        </a:prstGeom>
                        <a:noFill/>
                        <a:ln>
                          <a:noFill/>
                        </a:ln>
                        <a:effectLst/>
                      </wps:spPr>
                      <wps:txbx>
                        <w:txbxContent>
                          <w:p w14:paraId="2D29D45F">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提交费用索赔</w:t>
                            </w:r>
                          </w:p>
                          <w:p w14:paraId="5D257C34">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报告</w:t>
                            </w:r>
                          </w:p>
                        </w:txbxContent>
                      </wps:txbx>
                      <wps:bodyPr upright="1"/>
                    </wps:wsp>
                  </a:graphicData>
                </a:graphic>
              </wp:anchor>
            </w:drawing>
          </mc:Choice>
          <mc:Fallback>
            <w:pict>
              <v:shape id="_x0000_s1026" o:spid="_x0000_s1026" o:spt="202" type="#_x0000_t202" style="position:absolute;left:0pt;margin-left:-9pt;margin-top:0.4pt;height:37.8pt;width:81pt;z-index:251971584;mso-width-relative:page;mso-height-relative:page;" filled="f" stroked="f" coordsize="21600,21600" o:gfxdata="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hmslzT&#10;AAAABwEAAA8AAAAAAAAAAQAgAAAAIgAAAGRycy9kb3ducmV2LnhtbFBLAQIUABQAAAAIAIdO4kBF&#10;0pw7swEAAGADAAAOAAAAAAAAAAEAIAAAACIBAABkcnMvZTJvRG9jLnhtbFBLBQYAAAAABgAGAFkB&#10;AABHBQAAAAA=&#10;">
                <v:fill on="f" focussize="0,0"/>
                <v:stroke on="f"/>
                <v:imagedata o:title=""/>
                <o:lock v:ext="edit" aspectratio="f"/>
                <v:textbox>
                  <w:txbxContent>
                    <w:p w14:paraId="2D29D45F">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提交费用索赔</w:t>
                      </w:r>
                    </w:p>
                    <w:p w14:paraId="5D257C34">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报告</w:t>
                      </w:r>
                    </w:p>
                  </w:txbxContent>
                </v:textbox>
              </v:shape>
            </w:pict>
          </mc:Fallback>
        </mc:AlternateContent>
      </w:r>
      <w:r>
        <w:rPr>
          <w:rFonts w:hint="eastAsia" w:hAnsi="宋体"/>
          <w:color w:val="auto"/>
          <w:sz w:val="24"/>
          <w:szCs w:val="18"/>
        </w:rPr>
        <w:t>在发出索赔意向书后的</w:t>
      </w:r>
      <w:r>
        <w:rPr>
          <w:rFonts w:hAnsi="宋体"/>
          <w:color w:val="auto"/>
          <w:sz w:val="24"/>
          <w:szCs w:val="18"/>
        </w:rPr>
        <w:t>14</w:t>
      </w:r>
      <w:r>
        <w:rPr>
          <w:rFonts w:hint="eastAsia" w:hAnsi="宋体"/>
          <w:color w:val="auto"/>
          <w:sz w:val="24"/>
          <w:szCs w:val="18"/>
        </w:rPr>
        <w:t>天内，承包人应向造价工程师提交费用索赔报告和有关资料。如果索赔事件持续进行，承包人应每隔</w:t>
      </w:r>
      <w:r>
        <w:rPr>
          <w:rFonts w:hAnsi="宋体"/>
          <w:color w:val="auto"/>
          <w:sz w:val="24"/>
          <w:szCs w:val="18"/>
        </w:rPr>
        <w:t>7</w:t>
      </w:r>
      <w:r>
        <w:rPr>
          <w:rFonts w:hint="eastAsia" w:hAnsi="宋体"/>
          <w:color w:val="auto"/>
          <w:sz w:val="24"/>
          <w:szCs w:val="18"/>
        </w:rPr>
        <w:t>天向造价工程师发出索赔意向书，在索赔事件终结后的</w:t>
      </w:r>
      <w:r>
        <w:rPr>
          <w:rFonts w:hAnsi="宋体"/>
          <w:color w:val="auto"/>
          <w:sz w:val="24"/>
          <w:szCs w:val="18"/>
        </w:rPr>
        <w:t>14</w:t>
      </w:r>
      <w:r>
        <w:rPr>
          <w:rFonts w:hint="eastAsia" w:hAnsi="宋体"/>
          <w:color w:val="auto"/>
          <w:sz w:val="24"/>
          <w:szCs w:val="18"/>
        </w:rPr>
        <w:t>天内，提交最终费用索赔报告和有关资料。</w:t>
      </w:r>
    </w:p>
    <w:p w14:paraId="360347FF">
      <w:pPr>
        <w:pStyle w:val="2"/>
        <w:adjustRightInd w:val="0"/>
        <w:snapToGrid w:val="0"/>
        <w:spacing w:line="360" w:lineRule="auto"/>
        <w:rPr>
          <w:rFonts w:hAnsi="宋体"/>
          <w:b/>
          <w:color w:val="auto"/>
          <w:sz w:val="24"/>
          <w:szCs w:val="18"/>
        </w:rPr>
      </w:pPr>
      <w:r>
        <w:rPr>
          <w:color w:val="auto"/>
        </w:rPr>
        <mc:AlternateContent>
          <mc:Choice Requires="wps">
            <w:drawing>
              <wp:anchor distT="0" distB="0" distL="114300" distR="114300" simplePos="0" relativeHeight="251972608" behindDoc="0" locked="0" layoutInCell="1" allowOverlap="1">
                <wp:simplePos x="0" y="0"/>
                <wp:positionH relativeFrom="column">
                  <wp:posOffset>-114300</wp:posOffset>
                </wp:positionH>
                <wp:positionV relativeFrom="paragraph">
                  <wp:posOffset>250825</wp:posOffset>
                </wp:positionV>
                <wp:extent cx="800100" cy="324485"/>
                <wp:effectExtent l="0" t="0" r="0" b="0"/>
                <wp:wrapNone/>
                <wp:docPr id="354" name="文本框 354"/>
                <wp:cNvGraphicFramePr/>
                <a:graphic xmlns:a="http://schemas.openxmlformats.org/drawingml/2006/main">
                  <a:graphicData uri="http://schemas.microsoft.com/office/word/2010/wordprocessingShape">
                    <wps:wsp>
                      <wps:cNvSpPr txBox="1"/>
                      <wps:spPr>
                        <a:xfrm>
                          <a:off x="0" y="0"/>
                          <a:ext cx="800100" cy="324485"/>
                        </a:xfrm>
                        <a:prstGeom prst="rect">
                          <a:avLst/>
                        </a:prstGeom>
                        <a:noFill/>
                        <a:ln>
                          <a:noFill/>
                        </a:ln>
                        <a:effectLst/>
                      </wps:spPr>
                      <wps:txbx>
                        <w:txbxContent>
                          <w:p w14:paraId="00105FD3">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无权索赔</w:t>
                            </w:r>
                          </w:p>
                        </w:txbxContent>
                      </wps:txbx>
                      <wps:bodyPr upright="1"/>
                    </wps:wsp>
                  </a:graphicData>
                </a:graphic>
              </wp:anchor>
            </w:drawing>
          </mc:Choice>
          <mc:Fallback>
            <w:pict>
              <v:shape id="_x0000_s1026" o:spid="_x0000_s1026" o:spt="202" type="#_x0000_t202" style="position:absolute;left:0pt;margin-left:-9pt;margin-top:19.75pt;height:25.55pt;width:63pt;z-index:251972608;mso-width-relative:page;mso-height-relative:page;" filled="f" stroked="f" coordsize="21600,21600" o:gfxdata="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XDV2&#10;otYAAAAJAQAADwAAAAAAAAABACAAAAAiAAAAZHJzL2Rvd25yZXYueG1sUEsBAhQAFAAAAAgAh07i&#10;QMTf0YuyAQAAXwMAAA4AAAAAAAAAAQAgAAAAJQEAAGRycy9lMm9Eb2MueG1sUEsFBgAAAAAGAAYA&#10;WQEAAEkFAAAAAA==&#10;">
                <v:fill on="f" focussize="0,0"/>
                <v:stroke on="f"/>
                <v:imagedata o:title=""/>
                <o:lock v:ext="edit" aspectratio="f"/>
                <v:textbox>
                  <w:txbxContent>
                    <w:p w14:paraId="00105FD3">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无权索赔</w:t>
                      </w:r>
                    </w:p>
                  </w:txbxContent>
                </v:textbox>
              </v:shape>
            </w:pict>
          </mc:Fallback>
        </mc:AlternateContent>
      </w:r>
      <w:r>
        <w:rPr>
          <w:rFonts w:hAnsi="宋体"/>
          <w:b/>
          <w:color w:val="auto"/>
          <w:sz w:val="24"/>
          <w:szCs w:val="18"/>
        </w:rPr>
        <w:t xml:space="preserve">74.5  </w:t>
      </w:r>
    </w:p>
    <w:p w14:paraId="2B530837">
      <w:pPr>
        <w:pStyle w:val="2"/>
        <w:adjustRightInd w:val="0"/>
        <w:snapToGrid w:val="0"/>
        <w:spacing w:line="360" w:lineRule="auto"/>
        <w:ind w:left="1619" w:leftChars="771"/>
        <w:rPr>
          <w:rFonts w:hAnsi="宋体"/>
          <w:b/>
          <w:color w:val="auto"/>
          <w:sz w:val="24"/>
          <w:szCs w:val="18"/>
        </w:rPr>
      </w:pPr>
      <w:r>
        <w:rPr>
          <w:rFonts w:hint="eastAsia" w:hAnsi="宋体"/>
          <w:color w:val="auto"/>
          <w:sz w:val="24"/>
          <w:szCs w:val="18"/>
        </w:rPr>
        <w:t>如果承包人提出的索赔未能遵守第</w:t>
      </w:r>
      <w:r>
        <w:rPr>
          <w:rFonts w:hAnsi="宋体"/>
          <w:color w:val="auto"/>
          <w:sz w:val="24"/>
          <w:szCs w:val="18"/>
        </w:rPr>
        <w:t>74.2</w:t>
      </w:r>
      <w:r>
        <w:rPr>
          <w:rFonts w:hint="eastAsia" w:hAnsi="宋体"/>
          <w:color w:val="auto"/>
          <w:sz w:val="24"/>
          <w:szCs w:val="18"/>
        </w:rPr>
        <w:t>款至第</w:t>
      </w:r>
      <w:r>
        <w:rPr>
          <w:rFonts w:hAnsi="宋体"/>
          <w:color w:val="auto"/>
          <w:sz w:val="24"/>
          <w:szCs w:val="18"/>
        </w:rPr>
        <w:t>74.4</w:t>
      </w:r>
      <w:r>
        <w:rPr>
          <w:rFonts w:hint="eastAsia" w:hAnsi="宋体"/>
          <w:color w:val="auto"/>
          <w:sz w:val="24"/>
          <w:szCs w:val="18"/>
        </w:rPr>
        <w:t>款规定，则承包人无权获得索赔或只限于获得由造价工程师按照提供记录予以核实的部分款额。</w:t>
      </w:r>
    </w:p>
    <w:p w14:paraId="18D32C6F">
      <w:pPr>
        <w:pStyle w:val="2"/>
        <w:adjustRightInd w:val="0"/>
        <w:snapToGrid w:val="0"/>
        <w:spacing w:line="360" w:lineRule="auto"/>
        <w:rPr>
          <w:rFonts w:hAnsi="宋体"/>
          <w:b/>
          <w:color w:val="auto"/>
          <w:sz w:val="24"/>
          <w:szCs w:val="18"/>
        </w:rPr>
      </w:pPr>
      <w:r>
        <w:rPr>
          <w:rFonts w:hAnsi="宋体"/>
          <w:b/>
          <w:color w:val="auto"/>
          <w:sz w:val="24"/>
          <w:szCs w:val="18"/>
        </w:rPr>
        <w:t xml:space="preserve">74.6  </w:t>
      </w:r>
    </w:p>
    <w:p w14:paraId="384E92BA">
      <w:pPr>
        <w:pStyle w:val="2"/>
        <w:adjustRightInd w:val="0"/>
        <w:snapToGrid w:val="0"/>
        <w:spacing w:line="360" w:lineRule="auto"/>
        <w:ind w:left="1619" w:leftChars="771"/>
        <w:rPr>
          <w:rFonts w:hAnsi="宋体"/>
          <w:b/>
          <w:color w:val="auto"/>
          <w:sz w:val="24"/>
          <w:szCs w:val="18"/>
        </w:rPr>
      </w:pPr>
      <w:r>
        <w:rPr>
          <w:color w:val="auto"/>
        </w:rPr>
        <mc:AlternateContent>
          <mc:Choice Requires="wps">
            <w:drawing>
              <wp:anchor distT="0" distB="0" distL="114300" distR="114300" simplePos="0" relativeHeight="251973632" behindDoc="0" locked="0" layoutInCell="1" allowOverlap="1">
                <wp:simplePos x="0" y="0"/>
                <wp:positionH relativeFrom="column">
                  <wp:posOffset>-114300</wp:posOffset>
                </wp:positionH>
                <wp:positionV relativeFrom="paragraph">
                  <wp:posOffset>8255</wp:posOffset>
                </wp:positionV>
                <wp:extent cx="914400" cy="438785"/>
                <wp:effectExtent l="0" t="0" r="0" b="0"/>
                <wp:wrapNone/>
                <wp:docPr id="355" name="文本框 355"/>
                <wp:cNvGraphicFramePr/>
                <a:graphic xmlns:a="http://schemas.openxmlformats.org/drawingml/2006/main">
                  <a:graphicData uri="http://schemas.microsoft.com/office/word/2010/wordprocessingShape">
                    <wps:wsp>
                      <wps:cNvSpPr txBox="1"/>
                      <wps:spPr>
                        <a:xfrm>
                          <a:off x="0" y="0"/>
                          <a:ext cx="914400" cy="438785"/>
                        </a:xfrm>
                        <a:prstGeom prst="rect">
                          <a:avLst/>
                        </a:prstGeom>
                        <a:noFill/>
                        <a:ln>
                          <a:noFill/>
                        </a:ln>
                        <a:effectLst/>
                      </wps:spPr>
                      <wps:txbx>
                        <w:txbxContent>
                          <w:p w14:paraId="1C17BD24">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核实费用索赔报告的限制</w:t>
                            </w:r>
                          </w:p>
                        </w:txbxContent>
                      </wps:txbx>
                      <wps:bodyPr upright="1"/>
                    </wps:wsp>
                  </a:graphicData>
                </a:graphic>
              </wp:anchor>
            </w:drawing>
          </mc:Choice>
          <mc:Fallback>
            <w:pict>
              <v:shape id="_x0000_s1026" o:spid="_x0000_s1026" o:spt="202" type="#_x0000_t202" style="position:absolute;left:0pt;margin-left:-9pt;margin-top:0.65pt;height:34.55pt;width:72pt;z-index:251973632;mso-width-relative:page;mso-height-relative:page;" filled="f" stroked="f" coordsize="21600,21600" o:gfxdata="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v/&#10;TQXVAAAACAEAAA8AAAAAAAAAAQAgAAAAIgAAAGRycy9kb3ducmV2LnhtbFBLAQIUABQAAAAIAIdO&#10;4kBl3wsRtAEAAF8DAAAOAAAAAAAAAAEAIAAAACQBAABkcnMvZTJvRG9jLnhtbFBLBQYAAAAABgAG&#10;AFkBAABKBQAAAAA=&#10;">
                <v:fill on="f" focussize="0,0"/>
                <v:stroke on="f"/>
                <v:imagedata o:title=""/>
                <o:lock v:ext="edit" aspectratio="f"/>
                <v:textbox>
                  <w:txbxContent>
                    <w:p w14:paraId="1C17BD24">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核实费用索赔报告的限制</w:t>
                      </w:r>
                    </w:p>
                  </w:txbxContent>
                </v:textbox>
              </v:shape>
            </w:pict>
          </mc:Fallback>
        </mc:AlternateContent>
      </w:r>
      <w:r>
        <w:rPr>
          <w:rFonts w:hint="eastAsia" w:hAnsi="宋体"/>
          <w:color w:val="auto"/>
          <w:sz w:val="24"/>
          <w:szCs w:val="18"/>
        </w:rPr>
        <w:t>造价工程师应在收到承包人提交的费用索赔报告和有关资料后的</w:t>
      </w:r>
      <w:r>
        <w:rPr>
          <w:rFonts w:hAnsi="宋体"/>
          <w:color w:val="auto"/>
          <w:sz w:val="24"/>
          <w:szCs w:val="18"/>
        </w:rPr>
        <w:t>28</w:t>
      </w:r>
      <w:r>
        <w:rPr>
          <w:rFonts w:hint="eastAsia" w:hAnsi="宋体"/>
          <w:color w:val="auto"/>
          <w:sz w:val="24"/>
          <w:szCs w:val="18"/>
        </w:rPr>
        <w:t>天内予以核实或要求承包人进一步补充索赔理由和证据，并与合同双方当事人协商确定承包人有权获得的全部或部分的索赔款额；协商不能达成一致的，由造价工程师暂定，通知承包人并抄报发包人。如果造价工程师在规定期限内未予答复也未对承包人作出进一步要求，视为该费用索赔报告已经被认可。</w:t>
      </w:r>
    </w:p>
    <w:p w14:paraId="1BA0957C">
      <w:pPr>
        <w:pStyle w:val="2"/>
        <w:adjustRightInd w:val="0"/>
        <w:snapToGrid w:val="0"/>
        <w:spacing w:line="360" w:lineRule="auto"/>
        <w:rPr>
          <w:rFonts w:hAnsi="宋体"/>
          <w:b/>
          <w:color w:val="auto"/>
          <w:sz w:val="24"/>
          <w:szCs w:val="18"/>
        </w:rPr>
      </w:pPr>
      <w:r>
        <w:rPr>
          <w:rFonts w:hAnsi="宋体"/>
          <w:b/>
          <w:color w:val="auto"/>
          <w:sz w:val="24"/>
          <w:szCs w:val="18"/>
        </w:rPr>
        <w:t xml:space="preserve">74.7  </w:t>
      </w:r>
    </w:p>
    <w:p w14:paraId="2487CFE6">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1974656" behindDoc="0" locked="0" layoutInCell="1" allowOverlap="1">
                <wp:simplePos x="0" y="0"/>
                <wp:positionH relativeFrom="column">
                  <wp:posOffset>-114300</wp:posOffset>
                </wp:positionH>
                <wp:positionV relativeFrom="paragraph">
                  <wp:posOffset>38735</wp:posOffset>
                </wp:positionV>
                <wp:extent cx="800100" cy="349885"/>
                <wp:effectExtent l="0" t="0" r="0" b="0"/>
                <wp:wrapNone/>
                <wp:docPr id="356" name="文本框 356"/>
                <wp:cNvGraphicFramePr/>
                <a:graphic xmlns:a="http://schemas.openxmlformats.org/drawingml/2006/main">
                  <a:graphicData uri="http://schemas.microsoft.com/office/word/2010/wordprocessingShape">
                    <wps:wsp>
                      <wps:cNvSpPr txBox="1"/>
                      <wps:spPr>
                        <a:xfrm>
                          <a:off x="0" y="0"/>
                          <a:ext cx="800100" cy="349885"/>
                        </a:xfrm>
                        <a:prstGeom prst="rect">
                          <a:avLst/>
                        </a:prstGeom>
                        <a:noFill/>
                        <a:ln>
                          <a:noFill/>
                        </a:ln>
                        <a:effectLst/>
                      </wps:spPr>
                      <wps:txbx>
                        <w:txbxContent>
                          <w:p w14:paraId="335C4BE0">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反索赔</w:t>
                            </w:r>
                          </w:p>
                        </w:txbxContent>
                      </wps:txbx>
                      <wps:bodyPr upright="1"/>
                    </wps:wsp>
                  </a:graphicData>
                </a:graphic>
              </wp:anchor>
            </w:drawing>
          </mc:Choice>
          <mc:Fallback>
            <w:pict>
              <v:shape id="_x0000_s1026" o:spid="_x0000_s1026" o:spt="202" type="#_x0000_t202" style="position:absolute;left:0pt;margin-left:-9pt;margin-top:3.05pt;height:27.55pt;width:63pt;z-index:251974656;mso-width-relative:page;mso-height-relative:page;" filled="f" stroked="f" coordsize="21600,21600" o:gfxdata="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t6SadMA&#10;AAAIAQAADwAAAAAAAAABACAAAAAiAAAAZHJzL2Rvd25yZXYueG1sUEsBAhQAFAAAAAgAh07iQAs0&#10;TMKyAQAAXwMAAA4AAAAAAAAAAQAgAAAAIgEAAGRycy9lMm9Eb2MueG1sUEsFBgAAAAAGAAYAWQEA&#10;AEYFAAAAAA==&#10;">
                <v:fill on="f" focussize="0,0"/>
                <v:stroke on="f"/>
                <v:imagedata o:title=""/>
                <o:lock v:ext="edit" aspectratio="f"/>
                <v:textbox>
                  <w:txbxContent>
                    <w:p w14:paraId="335C4BE0">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反索赔</w:t>
                      </w:r>
                    </w:p>
                  </w:txbxContent>
                </v:textbox>
              </v:shape>
            </w:pict>
          </mc:Fallback>
        </mc:AlternateContent>
      </w:r>
      <w:r>
        <w:rPr>
          <w:rFonts w:hint="eastAsia" w:hAnsi="宋体"/>
          <w:color w:val="auto"/>
          <w:sz w:val="24"/>
          <w:szCs w:val="18"/>
        </w:rPr>
        <w:t>承包人未能按照合同约定履行各项义务或发生错误，给发包人造成损失，发包人可按照本条规定的时限和要求向承包人提出索赔。</w:t>
      </w:r>
    </w:p>
    <w:p w14:paraId="09BE02BE">
      <w:pPr>
        <w:pStyle w:val="2"/>
        <w:adjustRightInd w:val="0"/>
        <w:snapToGrid w:val="0"/>
        <w:spacing w:line="360" w:lineRule="auto"/>
        <w:rPr>
          <w:rFonts w:hAnsi="宋体"/>
          <w:b/>
          <w:color w:val="auto"/>
          <w:sz w:val="24"/>
          <w:szCs w:val="18"/>
        </w:rPr>
      </w:pPr>
      <w:r>
        <w:rPr>
          <w:rFonts w:hAnsi="宋体"/>
          <w:b/>
          <w:color w:val="auto"/>
          <w:sz w:val="24"/>
          <w:szCs w:val="18"/>
        </w:rPr>
        <w:t xml:space="preserve">74.8  </w:t>
      </w:r>
    </w:p>
    <w:p w14:paraId="26A7A7AD">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1975680" behindDoc="0" locked="0" layoutInCell="1" allowOverlap="1">
                <wp:simplePos x="0" y="0"/>
                <wp:positionH relativeFrom="column">
                  <wp:posOffset>-114300</wp:posOffset>
                </wp:positionH>
                <wp:positionV relativeFrom="paragraph">
                  <wp:posOffset>18415</wp:posOffset>
                </wp:positionV>
                <wp:extent cx="914400" cy="622300"/>
                <wp:effectExtent l="0" t="0" r="0" b="0"/>
                <wp:wrapNone/>
                <wp:docPr id="357" name="文本框 357"/>
                <wp:cNvGraphicFramePr/>
                <a:graphic xmlns:a="http://schemas.openxmlformats.org/drawingml/2006/main">
                  <a:graphicData uri="http://schemas.microsoft.com/office/word/2010/wordprocessingShape">
                    <wps:wsp>
                      <wps:cNvSpPr txBox="1"/>
                      <wps:spPr>
                        <a:xfrm>
                          <a:off x="0" y="0"/>
                          <a:ext cx="914400" cy="622300"/>
                        </a:xfrm>
                        <a:prstGeom prst="rect">
                          <a:avLst/>
                        </a:prstGeom>
                        <a:noFill/>
                        <a:ln>
                          <a:noFill/>
                        </a:ln>
                        <a:effectLst/>
                      </wps:spPr>
                      <wps:txbx>
                        <w:txbxContent>
                          <w:p w14:paraId="7A5FB72C">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调整价款的确认与支付</w:t>
                            </w:r>
                          </w:p>
                        </w:txbxContent>
                      </wps:txbx>
                      <wps:bodyPr upright="1"/>
                    </wps:wsp>
                  </a:graphicData>
                </a:graphic>
              </wp:anchor>
            </w:drawing>
          </mc:Choice>
          <mc:Fallback>
            <w:pict>
              <v:shape id="_x0000_s1026" o:spid="_x0000_s1026" o:spt="202" type="#_x0000_t202" style="position:absolute;left:0pt;margin-left:-9pt;margin-top:1.45pt;height:49pt;width:72pt;z-index:251975680;mso-width-relative:page;mso-height-relative:page;" filled="f" stroked="f" coordsize="21600,21600" o:gfxdata="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u&#10;umvWAAAACQEAAA8AAAAAAAAAAQAgAAAAIgAAAGRycy9kb3ducmV2LnhtbFBLAQIUABQAAAAIAIdO&#10;4kB/TskxswEAAF8DAAAOAAAAAAAAAAEAIAAAACUBAABkcnMvZTJvRG9jLnhtbFBLBQYAAAAABgAG&#10;AFkBAABKBQAAAAA=&#10;">
                <v:fill on="f" focussize="0,0"/>
                <v:stroke on="f"/>
                <v:imagedata o:title=""/>
                <o:lock v:ext="edit" aspectratio="f"/>
                <v:textbox>
                  <w:txbxContent>
                    <w:p w14:paraId="7A5FB72C">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调整价款的确认与支付</w:t>
                      </w:r>
                    </w:p>
                  </w:txbxContent>
                </v:textbox>
              </v:shape>
            </w:pict>
          </mc:Fallback>
        </mc:AlternateContent>
      </w:r>
      <w:r>
        <w:rPr>
          <w:rFonts w:hint="eastAsia" w:hAnsi="宋体"/>
          <w:color w:val="auto"/>
          <w:sz w:val="24"/>
          <w:szCs w:val="18"/>
        </w:rPr>
        <w:t>费用索赔报告被认可，则表明该事件已索赔成功，合同双方当事人应确认由此引起调整的合同价款，并作为追加（减）合同价款，与工程进度款或结算款同期支付。</w:t>
      </w:r>
    </w:p>
    <w:p w14:paraId="148A072C">
      <w:pPr>
        <w:pStyle w:val="2"/>
        <w:adjustRightInd w:val="0"/>
        <w:snapToGrid w:val="0"/>
        <w:spacing w:line="360" w:lineRule="auto"/>
        <w:ind w:right="-238"/>
        <w:rPr>
          <w:color w:val="auto"/>
        </w:rPr>
      </w:pPr>
    </w:p>
    <w:p w14:paraId="385C8B32">
      <w:pPr>
        <w:pStyle w:val="2"/>
        <w:tabs>
          <w:tab w:val="left" w:pos="540"/>
        </w:tabs>
        <w:adjustRightInd w:val="0"/>
        <w:snapToGrid w:val="0"/>
        <w:spacing w:before="240" w:beforeLines="100" w:line="360" w:lineRule="auto"/>
        <w:ind w:right="-238"/>
        <w:rPr>
          <w:rFonts w:hAnsi="宋体"/>
          <w:b/>
          <w:color w:val="auto"/>
          <w:sz w:val="30"/>
          <w:szCs w:val="24"/>
        </w:rPr>
      </w:pPr>
      <w:r>
        <w:rPr>
          <w:rFonts w:hAnsi="宋体"/>
          <w:b/>
          <w:color w:val="auto"/>
          <w:sz w:val="30"/>
          <w:szCs w:val="24"/>
        </w:rPr>
        <w:t xml:space="preserve">75  </w:t>
      </w:r>
      <w:r>
        <w:rPr>
          <w:rFonts w:hint="eastAsia" w:hAnsi="宋体"/>
          <w:b/>
          <w:color w:val="auto"/>
          <w:sz w:val="30"/>
          <w:szCs w:val="24"/>
        </w:rPr>
        <w:t>现场签证事件</w:t>
      </w:r>
    </w:p>
    <w:p w14:paraId="7F2BF2D4">
      <w:pPr>
        <w:pStyle w:val="2"/>
        <w:adjustRightInd w:val="0"/>
        <w:snapToGrid w:val="0"/>
        <w:spacing w:line="360" w:lineRule="auto"/>
        <w:rPr>
          <w:rFonts w:hAnsi="宋体"/>
          <w:b/>
          <w:color w:val="auto"/>
          <w:sz w:val="24"/>
          <w:szCs w:val="18"/>
          <w:u w:val="dotted"/>
        </w:rPr>
      </w:pPr>
      <w:r>
        <w:rPr>
          <w:rFonts w:hAnsi="宋体"/>
          <w:b/>
          <w:color w:val="auto"/>
          <w:sz w:val="24"/>
          <w:szCs w:val="18"/>
        </w:rPr>
        <w:t xml:space="preserve">75.1 </w:t>
      </w:r>
    </w:p>
    <w:p w14:paraId="79EA5AAF">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1976704" behindDoc="0" locked="0" layoutInCell="1" allowOverlap="1">
                <wp:simplePos x="0" y="0"/>
                <wp:positionH relativeFrom="column">
                  <wp:posOffset>-114300</wp:posOffset>
                </wp:positionH>
                <wp:positionV relativeFrom="paragraph">
                  <wp:posOffset>5080</wp:posOffset>
                </wp:positionV>
                <wp:extent cx="914400" cy="510540"/>
                <wp:effectExtent l="0" t="0" r="0" b="0"/>
                <wp:wrapNone/>
                <wp:docPr id="358" name="文本框 358"/>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a:effectLst/>
                      </wps:spPr>
                      <wps:txbx>
                        <w:txbxContent>
                          <w:p w14:paraId="6DED4AB8">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现场签证的价款调整</w:t>
                            </w:r>
                          </w:p>
                          <w:p w14:paraId="4C350CD0">
                            <w:pPr>
                              <w:rPr>
                                <w:szCs w:val="18"/>
                              </w:rPr>
                            </w:pPr>
                          </w:p>
                        </w:txbxContent>
                      </wps:txbx>
                      <wps:bodyPr upright="1"/>
                    </wps:wsp>
                  </a:graphicData>
                </a:graphic>
              </wp:anchor>
            </w:drawing>
          </mc:Choice>
          <mc:Fallback>
            <w:pict>
              <v:shape id="_x0000_s1026" o:spid="_x0000_s1026" o:spt="202" type="#_x0000_t202" style="position:absolute;left:0pt;margin-left:-9pt;margin-top:0.4pt;height:40.2pt;width:72pt;z-index:251976704;mso-width-relative:page;mso-height-relative:page;" filled="f" stroked="f" coordsize="21600,21600" o:gfxdata="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VuNf7T&#10;AAAABwEAAA8AAAAAAAAAAQAgAAAAIgAAAGRycy9kb3ducmV2LnhtbFBLAQIUABQAAAAIAIdO4kC3&#10;EghuswEAAF8DAAAOAAAAAAAAAAEAIAAAACIBAABkcnMvZTJvRG9jLnhtbFBLBQYAAAAABgAGAFkB&#10;AABHBQAAAAA=&#10;">
                <v:fill on="f" focussize="0,0"/>
                <v:stroke on="f"/>
                <v:imagedata o:title=""/>
                <o:lock v:ext="edit" aspectratio="f"/>
                <v:textbox>
                  <w:txbxContent>
                    <w:p w14:paraId="6DED4AB8">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现场签证的价款调整</w:t>
                      </w:r>
                    </w:p>
                    <w:p w14:paraId="4C350CD0">
                      <w:pPr>
                        <w:rPr>
                          <w:szCs w:val="18"/>
                        </w:rPr>
                      </w:pPr>
                    </w:p>
                  </w:txbxContent>
                </v:textbox>
              </v:shape>
            </w:pict>
          </mc:Fallback>
        </mc:AlternateContent>
      </w:r>
      <w:r>
        <w:rPr>
          <w:rFonts w:hint="eastAsia" w:hAnsi="宋体"/>
          <w:color w:val="auto"/>
          <w:sz w:val="24"/>
          <w:szCs w:val="18"/>
        </w:rPr>
        <w:t>现场签证是指合同双方当事人就施工过程中涉及的责任事件所作的签认证明。</w:t>
      </w:r>
    </w:p>
    <w:p w14:paraId="09D30E28">
      <w:pPr>
        <w:pStyle w:val="2"/>
        <w:adjustRightInd w:val="0"/>
        <w:snapToGrid w:val="0"/>
        <w:spacing w:line="360" w:lineRule="auto"/>
        <w:ind w:left="1619" w:leftChars="771"/>
        <w:rPr>
          <w:rFonts w:hAnsi="宋体"/>
          <w:color w:val="auto"/>
          <w:sz w:val="24"/>
          <w:szCs w:val="18"/>
        </w:rPr>
      </w:pPr>
      <w:r>
        <w:rPr>
          <w:rFonts w:hint="eastAsia" w:hAnsi="宋体"/>
          <w:color w:val="auto"/>
          <w:sz w:val="24"/>
          <w:szCs w:val="18"/>
        </w:rPr>
        <w:t>合同履行期间，出现现场签证事件的，合同双方当事人应调整合同价款。</w:t>
      </w:r>
    </w:p>
    <w:p w14:paraId="0C346AE2">
      <w:pPr>
        <w:pStyle w:val="2"/>
        <w:adjustRightInd w:val="0"/>
        <w:snapToGrid w:val="0"/>
        <w:spacing w:line="360" w:lineRule="auto"/>
        <w:rPr>
          <w:rFonts w:hAnsi="宋体"/>
          <w:b/>
          <w:bCs/>
          <w:color w:val="auto"/>
          <w:sz w:val="18"/>
          <w:szCs w:val="18"/>
        </w:rPr>
      </w:pPr>
      <w:r>
        <w:rPr>
          <w:rFonts w:hAnsi="宋体"/>
          <w:b/>
          <w:color w:val="auto"/>
          <w:sz w:val="24"/>
          <w:szCs w:val="18"/>
        </w:rPr>
        <w:t xml:space="preserve">75.2  </w:t>
      </w:r>
    </w:p>
    <w:p w14:paraId="7027CAE1">
      <w:pPr>
        <w:pStyle w:val="2"/>
        <w:adjustRightInd w:val="0"/>
        <w:snapToGrid w:val="0"/>
        <w:spacing w:line="360" w:lineRule="auto"/>
        <w:ind w:left="1617" w:leftChars="770" w:firstLine="1"/>
        <w:rPr>
          <w:rFonts w:hAnsi="宋体"/>
          <w:color w:val="auto"/>
          <w:sz w:val="24"/>
          <w:szCs w:val="18"/>
        </w:rPr>
      </w:pPr>
      <w:r>
        <w:rPr>
          <w:color w:val="auto"/>
        </w:rPr>
        <mc:AlternateContent>
          <mc:Choice Requires="wps">
            <w:drawing>
              <wp:anchor distT="0" distB="0" distL="114300" distR="114300" simplePos="0" relativeHeight="251977728" behindDoc="0" locked="0" layoutInCell="1" allowOverlap="1">
                <wp:simplePos x="0" y="0"/>
                <wp:positionH relativeFrom="column">
                  <wp:posOffset>-114300</wp:posOffset>
                </wp:positionH>
                <wp:positionV relativeFrom="paragraph">
                  <wp:posOffset>18415</wp:posOffset>
                </wp:positionV>
                <wp:extent cx="914400" cy="510540"/>
                <wp:effectExtent l="0" t="0" r="0" b="0"/>
                <wp:wrapNone/>
                <wp:docPr id="359" name="文本框 359"/>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a:effectLst/>
                      </wps:spPr>
                      <wps:txbx>
                        <w:txbxContent>
                          <w:p w14:paraId="1EE4BF1D">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现场签证的提出</w:t>
                            </w:r>
                          </w:p>
                          <w:p w14:paraId="56A65A5F">
                            <w:pPr>
                              <w:rPr>
                                <w:szCs w:val="18"/>
                              </w:rPr>
                            </w:pPr>
                          </w:p>
                        </w:txbxContent>
                      </wps:txbx>
                      <wps:bodyPr upright="1"/>
                    </wps:wsp>
                  </a:graphicData>
                </a:graphic>
              </wp:anchor>
            </w:drawing>
          </mc:Choice>
          <mc:Fallback>
            <w:pict>
              <v:shape id="_x0000_s1026" o:spid="_x0000_s1026" o:spt="202" type="#_x0000_t202" style="position:absolute;left:0pt;margin-left:-9pt;margin-top:1.45pt;height:40.2pt;width:72pt;z-index:251977728;mso-width-relative:page;mso-height-relative:page;" filled="f" stroked="f" coordsize="21600,21600" o:gfxdata="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GX&#10;nnfVAAAACAEAAA8AAAAAAAAAAQAgAAAAIgAAAGRycy9kb3ducmV2LnhtbFBLAQIUABQAAAAIAIdO&#10;4kAoFcPEtAEAAF8DAAAOAAAAAAAAAAEAIAAAACQBAABkcnMvZTJvRG9jLnhtbFBLBQYAAAAABgAG&#10;AFkBAABKBQAAAAA=&#10;">
                <v:fill on="f" focussize="0,0"/>
                <v:stroke on="f"/>
                <v:imagedata o:title=""/>
                <o:lock v:ext="edit" aspectratio="f"/>
                <v:textbox>
                  <w:txbxContent>
                    <w:p w14:paraId="1EE4BF1D">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现场签证的提出</w:t>
                      </w:r>
                    </w:p>
                    <w:p w14:paraId="56A65A5F">
                      <w:pPr>
                        <w:rPr>
                          <w:szCs w:val="18"/>
                        </w:rPr>
                      </w:pPr>
                    </w:p>
                  </w:txbxContent>
                </v:textbox>
              </v:shape>
            </w:pict>
          </mc:Fallback>
        </mc:AlternateContent>
      </w:r>
      <w:r>
        <w:rPr>
          <w:rFonts w:hint="eastAsia" w:hAnsi="宋体"/>
          <w:color w:val="auto"/>
          <w:sz w:val="24"/>
          <w:szCs w:val="18"/>
        </w:rPr>
        <w:t>承包人应发包人要求完成合同以外的零星项目、非承包人责任事件等工作的，发包人应通知监理工程师及时以书面形式向承包人发出工作指令，提供所需的相关资料；承包人在收到监理工程师书面通知后，应及时向发包人提出现场签证要求。</w:t>
      </w:r>
    </w:p>
    <w:p w14:paraId="4F0408D1">
      <w:pPr>
        <w:pStyle w:val="2"/>
        <w:adjustRightInd w:val="0"/>
        <w:snapToGrid w:val="0"/>
        <w:spacing w:line="360" w:lineRule="auto"/>
        <w:rPr>
          <w:rFonts w:hAnsi="宋体"/>
          <w:b/>
          <w:bCs/>
          <w:color w:val="auto"/>
          <w:sz w:val="18"/>
          <w:szCs w:val="18"/>
        </w:rPr>
      </w:pPr>
      <w:r>
        <w:rPr>
          <w:rFonts w:hAnsi="宋体"/>
          <w:b/>
          <w:color w:val="auto"/>
          <w:sz w:val="24"/>
          <w:szCs w:val="18"/>
        </w:rPr>
        <w:t xml:space="preserve">75.3  </w:t>
      </w:r>
    </w:p>
    <w:p w14:paraId="33CE57B9">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1978752" behindDoc="0" locked="0" layoutInCell="1" allowOverlap="1">
                <wp:simplePos x="0" y="0"/>
                <wp:positionH relativeFrom="column">
                  <wp:posOffset>-114300</wp:posOffset>
                </wp:positionH>
                <wp:positionV relativeFrom="paragraph">
                  <wp:posOffset>5080</wp:posOffset>
                </wp:positionV>
                <wp:extent cx="914400" cy="510540"/>
                <wp:effectExtent l="0" t="0" r="0" b="0"/>
                <wp:wrapNone/>
                <wp:docPr id="360" name="文本框 360"/>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a:effectLst/>
                      </wps:spPr>
                      <wps:txbx>
                        <w:txbxContent>
                          <w:p w14:paraId="33EC0013">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现场签证报告的确认</w:t>
                            </w:r>
                          </w:p>
                          <w:p w14:paraId="30E7ABF6">
                            <w:pPr>
                              <w:rPr>
                                <w:szCs w:val="18"/>
                              </w:rPr>
                            </w:pPr>
                          </w:p>
                        </w:txbxContent>
                      </wps:txbx>
                      <wps:bodyPr upright="1"/>
                    </wps:wsp>
                  </a:graphicData>
                </a:graphic>
              </wp:anchor>
            </w:drawing>
          </mc:Choice>
          <mc:Fallback>
            <w:pict>
              <v:shape id="_x0000_s1026" o:spid="_x0000_s1026" o:spt="202" type="#_x0000_t202" style="position:absolute;left:0pt;margin-left:-9pt;margin-top:0.4pt;height:40.2pt;width:72pt;z-index:251978752;mso-width-relative:page;mso-height-relative:page;" filled="f" stroked="f" coordsize="21600,21600" o:gfxdata="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VuNf7T&#10;AAAABwEAAA8AAAAAAAAAAQAgAAAAIgAAAGRycy9kb3ducmV2LnhtbFBLAQIUABQAAAAIAIdO4kD+&#10;8ymYswEAAF8DAAAOAAAAAAAAAAEAIAAAACIBAABkcnMvZTJvRG9jLnhtbFBLBQYAAAAABgAGAFkB&#10;AABHBQAAAAA=&#10;">
                <v:fill on="f" focussize="0,0"/>
                <v:stroke on="f"/>
                <v:imagedata o:title=""/>
                <o:lock v:ext="edit" aspectratio="f"/>
                <v:textbox>
                  <w:txbxContent>
                    <w:p w14:paraId="33EC0013">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现场签证报告的确认</w:t>
                      </w:r>
                    </w:p>
                    <w:p w14:paraId="30E7ABF6">
                      <w:pPr>
                        <w:rPr>
                          <w:szCs w:val="18"/>
                        </w:rPr>
                      </w:pPr>
                    </w:p>
                  </w:txbxContent>
                </v:textbox>
              </v:shape>
            </w:pict>
          </mc:Fallback>
        </mc:AlternateContent>
      </w:r>
      <w:r>
        <w:rPr>
          <w:rFonts w:hint="eastAsia" w:hAnsi="宋体"/>
          <w:color w:val="auto"/>
          <w:sz w:val="24"/>
          <w:szCs w:val="18"/>
        </w:rPr>
        <w:t>除专用条款另有约定外，承包人应在收到监理工程师书面通知后的</w:t>
      </w:r>
      <w:r>
        <w:rPr>
          <w:rFonts w:hAnsi="宋体"/>
          <w:color w:val="auto"/>
          <w:sz w:val="24"/>
          <w:szCs w:val="18"/>
        </w:rPr>
        <w:t>7</w:t>
      </w:r>
      <w:r>
        <w:rPr>
          <w:rFonts w:hint="eastAsia" w:hAnsi="宋体"/>
          <w:color w:val="auto"/>
          <w:sz w:val="24"/>
          <w:szCs w:val="18"/>
        </w:rPr>
        <w:t>天内，向发包人提交现场签证报告，并抄送监理工程师、造价工程师。发包人在收到承包人的现场签证报告后，应通知监理工程师、造价工程师对报告内容予以核实，并在收到现场签证报告后的</w:t>
      </w:r>
      <w:r>
        <w:rPr>
          <w:rFonts w:hAnsi="宋体"/>
          <w:color w:val="auto"/>
          <w:sz w:val="24"/>
          <w:szCs w:val="18"/>
        </w:rPr>
        <w:t>48</w:t>
      </w:r>
      <w:r>
        <w:rPr>
          <w:rFonts w:hint="eastAsia" w:hAnsi="宋体"/>
          <w:color w:val="auto"/>
          <w:sz w:val="24"/>
          <w:szCs w:val="18"/>
        </w:rPr>
        <w:t>小时内予以确认或提出修改意见。发包人在收到承包人现场签证报告后的</w:t>
      </w:r>
      <w:r>
        <w:rPr>
          <w:rFonts w:hAnsi="宋体"/>
          <w:color w:val="auto"/>
          <w:sz w:val="24"/>
          <w:szCs w:val="18"/>
        </w:rPr>
        <w:t>48</w:t>
      </w:r>
      <w:r>
        <w:rPr>
          <w:rFonts w:hint="eastAsia" w:hAnsi="宋体"/>
          <w:color w:val="auto"/>
          <w:sz w:val="24"/>
          <w:szCs w:val="18"/>
        </w:rPr>
        <w:t>小时内未确认也未提出修改意见的，视为承包人提交的现场签证报告已被认可。</w:t>
      </w:r>
    </w:p>
    <w:p w14:paraId="3BF8306D">
      <w:pPr>
        <w:pStyle w:val="2"/>
        <w:adjustRightInd w:val="0"/>
        <w:snapToGrid w:val="0"/>
        <w:spacing w:line="360" w:lineRule="auto"/>
        <w:rPr>
          <w:rFonts w:hAnsi="宋体"/>
          <w:b/>
          <w:bCs/>
          <w:color w:val="auto"/>
          <w:sz w:val="18"/>
          <w:szCs w:val="18"/>
        </w:rPr>
      </w:pPr>
      <w:r>
        <w:rPr>
          <w:rFonts w:hAnsi="宋体"/>
          <w:b/>
          <w:color w:val="auto"/>
          <w:sz w:val="24"/>
          <w:szCs w:val="18"/>
        </w:rPr>
        <w:t xml:space="preserve">75.4  </w:t>
      </w:r>
    </w:p>
    <w:p w14:paraId="2DA24B48">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1979776" behindDoc="0" locked="0" layoutInCell="1" allowOverlap="1">
                <wp:simplePos x="0" y="0"/>
                <wp:positionH relativeFrom="column">
                  <wp:posOffset>-114300</wp:posOffset>
                </wp:positionH>
                <wp:positionV relativeFrom="paragraph">
                  <wp:posOffset>34290</wp:posOffset>
                </wp:positionV>
                <wp:extent cx="685800" cy="480060"/>
                <wp:effectExtent l="0" t="0" r="0" b="0"/>
                <wp:wrapNone/>
                <wp:docPr id="361" name="文本框 361"/>
                <wp:cNvGraphicFramePr/>
                <a:graphic xmlns:a="http://schemas.openxmlformats.org/drawingml/2006/main">
                  <a:graphicData uri="http://schemas.microsoft.com/office/word/2010/wordprocessingShape">
                    <wps:wsp>
                      <wps:cNvSpPr txBox="1"/>
                      <wps:spPr>
                        <a:xfrm>
                          <a:off x="0" y="0"/>
                          <a:ext cx="685800" cy="480060"/>
                        </a:xfrm>
                        <a:prstGeom prst="rect">
                          <a:avLst/>
                        </a:prstGeom>
                        <a:noFill/>
                        <a:ln>
                          <a:noFill/>
                        </a:ln>
                        <a:effectLst/>
                      </wps:spPr>
                      <wps:txbx>
                        <w:txbxContent>
                          <w:p w14:paraId="1D61DA70">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w:t>
                            </w:r>
                          </w:p>
                          <w:p w14:paraId="0167D6DB">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的要求</w:t>
                            </w:r>
                          </w:p>
                          <w:p w14:paraId="4E4ED029">
                            <w:pPr>
                              <w:pStyle w:val="2"/>
                              <w:adjustRightInd w:val="0"/>
                              <w:snapToGrid w:val="0"/>
                              <w:spacing w:line="360" w:lineRule="auto"/>
                              <w:rPr>
                                <w:rFonts w:ascii="Times New Roman" w:hAnsi="Times New Roman" w:eastAsia="楷体_GB2312"/>
                                <w:b/>
                                <w:bCs/>
                                <w:sz w:val="18"/>
                                <w:szCs w:val="18"/>
                              </w:rPr>
                            </w:pPr>
                          </w:p>
                          <w:p w14:paraId="7F432F92">
                            <w:pPr>
                              <w:rPr>
                                <w:szCs w:val="18"/>
                              </w:rPr>
                            </w:pPr>
                          </w:p>
                        </w:txbxContent>
                      </wps:txbx>
                      <wps:bodyPr upright="1"/>
                    </wps:wsp>
                  </a:graphicData>
                </a:graphic>
              </wp:anchor>
            </w:drawing>
          </mc:Choice>
          <mc:Fallback>
            <w:pict>
              <v:shape id="_x0000_s1026" o:spid="_x0000_s1026" o:spt="202" type="#_x0000_t202" style="position:absolute;left:0pt;margin-left:-9pt;margin-top:2.7pt;height:37.8pt;width:54pt;z-index:251979776;mso-width-relative:page;mso-height-relative:page;" filled="f" stroked="f" coordsize="21600,21600" o:gfxdata="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Kc/13U&#10;AAAABwEAAA8AAAAAAAAAAQAgAAAAIgAAAGRycy9kb3ducmV2LnhtbFBLAQIUABQAAAAIAIdO4kDD&#10;UBh4sgEAAF8DAAAOAAAAAAAAAAEAIAAAACMBAABkcnMvZTJvRG9jLnhtbFBLBQYAAAAABgAGAFkB&#10;AABHBQAAAAA=&#10;">
                <v:fill on="f" focussize="0,0"/>
                <v:stroke on="f"/>
                <v:imagedata o:title=""/>
                <o:lock v:ext="edit" aspectratio="f"/>
                <v:textbox>
                  <w:txbxContent>
                    <w:p w14:paraId="1D61DA70">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w:t>
                      </w:r>
                    </w:p>
                    <w:p w14:paraId="0167D6DB">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的要求</w:t>
                      </w:r>
                    </w:p>
                    <w:p w14:paraId="4E4ED029">
                      <w:pPr>
                        <w:pStyle w:val="2"/>
                        <w:adjustRightInd w:val="0"/>
                        <w:snapToGrid w:val="0"/>
                        <w:spacing w:line="360" w:lineRule="auto"/>
                        <w:rPr>
                          <w:rFonts w:ascii="Times New Roman" w:hAnsi="Times New Roman" w:eastAsia="楷体_GB2312"/>
                          <w:b/>
                          <w:bCs/>
                          <w:sz w:val="18"/>
                          <w:szCs w:val="18"/>
                        </w:rPr>
                      </w:pPr>
                    </w:p>
                    <w:p w14:paraId="7F432F92">
                      <w:pPr>
                        <w:rPr>
                          <w:szCs w:val="18"/>
                        </w:rPr>
                      </w:pPr>
                    </w:p>
                  </w:txbxContent>
                </v:textbox>
              </v:shape>
            </w:pict>
          </mc:Fallback>
        </mc:AlternateContent>
      </w:r>
      <w:r>
        <w:rPr>
          <w:rFonts w:hint="eastAsia" w:hAnsi="宋体"/>
          <w:color w:val="auto"/>
          <w:sz w:val="24"/>
          <w:szCs w:val="18"/>
        </w:rPr>
        <w:t>计日工有相应单价或合同中有适用单价的项目，合同双方当事人仅在现场签证报告中列明完成该类项目所需的人工、材料、工程设备和施工设备机械台班的数量。</w:t>
      </w:r>
    </w:p>
    <w:p w14:paraId="2949D4B3">
      <w:pPr>
        <w:pStyle w:val="2"/>
        <w:adjustRightInd w:val="0"/>
        <w:snapToGrid w:val="0"/>
        <w:spacing w:line="360" w:lineRule="auto"/>
        <w:ind w:left="1619" w:leftChars="771"/>
        <w:rPr>
          <w:rFonts w:hAnsi="宋体"/>
          <w:color w:val="auto"/>
          <w:sz w:val="24"/>
          <w:szCs w:val="18"/>
        </w:rPr>
      </w:pPr>
      <w:r>
        <w:rPr>
          <w:rFonts w:hint="eastAsia" w:hAnsi="宋体"/>
          <w:color w:val="auto"/>
          <w:sz w:val="24"/>
          <w:szCs w:val="18"/>
        </w:rPr>
        <w:t>计日工没有相应单价或合同中没有适用单价的项目，合同双方当事人应在现场签证报告中列明完成这类项目所需的人工、材料、工程设备和施工设备机械台班的数量和单价。</w:t>
      </w:r>
    </w:p>
    <w:p w14:paraId="6A66A554">
      <w:pPr>
        <w:pStyle w:val="2"/>
        <w:adjustRightInd w:val="0"/>
        <w:snapToGrid w:val="0"/>
        <w:spacing w:line="360" w:lineRule="auto"/>
        <w:rPr>
          <w:rFonts w:hAnsi="宋体"/>
          <w:b/>
          <w:bCs/>
          <w:color w:val="auto"/>
          <w:sz w:val="18"/>
          <w:szCs w:val="18"/>
        </w:rPr>
      </w:pPr>
      <w:r>
        <w:rPr>
          <w:rFonts w:hAnsi="宋体"/>
          <w:b/>
          <w:color w:val="auto"/>
          <w:sz w:val="24"/>
          <w:szCs w:val="18"/>
        </w:rPr>
        <w:t xml:space="preserve">75.5  </w:t>
      </w:r>
    </w:p>
    <w:p w14:paraId="6D5641EE">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1980800" behindDoc="0" locked="0" layoutInCell="1" allowOverlap="1">
                <wp:simplePos x="0" y="0"/>
                <wp:positionH relativeFrom="column">
                  <wp:posOffset>-114300</wp:posOffset>
                </wp:positionH>
                <wp:positionV relativeFrom="paragraph">
                  <wp:posOffset>77470</wp:posOffset>
                </wp:positionV>
                <wp:extent cx="800100" cy="480060"/>
                <wp:effectExtent l="0" t="0" r="0" b="0"/>
                <wp:wrapNone/>
                <wp:docPr id="362" name="文本框 362"/>
                <wp:cNvGraphicFramePr/>
                <a:graphic xmlns:a="http://schemas.openxmlformats.org/drawingml/2006/main">
                  <a:graphicData uri="http://schemas.microsoft.com/office/word/2010/wordprocessingShape">
                    <wps:wsp>
                      <wps:cNvSpPr txBox="1"/>
                      <wps:spPr>
                        <a:xfrm>
                          <a:off x="0" y="0"/>
                          <a:ext cx="800100" cy="480060"/>
                        </a:xfrm>
                        <a:prstGeom prst="rect">
                          <a:avLst/>
                        </a:prstGeom>
                        <a:noFill/>
                        <a:ln>
                          <a:noFill/>
                        </a:ln>
                        <a:effectLst/>
                      </wps:spPr>
                      <wps:txbx>
                        <w:txbxContent>
                          <w:p w14:paraId="15A277AB">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w:t>
                            </w:r>
                          </w:p>
                          <w:p w14:paraId="0FE254C5">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工作的实施</w:t>
                            </w:r>
                          </w:p>
                          <w:p w14:paraId="41740443">
                            <w:pPr>
                              <w:pStyle w:val="2"/>
                              <w:adjustRightInd w:val="0"/>
                              <w:snapToGrid w:val="0"/>
                              <w:rPr>
                                <w:rFonts w:ascii="Times New Roman" w:hAnsi="Times New Roman" w:eastAsia="楷体_GB2312"/>
                                <w:b/>
                                <w:bCs/>
                                <w:sz w:val="18"/>
                                <w:szCs w:val="18"/>
                              </w:rPr>
                            </w:pPr>
                          </w:p>
                          <w:p w14:paraId="29CB9B92">
                            <w:pPr>
                              <w:pStyle w:val="2"/>
                              <w:adjustRightInd w:val="0"/>
                              <w:snapToGrid w:val="0"/>
                              <w:spacing w:line="360" w:lineRule="auto"/>
                              <w:rPr>
                                <w:rFonts w:ascii="Times New Roman" w:hAnsi="Times New Roman" w:eastAsia="楷体_GB2312"/>
                                <w:b/>
                                <w:bCs/>
                                <w:sz w:val="18"/>
                                <w:szCs w:val="18"/>
                              </w:rPr>
                            </w:pPr>
                          </w:p>
                          <w:p w14:paraId="436E5741">
                            <w:pPr>
                              <w:rPr>
                                <w:szCs w:val="18"/>
                              </w:rPr>
                            </w:pPr>
                          </w:p>
                        </w:txbxContent>
                      </wps:txbx>
                      <wps:bodyPr upright="1"/>
                    </wps:wsp>
                  </a:graphicData>
                </a:graphic>
              </wp:anchor>
            </w:drawing>
          </mc:Choice>
          <mc:Fallback>
            <w:pict>
              <v:shape id="_x0000_s1026" o:spid="_x0000_s1026" o:spt="202" type="#_x0000_t202" style="position:absolute;left:0pt;margin-left:-9pt;margin-top:6.1pt;height:37.8pt;width:63pt;z-index:251980800;mso-width-relative:page;mso-height-relative:page;" filled="f" stroked="f" coordsize="21600,21600" o:gfxdata="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NUqCUtUA&#10;AAAJAQAADwAAAAAAAAABACAAAAAiAAAAZHJzL2Rvd25yZXYueG1sUEsBAhQAFAAAAAgAh07iQChV&#10;QqiwAQAAXwMAAA4AAAAAAAAAAQAgAAAAJAEAAGRycy9lMm9Eb2MueG1sUEsFBgAAAAAGAAYAWQEA&#10;AEYFAAAAAA==&#10;">
                <v:fill on="f" focussize="0,0"/>
                <v:stroke on="f"/>
                <v:imagedata o:title=""/>
                <o:lock v:ext="edit" aspectratio="f"/>
                <v:textbox>
                  <w:txbxContent>
                    <w:p w14:paraId="15A277AB">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w:t>
                      </w:r>
                    </w:p>
                    <w:p w14:paraId="0FE254C5">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工作的实施</w:t>
                      </w:r>
                    </w:p>
                    <w:p w14:paraId="41740443">
                      <w:pPr>
                        <w:pStyle w:val="2"/>
                        <w:adjustRightInd w:val="0"/>
                        <w:snapToGrid w:val="0"/>
                        <w:rPr>
                          <w:rFonts w:ascii="Times New Roman" w:hAnsi="Times New Roman" w:eastAsia="楷体_GB2312"/>
                          <w:b/>
                          <w:bCs/>
                          <w:sz w:val="18"/>
                          <w:szCs w:val="18"/>
                        </w:rPr>
                      </w:pPr>
                    </w:p>
                    <w:p w14:paraId="29CB9B92">
                      <w:pPr>
                        <w:pStyle w:val="2"/>
                        <w:adjustRightInd w:val="0"/>
                        <w:snapToGrid w:val="0"/>
                        <w:spacing w:line="360" w:lineRule="auto"/>
                        <w:rPr>
                          <w:rFonts w:ascii="Times New Roman" w:hAnsi="Times New Roman" w:eastAsia="楷体_GB2312"/>
                          <w:b/>
                          <w:bCs/>
                          <w:sz w:val="18"/>
                          <w:szCs w:val="18"/>
                        </w:rPr>
                      </w:pPr>
                    </w:p>
                    <w:p w14:paraId="436E5741">
                      <w:pPr>
                        <w:rPr>
                          <w:szCs w:val="18"/>
                        </w:rPr>
                      </w:pPr>
                    </w:p>
                  </w:txbxContent>
                </v:textbox>
              </v:shape>
            </w:pict>
          </mc:Fallback>
        </mc:AlternateContent>
      </w:r>
      <w:r>
        <w:rPr>
          <w:rFonts w:hint="eastAsia" w:hAnsi="宋体"/>
          <w:color w:val="auto"/>
          <w:sz w:val="24"/>
          <w:szCs w:val="18"/>
        </w:rPr>
        <w:t>承包人应在发包人确认现场签证报告后的</w:t>
      </w:r>
      <w:r>
        <w:rPr>
          <w:rFonts w:hAnsi="宋体"/>
          <w:color w:val="auto"/>
          <w:sz w:val="24"/>
          <w:szCs w:val="18"/>
        </w:rPr>
        <w:t>48</w:t>
      </w:r>
      <w:r>
        <w:rPr>
          <w:rFonts w:hint="eastAsia" w:hAnsi="宋体"/>
          <w:color w:val="auto"/>
          <w:sz w:val="24"/>
          <w:szCs w:val="18"/>
        </w:rPr>
        <w:t>小时内，按照监理工程师发出的工作指令及时组织实施相关工作。否则，由此引起的损失和（或）延误的工期由承包人承担。</w:t>
      </w:r>
    </w:p>
    <w:p w14:paraId="0D0C5AD6">
      <w:pPr>
        <w:pStyle w:val="2"/>
        <w:adjustRightInd w:val="0"/>
        <w:snapToGrid w:val="0"/>
        <w:spacing w:line="360" w:lineRule="auto"/>
        <w:rPr>
          <w:rFonts w:hAnsi="宋体"/>
          <w:b/>
          <w:color w:val="auto"/>
          <w:sz w:val="24"/>
          <w:szCs w:val="18"/>
          <w:u w:val="dotted"/>
        </w:rPr>
      </w:pPr>
      <w:r>
        <w:rPr>
          <w:rFonts w:hAnsi="宋体"/>
          <w:b/>
          <w:color w:val="auto"/>
          <w:sz w:val="24"/>
          <w:szCs w:val="18"/>
        </w:rPr>
        <w:t xml:space="preserve">75.6  </w:t>
      </w:r>
    </w:p>
    <w:p w14:paraId="50ECF8EE">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1981824" behindDoc="0" locked="0" layoutInCell="1" allowOverlap="1">
                <wp:simplePos x="0" y="0"/>
                <wp:positionH relativeFrom="column">
                  <wp:posOffset>-114300</wp:posOffset>
                </wp:positionH>
                <wp:positionV relativeFrom="paragraph">
                  <wp:posOffset>77470</wp:posOffset>
                </wp:positionV>
                <wp:extent cx="685800" cy="480060"/>
                <wp:effectExtent l="0" t="0" r="0" b="0"/>
                <wp:wrapNone/>
                <wp:docPr id="363" name="文本框 363"/>
                <wp:cNvGraphicFramePr/>
                <a:graphic xmlns:a="http://schemas.openxmlformats.org/drawingml/2006/main">
                  <a:graphicData uri="http://schemas.microsoft.com/office/word/2010/wordprocessingShape">
                    <wps:wsp>
                      <wps:cNvSpPr txBox="1"/>
                      <wps:spPr>
                        <a:xfrm>
                          <a:off x="0" y="0"/>
                          <a:ext cx="685800" cy="480060"/>
                        </a:xfrm>
                        <a:prstGeom prst="rect">
                          <a:avLst/>
                        </a:prstGeom>
                        <a:noFill/>
                        <a:ln>
                          <a:noFill/>
                        </a:ln>
                        <a:effectLst/>
                      </wps:spPr>
                      <wps:txbx>
                        <w:txbxContent>
                          <w:p w14:paraId="7D51B31A">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w:t>
                            </w:r>
                          </w:p>
                          <w:p w14:paraId="2ADF19AE">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的限制</w:t>
                            </w:r>
                          </w:p>
                          <w:p w14:paraId="6474BB09">
                            <w:pPr>
                              <w:pStyle w:val="5"/>
                              <w:spacing w:line="200" w:lineRule="exact"/>
                              <w:rPr>
                                <w:rFonts w:ascii="楷体_GB2312" w:hAnsi="宋体" w:eastAsia="楷体_GB2312"/>
                                <w:b/>
                                <w:color w:val="000000"/>
                                <w:sz w:val="18"/>
                                <w:szCs w:val="18"/>
                              </w:rPr>
                            </w:pPr>
                          </w:p>
                          <w:p w14:paraId="3B60AE0E">
                            <w:pPr>
                              <w:pStyle w:val="2"/>
                              <w:adjustRightInd w:val="0"/>
                              <w:snapToGrid w:val="0"/>
                              <w:spacing w:line="360" w:lineRule="auto"/>
                              <w:rPr>
                                <w:rFonts w:ascii="Times New Roman" w:hAnsi="Times New Roman" w:eastAsia="楷体_GB2312"/>
                                <w:b/>
                                <w:bCs/>
                                <w:sz w:val="18"/>
                                <w:szCs w:val="18"/>
                              </w:rPr>
                            </w:pPr>
                          </w:p>
                          <w:p w14:paraId="6295C3C5">
                            <w:pPr>
                              <w:rPr>
                                <w:szCs w:val="18"/>
                              </w:rPr>
                            </w:pPr>
                          </w:p>
                        </w:txbxContent>
                      </wps:txbx>
                      <wps:bodyPr upright="1"/>
                    </wps:wsp>
                  </a:graphicData>
                </a:graphic>
              </wp:anchor>
            </w:drawing>
          </mc:Choice>
          <mc:Fallback>
            <w:pict>
              <v:shape id="_x0000_s1026" o:spid="_x0000_s1026" o:spt="202" type="#_x0000_t202" style="position:absolute;left:0pt;margin-left:-9pt;margin-top:6.1pt;height:37.8pt;width:54pt;z-index:251981824;mso-width-relative:page;mso-height-relative:page;" filled="f" stroked="f" coordsize="21600,21600" o:gfxdata="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NoYwb&#10;1QAAAAgBAAAPAAAAAAAAAAEAIAAAACIAAABkcnMvZG93bnJldi54bWxQSwECFAAUAAAACACHTuJA&#10;vFn/9rIBAABfAwAADgAAAAAAAAABACAAAAAkAQAAZHJzL2Uyb0RvYy54bWxQSwUGAAAAAAYABgBZ&#10;AQAASAUAAAAA&#10;">
                <v:fill on="f" focussize="0,0"/>
                <v:stroke on="f"/>
                <v:imagedata o:title=""/>
                <o:lock v:ext="edit" aspectratio="f"/>
                <v:textbox>
                  <w:txbxContent>
                    <w:p w14:paraId="7D51B31A">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w:t>
                      </w:r>
                    </w:p>
                    <w:p w14:paraId="2ADF19AE">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的限制</w:t>
                      </w:r>
                    </w:p>
                    <w:p w14:paraId="6474BB09">
                      <w:pPr>
                        <w:pStyle w:val="5"/>
                        <w:spacing w:line="200" w:lineRule="exact"/>
                        <w:rPr>
                          <w:rFonts w:ascii="楷体_GB2312" w:hAnsi="宋体" w:eastAsia="楷体_GB2312"/>
                          <w:b/>
                          <w:color w:val="000000"/>
                          <w:sz w:val="18"/>
                          <w:szCs w:val="18"/>
                        </w:rPr>
                      </w:pPr>
                    </w:p>
                    <w:p w14:paraId="3B60AE0E">
                      <w:pPr>
                        <w:pStyle w:val="2"/>
                        <w:adjustRightInd w:val="0"/>
                        <w:snapToGrid w:val="0"/>
                        <w:spacing w:line="360" w:lineRule="auto"/>
                        <w:rPr>
                          <w:rFonts w:ascii="Times New Roman" w:hAnsi="Times New Roman" w:eastAsia="楷体_GB2312"/>
                          <w:b/>
                          <w:bCs/>
                          <w:sz w:val="18"/>
                          <w:szCs w:val="18"/>
                        </w:rPr>
                      </w:pPr>
                    </w:p>
                    <w:p w14:paraId="6295C3C5">
                      <w:pPr>
                        <w:rPr>
                          <w:szCs w:val="18"/>
                        </w:rPr>
                      </w:pPr>
                    </w:p>
                  </w:txbxContent>
                </v:textbox>
              </v:shape>
            </w:pict>
          </mc:Fallback>
        </mc:AlternateContent>
      </w:r>
      <w:r>
        <w:rPr>
          <w:rFonts w:hint="eastAsia" w:hAnsi="宋体"/>
          <w:color w:val="auto"/>
          <w:sz w:val="24"/>
          <w:szCs w:val="18"/>
        </w:rPr>
        <w:t>合同工程发生现场签证事件，未经发包人签证、确认，承包人便擅自实施相关工作的，除非征得发包人同意，否则发生的费用由承包人承担。</w:t>
      </w:r>
    </w:p>
    <w:p w14:paraId="61398ECE">
      <w:pPr>
        <w:pStyle w:val="2"/>
        <w:adjustRightInd w:val="0"/>
        <w:snapToGrid w:val="0"/>
        <w:spacing w:line="360" w:lineRule="auto"/>
        <w:rPr>
          <w:rFonts w:hAnsi="宋体"/>
          <w:b/>
          <w:color w:val="auto"/>
          <w:sz w:val="24"/>
          <w:szCs w:val="18"/>
          <w:u w:val="dotted"/>
        </w:rPr>
      </w:pPr>
      <w:r>
        <w:rPr>
          <w:rFonts w:hAnsi="宋体"/>
          <w:b/>
          <w:color w:val="auto"/>
          <w:sz w:val="24"/>
          <w:szCs w:val="18"/>
        </w:rPr>
        <w:t xml:space="preserve">75.7  </w:t>
      </w:r>
    </w:p>
    <w:p w14:paraId="58A4A5CF">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1982848" behindDoc="0" locked="0" layoutInCell="1" allowOverlap="1">
                <wp:simplePos x="0" y="0"/>
                <wp:positionH relativeFrom="column">
                  <wp:posOffset>-114300</wp:posOffset>
                </wp:positionH>
                <wp:positionV relativeFrom="paragraph">
                  <wp:posOffset>77470</wp:posOffset>
                </wp:positionV>
                <wp:extent cx="800100" cy="480060"/>
                <wp:effectExtent l="0" t="0" r="0" b="0"/>
                <wp:wrapNone/>
                <wp:docPr id="364" name="文本框 364"/>
                <wp:cNvGraphicFramePr/>
                <a:graphic xmlns:a="http://schemas.openxmlformats.org/drawingml/2006/main">
                  <a:graphicData uri="http://schemas.microsoft.com/office/word/2010/wordprocessingShape">
                    <wps:wsp>
                      <wps:cNvSpPr txBox="1"/>
                      <wps:spPr>
                        <a:xfrm>
                          <a:off x="0" y="0"/>
                          <a:ext cx="800100" cy="480060"/>
                        </a:xfrm>
                        <a:prstGeom prst="rect">
                          <a:avLst/>
                        </a:prstGeom>
                        <a:noFill/>
                        <a:ln>
                          <a:noFill/>
                        </a:ln>
                        <a:effectLst/>
                      </wps:spPr>
                      <wps:txbx>
                        <w:txbxContent>
                          <w:p w14:paraId="7C600349">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调整价款的</w:t>
                            </w:r>
                          </w:p>
                          <w:p w14:paraId="1B699321">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确认与支付</w:t>
                            </w:r>
                          </w:p>
                          <w:p w14:paraId="7E5BF0D5">
                            <w:pPr>
                              <w:pStyle w:val="2"/>
                              <w:adjustRightInd w:val="0"/>
                              <w:snapToGrid w:val="0"/>
                              <w:rPr>
                                <w:rFonts w:ascii="Times New Roman" w:hAnsi="Times New Roman" w:eastAsia="楷体_GB2312"/>
                                <w:b/>
                                <w:bCs/>
                                <w:sz w:val="18"/>
                                <w:szCs w:val="18"/>
                              </w:rPr>
                            </w:pPr>
                          </w:p>
                          <w:p w14:paraId="41CC7EF8">
                            <w:pPr>
                              <w:pStyle w:val="2"/>
                              <w:adjustRightInd w:val="0"/>
                              <w:snapToGrid w:val="0"/>
                              <w:spacing w:line="360" w:lineRule="auto"/>
                              <w:rPr>
                                <w:rFonts w:ascii="Times New Roman" w:hAnsi="Times New Roman" w:eastAsia="楷体_GB2312"/>
                                <w:b/>
                                <w:bCs/>
                                <w:sz w:val="18"/>
                                <w:szCs w:val="18"/>
                              </w:rPr>
                            </w:pPr>
                          </w:p>
                          <w:p w14:paraId="59F0ECF4">
                            <w:pPr>
                              <w:rPr>
                                <w:szCs w:val="18"/>
                              </w:rPr>
                            </w:pPr>
                          </w:p>
                        </w:txbxContent>
                      </wps:txbx>
                      <wps:bodyPr upright="1"/>
                    </wps:wsp>
                  </a:graphicData>
                </a:graphic>
              </wp:anchor>
            </w:drawing>
          </mc:Choice>
          <mc:Fallback>
            <w:pict>
              <v:shape id="_x0000_s1026" o:spid="_x0000_s1026" o:spt="202" type="#_x0000_t202" style="position:absolute;left:0pt;margin-left:-9pt;margin-top:6.1pt;height:37.8pt;width:63pt;z-index:251982848;mso-width-relative:page;mso-height-relative:page;" filled="f" stroked="f" coordsize="21600,21600" o:gfxdata="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NUqCUtUA&#10;AAAJAQAADwAAAAAAAAABACAAAAAiAAAAZHJzL2Rvd25yZXYueG1sUEsBAhQAFAAAAAgAh07iQOhI&#10;GuCwAQAAXwMAAA4AAAAAAAAAAQAgAAAAJAEAAGRycy9lMm9Eb2MueG1sUEsFBgAAAAAGAAYAWQEA&#10;AEYFAAAAAA==&#10;">
                <v:fill on="f" focussize="0,0"/>
                <v:stroke on="f"/>
                <v:imagedata o:title=""/>
                <o:lock v:ext="edit" aspectratio="f"/>
                <v:textbox>
                  <w:txbxContent>
                    <w:p w14:paraId="7C600349">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调整价款的</w:t>
                      </w:r>
                    </w:p>
                    <w:p w14:paraId="1B699321">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确认与支付</w:t>
                      </w:r>
                    </w:p>
                    <w:p w14:paraId="7E5BF0D5">
                      <w:pPr>
                        <w:pStyle w:val="2"/>
                        <w:adjustRightInd w:val="0"/>
                        <w:snapToGrid w:val="0"/>
                        <w:rPr>
                          <w:rFonts w:ascii="Times New Roman" w:hAnsi="Times New Roman" w:eastAsia="楷体_GB2312"/>
                          <w:b/>
                          <w:bCs/>
                          <w:sz w:val="18"/>
                          <w:szCs w:val="18"/>
                        </w:rPr>
                      </w:pPr>
                    </w:p>
                    <w:p w14:paraId="41CC7EF8">
                      <w:pPr>
                        <w:pStyle w:val="2"/>
                        <w:adjustRightInd w:val="0"/>
                        <w:snapToGrid w:val="0"/>
                        <w:spacing w:line="360" w:lineRule="auto"/>
                        <w:rPr>
                          <w:rFonts w:ascii="Times New Roman" w:hAnsi="Times New Roman" w:eastAsia="楷体_GB2312"/>
                          <w:b/>
                          <w:bCs/>
                          <w:sz w:val="18"/>
                          <w:szCs w:val="18"/>
                        </w:rPr>
                      </w:pPr>
                    </w:p>
                    <w:p w14:paraId="59F0ECF4">
                      <w:pPr>
                        <w:rPr>
                          <w:szCs w:val="18"/>
                        </w:rPr>
                      </w:pPr>
                    </w:p>
                  </w:txbxContent>
                </v:textbox>
              </v:shape>
            </w:pict>
          </mc:Fallback>
        </mc:AlternateContent>
      </w:r>
      <w:r>
        <w:rPr>
          <w:rFonts w:hint="eastAsia" w:hAnsi="宋体"/>
          <w:color w:val="auto"/>
          <w:sz w:val="24"/>
          <w:szCs w:val="18"/>
        </w:rPr>
        <w:t>现场签证工作完成后的</w:t>
      </w:r>
      <w:r>
        <w:rPr>
          <w:rFonts w:hAnsi="宋体"/>
          <w:color w:val="auto"/>
          <w:sz w:val="24"/>
          <w:szCs w:val="18"/>
        </w:rPr>
        <w:t>48</w:t>
      </w:r>
      <w:r>
        <w:rPr>
          <w:rFonts w:hint="eastAsia" w:hAnsi="宋体"/>
          <w:color w:val="auto"/>
          <w:sz w:val="24"/>
          <w:szCs w:val="18"/>
        </w:rPr>
        <w:t>小时内，合同双方当事人应确认由此引起调整的合同价款，并作为追加合同价款，与工程进度款同期支付。</w:t>
      </w:r>
    </w:p>
    <w:p w14:paraId="12A61DB2">
      <w:pPr>
        <w:pStyle w:val="2"/>
        <w:adjustRightInd w:val="0"/>
        <w:snapToGrid w:val="0"/>
        <w:spacing w:line="360" w:lineRule="auto"/>
        <w:rPr>
          <w:rFonts w:hAnsi="宋体"/>
          <w:b/>
          <w:color w:val="auto"/>
          <w:sz w:val="24"/>
          <w:szCs w:val="18"/>
          <w:u w:val="single"/>
        </w:rPr>
      </w:pPr>
    </w:p>
    <w:p w14:paraId="3900DB2F">
      <w:pPr>
        <w:pStyle w:val="2"/>
        <w:tabs>
          <w:tab w:val="left" w:pos="540"/>
        </w:tabs>
        <w:adjustRightInd w:val="0"/>
        <w:snapToGrid w:val="0"/>
        <w:spacing w:line="360" w:lineRule="auto"/>
        <w:ind w:right="-238"/>
        <w:rPr>
          <w:rFonts w:hAnsi="宋体"/>
          <w:color w:val="auto"/>
          <w:sz w:val="30"/>
          <w:szCs w:val="24"/>
        </w:rPr>
      </w:pPr>
    </w:p>
    <w:p w14:paraId="3AB7579C">
      <w:pPr>
        <w:pStyle w:val="2"/>
        <w:tabs>
          <w:tab w:val="left" w:pos="540"/>
        </w:tabs>
        <w:adjustRightInd w:val="0"/>
        <w:snapToGrid w:val="0"/>
        <w:spacing w:before="240" w:beforeLines="100" w:line="360" w:lineRule="auto"/>
        <w:ind w:right="-238"/>
        <w:rPr>
          <w:rFonts w:hAnsi="宋体"/>
          <w:b/>
          <w:color w:val="auto"/>
          <w:sz w:val="30"/>
          <w:szCs w:val="24"/>
        </w:rPr>
      </w:pPr>
      <w:r>
        <w:rPr>
          <w:rFonts w:hAnsi="宋体"/>
          <w:b/>
          <w:color w:val="auto"/>
          <w:sz w:val="30"/>
          <w:szCs w:val="24"/>
        </w:rPr>
        <w:t xml:space="preserve">76  </w:t>
      </w:r>
      <w:r>
        <w:rPr>
          <w:rFonts w:hint="eastAsia" w:hAnsi="宋体"/>
          <w:b/>
          <w:color w:val="auto"/>
          <w:sz w:val="30"/>
          <w:szCs w:val="24"/>
        </w:rPr>
        <w:t>物价涨落事件</w:t>
      </w:r>
    </w:p>
    <w:p w14:paraId="60B8465F">
      <w:pPr>
        <w:pStyle w:val="2"/>
        <w:adjustRightInd w:val="0"/>
        <w:snapToGrid w:val="0"/>
        <w:spacing w:line="360" w:lineRule="auto"/>
        <w:rPr>
          <w:rFonts w:hAnsi="宋体"/>
          <w:b/>
          <w:color w:val="auto"/>
          <w:sz w:val="24"/>
          <w:szCs w:val="18"/>
        </w:rPr>
      </w:pPr>
      <w:r>
        <w:rPr>
          <w:color w:val="auto"/>
        </w:rPr>
        <mc:AlternateContent>
          <mc:Choice Requires="wps">
            <w:drawing>
              <wp:anchor distT="0" distB="0" distL="114300" distR="114300" simplePos="0" relativeHeight="251983872" behindDoc="0" locked="0" layoutInCell="1" allowOverlap="1">
                <wp:simplePos x="0" y="0"/>
                <wp:positionH relativeFrom="column">
                  <wp:posOffset>-114300</wp:posOffset>
                </wp:positionH>
                <wp:positionV relativeFrom="paragraph">
                  <wp:posOffset>274320</wp:posOffset>
                </wp:positionV>
                <wp:extent cx="914400" cy="591185"/>
                <wp:effectExtent l="0" t="0" r="0" b="0"/>
                <wp:wrapNone/>
                <wp:docPr id="365" name="文本框 365"/>
                <wp:cNvGraphicFramePr/>
                <a:graphic xmlns:a="http://schemas.openxmlformats.org/drawingml/2006/main">
                  <a:graphicData uri="http://schemas.microsoft.com/office/word/2010/wordprocessingShape">
                    <wps:wsp>
                      <wps:cNvSpPr txBox="1"/>
                      <wps:spPr>
                        <a:xfrm>
                          <a:off x="0" y="0"/>
                          <a:ext cx="914400" cy="591185"/>
                        </a:xfrm>
                        <a:prstGeom prst="rect">
                          <a:avLst/>
                        </a:prstGeom>
                        <a:noFill/>
                        <a:ln>
                          <a:noFill/>
                        </a:ln>
                        <a:effectLst/>
                      </wps:spPr>
                      <wps:txbx>
                        <w:txbxContent>
                          <w:p w14:paraId="22285E8F">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物价涨落的</w:t>
                            </w:r>
                          </w:p>
                          <w:p w14:paraId="2F96B624">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价款调整</w:t>
                            </w:r>
                          </w:p>
                        </w:txbxContent>
                      </wps:txbx>
                      <wps:bodyPr upright="1"/>
                    </wps:wsp>
                  </a:graphicData>
                </a:graphic>
              </wp:anchor>
            </w:drawing>
          </mc:Choice>
          <mc:Fallback>
            <w:pict>
              <v:shape id="_x0000_s1026" o:spid="_x0000_s1026" o:spt="202" type="#_x0000_t202" style="position:absolute;left:0pt;margin-left:-9pt;margin-top:21.6pt;height:46.55pt;width:72pt;z-index:251983872;mso-width-relative:page;mso-height-relative:page;" filled="f" stroked="f" coordsize="21600,21600" o:gfxdata="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2zKqLdcAAAAKAQAADwAAAAAAAAABACAAAAAiAAAAZHJzL2Rvd25yZXYueG1sUEsBAhQAFAAAAAgA&#10;h07iQFZTeOS0AQAAXwMAAA4AAAAAAAAAAQAgAAAAJgEAAGRycy9lMm9Eb2MueG1sUEsFBgAAAAAG&#10;AAYAWQEAAEwFAAAAAA==&#10;">
                <v:fill on="f" focussize="0,0"/>
                <v:stroke on="f"/>
                <v:imagedata o:title=""/>
                <o:lock v:ext="edit" aspectratio="f"/>
                <v:textbox>
                  <w:txbxContent>
                    <w:p w14:paraId="22285E8F">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物价涨落的</w:t>
                      </w:r>
                    </w:p>
                    <w:p w14:paraId="2F96B624">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价款调整</w:t>
                      </w:r>
                    </w:p>
                  </w:txbxContent>
                </v:textbox>
              </v:shape>
            </w:pict>
          </mc:Fallback>
        </mc:AlternateContent>
      </w:r>
      <w:r>
        <w:rPr>
          <w:rFonts w:hAnsi="宋体"/>
          <w:b/>
          <w:color w:val="auto"/>
          <w:sz w:val="24"/>
          <w:szCs w:val="18"/>
        </w:rPr>
        <w:t xml:space="preserve">76.1      </w:t>
      </w:r>
    </w:p>
    <w:p w14:paraId="7CE1B60E">
      <w:pPr>
        <w:pStyle w:val="2"/>
        <w:adjustRightInd w:val="0"/>
        <w:snapToGrid w:val="0"/>
        <w:spacing w:line="360" w:lineRule="auto"/>
        <w:ind w:left="1619" w:leftChars="771"/>
        <w:rPr>
          <w:rFonts w:hAnsi="宋体"/>
          <w:color w:val="auto"/>
          <w:sz w:val="24"/>
          <w:szCs w:val="18"/>
        </w:rPr>
      </w:pPr>
      <w:r>
        <w:rPr>
          <w:rFonts w:hint="eastAsia" w:hAnsi="宋体"/>
          <w:color w:val="auto"/>
          <w:sz w:val="24"/>
          <w:szCs w:val="18"/>
        </w:rPr>
        <w:t>合同履行期间，出现工程造价管理机构发布的人工、材料、工程设备和施工设备机械台班单价或价格涨落超过合同工程基准日期相应单价或价格，且符合第</w:t>
      </w:r>
      <w:r>
        <w:rPr>
          <w:rFonts w:hAnsi="宋体"/>
          <w:color w:val="auto"/>
          <w:sz w:val="24"/>
          <w:szCs w:val="18"/>
        </w:rPr>
        <w:t>76.2</w:t>
      </w:r>
      <w:r>
        <w:rPr>
          <w:rFonts w:hint="eastAsia" w:hAnsi="宋体"/>
          <w:color w:val="auto"/>
          <w:sz w:val="24"/>
          <w:szCs w:val="18"/>
        </w:rPr>
        <w:t>款、第</w:t>
      </w:r>
      <w:r>
        <w:rPr>
          <w:rFonts w:hAnsi="宋体"/>
          <w:color w:val="auto"/>
          <w:sz w:val="24"/>
          <w:szCs w:val="18"/>
        </w:rPr>
        <w:t>76.3</w:t>
      </w:r>
      <w:r>
        <w:rPr>
          <w:rFonts w:hint="eastAsia" w:hAnsi="宋体"/>
          <w:color w:val="auto"/>
          <w:sz w:val="24"/>
          <w:szCs w:val="18"/>
        </w:rPr>
        <w:t>款规定事件的，合同双方当事人应调整合同价款。</w:t>
      </w:r>
    </w:p>
    <w:p w14:paraId="760B916D">
      <w:pPr>
        <w:pStyle w:val="2"/>
        <w:tabs>
          <w:tab w:val="left" w:pos="540"/>
        </w:tabs>
        <w:adjustRightInd w:val="0"/>
        <w:snapToGrid w:val="0"/>
        <w:spacing w:line="360" w:lineRule="auto"/>
        <w:rPr>
          <w:rFonts w:hAnsi="宋体"/>
          <w:b/>
          <w:color w:val="auto"/>
          <w:sz w:val="24"/>
          <w:szCs w:val="18"/>
          <w:u w:val="dotted"/>
        </w:rPr>
      </w:pPr>
      <w:r>
        <w:rPr>
          <w:color w:val="auto"/>
        </w:rPr>
        <mc:AlternateContent>
          <mc:Choice Requires="wps">
            <w:drawing>
              <wp:anchor distT="0" distB="0" distL="114300" distR="114300" simplePos="0" relativeHeight="251984896" behindDoc="0" locked="0" layoutInCell="1" allowOverlap="1">
                <wp:simplePos x="0" y="0"/>
                <wp:positionH relativeFrom="column">
                  <wp:posOffset>-133350</wp:posOffset>
                </wp:positionH>
                <wp:positionV relativeFrom="paragraph">
                  <wp:posOffset>247650</wp:posOffset>
                </wp:positionV>
                <wp:extent cx="914400" cy="619125"/>
                <wp:effectExtent l="0" t="0" r="0" b="0"/>
                <wp:wrapNone/>
                <wp:docPr id="366" name="文本框 366"/>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a:effectLst/>
                      </wps:spPr>
                      <wps:txbx>
                        <w:txbxContent>
                          <w:p w14:paraId="15EC4FCF">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人工费的调整方法</w:t>
                            </w:r>
                          </w:p>
                        </w:txbxContent>
                      </wps:txbx>
                      <wps:bodyPr upright="1"/>
                    </wps:wsp>
                  </a:graphicData>
                </a:graphic>
              </wp:anchor>
            </w:drawing>
          </mc:Choice>
          <mc:Fallback>
            <w:pict>
              <v:shape id="_x0000_s1026" o:spid="_x0000_s1026" o:spt="202" type="#_x0000_t202" style="position:absolute;left:0pt;margin-left:-10.5pt;margin-top:19.5pt;height:48.75pt;width:72pt;z-index:251984896;mso-width-relative:page;mso-height-relative:page;" filled="f" stroked="f" coordsize="21600,21600" o:gfxdata="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p&#10;z62X1wAAAAoBAAAPAAAAAAAAAAEAIAAAACIAAABkcnMvZG93bnJldi54bWxQSwECFAAUAAAACACH&#10;TuJAtuf48rMBAABfAwAADgAAAAAAAAABACAAAAAmAQAAZHJzL2Uyb0RvYy54bWxQSwUGAAAAAAYA&#10;BgBZAQAASwUAAAAA&#10;">
                <v:fill on="f" focussize="0,0"/>
                <v:stroke on="f"/>
                <v:imagedata o:title=""/>
                <o:lock v:ext="edit" aspectratio="f"/>
                <v:textbox>
                  <w:txbxContent>
                    <w:p w14:paraId="15EC4FCF">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人工费的调整方法</w:t>
                      </w:r>
                    </w:p>
                  </w:txbxContent>
                </v:textbox>
              </v:shape>
            </w:pict>
          </mc:Fallback>
        </mc:AlternateContent>
      </w:r>
      <w:r>
        <w:rPr>
          <w:rFonts w:hAnsi="宋体"/>
          <w:b/>
          <w:color w:val="auto"/>
          <w:sz w:val="24"/>
          <w:szCs w:val="18"/>
        </w:rPr>
        <w:t xml:space="preserve">76.2  </w:t>
      </w:r>
    </w:p>
    <w:p w14:paraId="36897A9E">
      <w:pPr>
        <w:pStyle w:val="2"/>
        <w:adjustRightInd w:val="0"/>
        <w:snapToGrid w:val="0"/>
        <w:spacing w:line="360" w:lineRule="auto"/>
        <w:ind w:left="1619" w:leftChars="771"/>
        <w:rPr>
          <w:rFonts w:hAnsi="宋体"/>
          <w:color w:val="auto"/>
          <w:sz w:val="24"/>
          <w:szCs w:val="18"/>
        </w:rPr>
      </w:pPr>
      <w:r>
        <w:rPr>
          <w:rFonts w:hint="eastAsia" w:hAnsi="宋体"/>
          <w:color w:val="auto"/>
          <w:sz w:val="24"/>
          <w:szCs w:val="18"/>
        </w:rPr>
        <w:t>按照第</w:t>
      </w:r>
      <w:r>
        <w:rPr>
          <w:rFonts w:hAnsi="宋体"/>
          <w:color w:val="auto"/>
          <w:sz w:val="24"/>
          <w:szCs w:val="18"/>
        </w:rPr>
        <w:t>76.1</w:t>
      </w:r>
      <w:r>
        <w:rPr>
          <w:rFonts w:hint="eastAsia" w:hAnsi="宋体"/>
          <w:color w:val="auto"/>
          <w:sz w:val="24"/>
          <w:szCs w:val="18"/>
        </w:rPr>
        <w:t>款规定人工单价发生涨落的，应按照合同工程发生的人工数量和合同履行期与基准日期人工单价对比的价差的乘积计算调整的人工费。</w:t>
      </w:r>
    </w:p>
    <w:p w14:paraId="064099BC">
      <w:pPr>
        <w:pStyle w:val="2"/>
        <w:tabs>
          <w:tab w:val="left" w:pos="540"/>
        </w:tabs>
        <w:adjustRightInd w:val="0"/>
        <w:snapToGrid w:val="0"/>
        <w:spacing w:line="360" w:lineRule="auto"/>
        <w:rPr>
          <w:rFonts w:hAnsi="宋体"/>
          <w:b/>
          <w:color w:val="auto"/>
          <w:sz w:val="24"/>
          <w:szCs w:val="18"/>
          <w:u w:val="dotted"/>
        </w:rPr>
      </w:pPr>
      <w:r>
        <w:rPr>
          <w:rFonts w:hAnsi="宋体"/>
          <w:b/>
          <w:color w:val="auto"/>
          <w:sz w:val="24"/>
          <w:szCs w:val="18"/>
        </w:rPr>
        <w:t xml:space="preserve">76.3  </w:t>
      </w:r>
    </w:p>
    <w:p w14:paraId="438A1AB3">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1985920" behindDoc="0" locked="0" layoutInCell="1" allowOverlap="1">
                <wp:simplePos x="0" y="0"/>
                <wp:positionH relativeFrom="column">
                  <wp:posOffset>-114300</wp:posOffset>
                </wp:positionH>
                <wp:positionV relativeFrom="paragraph">
                  <wp:posOffset>15875</wp:posOffset>
                </wp:positionV>
                <wp:extent cx="914400" cy="1003300"/>
                <wp:effectExtent l="0" t="0" r="0" b="0"/>
                <wp:wrapNone/>
                <wp:docPr id="367" name="文本框 367"/>
                <wp:cNvGraphicFramePr/>
                <a:graphic xmlns:a="http://schemas.openxmlformats.org/drawingml/2006/main">
                  <a:graphicData uri="http://schemas.microsoft.com/office/word/2010/wordprocessingShape">
                    <wps:wsp>
                      <wps:cNvSpPr txBox="1"/>
                      <wps:spPr>
                        <a:xfrm>
                          <a:off x="0" y="0"/>
                          <a:ext cx="914400" cy="1003300"/>
                        </a:xfrm>
                        <a:prstGeom prst="rect">
                          <a:avLst/>
                        </a:prstGeom>
                        <a:noFill/>
                        <a:ln>
                          <a:noFill/>
                        </a:ln>
                        <a:effectLst/>
                      </wps:spPr>
                      <wps:txbx>
                        <w:txbxContent>
                          <w:p w14:paraId="5A6D603A">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承包人采购材料和工程设备的材料设备费、施工机械费调整方法</w:t>
                            </w:r>
                          </w:p>
                        </w:txbxContent>
                      </wps:txbx>
                      <wps:bodyPr upright="1"/>
                    </wps:wsp>
                  </a:graphicData>
                </a:graphic>
              </wp:anchor>
            </w:drawing>
          </mc:Choice>
          <mc:Fallback>
            <w:pict>
              <v:shape id="_x0000_s1026" o:spid="_x0000_s1026" o:spt="202" type="#_x0000_t202" style="position:absolute;left:0pt;margin-left:-9pt;margin-top:1.25pt;height:79pt;width:72pt;z-index:251985920;mso-width-relative:page;mso-height-relative:page;" filled="f" stroked="f" coordsize="21600,21600" o:gfxdata="UEsDBAoAAAAAAIdO4kAAAAAAAAAAAAAAAAAEAAAAZHJzL1BLAwQUAAAACACHTuJAr0C7z9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r0C7&#10;z9YAAAAJAQAADwAAAAAAAAABACAAAAAiAAAAZHJzL2Rvd25yZXYueG1sUEsBAhQAFAAAAAgAh07i&#10;QAELOn6yAQAAYAMAAA4AAAAAAAAAAQAgAAAAJQEAAGRycy9lMm9Eb2MueG1sUEsFBgAAAAAGAAYA&#10;WQEAAEkFAAAAAA==&#10;">
                <v:fill on="f" focussize="0,0"/>
                <v:stroke on="f"/>
                <v:imagedata o:title=""/>
                <o:lock v:ext="edit" aspectratio="f"/>
                <v:textbox>
                  <w:txbxContent>
                    <w:p w14:paraId="5A6D603A">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承包人采购材料和工程设备的材料设备费、施工机械费调整方法</w:t>
                      </w:r>
                    </w:p>
                  </w:txbxContent>
                </v:textbox>
              </v:shape>
            </w:pict>
          </mc:Fallback>
        </mc:AlternateContent>
      </w:r>
      <w:r>
        <w:rPr>
          <w:rFonts w:hint="eastAsia" w:hAnsi="宋体"/>
          <w:color w:val="auto"/>
          <w:sz w:val="24"/>
          <w:szCs w:val="18"/>
        </w:rPr>
        <w:t>承包人采购材料和工程设备的，按照第</w:t>
      </w:r>
      <w:r>
        <w:rPr>
          <w:rFonts w:hAnsi="宋体"/>
          <w:color w:val="auto"/>
          <w:sz w:val="24"/>
          <w:szCs w:val="18"/>
        </w:rPr>
        <w:t>76.1</w:t>
      </w:r>
      <w:r>
        <w:rPr>
          <w:rFonts w:hint="eastAsia" w:hAnsi="宋体"/>
          <w:color w:val="auto"/>
          <w:sz w:val="24"/>
          <w:szCs w:val="18"/>
        </w:rPr>
        <w:t>款规定材料、工程设备价格和施工设备机械台班单价涨落分别超过</w:t>
      </w:r>
      <w:r>
        <w:rPr>
          <w:rFonts w:hAnsi="宋体"/>
          <w:color w:val="auto"/>
          <w:sz w:val="24"/>
          <w:szCs w:val="18"/>
        </w:rPr>
        <w:t>5%</w:t>
      </w:r>
      <w:r>
        <w:rPr>
          <w:rFonts w:hint="eastAsia" w:hAnsi="宋体"/>
          <w:color w:val="auto"/>
          <w:sz w:val="24"/>
          <w:szCs w:val="18"/>
        </w:rPr>
        <w:t>和</w:t>
      </w:r>
      <w:r>
        <w:rPr>
          <w:rFonts w:hAnsi="宋体"/>
          <w:color w:val="auto"/>
          <w:sz w:val="24"/>
          <w:szCs w:val="18"/>
        </w:rPr>
        <w:t>10%</w:t>
      </w:r>
      <w:r>
        <w:rPr>
          <w:rFonts w:hint="eastAsia" w:hAnsi="宋体"/>
          <w:color w:val="auto"/>
          <w:sz w:val="24"/>
          <w:szCs w:val="18"/>
        </w:rPr>
        <w:t>，则超过部分的价格应予调整。该情况下，应按照下列方法之一计算调整的材料费、工程设备费和施工机械费，但应扣除合同双方当事人不利一方当事人承担上述幅度的风险费用。</w:t>
      </w:r>
    </w:p>
    <w:p w14:paraId="05BCA137">
      <w:pPr>
        <w:pStyle w:val="2"/>
        <w:adjustRightInd w:val="0"/>
        <w:snapToGrid w:val="0"/>
        <w:spacing w:line="360" w:lineRule="auto"/>
        <w:ind w:left="1619" w:leftChars="771"/>
        <w:rPr>
          <w:rFonts w:hAnsi="宋体"/>
          <w:color w:val="auto"/>
          <w:sz w:val="24"/>
          <w:szCs w:val="18"/>
        </w:rPr>
      </w:pPr>
      <w:r>
        <w:rPr>
          <w:rFonts w:hAnsi="宋体"/>
          <w:color w:val="auto"/>
          <w:sz w:val="24"/>
          <w:szCs w:val="18"/>
        </w:rPr>
        <w:t>(1</w:t>
      </w:r>
      <w:r>
        <w:rPr>
          <w:rFonts w:hint="eastAsia" w:hAnsi="宋体"/>
          <w:color w:val="auto"/>
          <w:sz w:val="24"/>
          <w:szCs w:val="18"/>
        </w:rPr>
        <w:t>）价格系数法</w:t>
      </w:r>
    </w:p>
    <w:p w14:paraId="261A9140">
      <w:pPr>
        <w:pStyle w:val="2"/>
        <w:adjustRightInd w:val="0"/>
        <w:snapToGrid w:val="0"/>
        <w:spacing w:line="360" w:lineRule="auto"/>
        <w:ind w:left="1978" w:leftChars="942" w:firstLine="60" w:firstLineChars="25"/>
        <w:rPr>
          <w:rFonts w:hAnsi="宋体"/>
          <w:iCs/>
          <w:color w:val="auto"/>
          <w:sz w:val="24"/>
          <w:szCs w:val="18"/>
        </w:rPr>
      </w:pPr>
      <w:r>
        <w:rPr>
          <w:rFonts w:hAnsi="宋体"/>
          <w:iCs/>
          <w:color w:val="auto"/>
          <w:sz w:val="24"/>
          <w:szCs w:val="18"/>
        </w:rPr>
        <w:t>C</w:t>
      </w:r>
      <w:r>
        <w:rPr>
          <w:rFonts w:hint="eastAsia" w:hAnsi="宋体"/>
          <w:iCs/>
          <w:color w:val="auto"/>
          <w:spacing w:val="-42"/>
          <w:sz w:val="24"/>
          <w:szCs w:val="18"/>
        </w:rPr>
        <w:t>′</w:t>
      </w:r>
      <w:r>
        <w:rPr>
          <w:rFonts w:hAnsi="宋体"/>
          <w:iCs/>
          <w:color w:val="auto"/>
          <w:sz w:val="24"/>
          <w:szCs w:val="18"/>
          <w:vertAlign w:val="subscript"/>
        </w:rPr>
        <w:t>n</w:t>
      </w:r>
      <w:r>
        <w:rPr>
          <w:rFonts w:hAnsi="宋体"/>
          <w:iCs/>
          <w:color w:val="auto"/>
          <w:sz w:val="24"/>
          <w:szCs w:val="18"/>
        </w:rPr>
        <w:t>=c</w:t>
      </w:r>
      <w:r>
        <w:rPr>
          <w:rFonts w:hAnsi="宋体"/>
          <w:iCs/>
          <w:color w:val="auto"/>
          <w:sz w:val="24"/>
          <w:szCs w:val="18"/>
          <w:vertAlign w:val="subscript"/>
        </w:rPr>
        <w:t>n</w:t>
      </w:r>
      <w:r>
        <w:rPr>
          <w:rFonts w:hAnsi="宋体"/>
          <w:iCs/>
          <w:color w:val="auto"/>
          <w:sz w:val="24"/>
          <w:szCs w:val="18"/>
        </w:rPr>
        <w:t>.p</w:t>
      </w:r>
      <w:r>
        <w:rPr>
          <w:rFonts w:hAnsi="宋体"/>
          <w:iCs/>
          <w:color w:val="auto"/>
          <w:sz w:val="24"/>
          <w:szCs w:val="18"/>
          <w:vertAlign w:val="subscript"/>
        </w:rPr>
        <w:t>n</w:t>
      </w:r>
      <w:r>
        <w:rPr>
          <w:rFonts w:hAnsi="宋体"/>
          <w:iCs/>
          <w:color w:val="auto"/>
          <w:sz w:val="24"/>
          <w:szCs w:val="18"/>
        </w:rPr>
        <w:t>=c</w:t>
      </w:r>
      <w:r>
        <w:rPr>
          <w:rFonts w:hAnsi="宋体"/>
          <w:iCs/>
          <w:color w:val="auto"/>
          <w:sz w:val="24"/>
          <w:szCs w:val="18"/>
          <w:vertAlign w:val="subscript"/>
        </w:rPr>
        <w:t>n</w:t>
      </w:r>
      <w:r>
        <w:rPr>
          <w:rFonts w:hAnsi="宋体"/>
          <w:iCs/>
          <w:color w:val="auto"/>
          <w:sz w:val="24"/>
          <w:szCs w:val="18"/>
        </w:rPr>
        <w:t>(a+b</w:t>
      </w:r>
      <w:r>
        <w:rPr>
          <w:rFonts w:hint="eastAsia" w:hAnsi="宋体"/>
          <w:iCs/>
          <w:color w:val="auto"/>
          <w:sz w:val="24"/>
          <w:szCs w:val="18"/>
        </w:rPr>
        <w:t>·</w:t>
      </w:r>
      <w:r>
        <w:rPr>
          <w:rFonts w:hAnsi="宋体"/>
          <w:iCs/>
          <w:color w:val="auto"/>
          <w:sz w:val="24"/>
          <w:szCs w:val="18"/>
        </w:rPr>
        <w:t>L</w:t>
      </w:r>
      <w:r>
        <w:rPr>
          <w:rFonts w:hAnsi="宋体"/>
          <w:iCs/>
          <w:color w:val="auto"/>
          <w:sz w:val="24"/>
          <w:szCs w:val="18"/>
          <w:vertAlign w:val="subscript"/>
        </w:rPr>
        <w:t>n</w:t>
      </w:r>
      <w:r>
        <w:rPr>
          <w:rFonts w:hAnsi="宋体"/>
          <w:iCs/>
          <w:color w:val="auto"/>
          <w:sz w:val="24"/>
          <w:szCs w:val="18"/>
        </w:rPr>
        <w:t xml:space="preserve"> /L</w:t>
      </w:r>
      <w:r>
        <w:rPr>
          <w:rFonts w:hAnsi="宋体"/>
          <w:iCs/>
          <w:color w:val="auto"/>
          <w:sz w:val="24"/>
          <w:szCs w:val="18"/>
          <w:vertAlign w:val="subscript"/>
        </w:rPr>
        <w:t>0</w:t>
      </w:r>
      <w:r>
        <w:rPr>
          <w:rFonts w:hAnsi="宋体"/>
          <w:iCs/>
          <w:color w:val="auto"/>
          <w:sz w:val="24"/>
          <w:szCs w:val="18"/>
        </w:rPr>
        <w:t>+c</w:t>
      </w:r>
      <w:r>
        <w:rPr>
          <w:rFonts w:hint="eastAsia" w:hAnsi="宋体"/>
          <w:iCs/>
          <w:color w:val="auto"/>
          <w:sz w:val="24"/>
          <w:szCs w:val="18"/>
        </w:rPr>
        <w:t>·</w:t>
      </w:r>
      <w:r>
        <w:rPr>
          <w:rFonts w:hAnsi="宋体"/>
          <w:iCs/>
          <w:color w:val="auto"/>
          <w:sz w:val="24"/>
          <w:szCs w:val="18"/>
        </w:rPr>
        <w:t>E</w:t>
      </w:r>
      <w:r>
        <w:rPr>
          <w:rFonts w:hAnsi="宋体"/>
          <w:iCs/>
          <w:color w:val="auto"/>
          <w:sz w:val="24"/>
          <w:szCs w:val="18"/>
          <w:vertAlign w:val="subscript"/>
        </w:rPr>
        <w:t>n</w:t>
      </w:r>
      <w:r>
        <w:rPr>
          <w:rFonts w:hAnsi="宋体"/>
          <w:iCs/>
          <w:color w:val="auto"/>
          <w:sz w:val="24"/>
          <w:szCs w:val="18"/>
        </w:rPr>
        <w:t>/E</w:t>
      </w:r>
      <w:r>
        <w:rPr>
          <w:rFonts w:hAnsi="宋体"/>
          <w:iCs/>
          <w:color w:val="auto"/>
          <w:sz w:val="24"/>
          <w:szCs w:val="18"/>
          <w:vertAlign w:val="subscript"/>
        </w:rPr>
        <w:t>0</w:t>
      </w:r>
      <w:r>
        <w:rPr>
          <w:rFonts w:hAnsi="宋体"/>
          <w:iCs/>
          <w:color w:val="auto"/>
          <w:sz w:val="24"/>
          <w:szCs w:val="18"/>
        </w:rPr>
        <w:t>+</w:t>
      </w:r>
      <w:r>
        <w:rPr>
          <w:rFonts w:hint="eastAsia" w:hAnsi="宋体"/>
          <w:iCs/>
          <w:color w:val="auto"/>
          <w:sz w:val="24"/>
          <w:szCs w:val="18"/>
        </w:rPr>
        <w:t>……</w:t>
      </w:r>
      <w:r>
        <w:rPr>
          <w:rFonts w:hAnsi="宋体"/>
          <w:iCs/>
          <w:color w:val="auto"/>
          <w:sz w:val="24"/>
          <w:szCs w:val="18"/>
        </w:rPr>
        <w:t>q</w:t>
      </w:r>
      <w:r>
        <w:rPr>
          <w:rFonts w:hint="eastAsia" w:hAnsi="宋体"/>
          <w:iCs/>
          <w:color w:val="auto"/>
          <w:sz w:val="24"/>
          <w:szCs w:val="18"/>
        </w:rPr>
        <w:t>·</w:t>
      </w:r>
      <w:r>
        <w:rPr>
          <w:rFonts w:hAnsi="宋体"/>
          <w:iCs/>
          <w:color w:val="auto"/>
          <w:sz w:val="24"/>
          <w:szCs w:val="18"/>
        </w:rPr>
        <w:t>M</w:t>
      </w:r>
      <w:r>
        <w:rPr>
          <w:rFonts w:hAnsi="宋体"/>
          <w:iCs/>
          <w:color w:val="auto"/>
          <w:sz w:val="24"/>
          <w:szCs w:val="18"/>
          <w:vertAlign w:val="subscript"/>
        </w:rPr>
        <w:t>n</w:t>
      </w:r>
      <w:r>
        <w:rPr>
          <w:rFonts w:hAnsi="宋体"/>
          <w:iCs/>
          <w:color w:val="auto"/>
          <w:sz w:val="24"/>
          <w:szCs w:val="18"/>
        </w:rPr>
        <w:t>/M</w:t>
      </w:r>
      <w:r>
        <w:rPr>
          <w:rFonts w:hAnsi="宋体"/>
          <w:iCs/>
          <w:color w:val="auto"/>
          <w:sz w:val="24"/>
          <w:szCs w:val="18"/>
          <w:vertAlign w:val="subscript"/>
        </w:rPr>
        <w:t>0</w:t>
      </w:r>
      <w:r>
        <w:rPr>
          <w:rFonts w:hAnsi="宋体"/>
          <w:iCs/>
          <w:color w:val="auto"/>
          <w:sz w:val="24"/>
          <w:szCs w:val="18"/>
        </w:rPr>
        <w:t>)</w:t>
      </w:r>
    </w:p>
    <w:p w14:paraId="32314DFB">
      <w:pPr>
        <w:pStyle w:val="2"/>
        <w:adjustRightInd w:val="0"/>
        <w:snapToGrid w:val="0"/>
        <w:spacing w:line="360" w:lineRule="auto"/>
        <w:ind w:left="2204" w:leftChars="772" w:hanging="583" w:hangingChars="243"/>
        <w:rPr>
          <w:rFonts w:hAnsi="宋体"/>
          <w:color w:val="auto"/>
          <w:sz w:val="24"/>
          <w:szCs w:val="18"/>
        </w:rPr>
      </w:pPr>
      <w:r>
        <w:rPr>
          <w:rFonts w:hint="eastAsia" w:hAnsi="宋体"/>
          <w:color w:val="auto"/>
          <w:sz w:val="24"/>
          <w:szCs w:val="18"/>
        </w:rPr>
        <w:t>式中</w:t>
      </w:r>
      <w:r>
        <w:rPr>
          <w:rFonts w:hAnsi="宋体"/>
          <w:iCs/>
          <w:color w:val="auto"/>
          <w:sz w:val="24"/>
          <w:szCs w:val="18"/>
        </w:rPr>
        <w:t>C</w:t>
      </w:r>
      <w:r>
        <w:rPr>
          <w:rFonts w:hint="eastAsia" w:hAnsi="宋体"/>
          <w:iCs/>
          <w:color w:val="auto"/>
          <w:spacing w:val="-42"/>
          <w:sz w:val="24"/>
          <w:szCs w:val="18"/>
        </w:rPr>
        <w:t>′</w:t>
      </w:r>
      <w:r>
        <w:rPr>
          <w:rFonts w:hAnsi="宋体"/>
          <w:iCs/>
          <w:color w:val="auto"/>
          <w:sz w:val="24"/>
          <w:szCs w:val="18"/>
          <w:vertAlign w:val="subscript"/>
        </w:rPr>
        <w:t>n</w:t>
      </w:r>
      <w:r>
        <w:rPr>
          <w:rFonts w:hAnsi="宋体"/>
          <w:iCs/>
          <w:color w:val="auto"/>
          <w:sz w:val="24"/>
          <w:szCs w:val="18"/>
        </w:rPr>
        <w:t>——</w:t>
      </w:r>
      <w:r>
        <w:rPr>
          <w:rFonts w:hint="eastAsia" w:hAnsi="宋体"/>
          <w:color w:val="auto"/>
          <w:sz w:val="24"/>
          <w:szCs w:val="18"/>
        </w:rPr>
        <w:t>调整后合同履行期间第</w:t>
      </w:r>
      <w:r>
        <w:rPr>
          <w:rFonts w:hAnsi="宋体"/>
          <w:iCs/>
          <w:color w:val="auto"/>
          <w:sz w:val="24"/>
          <w:szCs w:val="18"/>
        </w:rPr>
        <w:t>n</w:t>
      </w:r>
      <w:r>
        <w:rPr>
          <w:rFonts w:hint="eastAsia" w:hAnsi="宋体"/>
          <w:color w:val="auto"/>
          <w:sz w:val="24"/>
          <w:szCs w:val="18"/>
        </w:rPr>
        <w:t>支付期应支付的合同价款；</w:t>
      </w:r>
    </w:p>
    <w:p w14:paraId="626284E3">
      <w:pPr>
        <w:pStyle w:val="2"/>
        <w:adjustRightInd w:val="0"/>
        <w:snapToGrid w:val="0"/>
        <w:spacing w:line="360" w:lineRule="auto"/>
        <w:ind w:left="1978" w:leftChars="942" w:firstLine="225" w:firstLineChars="94"/>
        <w:rPr>
          <w:rFonts w:hAnsi="宋体"/>
          <w:color w:val="auto"/>
          <w:sz w:val="24"/>
          <w:szCs w:val="18"/>
        </w:rPr>
      </w:pPr>
      <w:r>
        <w:rPr>
          <w:rFonts w:hAnsi="宋体"/>
          <w:iCs/>
          <w:color w:val="auto"/>
          <w:sz w:val="24"/>
          <w:szCs w:val="18"/>
        </w:rPr>
        <w:t>C</w:t>
      </w:r>
      <w:r>
        <w:rPr>
          <w:rFonts w:hAnsi="宋体"/>
          <w:iCs/>
          <w:color w:val="auto"/>
          <w:sz w:val="24"/>
          <w:szCs w:val="18"/>
          <w:vertAlign w:val="subscript"/>
        </w:rPr>
        <w:t>n</w:t>
      </w:r>
      <w:r>
        <w:rPr>
          <w:rFonts w:hAnsi="宋体"/>
          <w:iCs/>
          <w:color w:val="auto"/>
          <w:sz w:val="24"/>
          <w:szCs w:val="18"/>
        </w:rPr>
        <w:t>——</w:t>
      </w:r>
      <w:r>
        <w:rPr>
          <w:rFonts w:hint="eastAsia" w:hAnsi="宋体"/>
          <w:color w:val="auto"/>
          <w:sz w:val="24"/>
          <w:szCs w:val="18"/>
        </w:rPr>
        <w:t>调整前合同履行期间第</w:t>
      </w:r>
      <w:r>
        <w:rPr>
          <w:rFonts w:hAnsi="宋体"/>
          <w:iCs/>
          <w:color w:val="auto"/>
          <w:sz w:val="24"/>
          <w:szCs w:val="18"/>
        </w:rPr>
        <w:t>n</w:t>
      </w:r>
      <w:r>
        <w:rPr>
          <w:rFonts w:hint="eastAsia" w:hAnsi="宋体"/>
          <w:color w:val="auto"/>
          <w:sz w:val="24"/>
          <w:szCs w:val="18"/>
        </w:rPr>
        <w:t>支付期应支付的合同价款；</w:t>
      </w:r>
    </w:p>
    <w:p w14:paraId="236C4872">
      <w:pPr>
        <w:pStyle w:val="2"/>
        <w:adjustRightInd w:val="0"/>
        <w:snapToGrid w:val="0"/>
        <w:spacing w:line="360" w:lineRule="auto"/>
        <w:ind w:left="1619" w:leftChars="771" w:firstLine="585" w:firstLineChars="244"/>
        <w:rPr>
          <w:rFonts w:hAnsi="宋体"/>
          <w:color w:val="auto"/>
          <w:sz w:val="24"/>
          <w:szCs w:val="18"/>
        </w:rPr>
      </w:pPr>
      <w:r>
        <w:rPr>
          <w:rFonts w:hAnsi="宋体"/>
          <w:iCs/>
          <w:color w:val="auto"/>
          <w:sz w:val="24"/>
          <w:szCs w:val="18"/>
        </w:rPr>
        <w:t>P</w:t>
      </w:r>
      <w:r>
        <w:rPr>
          <w:rFonts w:hAnsi="宋体"/>
          <w:iCs/>
          <w:color w:val="auto"/>
          <w:sz w:val="24"/>
          <w:szCs w:val="18"/>
          <w:vertAlign w:val="subscript"/>
        </w:rPr>
        <w:t>n</w:t>
      </w:r>
      <w:r>
        <w:rPr>
          <w:rFonts w:hAnsi="宋体"/>
          <w:iCs/>
          <w:color w:val="auto"/>
          <w:sz w:val="24"/>
          <w:szCs w:val="18"/>
        </w:rPr>
        <w:t>——</w:t>
      </w:r>
      <w:r>
        <w:rPr>
          <w:rFonts w:hint="eastAsia" w:hAnsi="宋体"/>
          <w:color w:val="auto"/>
          <w:sz w:val="24"/>
          <w:szCs w:val="18"/>
        </w:rPr>
        <w:t>第</w:t>
      </w:r>
      <w:r>
        <w:rPr>
          <w:rFonts w:hAnsi="宋体"/>
          <w:iCs/>
          <w:color w:val="auto"/>
          <w:sz w:val="24"/>
          <w:szCs w:val="18"/>
        </w:rPr>
        <w:t>n</w:t>
      </w:r>
      <w:r>
        <w:rPr>
          <w:rFonts w:hint="eastAsia" w:hAnsi="宋体"/>
          <w:color w:val="auto"/>
          <w:sz w:val="24"/>
          <w:szCs w:val="18"/>
        </w:rPr>
        <w:t>支付期间合同价款调整系数。</w:t>
      </w:r>
    </w:p>
    <w:p w14:paraId="77503CFC">
      <w:pPr>
        <w:pStyle w:val="2"/>
        <w:adjustRightInd w:val="0"/>
        <w:snapToGrid w:val="0"/>
        <w:spacing w:line="360" w:lineRule="auto"/>
        <w:ind w:left="1619" w:leftChars="771"/>
        <w:rPr>
          <w:rFonts w:hAnsi="宋体"/>
          <w:color w:val="auto"/>
          <w:sz w:val="24"/>
          <w:szCs w:val="18"/>
        </w:rPr>
      </w:pPr>
      <w:r>
        <w:rPr>
          <w:rFonts w:hint="eastAsia" w:hAnsi="宋体"/>
          <w:color w:val="auto"/>
          <w:sz w:val="24"/>
          <w:szCs w:val="18"/>
        </w:rPr>
        <w:t>“</w:t>
      </w:r>
      <w:r>
        <w:rPr>
          <w:rFonts w:hAnsi="宋体"/>
          <w:color w:val="auto"/>
          <w:sz w:val="24"/>
          <w:szCs w:val="18"/>
        </w:rPr>
        <w:t>a</w:t>
      </w:r>
      <w:r>
        <w:rPr>
          <w:rFonts w:hint="eastAsia" w:hAnsi="宋体"/>
          <w:color w:val="auto"/>
          <w:sz w:val="24"/>
          <w:szCs w:val="18"/>
        </w:rPr>
        <w:t>”是基准日期固定系数，表示合同付款中的不予调整部分的权重系数；“</w:t>
      </w:r>
      <w:r>
        <w:rPr>
          <w:rFonts w:hAnsi="宋体"/>
          <w:iCs/>
          <w:color w:val="auto"/>
          <w:sz w:val="24"/>
          <w:szCs w:val="18"/>
        </w:rPr>
        <w:t>b</w:t>
      </w:r>
      <w:r>
        <w:rPr>
          <w:rFonts w:hint="eastAsia" w:hAnsi="宋体"/>
          <w:iCs/>
          <w:color w:val="auto"/>
          <w:sz w:val="24"/>
          <w:szCs w:val="18"/>
        </w:rPr>
        <w:t>”、“</w:t>
      </w:r>
      <w:r>
        <w:rPr>
          <w:rFonts w:hAnsi="宋体"/>
          <w:iCs/>
          <w:color w:val="auto"/>
          <w:sz w:val="24"/>
          <w:szCs w:val="18"/>
        </w:rPr>
        <w:t>c</w:t>
      </w:r>
      <w:r>
        <w:rPr>
          <w:rFonts w:hint="eastAsia" w:hAnsi="宋体"/>
          <w:iCs/>
          <w:color w:val="auto"/>
          <w:sz w:val="24"/>
          <w:szCs w:val="18"/>
        </w:rPr>
        <w:t>”、……、“</w:t>
      </w:r>
      <w:r>
        <w:rPr>
          <w:rFonts w:hAnsi="宋体"/>
          <w:iCs/>
          <w:color w:val="auto"/>
          <w:sz w:val="24"/>
          <w:szCs w:val="18"/>
        </w:rPr>
        <w:t>q</w:t>
      </w:r>
      <w:r>
        <w:rPr>
          <w:rFonts w:hint="eastAsia" w:hAnsi="宋体"/>
          <w:iCs/>
          <w:color w:val="auto"/>
          <w:sz w:val="24"/>
          <w:szCs w:val="18"/>
        </w:rPr>
        <w:t>”</w:t>
      </w:r>
      <w:r>
        <w:rPr>
          <w:rFonts w:hint="eastAsia" w:hAnsi="宋体"/>
          <w:color w:val="auto"/>
          <w:sz w:val="24"/>
          <w:szCs w:val="18"/>
        </w:rPr>
        <w:t>分别表示基准日期各相关要素占合同价款总额的权重系数，可表示材料、工程设备、施工设备机械台班等资源。合同双方当事人应在专用条款中约定各资源的权重系数，要求：</w:t>
      </w:r>
      <w:r>
        <w:rPr>
          <w:rFonts w:hAnsi="宋体"/>
          <w:iCs/>
          <w:color w:val="auto"/>
          <w:sz w:val="24"/>
          <w:szCs w:val="18"/>
        </w:rPr>
        <w:t>a+b+c+</w:t>
      </w:r>
      <w:r>
        <w:rPr>
          <w:rFonts w:hint="eastAsia" w:hAnsi="宋体"/>
          <w:iCs/>
          <w:color w:val="auto"/>
          <w:sz w:val="24"/>
          <w:szCs w:val="18"/>
        </w:rPr>
        <w:t>……</w:t>
      </w:r>
      <w:r>
        <w:rPr>
          <w:rFonts w:hAnsi="宋体"/>
          <w:iCs/>
          <w:color w:val="auto"/>
          <w:sz w:val="24"/>
          <w:szCs w:val="18"/>
        </w:rPr>
        <w:t>+q</w:t>
      </w:r>
      <w:r>
        <w:rPr>
          <w:rFonts w:hint="eastAsia" w:hAnsi="宋体"/>
          <w:color w:val="auto"/>
          <w:sz w:val="24"/>
          <w:szCs w:val="18"/>
        </w:rPr>
        <w:t>＝</w:t>
      </w:r>
      <w:r>
        <w:rPr>
          <w:rFonts w:hAnsi="宋体"/>
          <w:color w:val="auto"/>
          <w:sz w:val="24"/>
          <w:szCs w:val="18"/>
        </w:rPr>
        <w:t>1</w:t>
      </w:r>
      <w:r>
        <w:rPr>
          <w:rFonts w:hint="eastAsia" w:hAnsi="宋体"/>
          <w:color w:val="auto"/>
          <w:sz w:val="24"/>
          <w:szCs w:val="18"/>
        </w:rPr>
        <w:t>。</w:t>
      </w:r>
    </w:p>
    <w:p w14:paraId="1BF5D9DC">
      <w:pPr>
        <w:pStyle w:val="2"/>
        <w:adjustRightInd w:val="0"/>
        <w:snapToGrid w:val="0"/>
        <w:spacing w:line="360" w:lineRule="auto"/>
        <w:ind w:left="1619" w:leftChars="771"/>
        <w:rPr>
          <w:rFonts w:hAnsi="宋体"/>
          <w:color w:val="auto"/>
          <w:sz w:val="24"/>
          <w:szCs w:val="18"/>
        </w:rPr>
      </w:pPr>
      <w:r>
        <w:rPr>
          <w:rFonts w:hint="eastAsia" w:hAnsi="宋体"/>
          <w:iCs/>
          <w:color w:val="auto"/>
          <w:sz w:val="24"/>
          <w:szCs w:val="18"/>
        </w:rPr>
        <w:t>“</w:t>
      </w:r>
      <w:r>
        <w:rPr>
          <w:rFonts w:hAnsi="宋体"/>
          <w:iCs/>
          <w:color w:val="auto"/>
          <w:sz w:val="24"/>
          <w:szCs w:val="18"/>
        </w:rPr>
        <w:t>L</w:t>
      </w:r>
      <w:r>
        <w:rPr>
          <w:rFonts w:hAnsi="宋体"/>
          <w:iCs/>
          <w:color w:val="auto"/>
          <w:sz w:val="24"/>
          <w:szCs w:val="18"/>
          <w:vertAlign w:val="subscript"/>
        </w:rPr>
        <w:t>n</w:t>
      </w:r>
      <w:r>
        <w:rPr>
          <w:rFonts w:hint="eastAsia" w:hAnsi="宋体"/>
          <w:iCs/>
          <w:color w:val="auto"/>
          <w:sz w:val="24"/>
          <w:szCs w:val="18"/>
        </w:rPr>
        <w:t>”、“</w:t>
      </w:r>
      <w:r>
        <w:rPr>
          <w:rFonts w:hAnsi="宋体"/>
          <w:iCs/>
          <w:color w:val="auto"/>
          <w:sz w:val="24"/>
          <w:szCs w:val="18"/>
        </w:rPr>
        <w:t>E</w:t>
      </w:r>
      <w:r>
        <w:rPr>
          <w:rFonts w:hAnsi="宋体"/>
          <w:iCs/>
          <w:color w:val="auto"/>
          <w:sz w:val="24"/>
          <w:szCs w:val="18"/>
          <w:vertAlign w:val="subscript"/>
        </w:rPr>
        <w:t>n</w:t>
      </w:r>
      <w:r>
        <w:rPr>
          <w:rFonts w:hint="eastAsia" w:hAnsi="宋体"/>
          <w:iCs/>
          <w:color w:val="auto"/>
          <w:sz w:val="24"/>
          <w:szCs w:val="18"/>
        </w:rPr>
        <w:t>”、……、“</w:t>
      </w:r>
      <w:r>
        <w:rPr>
          <w:rFonts w:hAnsi="宋体"/>
          <w:iCs/>
          <w:color w:val="auto"/>
          <w:sz w:val="24"/>
          <w:szCs w:val="18"/>
        </w:rPr>
        <w:t>M</w:t>
      </w:r>
      <w:r>
        <w:rPr>
          <w:rFonts w:hAnsi="宋体"/>
          <w:iCs/>
          <w:color w:val="auto"/>
          <w:sz w:val="24"/>
          <w:szCs w:val="18"/>
          <w:vertAlign w:val="subscript"/>
        </w:rPr>
        <w:t>n</w:t>
      </w:r>
      <w:r>
        <w:rPr>
          <w:rFonts w:hint="eastAsia" w:hAnsi="宋体"/>
          <w:color w:val="auto"/>
          <w:sz w:val="24"/>
          <w:szCs w:val="18"/>
        </w:rPr>
        <w:t>”表示合同履行期间第</w:t>
      </w:r>
      <w:r>
        <w:rPr>
          <w:rFonts w:hAnsi="宋体"/>
          <w:iCs/>
          <w:color w:val="auto"/>
          <w:sz w:val="24"/>
          <w:szCs w:val="18"/>
        </w:rPr>
        <w:t>n</w:t>
      </w:r>
      <w:r>
        <w:rPr>
          <w:rFonts w:hint="eastAsia" w:hAnsi="宋体"/>
          <w:color w:val="auto"/>
          <w:sz w:val="24"/>
          <w:szCs w:val="18"/>
        </w:rPr>
        <w:t>支付期工程造价管理机构发布的各相关要素价格；</w:t>
      </w:r>
      <w:r>
        <w:rPr>
          <w:rFonts w:hint="eastAsia" w:hAnsi="宋体"/>
          <w:iCs/>
          <w:color w:val="auto"/>
          <w:sz w:val="24"/>
          <w:szCs w:val="18"/>
        </w:rPr>
        <w:t>“</w:t>
      </w:r>
      <w:r>
        <w:rPr>
          <w:rFonts w:hAnsi="宋体"/>
          <w:iCs/>
          <w:color w:val="auto"/>
          <w:sz w:val="24"/>
          <w:szCs w:val="18"/>
        </w:rPr>
        <w:t>L</w:t>
      </w:r>
      <w:r>
        <w:rPr>
          <w:rFonts w:hAnsi="宋体"/>
          <w:iCs/>
          <w:color w:val="auto"/>
          <w:sz w:val="24"/>
          <w:szCs w:val="18"/>
          <w:vertAlign w:val="subscript"/>
        </w:rPr>
        <w:t>0</w:t>
      </w:r>
      <w:r>
        <w:rPr>
          <w:rFonts w:hint="eastAsia" w:hAnsi="宋体"/>
          <w:iCs/>
          <w:color w:val="auto"/>
          <w:sz w:val="24"/>
          <w:szCs w:val="18"/>
        </w:rPr>
        <w:t>”、“</w:t>
      </w:r>
      <w:r>
        <w:rPr>
          <w:rFonts w:hAnsi="宋体"/>
          <w:iCs/>
          <w:color w:val="auto"/>
          <w:sz w:val="24"/>
          <w:szCs w:val="18"/>
        </w:rPr>
        <w:t>E</w:t>
      </w:r>
      <w:r>
        <w:rPr>
          <w:rFonts w:hAnsi="宋体"/>
          <w:iCs/>
          <w:color w:val="auto"/>
          <w:sz w:val="24"/>
          <w:szCs w:val="18"/>
          <w:vertAlign w:val="subscript"/>
        </w:rPr>
        <w:t>0</w:t>
      </w:r>
      <w:r>
        <w:rPr>
          <w:rFonts w:hint="eastAsia" w:hAnsi="宋体"/>
          <w:color w:val="auto"/>
          <w:sz w:val="24"/>
          <w:szCs w:val="18"/>
        </w:rPr>
        <w:t>”、……、“</w:t>
      </w:r>
      <w:r>
        <w:rPr>
          <w:rFonts w:hAnsi="宋体"/>
          <w:iCs/>
          <w:color w:val="auto"/>
          <w:sz w:val="24"/>
          <w:szCs w:val="18"/>
        </w:rPr>
        <w:t>M</w:t>
      </w:r>
      <w:r>
        <w:rPr>
          <w:rFonts w:hAnsi="宋体"/>
          <w:iCs/>
          <w:color w:val="auto"/>
          <w:sz w:val="24"/>
          <w:szCs w:val="18"/>
          <w:vertAlign w:val="subscript"/>
        </w:rPr>
        <w:t>0</w:t>
      </w:r>
      <w:r>
        <w:rPr>
          <w:rFonts w:hint="eastAsia" w:hAnsi="宋体"/>
          <w:color w:val="auto"/>
          <w:sz w:val="24"/>
          <w:szCs w:val="18"/>
        </w:rPr>
        <w:t>”表示基准日期工程造价管理机构发布的各相关要素价格。</w:t>
      </w:r>
    </w:p>
    <w:p w14:paraId="3D6801B7">
      <w:pPr>
        <w:pStyle w:val="2"/>
        <w:adjustRightInd w:val="0"/>
        <w:snapToGrid w:val="0"/>
        <w:spacing w:line="360" w:lineRule="auto"/>
        <w:ind w:left="1619" w:leftChars="771"/>
        <w:rPr>
          <w:rFonts w:hAnsi="宋体"/>
          <w:color w:val="auto"/>
          <w:sz w:val="24"/>
          <w:szCs w:val="18"/>
        </w:rPr>
      </w:pPr>
      <w:r>
        <w:rPr>
          <w:rFonts w:hAnsi="宋体"/>
          <w:color w:val="auto"/>
          <w:sz w:val="24"/>
          <w:szCs w:val="18"/>
        </w:rPr>
        <w:t>(2</w:t>
      </w:r>
      <w:r>
        <w:rPr>
          <w:rFonts w:hint="eastAsia" w:hAnsi="宋体"/>
          <w:color w:val="auto"/>
          <w:sz w:val="24"/>
          <w:szCs w:val="18"/>
        </w:rPr>
        <w:t>）价格调差法</w:t>
      </w:r>
    </w:p>
    <w:p w14:paraId="270CED4C">
      <w:pPr>
        <w:pStyle w:val="2"/>
        <w:adjustRightInd w:val="0"/>
        <w:snapToGrid w:val="0"/>
        <w:spacing w:line="360" w:lineRule="auto"/>
        <w:ind w:left="1619" w:leftChars="771"/>
        <w:rPr>
          <w:rFonts w:hAnsi="宋体"/>
          <w:color w:val="auto"/>
          <w:sz w:val="24"/>
          <w:szCs w:val="18"/>
        </w:rPr>
      </w:pPr>
      <w:r>
        <w:rPr>
          <w:rFonts w:hint="eastAsia" w:hAnsi="宋体"/>
          <w:color w:val="auto"/>
          <w:sz w:val="24"/>
          <w:szCs w:val="18"/>
        </w:rPr>
        <w:t>按照合同工程发生的材料、工程设备、施工设备机械台班的数量和合同履行期与基准日期相应价格或单价对比的价差的乘积计算。</w:t>
      </w:r>
    </w:p>
    <w:p w14:paraId="46468313">
      <w:pPr>
        <w:pStyle w:val="2"/>
        <w:tabs>
          <w:tab w:val="left" w:pos="540"/>
        </w:tabs>
        <w:adjustRightInd w:val="0"/>
        <w:snapToGrid w:val="0"/>
        <w:spacing w:line="360" w:lineRule="auto"/>
        <w:rPr>
          <w:rFonts w:hAnsi="宋体"/>
          <w:color w:val="auto"/>
          <w:sz w:val="24"/>
          <w:szCs w:val="18"/>
          <w:u w:val="dotted"/>
        </w:rPr>
      </w:pPr>
      <w:r>
        <w:rPr>
          <w:rFonts w:hAnsi="宋体"/>
          <w:b/>
          <w:color w:val="auto"/>
          <w:sz w:val="24"/>
          <w:szCs w:val="18"/>
        </w:rPr>
        <w:t>76.4</w:t>
      </w:r>
    </w:p>
    <w:p w14:paraId="3B054F96">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1986944" behindDoc="0" locked="0" layoutInCell="1" allowOverlap="1">
                <wp:simplePos x="0" y="0"/>
                <wp:positionH relativeFrom="column">
                  <wp:posOffset>-114300</wp:posOffset>
                </wp:positionH>
                <wp:positionV relativeFrom="paragraph">
                  <wp:posOffset>15875</wp:posOffset>
                </wp:positionV>
                <wp:extent cx="914400" cy="711835"/>
                <wp:effectExtent l="0" t="0" r="0" b="0"/>
                <wp:wrapNone/>
                <wp:docPr id="368" name="文本框 368"/>
                <wp:cNvGraphicFramePr/>
                <a:graphic xmlns:a="http://schemas.openxmlformats.org/drawingml/2006/main">
                  <a:graphicData uri="http://schemas.microsoft.com/office/word/2010/wordprocessingShape">
                    <wps:wsp>
                      <wps:cNvSpPr txBox="1"/>
                      <wps:spPr>
                        <a:xfrm>
                          <a:off x="0" y="0"/>
                          <a:ext cx="914400" cy="711835"/>
                        </a:xfrm>
                        <a:prstGeom prst="rect">
                          <a:avLst/>
                        </a:prstGeom>
                        <a:noFill/>
                        <a:ln>
                          <a:noFill/>
                        </a:ln>
                        <a:effectLst/>
                      </wps:spPr>
                      <wps:txbx>
                        <w:txbxContent>
                          <w:p w14:paraId="5B39DD4B">
                            <w:pPr>
                              <w:pStyle w:val="5"/>
                              <w:spacing w:line="200" w:lineRule="exact"/>
                              <w:rPr>
                                <w:rFonts w:ascii="宋体"/>
                                <w:sz w:val="18"/>
                                <w:szCs w:val="18"/>
                              </w:rPr>
                            </w:pPr>
                            <w:r>
                              <w:rPr>
                                <w:rFonts w:hint="eastAsia" w:ascii="楷体_GB2312" w:hAnsi="宋体" w:eastAsia="楷体_GB2312"/>
                                <w:b/>
                                <w:color w:val="000000"/>
                                <w:sz w:val="18"/>
                                <w:szCs w:val="18"/>
                              </w:rPr>
                              <w:t>承包人采购材料设备发生工期延误的价格确定</w:t>
                            </w:r>
                          </w:p>
                        </w:txbxContent>
                      </wps:txbx>
                      <wps:bodyPr upright="1"/>
                    </wps:wsp>
                  </a:graphicData>
                </a:graphic>
              </wp:anchor>
            </w:drawing>
          </mc:Choice>
          <mc:Fallback>
            <w:pict>
              <v:shape id="_x0000_s1026" o:spid="_x0000_s1026" o:spt="202" type="#_x0000_t202" style="position:absolute;left:0pt;margin-left:-9pt;margin-top:1.25pt;height:56.05pt;width:72pt;z-index:251986944;mso-width-relative:page;mso-height-relative:page;" filled="f" stroked="f" coordsize="21600,21600" o:gfxdata="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Aer&#10;50vWAAAACQEAAA8AAAAAAAAAAQAgAAAAIgAAAGRycy9kb3ducmV2LnhtbFBLAQIUABQAAAAIAIdO&#10;4kBW+OFjswEAAF8DAAAOAAAAAAAAAAEAIAAAACUBAABkcnMvZTJvRG9jLnhtbFBLBQYAAAAABgAG&#10;AFkBAABKBQAAAAA=&#10;">
                <v:fill on="f" focussize="0,0"/>
                <v:stroke on="f"/>
                <v:imagedata o:title=""/>
                <o:lock v:ext="edit" aspectratio="f"/>
                <v:textbox>
                  <w:txbxContent>
                    <w:p w14:paraId="5B39DD4B">
                      <w:pPr>
                        <w:pStyle w:val="5"/>
                        <w:spacing w:line="200" w:lineRule="exact"/>
                        <w:rPr>
                          <w:rFonts w:ascii="宋体"/>
                          <w:sz w:val="18"/>
                          <w:szCs w:val="18"/>
                        </w:rPr>
                      </w:pPr>
                      <w:r>
                        <w:rPr>
                          <w:rFonts w:hint="eastAsia" w:ascii="楷体_GB2312" w:hAnsi="宋体" w:eastAsia="楷体_GB2312"/>
                          <w:b/>
                          <w:color w:val="000000"/>
                          <w:sz w:val="18"/>
                          <w:szCs w:val="18"/>
                        </w:rPr>
                        <w:t>承包人采购材料设备发生工期延误的价格确定</w:t>
                      </w:r>
                    </w:p>
                  </w:txbxContent>
                </v:textbox>
              </v:shape>
            </w:pict>
          </mc:Fallback>
        </mc:AlternateContent>
      </w:r>
      <w:r>
        <w:rPr>
          <w:rFonts w:hint="eastAsia" w:hAnsi="宋体"/>
          <w:color w:val="auto"/>
          <w:sz w:val="24"/>
          <w:szCs w:val="18"/>
        </w:rPr>
        <w:t>执行第</w:t>
      </w:r>
      <w:r>
        <w:rPr>
          <w:rFonts w:hAnsi="宋体"/>
          <w:color w:val="auto"/>
          <w:sz w:val="24"/>
          <w:szCs w:val="18"/>
        </w:rPr>
        <w:t>76.3</w:t>
      </w:r>
      <w:r>
        <w:rPr>
          <w:rFonts w:hint="eastAsia" w:hAnsi="宋体"/>
          <w:color w:val="auto"/>
          <w:sz w:val="24"/>
          <w:szCs w:val="18"/>
        </w:rPr>
        <w:t>款规定时，发生合同工程工期延误的，应按照下列规定确定合同履行期用于调整的价格或单价：</w:t>
      </w:r>
    </w:p>
    <w:p w14:paraId="3071EF16">
      <w:pPr>
        <w:pStyle w:val="2"/>
        <w:adjustRightInd w:val="0"/>
        <w:snapToGrid w:val="0"/>
        <w:spacing w:line="360" w:lineRule="auto"/>
        <w:ind w:left="1619" w:leftChars="771"/>
        <w:rPr>
          <w:rFonts w:hAnsi="宋体"/>
          <w:color w:val="auto"/>
          <w:sz w:val="24"/>
          <w:szCs w:val="18"/>
        </w:rPr>
      </w:pPr>
      <w:r>
        <w:rPr>
          <w:rFonts w:hint="eastAsia" w:hAnsi="宋体"/>
          <w:color w:val="auto"/>
          <w:sz w:val="24"/>
          <w:szCs w:val="18"/>
        </w:rPr>
        <w:t>由于发包人原因导致工期延误的，则计划进度日期后续工程的价格或单价，采用计划进度日期与实际进度日期两者的较高者；</w:t>
      </w:r>
    </w:p>
    <w:p w14:paraId="12E699DB">
      <w:pPr>
        <w:pStyle w:val="2"/>
        <w:adjustRightInd w:val="0"/>
        <w:snapToGrid w:val="0"/>
        <w:spacing w:line="360" w:lineRule="auto"/>
        <w:ind w:left="1619" w:leftChars="771"/>
        <w:rPr>
          <w:rFonts w:hAnsi="宋体"/>
          <w:color w:val="auto"/>
          <w:sz w:val="24"/>
          <w:szCs w:val="18"/>
        </w:rPr>
      </w:pPr>
      <w:r>
        <w:rPr>
          <w:rFonts w:hint="eastAsia" w:hAnsi="宋体"/>
          <w:color w:val="auto"/>
          <w:sz w:val="24"/>
          <w:szCs w:val="18"/>
        </w:rPr>
        <w:t>由于承包人原因导致工期延误的，则计划进度日期后续工程的价格或单价，采用计划进度日期与实际进度日期两者的较低者。</w:t>
      </w:r>
    </w:p>
    <w:p w14:paraId="46F19108">
      <w:pPr>
        <w:pStyle w:val="2"/>
        <w:tabs>
          <w:tab w:val="left" w:pos="540"/>
        </w:tabs>
        <w:adjustRightInd w:val="0"/>
        <w:snapToGrid w:val="0"/>
        <w:spacing w:line="360" w:lineRule="auto"/>
        <w:rPr>
          <w:rFonts w:hAnsi="宋体"/>
          <w:color w:val="auto"/>
          <w:sz w:val="24"/>
          <w:szCs w:val="18"/>
          <w:u w:val="dotted"/>
        </w:rPr>
      </w:pPr>
      <w:r>
        <w:rPr>
          <w:rFonts w:hAnsi="宋体"/>
          <w:b/>
          <w:color w:val="auto"/>
          <w:sz w:val="24"/>
          <w:szCs w:val="18"/>
        </w:rPr>
        <w:t>76.5</w:t>
      </w:r>
    </w:p>
    <w:p w14:paraId="67E01C14">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1987968" behindDoc="0" locked="0" layoutInCell="1" allowOverlap="1">
                <wp:simplePos x="0" y="0"/>
                <wp:positionH relativeFrom="column">
                  <wp:posOffset>-66675</wp:posOffset>
                </wp:positionH>
                <wp:positionV relativeFrom="paragraph">
                  <wp:posOffset>31115</wp:posOffset>
                </wp:positionV>
                <wp:extent cx="914400" cy="711835"/>
                <wp:effectExtent l="0" t="0" r="0" b="0"/>
                <wp:wrapNone/>
                <wp:docPr id="369" name="文本框 369"/>
                <wp:cNvGraphicFramePr/>
                <a:graphic xmlns:a="http://schemas.openxmlformats.org/drawingml/2006/main">
                  <a:graphicData uri="http://schemas.microsoft.com/office/word/2010/wordprocessingShape">
                    <wps:wsp>
                      <wps:cNvSpPr txBox="1"/>
                      <wps:spPr>
                        <a:xfrm>
                          <a:off x="0" y="0"/>
                          <a:ext cx="914400" cy="711835"/>
                        </a:xfrm>
                        <a:prstGeom prst="rect">
                          <a:avLst/>
                        </a:prstGeom>
                        <a:noFill/>
                        <a:ln>
                          <a:noFill/>
                        </a:ln>
                        <a:effectLst/>
                      </wps:spPr>
                      <wps:txbx>
                        <w:txbxContent>
                          <w:p w14:paraId="50C76095">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承包人采购材料设备的调价限制</w:t>
                            </w:r>
                          </w:p>
                        </w:txbxContent>
                      </wps:txbx>
                      <wps:bodyPr upright="1"/>
                    </wps:wsp>
                  </a:graphicData>
                </a:graphic>
              </wp:anchor>
            </w:drawing>
          </mc:Choice>
          <mc:Fallback>
            <w:pict>
              <v:shape id="_x0000_s1026" o:spid="_x0000_s1026" o:spt="202" type="#_x0000_t202" style="position:absolute;left:0pt;margin-left:-5.25pt;margin-top:2.45pt;height:56.05pt;width:72pt;z-index:251987968;mso-width-relative:page;mso-height-relative:page;" filled="f" stroked="f" coordsize="21600,21600" o:gfxdata="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I&#10;z7LB1gAAAAkBAAAPAAAAAAAAAAEAIAAAACIAAABkcnMvZG93bnJldi54bWxQSwECFAAUAAAACACH&#10;TuJAyf8qybQBAABfAwAADgAAAAAAAAABACAAAAAlAQAAZHJzL2Uyb0RvYy54bWxQSwUGAAAAAAYA&#10;BgBZAQAASwUAAAAA&#10;">
                <v:fill on="f" focussize="0,0"/>
                <v:stroke on="f"/>
                <v:imagedata o:title=""/>
                <o:lock v:ext="edit" aspectratio="f"/>
                <v:textbox>
                  <w:txbxContent>
                    <w:p w14:paraId="50C76095">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承包人采购材料设备的调价限制</w:t>
                      </w:r>
                    </w:p>
                  </w:txbxContent>
                </v:textbox>
              </v:shape>
            </w:pict>
          </mc:Fallback>
        </mc:AlternateContent>
      </w:r>
      <w:r>
        <w:rPr>
          <w:rFonts w:hint="eastAsia" w:hAnsi="宋体"/>
          <w:color w:val="auto"/>
          <w:sz w:val="24"/>
          <w:szCs w:val="18"/>
        </w:rPr>
        <w:t>承包人在采购材料和工程设备前，应向发包人提交一份能阐明采购材料、工程设备数量和新单价的书面报告。发包人应在收到承包人书面报告后的</w:t>
      </w:r>
      <w:r>
        <w:rPr>
          <w:rFonts w:hAnsi="宋体"/>
          <w:color w:val="auto"/>
          <w:sz w:val="24"/>
          <w:szCs w:val="18"/>
        </w:rPr>
        <w:t>3</w:t>
      </w:r>
      <w:r>
        <w:rPr>
          <w:rFonts w:hint="eastAsia" w:hAnsi="宋体"/>
          <w:color w:val="auto"/>
          <w:sz w:val="24"/>
          <w:szCs w:val="18"/>
        </w:rPr>
        <w:t>个工作日内，通知造价工程师核实，并经监理工程师确认用于合同工程后，对承包人采购材料、工程设备的数量和新单价予以确定；发包人对此未确定也未提出修改意见的，视为承包人提交的书面报告已被认可，作为调整合同价款的依据。承包人未经发包人确定即自行采购材料和工程设备，再向发包人提出调整合同价款的，如发包人不同意，则合同价款不予调整。</w:t>
      </w:r>
    </w:p>
    <w:p w14:paraId="03359E04">
      <w:pPr>
        <w:pStyle w:val="2"/>
        <w:tabs>
          <w:tab w:val="left" w:pos="540"/>
        </w:tabs>
        <w:adjustRightInd w:val="0"/>
        <w:snapToGrid w:val="0"/>
        <w:spacing w:line="360" w:lineRule="auto"/>
        <w:rPr>
          <w:rFonts w:hAnsi="宋体"/>
          <w:b/>
          <w:color w:val="auto"/>
          <w:sz w:val="24"/>
          <w:szCs w:val="18"/>
          <w:u w:val="dotted"/>
        </w:rPr>
      </w:pPr>
      <w:r>
        <w:rPr>
          <w:rFonts w:hAnsi="宋体"/>
          <w:b/>
          <w:color w:val="auto"/>
          <w:sz w:val="24"/>
          <w:szCs w:val="18"/>
        </w:rPr>
        <w:t xml:space="preserve">76.6  </w:t>
      </w:r>
    </w:p>
    <w:p w14:paraId="505B9EA2">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1988992" behindDoc="0" locked="0" layoutInCell="1" allowOverlap="1">
                <wp:simplePos x="0" y="0"/>
                <wp:positionH relativeFrom="column">
                  <wp:posOffset>-114300</wp:posOffset>
                </wp:positionH>
                <wp:positionV relativeFrom="paragraph">
                  <wp:posOffset>15875</wp:posOffset>
                </wp:positionV>
                <wp:extent cx="914400" cy="619125"/>
                <wp:effectExtent l="0" t="0" r="0" b="0"/>
                <wp:wrapNone/>
                <wp:docPr id="370" name="文本框 370"/>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a:effectLst/>
                      </wps:spPr>
                      <wps:txbx>
                        <w:txbxContent>
                          <w:p w14:paraId="6C2A49E2">
                            <w:pPr>
                              <w:pStyle w:val="13"/>
                              <w:spacing w:line="200" w:lineRule="exact"/>
                              <w:rPr>
                                <w:rFonts w:ascii="楷体_GB2312" w:hAnsi="宋体"/>
                                <w:sz w:val="18"/>
                                <w:szCs w:val="18"/>
                              </w:rPr>
                            </w:pPr>
                            <w:r>
                              <w:rPr>
                                <w:rFonts w:hint="eastAsia" w:ascii="楷体_GB2312" w:hAnsi="宋体"/>
                                <w:sz w:val="18"/>
                                <w:szCs w:val="18"/>
                              </w:rPr>
                              <w:t>发包人供应材料设备的价款调整</w:t>
                            </w:r>
                          </w:p>
                        </w:txbxContent>
                      </wps:txbx>
                      <wps:bodyPr upright="1"/>
                    </wps:wsp>
                  </a:graphicData>
                </a:graphic>
              </wp:anchor>
            </w:drawing>
          </mc:Choice>
          <mc:Fallback>
            <w:pict>
              <v:shape id="_x0000_s1026" o:spid="_x0000_s1026" o:spt="202" type="#_x0000_t202" style="position:absolute;left:0pt;margin-left:-9pt;margin-top:1.25pt;height:48.75pt;width:72pt;z-index:251988992;mso-width-relative:page;mso-height-relative:page;" filled="f" stroked="f" coordsize="21600,21600" o:gfxdata="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TyAwH&#10;1QAAAAkBAAAPAAAAAAAAAAEAIAAAACIAAABkcnMvZG93bnJldi54bWxQSwECFAAUAAAACACHTuJA&#10;pL+62rIBAABfAwAADgAAAAAAAAABACAAAAAkAQAAZHJzL2Uyb0RvYy54bWxQSwUGAAAAAAYABgBZ&#10;AQAASAUAAAAA&#10;">
                <v:fill on="f" focussize="0,0"/>
                <v:stroke on="f"/>
                <v:imagedata o:title=""/>
                <o:lock v:ext="edit" aspectratio="f"/>
                <v:textbox>
                  <w:txbxContent>
                    <w:p w14:paraId="6C2A49E2">
                      <w:pPr>
                        <w:pStyle w:val="13"/>
                        <w:spacing w:line="200" w:lineRule="exact"/>
                        <w:rPr>
                          <w:rFonts w:ascii="楷体_GB2312" w:hAnsi="宋体"/>
                          <w:sz w:val="18"/>
                          <w:szCs w:val="18"/>
                        </w:rPr>
                      </w:pPr>
                      <w:r>
                        <w:rPr>
                          <w:rFonts w:hint="eastAsia" w:ascii="楷体_GB2312" w:hAnsi="宋体"/>
                          <w:sz w:val="18"/>
                          <w:szCs w:val="18"/>
                        </w:rPr>
                        <w:t>发包人供应材料设备的价款调整</w:t>
                      </w:r>
                    </w:p>
                  </w:txbxContent>
                </v:textbox>
              </v:shape>
            </w:pict>
          </mc:Fallback>
        </mc:AlternateContent>
      </w:r>
      <w:r>
        <w:rPr>
          <w:rFonts w:hint="eastAsia" w:hAnsi="宋体"/>
          <w:color w:val="auto"/>
          <w:sz w:val="24"/>
          <w:szCs w:val="18"/>
        </w:rPr>
        <w:t>发包人供应材料和工程设备的，由发包人按照实际变化调整，列入合同工程的工程造价内。</w:t>
      </w:r>
    </w:p>
    <w:p w14:paraId="314D1169">
      <w:pPr>
        <w:pStyle w:val="2"/>
        <w:adjustRightInd w:val="0"/>
        <w:snapToGrid w:val="0"/>
        <w:spacing w:line="360" w:lineRule="auto"/>
        <w:ind w:right="-238"/>
        <w:rPr>
          <w:rFonts w:hAnsi="宋体"/>
          <w:b/>
          <w:color w:val="auto"/>
          <w:sz w:val="24"/>
          <w:szCs w:val="18"/>
        </w:rPr>
      </w:pPr>
    </w:p>
    <w:p w14:paraId="5038CF6F">
      <w:pPr>
        <w:spacing w:line="360" w:lineRule="auto"/>
        <w:rPr>
          <w:rFonts w:ascii="宋体"/>
          <w:b/>
          <w:bCs/>
          <w:color w:val="auto"/>
          <w:sz w:val="18"/>
          <w:szCs w:val="18"/>
        </w:rPr>
      </w:pPr>
      <w:r>
        <w:rPr>
          <w:rFonts w:ascii="宋体" w:hAnsi="宋体"/>
          <w:b/>
          <w:color w:val="auto"/>
          <w:sz w:val="30"/>
        </w:rPr>
        <w:t xml:space="preserve">77  </w:t>
      </w:r>
      <w:r>
        <w:rPr>
          <w:rFonts w:hint="eastAsia" w:ascii="宋体" w:hAnsi="宋体"/>
          <w:b/>
          <w:color w:val="auto"/>
          <w:sz w:val="30"/>
        </w:rPr>
        <w:t>合同价款调整程序</w:t>
      </w:r>
    </w:p>
    <w:p w14:paraId="26505203">
      <w:pPr>
        <w:spacing w:line="360" w:lineRule="auto"/>
        <w:rPr>
          <w:rFonts w:ascii="宋体"/>
          <w:b/>
          <w:bCs/>
          <w:color w:val="auto"/>
          <w:sz w:val="24"/>
        </w:rPr>
      </w:pPr>
      <w:r>
        <w:rPr>
          <w:rFonts w:ascii="宋体" w:hAnsi="宋体"/>
          <w:b/>
          <w:color w:val="auto"/>
          <w:sz w:val="24"/>
          <w:szCs w:val="18"/>
        </w:rPr>
        <w:t>77.1</w:t>
      </w:r>
    </w:p>
    <w:p w14:paraId="68B47B53">
      <w:pPr>
        <w:spacing w:line="360" w:lineRule="auto"/>
        <w:ind w:left="1619" w:leftChars="771" w:firstLine="2"/>
        <w:rPr>
          <w:rFonts w:ascii="宋体"/>
          <w:color w:val="auto"/>
          <w:sz w:val="24"/>
          <w:szCs w:val="18"/>
        </w:rPr>
      </w:pPr>
      <w:r>
        <w:rPr>
          <w:color w:val="auto"/>
        </w:rPr>
        <mc:AlternateContent>
          <mc:Choice Requires="wps">
            <w:drawing>
              <wp:anchor distT="0" distB="0" distL="114300" distR="114300" simplePos="0" relativeHeight="251990016" behindDoc="0" locked="0" layoutInCell="1" allowOverlap="1">
                <wp:simplePos x="0" y="0"/>
                <wp:positionH relativeFrom="column">
                  <wp:posOffset>-114300</wp:posOffset>
                </wp:positionH>
                <wp:positionV relativeFrom="paragraph">
                  <wp:posOffset>15875</wp:posOffset>
                </wp:positionV>
                <wp:extent cx="914400" cy="693420"/>
                <wp:effectExtent l="0" t="0" r="0" b="0"/>
                <wp:wrapNone/>
                <wp:docPr id="371" name="文本框 371"/>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a:effectLst/>
                      </wps:spPr>
                      <wps:txbx>
                        <w:txbxContent>
                          <w:p w14:paraId="7AE03D84">
                            <w:pPr>
                              <w:pStyle w:val="13"/>
                              <w:spacing w:line="200" w:lineRule="exact"/>
                              <w:rPr>
                                <w:rFonts w:ascii="宋体" w:eastAsia="宋体"/>
                                <w:szCs w:val="18"/>
                              </w:rPr>
                            </w:pPr>
                            <w:r>
                              <w:rPr>
                                <w:rFonts w:hint="eastAsia" w:ascii="楷体_GB2312" w:hAnsi="宋体"/>
                                <w:sz w:val="18"/>
                                <w:szCs w:val="18"/>
                              </w:rPr>
                              <w:t>合同价款调整程序的规定</w:t>
                            </w:r>
                          </w:p>
                        </w:txbxContent>
                      </wps:txbx>
                      <wps:bodyPr upright="1"/>
                    </wps:wsp>
                  </a:graphicData>
                </a:graphic>
              </wp:anchor>
            </w:drawing>
          </mc:Choice>
          <mc:Fallback>
            <w:pict>
              <v:shape id="_x0000_s1026" o:spid="_x0000_s1026" o:spt="202" type="#_x0000_t202" style="position:absolute;left:0pt;margin-left:-9pt;margin-top:1.25pt;height:54.6pt;width:72pt;z-index:251990016;mso-width-relative:page;mso-height-relative:page;" filled="f" stroked="f" coordsize="21600,21600" o:gfxdata="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A&#10;+4+31gAAAAkBAAAPAAAAAAAAAAEAIAAAACIAAABkcnMvZG93bnJldi54bWxQSwECFAAUAAAACACH&#10;TuJA1rRCzbQBAABfAwAADgAAAAAAAAABACAAAAAlAQAAZHJzL2Uyb0RvYy54bWxQSwUGAAAAAAYA&#10;BgBZAQAASwUAAAAA&#10;">
                <v:fill on="f" focussize="0,0"/>
                <v:stroke on="f"/>
                <v:imagedata o:title=""/>
                <o:lock v:ext="edit" aspectratio="f"/>
                <v:textbox>
                  <w:txbxContent>
                    <w:p w14:paraId="7AE03D84">
                      <w:pPr>
                        <w:pStyle w:val="13"/>
                        <w:spacing w:line="200" w:lineRule="exact"/>
                        <w:rPr>
                          <w:rFonts w:ascii="宋体" w:eastAsia="宋体"/>
                          <w:szCs w:val="18"/>
                        </w:rPr>
                      </w:pPr>
                      <w:r>
                        <w:rPr>
                          <w:rFonts w:hint="eastAsia" w:ascii="楷体_GB2312" w:hAnsi="宋体"/>
                          <w:sz w:val="18"/>
                          <w:szCs w:val="18"/>
                        </w:rPr>
                        <w:t>合同价款调整程序的规定</w:t>
                      </w:r>
                    </w:p>
                  </w:txbxContent>
                </v:textbox>
              </v:shape>
            </w:pict>
          </mc:Fallback>
        </mc:AlternateContent>
      </w:r>
      <w:r>
        <w:rPr>
          <w:rFonts w:hint="eastAsia" w:ascii="宋体" w:hAnsi="宋体"/>
          <w:color w:val="auto"/>
          <w:sz w:val="24"/>
          <w:szCs w:val="18"/>
        </w:rPr>
        <w:t>合同履行期间，出现第</w:t>
      </w:r>
      <w:r>
        <w:rPr>
          <w:rFonts w:ascii="宋体" w:hAnsi="宋体"/>
          <w:color w:val="auto"/>
          <w:sz w:val="24"/>
          <w:szCs w:val="18"/>
        </w:rPr>
        <w:t>68.2</w:t>
      </w:r>
      <w:r>
        <w:rPr>
          <w:rFonts w:hint="eastAsia" w:ascii="宋体" w:hAnsi="宋体"/>
          <w:color w:val="auto"/>
          <w:sz w:val="24"/>
          <w:szCs w:val="18"/>
        </w:rPr>
        <w:t>款规定调整合同价款事件的，除费用索赔、现场签证事件分别按照第</w:t>
      </w:r>
      <w:r>
        <w:rPr>
          <w:rFonts w:ascii="宋体" w:hAnsi="宋体"/>
          <w:color w:val="auto"/>
          <w:sz w:val="24"/>
          <w:szCs w:val="18"/>
        </w:rPr>
        <w:t>74</w:t>
      </w:r>
      <w:r>
        <w:rPr>
          <w:rFonts w:hint="eastAsia" w:ascii="宋体" w:hAnsi="宋体"/>
          <w:color w:val="auto"/>
          <w:sz w:val="24"/>
          <w:szCs w:val="18"/>
        </w:rPr>
        <w:t>条、第</w:t>
      </w:r>
      <w:r>
        <w:rPr>
          <w:rFonts w:ascii="宋体" w:hAnsi="宋体"/>
          <w:color w:val="auto"/>
          <w:sz w:val="24"/>
          <w:szCs w:val="18"/>
        </w:rPr>
        <w:t>75</w:t>
      </w:r>
      <w:r>
        <w:rPr>
          <w:rFonts w:hint="eastAsia" w:ascii="宋体" w:hAnsi="宋体"/>
          <w:color w:val="auto"/>
          <w:sz w:val="24"/>
          <w:szCs w:val="18"/>
        </w:rPr>
        <w:t>条规定程序外，合同双方当事人应按照本条规定程序调整合同价款。</w:t>
      </w:r>
    </w:p>
    <w:p w14:paraId="5A1BE69D">
      <w:pPr>
        <w:pStyle w:val="2"/>
        <w:adjustRightInd w:val="0"/>
        <w:snapToGrid w:val="0"/>
        <w:spacing w:line="360" w:lineRule="auto"/>
        <w:rPr>
          <w:rFonts w:hAnsi="宋体"/>
          <w:b/>
          <w:color w:val="auto"/>
          <w:sz w:val="24"/>
          <w:szCs w:val="18"/>
        </w:rPr>
      </w:pPr>
      <w:r>
        <w:rPr>
          <w:color w:val="auto"/>
        </w:rPr>
        <mc:AlternateContent>
          <mc:Choice Requires="wps">
            <w:drawing>
              <wp:anchor distT="0" distB="0" distL="114300" distR="114300" simplePos="0" relativeHeight="251991040" behindDoc="0" locked="0" layoutInCell="1" allowOverlap="1">
                <wp:simplePos x="0" y="0"/>
                <wp:positionH relativeFrom="column">
                  <wp:posOffset>-58420</wp:posOffset>
                </wp:positionH>
                <wp:positionV relativeFrom="paragraph">
                  <wp:posOffset>246380</wp:posOffset>
                </wp:positionV>
                <wp:extent cx="914400" cy="619125"/>
                <wp:effectExtent l="0" t="0" r="0" b="0"/>
                <wp:wrapNone/>
                <wp:docPr id="372" name="文本框 372"/>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a:effectLst/>
                      </wps:spPr>
                      <wps:txbx>
                        <w:txbxContent>
                          <w:p w14:paraId="79B32047">
                            <w:pPr>
                              <w:pStyle w:val="13"/>
                              <w:spacing w:line="200" w:lineRule="exact"/>
                              <w:rPr>
                                <w:rFonts w:ascii="楷体_GB2312" w:hAnsi="宋体"/>
                                <w:sz w:val="18"/>
                                <w:szCs w:val="18"/>
                              </w:rPr>
                            </w:pPr>
                            <w:r>
                              <w:rPr>
                                <w:rFonts w:hint="eastAsia" w:ascii="楷体_GB2312" w:hAnsi="宋体"/>
                                <w:sz w:val="18"/>
                                <w:szCs w:val="18"/>
                              </w:rPr>
                              <w:t>合同价款调增报告的提出</w:t>
                            </w:r>
                          </w:p>
                          <w:p w14:paraId="6BA13040">
                            <w:pPr>
                              <w:pStyle w:val="13"/>
                              <w:spacing w:line="200" w:lineRule="exact"/>
                              <w:rPr>
                                <w:rFonts w:ascii="宋体" w:hAnsi="宋体" w:eastAsia="宋体"/>
                                <w:sz w:val="18"/>
                                <w:szCs w:val="18"/>
                              </w:rPr>
                            </w:pPr>
                          </w:p>
                        </w:txbxContent>
                      </wps:txbx>
                      <wps:bodyPr upright="1"/>
                    </wps:wsp>
                  </a:graphicData>
                </a:graphic>
              </wp:anchor>
            </w:drawing>
          </mc:Choice>
          <mc:Fallback>
            <w:pict>
              <v:shape id="_x0000_s1026" o:spid="_x0000_s1026" o:spt="202" type="#_x0000_t202" style="position:absolute;left:0pt;margin-left:-4.6pt;margin-top:19.4pt;height:48.75pt;width:72pt;z-index:251991040;mso-width-relative:page;mso-height-relative:page;" filled="f" stroked="f" coordsize="21600,21600" o:gfxdata="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VC8H&#10;/tUAAAAJAQAADwAAAAAAAAABACAAAAAiAAAAZHJzL2Rvd25yZXYueG1sUEsBAhQAFAAAAAgAh07i&#10;QNu2XVSzAQAAXwMAAA4AAAAAAAAAAQAgAAAAJAEAAGRycy9lMm9Eb2MueG1sUEsFBgAAAAAGAAYA&#10;WQEAAEkFAAAAAA==&#10;">
                <v:fill on="f" focussize="0,0"/>
                <v:stroke on="f"/>
                <v:imagedata o:title=""/>
                <o:lock v:ext="edit" aspectratio="f"/>
                <v:textbox>
                  <w:txbxContent>
                    <w:p w14:paraId="79B32047">
                      <w:pPr>
                        <w:pStyle w:val="13"/>
                        <w:spacing w:line="200" w:lineRule="exact"/>
                        <w:rPr>
                          <w:rFonts w:ascii="楷体_GB2312" w:hAnsi="宋体"/>
                          <w:sz w:val="18"/>
                          <w:szCs w:val="18"/>
                        </w:rPr>
                      </w:pPr>
                      <w:r>
                        <w:rPr>
                          <w:rFonts w:hint="eastAsia" w:ascii="楷体_GB2312" w:hAnsi="宋体"/>
                          <w:sz w:val="18"/>
                          <w:szCs w:val="18"/>
                        </w:rPr>
                        <w:t>合同价款调增报告的提出</w:t>
                      </w:r>
                    </w:p>
                    <w:p w14:paraId="6BA13040">
                      <w:pPr>
                        <w:pStyle w:val="13"/>
                        <w:spacing w:line="200" w:lineRule="exact"/>
                        <w:rPr>
                          <w:rFonts w:ascii="宋体" w:hAnsi="宋体" w:eastAsia="宋体"/>
                          <w:sz w:val="18"/>
                          <w:szCs w:val="18"/>
                        </w:rPr>
                      </w:pPr>
                    </w:p>
                  </w:txbxContent>
                </v:textbox>
              </v:shape>
            </w:pict>
          </mc:Fallback>
        </mc:AlternateContent>
      </w:r>
      <w:r>
        <w:rPr>
          <w:rFonts w:hAnsi="宋体"/>
          <w:b/>
          <w:color w:val="auto"/>
          <w:sz w:val="24"/>
          <w:szCs w:val="18"/>
        </w:rPr>
        <w:t xml:space="preserve">77.2 </w:t>
      </w:r>
    </w:p>
    <w:p w14:paraId="141CFA24">
      <w:pPr>
        <w:pStyle w:val="2"/>
        <w:adjustRightInd w:val="0"/>
        <w:snapToGrid w:val="0"/>
        <w:spacing w:line="360" w:lineRule="auto"/>
        <w:ind w:left="1619" w:leftChars="771"/>
        <w:rPr>
          <w:rFonts w:hAnsi="宋体"/>
          <w:b/>
          <w:bCs/>
          <w:color w:val="auto"/>
          <w:sz w:val="18"/>
          <w:szCs w:val="18"/>
        </w:rPr>
      </w:pPr>
      <w:r>
        <w:rPr>
          <w:rFonts w:hint="eastAsia" w:hAnsi="宋体"/>
          <w:color w:val="auto"/>
          <w:sz w:val="24"/>
          <w:szCs w:val="18"/>
        </w:rPr>
        <w:t>出现合同价款调增事件后的</w:t>
      </w:r>
      <w:r>
        <w:rPr>
          <w:rFonts w:hAnsi="宋体"/>
          <w:color w:val="auto"/>
          <w:sz w:val="24"/>
          <w:szCs w:val="18"/>
        </w:rPr>
        <w:t>14</w:t>
      </w:r>
      <w:r>
        <w:rPr>
          <w:rFonts w:hint="eastAsia" w:hAnsi="宋体"/>
          <w:color w:val="auto"/>
          <w:sz w:val="24"/>
          <w:szCs w:val="18"/>
        </w:rPr>
        <w:t>天内，承包人应向造价工程师提交合同价款调增报告。并附上相关资料。如承包人在出现合同价款调增事件后的</w:t>
      </w:r>
      <w:r>
        <w:rPr>
          <w:rFonts w:hAnsi="宋体"/>
          <w:color w:val="auto"/>
          <w:sz w:val="24"/>
          <w:szCs w:val="18"/>
        </w:rPr>
        <w:t>14</w:t>
      </w:r>
      <w:r>
        <w:rPr>
          <w:rFonts w:hint="eastAsia" w:hAnsi="宋体"/>
          <w:color w:val="auto"/>
          <w:sz w:val="24"/>
          <w:szCs w:val="18"/>
        </w:rPr>
        <w:t>天内未提交合同价款调增报告的，则造价工程师可在报发包人批准后，根据实际情况决定是否调整合同价款以及调整的金额。</w:t>
      </w:r>
    </w:p>
    <w:p w14:paraId="7E2CE6AB">
      <w:pPr>
        <w:pStyle w:val="2"/>
        <w:adjustRightInd w:val="0"/>
        <w:snapToGrid w:val="0"/>
        <w:spacing w:line="360" w:lineRule="auto"/>
        <w:rPr>
          <w:rFonts w:hAnsi="宋体"/>
          <w:color w:val="auto"/>
          <w:sz w:val="24"/>
          <w:szCs w:val="18"/>
          <w:u w:val="dotted"/>
        </w:rPr>
      </w:pPr>
      <w:r>
        <w:rPr>
          <w:rFonts w:hAnsi="宋体"/>
          <w:b/>
          <w:color w:val="auto"/>
          <w:sz w:val="24"/>
          <w:szCs w:val="18"/>
        </w:rPr>
        <w:t xml:space="preserve">77.3 </w:t>
      </w:r>
    </w:p>
    <w:p w14:paraId="5900068E">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1992064" behindDoc="0" locked="0" layoutInCell="1" allowOverlap="1">
                <wp:simplePos x="0" y="0"/>
                <wp:positionH relativeFrom="column">
                  <wp:posOffset>-114300</wp:posOffset>
                </wp:positionH>
                <wp:positionV relativeFrom="paragraph">
                  <wp:posOffset>34290</wp:posOffset>
                </wp:positionV>
                <wp:extent cx="1028700" cy="495300"/>
                <wp:effectExtent l="0" t="0" r="0" b="0"/>
                <wp:wrapNone/>
                <wp:docPr id="373" name="文本框 373"/>
                <wp:cNvGraphicFramePr/>
                <a:graphic xmlns:a="http://schemas.openxmlformats.org/drawingml/2006/main">
                  <a:graphicData uri="http://schemas.microsoft.com/office/word/2010/wordprocessingShape">
                    <wps:wsp>
                      <wps:cNvSpPr txBox="1"/>
                      <wps:spPr>
                        <a:xfrm>
                          <a:off x="0" y="0"/>
                          <a:ext cx="1028700" cy="495300"/>
                        </a:xfrm>
                        <a:prstGeom prst="rect">
                          <a:avLst/>
                        </a:prstGeom>
                        <a:noFill/>
                        <a:ln>
                          <a:noFill/>
                        </a:ln>
                        <a:effectLst/>
                      </wps:spPr>
                      <wps:txbx>
                        <w:txbxContent>
                          <w:p w14:paraId="2771FDED">
                            <w:pPr>
                              <w:pStyle w:val="13"/>
                              <w:spacing w:line="200" w:lineRule="exact"/>
                              <w:rPr>
                                <w:rFonts w:ascii="楷体_GB2312" w:hAnsi="宋体"/>
                                <w:sz w:val="18"/>
                                <w:szCs w:val="18"/>
                              </w:rPr>
                            </w:pPr>
                            <w:r>
                              <w:rPr>
                                <w:rFonts w:hint="eastAsia" w:ascii="楷体_GB2312" w:hAnsi="宋体"/>
                                <w:sz w:val="18"/>
                                <w:szCs w:val="18"/>
                              </w:rPr>
                              <w:t>调增价款的核</w:t>
                            </w:r>
                          </w:p>
                          <w:p w14:paraId="7ECC757C">
                            <w:pPr>
                              <w:pStyle w:val="13"/>
                              <w:spacing w:line="200" w:lineRule="exact"/>
                              <w:rPr>
                                <w:rFonts w:ascii="楷体_GB2312" w:hAnsi="宋体"/>
                                <w:sz w:val="18"/>
                                <w:szCs w:val="18"/>
                              </w:rPr>
                            </w:pPr>
                            <w:r>
                              <w:rPr>
                                <w:rFonts w:hint="eastAsia" w:ascii="楷体_GB2312" w:hAnsi="宋体"/>
                                <w:sz w:val="18"/>
                                <w:szCs w:val="18"/>
                              </w:rPr>
                              <w:t>实</w:t>
                            </w:r>
                          </w:p>
                        </w:txbxContent>
                      </wps:txbx>
                      <wps:bodyPr upright="1"/>
                    </wps:wsp>
                  </a:graphicData>
                </a:graphic>
              </wp:anchor>
            </w:drawing>
          </mc:Choice>
          <mc:Fallback>
            <w:pict>
              <v:shape id="_x0000_s1026" o:spid="_x0000_s1026" o:spt="202" type="#_x0000_t202" style="position:absolute;left:0pt;margin-left:-9pt;margin-top:2.7pt;height:39pt;width:81pt;z-index:251992064;mso-width-relative:page;mso-height-relative:page;" filled="f" stroked="f" coordsize="21600,21600" o:gfxdata="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6YhhG&#10;1QAAAAgBAAAPAAAAAAAAAAEAIAAAACIAAABkcnMvZG93bnJldi54bWxQSwECFAAUAAAACACHTuJA&#10;UZ1YcbIBAABgAwAADgAAAAAAAAABACAAAAAkAQAAZHJzL2Uyb0RvYy54bWxQSwUGAAAAAAYABgBZ&#10;AQAASAUAAAAA&#10;">
                <v:fill on="f" focussize="0,0"/>
                <v:stroke on="f"/>
                <v:imagedata o:title=""/>
                <o:lock v:ext="edit" aspectratio="f"/>
                <v:textbox>
                  <w:txbxContent>
                    <w:p w14:paraId="2771FDED">
                      <w:pPr>
                        <w:pStyle w:val="13"/>
                        <w:spacing w:line="200" w:lineRule="exact"/>
                        <w:rPr>
                          <w:rFonts w:ascii="楷体_GB2312" w:hAnsi="宋体"/>
                          <w:sz w:val="18"/>
                          <w:szCs w:val="18"/>
                        </w:rPr>
                      </w:pPr>
                      <w:r>
                        <w:rPr>
                          <w:rFonts w:hint="eastAsia" w:ascii="楷体_GB2312" w:hAnsi="宋体"/>
                          <w:sz w:val="18"/>
                          <w:szCs w:val="18"/>
                        </w:rPr>
                        <w:t>调增价款的核</w:t>
                      </w:r>
                    </w:p>
                    <w:p w14:paraId="7ECC757C">
                      <w:pPr>
                        <w:pStyle w:val="13"/>
                        <w:spacing w:line="200" w:lineRule="exact"/>
                        <w:rPr>
                          <w:rFonts w:ascii="楷体_GB2312" w:hAnsi="宋体"/>
                          <w:sz w:val="18"/>
                          <w:szCs w:val="18"/>
                        </w:rPr>
                      </w:pPr>
                      <w:r>
                        <w:rPr>
                          <w:rFonts w:hint="eastAsia" w:ascii="楷体_GB2312" w:hAnsi="宋体"/>
                          <w:sz w:val="18"/>
                          <w:szCs w:val="18"/>
                        </w:rPr>
                        <w:t>实</w:t>
                      </w:r>
                    </w:p>
                  </w:txbxContent>
                </v:textbox>
              </v:shape>
            </w:pict>
          </mc:Fallback>
        </mc:AlternateContent>
      </w:r>
      <w:r>
        <w:rPr>
          <w:rFonts w:hint="eastAsia" w:hAnsi="宋体"/>
          <w:color w:val="auto"/>
          <w:sz w:val="24"/>
          <w:szCs w:val="18"/>
        </w:rPr>
        <w:t>造价工程师应在收到合同价款调增报告及相关资料之日起</w:t>
      </w:r>
      <w:r>
        <w:rPr>
          <w:rFonts w:hAnsi="宋体"/>
          <w:color w:val="auto"/>
          <w:sz w:val="24"/>
          <w:szCs w:val="18"/>
        </w:rPr>
        <w:t>14</w:t>
      </w:r>
      <w:r>
        <w:rPr>
          <w:rFonts w:hint="eastAsia" w:hAnsi="宋体"/>
          <w:color w:val="auto"/>
          <w:sz w:val="24"/>
          <w:szCs w:val="18"/>
        </w:rPr>
        <w:t>天内对其核实，并予以确认或提出协商意见。造价工程师在收到合同价款调增报告之日起</w:t>
      </w:r>
      <w:r>
        <w:rPr>
          <w:rFonts w:hAnsi="宋体"/>
          <w:color w:val="auto"/>
          <w:sz w:val="24"/>
          <w:szCs w:val="18"/>
        </w:rPr>
        <w:t>14</w:t>
      </w:r>
      <w:r>
        <w:rPr>
          <w:rFonts w:hint="eastAsia" w:hAnsi="宋体"/>
          <w:color w:val="auto"/>
          <w:sz w:val="24"/>
          <w:szCs w:val="18"/>
        </w:rPr>
        <w:t>天内未确认也未提出协商意见的，视为承包人提交的合同价款调增报告已被认可。造价工程师提出协商意见的，合同双方当事人应在承包人收到协商意见后的</w:t>
      </w:r>
      <w:r>
        <w:rPr>
          <w:rFonts w:hAnsi="宋体"/>
          <w:color w:val="auto"/>
          <w:sz w:val="24"/>
          <w:szCs w:val="18"/>
        </w:rPr>
        <w:t>14</w:t>
      </w:r>
      <w:r>
        <w:rPr>
          <w:rFonts w:hint="eastAsia" w:hAnsi="宋体"/>
          <w:color w:val="auto"/>
          <w:sz w:val="24"/>
          <w:szCs w:val="18"/>
        </w:rPr>
        <w:t>天内进行协商确定；协商未能达成一致的，由造价工程师暂定调增的合同价款，通知承包人并抄报发包人。出现暂定结果的，只要不实质影响合同双方当事人履约的，合同双方当事人应实施该结果，直到其被改变为止。</w:t>
      </w:r>
    </w:p>
    <w:p w14:paraId="68C8AAEB">
      <w:pPr>
        <w:pStyle w:val="2"/>
        <w:adjustRightInd w:val="0"/>
        <w:snapToGrid w:val="0"/>
        <w:spacing w:line="360" w:lineRule="auto"/>
        <w:rPr>
          <w:rFonts w:hAnsi="宋体"/>
          <w:b/>
          <w:color w:val="auto"/>
          <w:sz w:val="24"/>
          <w:szCs w:val="18"/>
          <w:u w:val="dotted"/>
        </w:rPr>
      </w:pPr>
      <w:r>
        <w:rPr>
          <w:rFonts w:hAnsi="宋体"/>
          <w:b/>
          <w:color w:val="auto"/>
          <w:sz w:val="24"/>
          <w:szCs w:val="18"/>
        </w:rPr>
        <w:t xml:space="preserve">77.4 </w:t>
      </w:r>
    </w:p>
    <w:p w14:paraId="568CFB6B">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1993088" behindDoc="0" locked="0" layoutInCell="1" allowOverlap="1">
                <wp:simplePos x="0" y="0"/>
                <wp:positionH relativeFrom="column">
                  <wp:posOffset>-114300</wp:posOffset>
                </wp:positionH>
                <wp:positionV relativeFrom="paragraph">
                  <wp:posOffset>34290</wp:posOffset>
                </wp:positionV>
                <wp:extent cx="1028700" cy="495300"/>
                <wp:effectExtent l="0" t="0" r="0" b="0"/>
                <wp:wrapNone/>
                <wp:docPr id="374" name="文本框 374"/>
                <wp:cNvGraphicFramePr/>
                <a:graphic xmlns:a="http://schemas.openxmlformats.org/drawingml/2006/main">
                  <a:graphicData uri="http://schemas.microsoft.com/office/word/2010/wordprocessingShape">
                    <wps:wsp>
                      <wps:cNvSpPr txBox="1"/>
                      <wps:spPr>
                        <a:xfrm>
                          <a:off x="0" y="0"/>
                          <a:ext cx="1028700" cy="495300"/>
                        </a:xfrm>
                        <a:prstGeom prst="rect">
                          <a:avLst/>
                        </a:prstGeom>
                        <a:noFill/>
                        <a:ln>
                          <a:noFill/>
                        </a:ln>
                        <a:effectLst/>
                      </wps:spPr>
                      <wps:txbx>
                        <w:txbxContent>
                          <w:p w14:paraId="7F2DA9CC">
                            <w:pPr>
                              <w:pStyle w:val="13"/>
                              <w:spacing w:line="200" w:lineRule="exact"/>
                              <w:rPr>
                                <w:rFonts w:ascii="楷体_GB2312" w:hAnsi="宋体"/>
                                <w:sz w:val="18"/>
                                <w:szCs w:val="18"/>
                              </w:rPr>
                            </w:pPr>
                            <w:r>
                              <w:rPr>
                                <w:rFonts w:hint="eastAsia" w:ascii="楷体_GB2312" w:hAnsi="宋体"/>
                                <w:sz w:val="18"/>
                                <w:szCs w:val="18"/>
                              </w:rPr>
                              <w:t>调增价款的支</w:t>
                            </w:r>
                          </w:p>
                          <w:p w14:paraId="104088DB">
                            <w:pPr>
                              <w:pStyle w:val="13"/>
                              <w:spacing w:line="200" w:lineRule="exact"/>
                              <w:rPr>
                                <w:rFonts w:ascii="楷体_GB2312" w:hAnsi="宋体"/>
                                <w:sz w:val="18"/>
                                <w:szCs w:val="18"/>
                              </w:rPr>
                            </w:pPr>
                            <w:r>
                              <w:rPr>
                                <w:rFonts w:hint="eastAsia" w:ascii="楷体_GB2312" w:hAnsi="宋体"/>
                                <w:sz w:val="18"/>
                                <w:szCs w:val="18"/>
                              </w:rPr>
                              <w:t>付</w:t>
                            </w:r>
                          </w:p>
                        </w:txbxContent>
                      </wps:txbx>
                      <wps:bodyPr upright="1"/>
                    </wps:wsp>
                  </a:graphicData>
                </a:graphic>
              </wp:anchor>
            </w:drawing>
          </mc:Choice>
          <mc:Fallback>
            <w:pict>
              <v:shape id="_x0000_s1026" o:spid="_x0000_s1026" o:spt="202" type="#_x0000_t202" style="position:absolute;left:0pt;margin-left:-9pt;margin-top:2.7pt;height:39pt;width:81pt;z-index:251993088;mso-width-relative:page;mso-height-relative:page;" filled="f" stroked="f" coordsize="21600,21600" o:gfxdata="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mIY&#10;RtUAAAAIAQAADwAAAAAAAAABACAAAAAiAAAAZHJzL2Rvd25yZXYueG1sUEsBAhQAFAAAAAgAh07i&#10;QC5CboqzAQAAYAMAAA4AAAAAAAAAAQAgAAAAJAEAAGRycy9lMm9Eb2MueG1sUEsFBgAAAAAGAAYA&#10;WQEAAEkFAAAAAA==&#10;">
                <v:fill on="f" focussize="0,0"/>
                <v:stroke on="f"/>
                <v:imagedata o:title=""/>
                <o:lock v:ext="edit" aspectratio="f"/>
                <v:textbox>
                  <w:txbxContent>
                    <w:p w14:paraId="7F2DA9CC">
                      <w:pPr>
                        <w:pStyle w:val="13"/>
                        <w:spacing w:line="200" w:lineRule="exact"/>
                        <w:rPr>
                          <w:rFonts w:ascii="楷体_GB2312" w:hAnsi="宋体"/>
                          <w:sz w:val="18"/>
                          <w:szCs w:val="18"/>
                        </w:rPr>
                      </w:pPr>
                      <w:r>
                        <w:rPr>
                          <w:rFonts w:hint="eastAsia" w:ascii="楷体_GB2312" w:hAnsi="宋体"/>
                          <w:sz w:val="18"/>
                          <w:szCs w:val="18"/>
                        </w:rPr>
                        <w:t>调增价款的支</w:t>
                      </w:r>
                    </w:p>
                    <w:p w14:paraId="104088DB">
                      <w:pPr>
                        <w:pStyle w:val="13"/>
                        <w:spacing w:line="200" w:lineRule="exact"/>
                        <w:rPr>
                          <w:rFonts w:ascii="楷体_GB2312" w:hAnsi="宋体"/>
                          <w:sz w:val="18"/>
                          <w:szCs w:val="18"/>
                        </w:rPr>
                      </w:pPr>
                      <w:r>
                        <w:rPr>
                          <w:rFonts w:hint="eastAsia" w:ascii="楷体_GB2312" w:hAnsi="宋体"/>
                          <w:sz w:val="18"/>
                          <w:szCs w:val="18"/>
                        </w:rPr>
                        <w:t>付</w:t>
                      </w:r>
                    </w:p>
                  </w:txbxContent>
                </v:textbox>
              </v:shape>
            </w:pict>
          </mc:Fallback>
        </mc:AlternateContent>
      </w:r>
      <w:r>
        <w:rPr>
          <w:rFonts w:hint="eastAsia" w:hAnsi="宋体"/>
          <w:color w:val="auto"/>
          <w:sz w:val="24"/>
          <w:szCs w:val="18"/>
        </w:rPr>
        <w:t>经合同双方当事人确认或造价工程师暂定调增的合同价款，作为追加合同价款，与工程进度款或结算款同期支付。</w:t>
      </w:r>
    </w:p>
    <w:p w14:paraId="25C61DFF">
      <w:pPr>
        <w:pStyle w:val="2"/>
        <w:adjustRightInd w:val="0"/>
        <w:snapToGrid w:val="0"/>
        <w:spacing w:line="360" w:lineRule="auto"/>
        <w:rPr>
          <w:rFonts w:hAnsi="宋体"/>
          <w:b/>
          <w:color w:val="auto"/>
        </w:rPr>
      </w:pPr>
      <w:r>
        <w:rPr>
          <w:rFonts w:hAnsi="宋体"/>
          <w:b/>
          <w:color w:val="auto"/>
          <w:sz w:val="24"/>
          <w:szCs w:val="18"/>
        </w:rPr>
        <w:t xml:space="preserve">77.5 </w:t>
      </w:r>
    </w:p>
    <w:p w14:paraId="7F8594F2">
      <w:pPr>
        <w:pStyle w:val="2"/>
        <w:adjustRightInd w:val="0"/>
        <w:snapToGrid w:val="0"/>
        <w:spacing w:line="360" w:lineRule="auto"/>
        <w:ind w:left="1606" w:leftChars="765" w:right="-238"/>
        <w:rPr>
          <w:rFonts w:hAnsi="宋体"/>
          <w:color w:val="auto"/>
          <w:sz w:val="24"/>
          <w:szCs w:val="18"/>
        </w:rPr>
      </w:pPr>
      <w:r>
        <w:rPr>
          <w:color w:val="auto"/>
        </w:rPr>
        <mc:AlternateContent>
          <mc:Choice Requires="wps">
            <w:drawing>
              <wp:anchor distT="0" distB="0" distL="114300" distR="114300" simplePos="0" relativeHeight="251994112" behindDoc="0" locked="0" layoutInCell="1" allowOverlap="1">
                <wp:simplePos x="0" y="0"/>
                <wp:positionH relativeFrom="column">
                  <wp:posOffset>-66675</wp:posOffset>
                </wp:positionH>
                <wp:positionV relativeFrom="paragraph">
                  <wp:posOffset>5715</wp:posOffset>
                </wp:positionV>
                <wp:extent cx="1143000" cy="495300"/>
                <wp:effectExtent l="0" t="0" r="0" b="0"/>
                <wp:wrapNone/>
                <wp:docPr id="375" name="文本框 375"/>
                <wp:cNvGraphicFramePr/>
                <a:graphic xmlns:a="http://schemas.openxmlformats.org/drawingml/2006/main">
                  <a:graphicData uri="http://schemas.microsoft.com/office/word/2010/wordprocessingShape">
                    <wps:wsp>
                      <wps:cNvSpPr txBox="1"/>
                      <wps:spPr>
                        <a:xfrm>
                          <a:off x="0" y="0"/>
                          <a:ext cx="1143000" cy="495300"/>
                        </a:xfrm>
                        <a:prstGeom prst="rect">
                          <a:avLst/>
                        </a:prstGeom>
                        <a:noFill/>
                        <a:ln>
                          <a:noFill/>
                        </a:ln>
                        <a:effectLst/>
                      </wps:spPr>
                      <wps:txbx>
                        <w:txbxContent>
                          <w:p w14:paraId="6304A415">
                            <w:pPr>
                              <w:pStyle w:val="13"/>
                              <w:spacing w:line="200" w:lineRule="exact"/>
                              <w:rPr>
                                <w:rFonts w:ascii="楷体_GB2312" w:hAnsi="宋体"/>
                                <w:sz w:val="18"/>
                                <w:szCs w:val="18"/>
                              </w:rPr>
                            </w:pPr>
                            <w:r>
                              <w:rPr>
                                <w:rFonts w:hint="eastAsia" w:ascii="楷体_GB2312" w:hAnsi="宋体"/>
                                <w:sz w:val="18"/>
                                <w:szCs w:val="18"/>
                              </w:rPr>
                              <w:t>合同价款调减</w:t>
                            </w:r>
                          </w:p>
                          <w:p w14:paraId="6625BBE4">
                            <w:pPr>
                              <w:pStyle w:val="13"/>
                              <w:spacing w:line="200" w:lineRule="exact"/>
                              <w:rPr>
                                <w:rFonts w:ascii="楷体_GB2312" w:hAnsi="宋体"/>
                                <w:sz w:val="18"/>
                                <w:szCs w:val="18"/>
                              </w:rPr>
                            </w:pPr>
                            <w:r>
                              <w:rPr>
                                <w:rFonts w:hint="eastAsia" w:ascii="楷体_GB2312" w:hAnsi="宋体"/>
                                <w:sz w:val="18"/>
                                <w:szCs w:val="18"/>
                              </w:rPr>
                              <w:t>事件的处理</w:t>
                            </w:r>
                          </w:p>
                        </w:txbxContent>
                      </wps:txbx>
                      <wps:bodyPr upright="1"/>
                    </wps:wsp>
                  </a:graphicData>
                </a:graphic>
              </wp:anchor>
            </w:drawing>
          </mc:Choice>
          <mc:Fallback>
            <w:pict>
              <v:shape id="_x0000_s1026" o:spid="_x0000_s1026" o:spt="202" type="#_x0000_t202" style="position:absolute;left:0pt;margin-left:-5.25pt;margin-top:0.45pt;height:39pt;width:90pt;z-index:251994112;mso-width-relative:page;mso-height-relative:page;" filled="f" stroked="f" coordsize="21600,21600" o:gfxdata="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Wal450wAA&#10;AAcBAAAPAAAAAAAAAAEAIAAAACIAAABkcnMvZG93bnJldi54bWxQSwECFAAUAAAACACHTuJAcyVV&#10;wrEBAABgAwAADgAAAAAAAAABACAAAAAiAQAAZHJzL2Uyb0RvYy54bWxQSwUGAAAAAAYABgBZAQAA&#10;RQUAAAAA&#10;">
                <v:fill on="f" focussize="0,0"/>
                <v:stroke on="f"/>
                <v:imagedata o:title=""/>
                <o:lock v:ext="edit" aspectratio="f"/>
                <v:textbox>
                  <w:txbxContent>
                    <w:p w14:paraId="6304A415">
                      <w:pPr>
                        <w:pStyle w:val="13"/>
                        <w:spacing w:line="200" w:lineRule="exact"/>
                        <w:rPr>
                          <w:rFonts w:ascii="楷体_GB2312" w:hAnsi="宋体"/>
                          <w:sz w:val="18"/>
                          <w:szCs w:val="18"/>
                        </w:rPr>
                      </w:pPr>
                      <w:r>
                        <w:rPr>
                          <w:rFonts w:hint="eastAsia" w:ascii="楷体_GB2312" w:hAnsi="宋体"/>
                          <w:sz w:val="18"/>
                          <w:szCs w:val="18"/>
                        </w:rPr>
                        <w:t>合同价款调减</w:t>
                      </w:r>
                    </w:p>
                    <w:p w14:paraId="6625BBE4">
                      <w:pPr>
                        <w:pStyle w:val="13"/>
                        <w:spacing w:line="200" w:lineRule="exact"/>
                        <w:rPr>
                          <w:rFonts w:ascii="楷体_GB2312" w:hAnsi="宋体"/>
                          <w:sz w:val="18"/>
                          <w:szCs w:val="18"/>
                        </w:rPr>
                      </w:pPr>
                      <w:r>
                        <w:rPr>
                          <w:rFonts w:hint="eastAsia" w:ascii="楷体_GB2312" w:hAnsi="宋体"/>
                          <w:sz w:val="18"/>
                          <w:szCs w:val="18"/>
                        </w:rPr>
                        <w:t>事件的处理</w:t>
                      </w:r>
                    </w:p>
                  </w:txbxContent>
                </v:textbox>
              </v:shape>
            </w:pict>
          </mc:Fallback>
        </mc:AlternateContent>
      </w:r>
      <w:r>
        <w:rPr>
          <w:rFonts w:hint="eastAsia" w:hAnsi="宋体"/>
          <w:color w:val="auto"/>
          <w:sz w:val="24"/>
          <w:szCs w:val="18"/>
        </w:rPr>
        <w:t>出现合同价款调减事件时，发包人可按照本条规定的时限和要求，向承包人提交合同价款调减报告以及调减的金额，但调减部分金额应按照实际调减金额乘以承包人报价浮动率计算。</w:t>
      </w:r>
    </w:p>
    <w:p w14:paraId="1C78C2F6">
      <w:pPr>
        <w:pStyle w:val="2"/>
        <w:adjustRightInd w:val="0"/>
        <w:snapToGrid w:val="0"/>
        <w:spacing w:line="360" w:lineRule="auto"/>
        <w:ind w:left="1350" w:right="-238" w:hanging="1350" w:hangingChars="675"/>
        <w:rPr>
          <w:color w:val="auto"/>
        </w:rPr>
      </w:pPr>
    </w:p>
    <w:p w14:paraId="571EB822">
      <w:pPr>
        <w:spacing w:line="360" w:lineRule="auto"/>
        <w:rPr>
          <w:rFonts w:ascii="宋体"/>
          <w:b/>
          <w:color w:val="auto"/>
          <w:sz w:val="30"/>
        </w:rPr>
      </w:pPr>
      <w:r>
        <w:rPr>
          <w:rFonts w:ascii="宋体" w:hAnsi="宋体"/>
          <w:b/>
          <w:color w:val="auto"/>
          <w:sz w:val="30"/>
        </w:rPr>
        <w:t xml:space="preserve">78  </w:t>
      </w:r>
      <w:r>
        <w:rPr>
          <w:rFonts w:hint="eastAsia" w:ascii="宋体" w:hAnsi="宋体"/>
          <w:b/>
          <w:color w:val="auto"/>
          <w:sz w:val="30"/>
        </w:rPr>
        <w:t>支付事项</w:t>
      </w:r>
    </w:p>
    <w:p w14:paraId="17D5871A">
      <w:pPr>
        <w:pStyle w:val="2"/>
        <w:adjustRightInd w:val="0"/>
        <w:snapToGrid w:val="0"/>
        <w:spacing w:line="360" w:lineRule="auto"/>
        <w:rPr>
          <w:rFonts w:hAnsi="宋体"/>
          <w:b/>
          <w:color w:val="auto"/>
          <w:sz w:val="24"/>
          <w:szCs w:val="18"/>
        </w:rPr>
      </w:pPr>
      <w:r>
        <w:rPr>
          <w:rFonts w:hAnsi="宋体"/>
          <w:b/>
          <w:color w:val="auto"/>
          <w:sz w:val="24"/>
          <w:szCs w:val="18"/>
        </w:rPr>
        <w:t xml:space="preserve">78.1   </w:t>
      </w:r>
    </w:p>
    <w:p w14:paraId="2E243B4D">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1995136" behindDoc="0" locked="0" layoutInCell="1" allowOverlap="1">
                <wp:simplePos x="0" y="0"/>
                <wp:positionH relativeFrom="column">
                  <wp:posOffset>-114300</wp:posOffset>
                </wp:positionH>
                <wp:positionV relativeFrom="paragraph">
                  <wp:posOffset>21590</wp:posOffset>
                </wp:positionV>
                <wp:extent cx="1143000" cy="314325"/>
                <wp:effectExtent l="0" t="0" r="0" b="0"/>
                <wp:wrapNone/>
                <wp:docPr id="376" name="文本框 376"/>
                <wp:cNvGraphicFramePr/>
                <a:graphic xmlns:a="http://schemas.openxmlformats.org/drawingml/2006/main">
                  <a:graphicData uri="http://schemas.microsoft.com/office/word/2010/wordprocessingShape">
                    <wps:wsp>
                      <wps:cNvSpPr txBox="1"/>
                      <wps:spPr>
                        <a:xfrm>
                          <a:off x="0" y="0"/>
                          <a:ext cx="1143000" cy="314325"/>
                        </a:xfrm>
                        <a:prstGeom prst="rect">
                          <a:avLst/>
                        </a:prstGeom>
                        <a:noFill/>
                        <a:ln>
                          <a:noFill/>
                        </a:ln>
                        <a:effectLst/>
                      </wps:spPr>
                      <wps:txbx>
                        <w:txbxContent>
                          <w:p w14:paraId="10D80C91">
                            <w:pPr>
                              <w:pStyle w:val="13"/>
                              <w:spacing w:line="200" w:lineRule="exact"/>
                              <w:rPr>
                                <w:rFonts w:ascii="楷体_GB2312" w:hAnsi="宋体"/>
                                <w:sz w:val="18"/>
                                <w:szCs w:val="18"/>
                              </w:rPr>
                            </w:pPr>
                            <w:r>
                              <w:rPr>
                                <w:rFonts w:hint="eastAsia" w:ascii="楷体_GB2312" w:hAnsi="宋体"/>
                                <w:sz w:val="18"/>
                                <w:szCs w:val="18"/>
                              </w:rPr>
                              <w:t>支付工程款项</w:t>
                            </w:r>
                          </w:p>
                        </w:txbxContent>
                      </wps:txbx>
                      <wps:bodyPr upright="1"/>
                    </wps:wsp>
                  </a:graphicData>
                </a:graphic>
              </wp:anchor>
            </w:drawing>
          </mc:Choice>
          <mc:Fallback>
            <w:pict>
              <v:shape id="_x0000_s1026" o:spid="_x0000_s1026" o:spt="202" type="#_x0000_t202" style="position:absolute;left:0pt;margin-left:-9pt;margin-top:1.7pt;height:24.75pt;width:90pt;z-index:251995136;mso-width-relative:page;mso-height-relative:page;" filled="f" stroked="f" coordsize="21600,21600" o:gfxdata="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aF9MvV&#10;AAAACAEAAA8AAAAAAAAAAQAgAAAAIgAAAGRycy9kb3ducmV2LnhtbFBLAQIUABQAAAAIAIdO4kAn&#10;p+r0sQEAAGADAAAOAAAAAAAAAAEAIAAAACQBAABkcnMvZTJvRG9jLnhtbFBLBQYAAAAABgAGAFkB&#10;AABHBQAAAAA=&#10;">
                <v:fill on="f" focussize="0,0"/>
                <v:stroke on="f"/>
                <v:imagedata o:title=""/>
                <o:lock v:ext="edit" aspectratio="f"/>
                <v:textbox>
                  <w:txbxContent>
                    <w:p w14:paraId="10D80C91">
                      <w:pPr>
                        <w:pStyle w:val="13"/>
                        <w:spacing w:line="200" w:lineRule="exact"/>
                        <w:rPr>
                          <w:rFonts w:ascii="楷体_GB2312" w:hAnsi="宋体"/>
                          <w:sz w:val="18"/>
                          <w:szCs w:val="18"/>
                        </w:rPr>
                      </w:pPr>
                      <w:r>
                        <w:rPr>
                          <w:rFonts w:hint="eastAsia" w:ascii="楷体_GB2312" w:hAnsi="宋体"/>
                          <w:sz w:val="18"/>
                          <w:szCs w:val="18"/>
                        </w:rPr>
                        <w:t>支付工程款项</w:t>
                      </w:r>
                    </w:p>
                  </w:txbxContent>
                </v:textbox>
              </v:shape>
            </w:pict>
          </mc:Fallback>
        </mc:AlternateContent>
      </w:r>
      <w:r>
        <w:rPr>
          <w:rFonts w:hint="eastAsia" w:hAnsi="宋体"/>
          <w:color w:val="auto"/>
          <w:sz w:val="24"/>
          <w:szCs w:val="18"/>
        </w:rPr>
        <w:t>发包人应按照下列规定向承包人支付工程款及其他各种款项：</w:t>
      </w:r>
    </w:p>
    <w:p w14:paraId="30996D46">
      <w:pPr>
        <w:pStyle w:val="2"/>
        <w:adjustRightInd w:val="0"/>
        <w:snapToGrid w:val="0"/>
        <w:spacing w:line="360" w:lineRule="auto"/>
        <w:ind w:firstLine="1560" w:firstLineChars="650"/>
        <w:rPr>
          <w:rFonts w:hAnsi="宋体"/>
          <w:color w:val="auto"/>
          <w:sz w:val="24"/>
          <w:szCs w:val="18"/>
        </w:rPr>
      </w:pPr>
      <w:r>
        <w:rPr>
          <w:rFonts w:hAnsi="宋体"/>
          <w:color w:val="auto"/>
          <w:sz w:val="24"/>
          <w:szCs w:val="18"/>
        </w:rPr>
        <w:t>(1)</w:t>
      </w:r>
      <w:r>
        <w:rPr>
          <w:rFonts w:hint="eastAsia" w:hAnsi="宋体"/>
          <w:color w:val="auto"/>
          <w:sz w:val="24"/>
          <w:szCs w:val="18"/>
        </w:rPr>
        <w:t>预付款按照第</w:t>
      </w:r>
      <w:r>
        <w:rPr>
          <w:rFonts w:hAnsi="宋体"/>
          <w:color w:val="auto"/>
          <w:sz w:val="24"/>
          <w:szCs w:val="18"/>
        </w:rPr>
        <w:t>79</w:t>
      </w:r>
      <w:r>
        <w:rPr>
          <w:rFonts w:hint="eastAsia" w:hAnsi="宋体"/>
          <w:color w:val="auto"/>
          <w:sz w:val="24"/>
          <w:szCs w:val="18"/>
        </w:rPr>
        <w:t>条的规定支付；</w:t>
      </w:r>
    </w:p>
    <w:p w14:paraId="1C408CCE">
      <w:pPr>
        <w:pStyle w:val="2"/>
        <w:adjustRightInd w:val="0"/>
        <w:snapToGrid w:val="0"/>
        <w:spacing w:line="360" w:lineRule="auto"/>
        <w:ind w:firstLine="1560" w:firstLineChars="650"/>
        <w:rPr>
          <w:rFonts w:hAnsi="宋体"/>
          <w:color w:val="auto"/>
          <w:sz w:val="24"/>
          <w:szCs w:val="18"/>
        </w:rPr>
      </w:pPr>
      <w:r>
        <w:rPr>
          <w:rFonts w:hAnsi="宋体"/>
          <w:color w:val="auto"/>
          <w:sz w:val="24"/>
          <w:szCs w:val="18"/>
        </w:rPr>
        <w:t>(2)</w:t>
      </w:r>
      <w:r>
        <w:rPr>
          <w:rFonts w:hint="eastAsia" w:hAnsi="宋体"/>
          <w:color w:val="auto"/>
          <w:sz w:val="24"/>
          <w:szCs w:val="18"/>
        </w:rPr>
        <w:t>安全文明施工费按照第</w:t>
      </w:r>
      <w:r>
        <w:rPr>
          <w:rFonts w:hAnsi="宋体"/>
          <w:color w:val="auto"/>
          <w:sz w:val="24"/>
          <w:szCs w:val="18"/>
        </w:rPr>
        <w:t>80</w:t>
      </w:r>
      <w:r>
        <w:rPr>
          <w:rFonts w:hint="eastAsia" w:hAnsi="宋体"/>
          <w:color w:val="auto"/>
          <w:sz w:val="24"/>
          <w:szCs w:val="18"/>
        </w:rPr>
        <w:t>条规定支付；</w:t>
      </w:r>
    </w:p>
    <w:p w14:paraId="27028E1E">
      <w:pPr>
        <w:pStyle w:val="2"/>
        <w:adjustRightInd w:val="0"/>
        <w:snapToGrid w:val="0"/>
        <w:spacing w:line="360" w:lineRule="auto"/>
        <w:ind w:firstLine="1560" w:firstLineChars="650"/>
        <w:rPr>
          <w:rFonts w:hAnsi="宋体"/>
          <w:color w:val="auto"/>
          <w:sz w:val="24"/>
          <w:szCs w:val="18"/>
        </w:rPr>
      </w:pPr>
      <w:r>
        <w:rPr>
          <w:rFonts w:hAnsi="宋体"/>
          <w:color w:val="auto"/>
          <w:sz w:val="24"/>
          <w:szCs w:val="18"/>
        </w:rPr>
        <w:t>(3)</w:t>
      </w:r>
      <w:r>
        <w:rPr>
          <w:rFonts w:hint="eastAsia" w:hAnsi="宋体"/>
          <w:color w:val="auto"/>
          <w:sz w:val="24"/>
          <w:szCs w:val="18"/>
        </w:rPr>
        <w:t>进度款按照第</w:t>
      </w:r>
      <w:r>
        <w:rPr>
          <w:rFonts w:hAnsi="宋体"/>
          <w:color w:val="auto"/>
          <w:sz w:val="24"/>
          <w:szCs w:val="18"/>
        </w:rPr>
        <w:t>81</w:t>
      </w:r>
      <w:r>
        <w:rPr>
          <w:rFonts w:hint="eastAsia" w:hAnsi="宋体"/>
          <w:color w:val="auto"/>
          <w:sz w:val="24"/>
          <w:szCs w:val="18"/>
        </w:rPr>
        <w:t>条的规定支付；</w:t>
      </w:r>
    </w:p>
    <w:p w14:paraId="67FCA32E">
      <w:pPr>
        <w:pStyle w:val="2"/>
        <w:adjustRightInd w:val="0"/>
        <w:snapToGrid w:val="0"/>
        <w:spacing w:line="360" w:lineRule="auto"/>
        <w:ind w:firstLine="1560" w:firstLineChars="650"/>
        <w:rPr>
          <w:rFonts w:hAnsi="宋体"/>
          <w:color w:val="auto"/>
          <w:sz w:val="24"/>
          <w:szCs w:val="18"/>
        </w:rPr>
      </w:pPr>
      <w:r>
        <w:rPr>
          <w:rFonts w:hAnsi="宋体"/>
          <w:color w:val="auto"/>
          <w:sz w:val="24"/>
          <w:szCs w:val="18"/>
        </w:rPr>
        <w:t>(4)</w:t>
      </w:r>
      <w:r>
        <w:rPr>
          <w:rFonts w:hint="eastAsia" w:hAnsi="宋体"/>
          <w:color w:val="auto"/>
          <w:sz w:val="24"/>
          <w:szCs w:val="18"/>
        </w:rPr>
        <w:t>结算款按照第</w:t>
      </w:r>
      <w:r>
        <w:rPr>
          <w:rFonts w:hAnsi="宋体"/>
          <w:color w:val="auto"/>
          <w:sz w:val="24"/>
          <w:szCs w:val="18"/>
        </w:rPr>
        <w:t>83</w:t>
      </w:r>
      <w:r>
        <w:rPr>
          <w:rFonts w:hint="eastAsia" w:hAnsi="宋体"/>
          <w:color w:val="auto"/>
          <w:sz w:val="24"/>
          <w:szCs w:val="18"/>
        </w:rPr>
        <w:t>条的规定支付；</w:t>
      </w:r>
    </w:p>
    <w:p w14:paraId="37162F24">
      <w:pPr>
        <w:pStyle w:val="2"/>
        <w:adjustRightInd w:val="0"/>
        <w:snapToGrid w:val="0"/>
        <w:spacing w:line="360" w:lineRule="auto"/>
        <w:ind w:firstLine="1560" w:firstLineChars="650"/>
        <w:rPr>
          <w:rFonts w:hAnsi="宋体"/>
          <w:color w:val="auto"/>
          <w:sz w:val="24"/>
          <w:szCs w:val="18"/>
        </w:rPr>
      </w:pPr>
      <w:r>
        <w:rPr>
          <w:rFonts w:hAnsi="宋体"/>
          <w:color w:val="auto"/>
          <w:sz w:val="24"/>
          <w:szCs w:val="18"/>
        </w:rPr>
        <w:t>(5)</w:t>
      </w:r>
      <w:r>
        <w:rPr>
          <w:rFonts w:hint="eastAsia" w:hAnsi="宋体"/>
          <w:color w:val="auto"/>
          <w:sz w:val="24"/>
          <w:szCs w:val="18"/>
        </w:rPr>
        <w:t>质量保证金按照第</w:t>
      </w:r>
      <w:r>
        <w:rPr>
          <w:rFonts w:hAnsi="宋体"/>
          <w:color w:val="auto"/>
          <w:sz w:val="24"/>
          <w:szCs w:val="18"/>
        </w:rPr>
        <w:t>84</w:t>
      </w:r>
      <w:r>
        <w:rPr>
          <w:rFonts w:hint="eastAsia" w:hAnsi="宋体"/>
          <w:color w:val="auto"/>
          <w:sz w:val="24"/>
          <w:szCs w:val="18"/>
        </w:rPr>
        <w:t>条的规定支付；</w:t>
      </w:r>
    </w:p>
    <w:p w14:paraId="563CC1B1">
      <w:pPr>
        <w:pStyle w:val="2"/>
        <w:adjustRightInd w:val="0"/>
        <w:snapToGrid w:val="0"/>
        <w:spacing w:line="360" w:lineRule="auto"/>
        <w:ind w:firstLine="1560" w:firstLineChars="650"/>
        <w:rPr>
          <w:rFonts w:hAnsi="宋体"/>
          <w:color w:val="auto"/>
          <w:sz w:val="24"/>
          <w:szCs w:val="18"/>
        </w:rPr>
      </w:pPr>
      <w:r>
        <w:rPr>
          <w:rFonts w:hAnsi="宋体"/>
          <w:color w:val="auto"/>
          <w:sz w:val="24"/>
          <w:szCs w:val="18"/>
        </w:rPr>
        <w:t>(6)</w:t>
      </w:r>
      <w:r>
        <w:rPr>
          <w:rFonts w:hint="eastAsia" w:hAnsi="宋体"/>
          <w:color w:val="auto"/>
          <w:sz w:val="24"/>
          <w:szCs w:val="18"/>
        </w:rPr>
        <w:t>最终清算款按照第</w:t>
      </w:r>
      <w:r>
        <w:rPr>
          <w:rFonts w:hAnsi="宋体"/>
          <w:color w:val="auto"/>
          <w:sz w:val="24"/>
          <w:szCs w:val="18"/>
        </w:rPr>
        <w:t>85</w:t>
      </w:r>
      <w:r>
        <w:rPr>
          <w:rFonts w:hint="eastAsia" w:hAnsi="宋体"/>
          <w:color w:val="auto"/>
          <w:sz w:val="24"/>
          <w:szCs w:val="18"/>
        </w:rPr>
        <w:t>条的规定支付。</w:t>
      </w:r>
    </w:p>
    <w:p w14:paraId="7EC6FCCA">
      <w:pPr>
        <w:pStyle w:val="2"/>
        <w:adjustRightInd w:val="0"/>
        <w:snapToGrid w:val="0"/>
        <w:spacing w:line="360" w:lineRule="auto"/>
        <w:rPr>
          <w:rFonts w:hAnsi="宋体"/>
          <w:b/>
          <w:color w:val="auto"/>
          <w:sz w:val="24"/>
          <w:szCs w:val="18"/>
        </w:rPr>
      </w:pPr>
      <w:r>
        <w:rPr>
          <w:rFonts w:hAnsi="宋体"/>
          <w:b/>
          <w:color w:val="auto"/>
          <w:sz w:val="24"/>
          <w:szCs w:val="18"/>
        </w:rPr>
        <w:t xml:space="preserve">78.2  </w:t>
      </w:r>
    </w:p>
    <w:p w14:paraId="49263B06">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1996160" behindDoc="0" locked="0" layoutInCell="1" allowOverlap="1">
                <wp:simplePos x="0" y="0"/>
                <wp:positionH relativeFrom="column">
                  <wp:posOffset>-114300</wp:posOffset>
                </wp:positionH>
                <wp:positionV relativeFrom="paragraph">
                  <wp:posOffset>43815</wp:posOffset>
                </wp:positionV>
                <wp:extent cx="914400" cy="398145"/>
                <wp:effectExtent l="0" t="0" r="0" b="0"/>
                <wp:wrapNone/>
                <wp:docPr id="377" name="文本框 377"/>
                <wp:cNvGraphicFramePr/>
                <a:graphic xmlns:a="http://schemas.openxmlformats.org/drawingml/2006/main">
                  <a:graphicData uri="http://schemas.microsoft.com/office/word/2010/wordprocessingShape">
                    <wps:wsp>
                      <wps:cNvSpPr txBox="1"/>
                      <wps:spPr>
                        <a:xfrm>
                          <a:off x="0" y="0"/>
                          <a:ext cx="914400" cy="398145"/>
                        </a:xfrm>
                        <a:prstGeom prst="rect">
                          <a:avLst/>
                        </a:prstGeom>
                        <a:noFill/>
                        <a:ln>
                          <a:noFill/>
                        </a:ln>
                        <a:effectLst/>
                      </wps:spPr>
                      <wps:txbx>
                        <w:txbxContent>
                          <w:p w14:paraId="69AE311E">
                            <w:pPr>
                              <w:pStyle w:val="13"/>
                              <w:spacing w:line="200" w:lineRule="exact"/>
                              <w:rPr>
                                <w:rFonts w:ascii="楷体_GB2312" w:hAnsi="宋体"/>
                                <w:sz w:val="18"/>
                                <w:szCs w:val="18"/>
                              </w:rPr>
                            </w:pPr>
                            <w:r>
                              <w:rPr>
                                <w:rFonts w:hint="eastAsia" w:ascii="楷体_GB2312" w:hAnsi="宋体"/>
                                <w:sz w:val="18"/>
                                <w:szCs w:val="18"/>
                              </w:rPr>
                              <w:t>延迟支付的利息计算</w:t>
                            </w:r>
                          </w:p>
                        </w:txbxContent>
                      </wps:txbx>
                      <wps:bodyPr upright="1"/>
                    </wps:wsp>
                  </a:graphicData>
                </a:graphic>
              </wp:anchor>
            </w:drawing>
          </mc:Choice>
          <mc:Fallback>
            <w:pict>
              <v:shape id="_x0000_s1026" o:spid="_x0000_s1026" o:spt="202" type="#_x0000_t202" style="position:absolute;left:0pt;margin-left:-9pt;margin-top:3.45pt;height:31.35pt;width:72pt;z-index:251996160;mso-width-relative:page;mso-height-relative:page;" filled="f" stroked="f" coordsize="21600,21600" o:gfxdata="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q4J2j&#10;1AAAAAgBAAAPAAAAAAAAAAEAIAAAACIAAABkcnMvZG93bnJldi54bWxQSwECFAAUAAAACACHTuJA&#10;uXSpk7MBAABfAwAADgAAAAAAAAABACAAAAAjAQAAZHJzL2Uyb0RvYy54bWxQSwUGAAAAAAYABgBZ&#10;AQAASAUAAAAA&#10;">
                <v:fill on="f" focussize="0,0"/>
                <v:stroke on="f"/>
                <v:imagedata o:title=""/>
                <o:lock v:ext="edit" aspectratio="f"/>
                <v:textbox>
                  <w:txbxContent>
                    <w:p w14:paraId="69AE311E">
                      <w:pPr>
                        <w:pStyle w:val="13"/>
                        <w:spacing w:line="200" w:lineRule="exact"/>
                        <w:rPr>
                          <w:rFonts w:ascii="楷体_GB2312" w:hAnsi="宋体"/>
                          <w:sz w:val="18"/>
                          <w:szCs w:val="18"/>
                        </w:rPr>
                      </w:pPr>
                      <w:r>
                        <w:rPr>
                          <w:rFonts w:hint="eastAsia" w:ascii="楷体_GB2312" w:hAnsi="宋体"/>
                          <w:sz w:val="18"/>
                          <w:szCs w:val="18"/>
                        </w:rPr>
                        <w:t>延迟支付的利息计算</w:t>
                      </w:r>
                    </w:p>
                  </w:txbxContent>
                </v:textbox>
              </v:shape>
            </w:pict>
          </mc:Fallback>
        </mc:AlternateContent>
      </w:r>
      <w:r>
        <w:rPr>
          <w:rFonts w:hint="eastAsia" w:hAnsi="宋体"/>
          <w:color w:val="auto"/>
          <w:sz w:val="24"/>
          <w:szCs w:val="18"/>
        </w:rPr>
        <w:t>如果发包人延迟支付款项，则承包人有权按照专用条款约定的利率计算和得到利息。计息时间从应支付之日算起直到该笔延迟款额支付之日止。除专用条款另有约定外，利息的利率按照中国人民银行发布的同期同类贷款利率计算。</w:t>
      </w:r>
    </w:p>
    <w:p w14:paraId="6A2D3A14">
      <w:pPr>
        <w:pStyle w:val="2"/>
        <w:adjustRightInd w:val="0"/>
        <w:snapToGrid w:val="0"/>
        <w:spacing w:line="360" w:lineRule="auto"/>
        <w:rPr>
          <w:rFonts w:hAnsi="宋体"/>
          <w:b/>
          <w:color w:val="auto"/>
          <w:sz w:val="24"/>
          <w:szCs w:val="18"/>
        </w:rPr>
      </w:pPr>
      <w:r>
        <w:rPr>
          <w:rFonts w:hAnsi="宋体"/>
          <w:b/>
          <w:color w:val="auto"/>
          <w:sz w:val="24"/>
          <w:szCs w:val="18"/>
        </w:rPr>
        <w:t xml:space="preserve">78.3  </w:t>
      </w:r>
    </w:p>
    <w:p w14:paraId="70371F2B">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1997184" behindDoc="0" locked="0" layoutInCell="1" allowOverlap="1">
                <wp:simplePos x="0" y="0"/>
                <wp:positionH relativeFrom="column">
                  <wp:posOffset>-114300</wp:posOffset>
                </wp:positionH>
                <wp:positionV relativeFrom="paragraph">
                  <wp:posOffset>4445</wp:posOffset>
                </wp:positionV>
                <wp:extent cx="914400" cy="438150"/>
                <wp:effectExtent l="0" t="0" r="0" b="0"/>
                <wp:wrapNone/>
                <wp:docPr id="378" name="文本框 378"/>
                <wp:cNvGraphicFramePr/>
                <a:graphic xmlns:a="http://schemas.openxmlformats.org/drawingml/2006/main">
                  <a:graphicData uri="http://schemas.microsoft.com/office/word/2010/wordprocessingShape">
                    <wps:wsp>
                      <wps:cNvSpPr txBox="1"/>
                      <wps:spPr>
                        <a:xfrm>
                          <a:off x="0" y="0"/>
                          <a:ext cx="914400" cy="438150"/>
                        </a:xfrm>
                        <a:prstGeom prst="rect">
                          <a:avLst/>
                        </a:prstGeom>
                        <a:noFill/>
                        <a:ln>
                          <a:noFill/>
                        </a:ln>
                        <a:effectLst/>
                      </wps:spPr>
                      <wps:txbx>
                        <w:txbxContent>
                          <w:p w14:paraId="7D8E4994">
                            <w:pPr>
                              <w:pStyle w:val="13"/>
                              <w:spacing w:line="200" w:lineRule="exact"/>
                              <w:rPr>
                                <w:rFonts w:ascii="楷体_GB2312" w:hAnsi="宋体"/>
                                <w:sz w:val="18"/>
                                <w:szCs w:val="18"/>
                              </w:rPr>
                            </w:pPr>
                            <w:r>
                              <w:rPr>
                                <w:rFonts w:hint="eastAsia" w:ascii="楷体_GB2312" w:hAnsi="宋体"/>
                                <w:sz w:val="18"/>
                                <w:szCs w:val="18"/>
                              </w:rPr>
                              <w:t>承包人提供支付凭证</w:t>
                            </w:r>
                          </w:p>
                        </w:txbxContent>
                      </wps:txbx>
                      <wps:bodyPr upright="1"/>
                    </wps:wsp>
                  </a:graphicData>
                </a:graphic>
              </wp:anchor>
            </w:drawing>
          </mc:Choice>
          <mc:Fallback>
            <w:pict>
              <v:shape id="_x0000_s1026" o:spid="_x0000_s1026" o:spt="202" type="#_x0000_t202" style="position:absolute;left:0pt;margin-left:-9pt;margin-top:0.35pt;height:34.5pt;width:72pt;z-index:251997184;mso-width-relative:page;mso-height-relative:page;" filled="f" stroked="f" coordsize="21600,21600" o:gfxdata="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aqu7&#10;otQAAAAHAQAADwAAAAAAAAABACAAAAAiAAAAZHJzL2Rvd25yZXYueG1sUEsBAhQAFAAAAAgAh07i&#10;QIyFXH20AQAAXwMAAA4AAAAAAAAAAQAgAAAAIwEAAGRycy9lMm9Eb2MueG1sUEsFBgAAAAAGAAYA&#10;WQEAAEkFAAAAAA==&#10;">
                <v:fill on="f" focussize="0,0"/>
                <v:stroke on="f"/>
                <v:imagedata o:title=""/>
                <o:lock v:ext="edit" aspectratio="f"/>
                <v:textbox>
                  <w:txbxContent>
                    <w:p w14:paraId="7D8E4994">
                      <w:pPr>
                        <w:pStyle w:val="13"/>
                        <w:spacing w:line="200" w:lineRule="exact"/>
                        <w:rPr>
                          <w:rFonts w:ascii="楷体_GB2312" w:hAnsi="宋体"/>
                          <w:sz w:val="18"/>
                          <w:szCs w:val="18"/>
                        </w:rPr>
                      </w:pPr>
                      <w:r>
                        <w:rPr>
                          <w:rFonts w:hint="eastAsia" w:ascii="楷体_GB2312" w:hAnsi="宋体"/>
                          <w:sz w:val="18"/>
                          <w:szCs w:val="18"/>
                        </w:rPr>
                        <w:t>承包人提供支付凭证</w:t>
                      </w:r>
                    </w:p>
                  </w:txbxContent>
                </v:textbox>
              </v:shape>
            </w:pict>
          </mc:Fallback>
        </mc:AlternateContent>
      </w:r>
      <w:r>
        <w:rPr>
          <w:rFonts w:hint="eastAsia" w:hAnsi="宋体"/>
          <w:color w:val="auto"/>
          <w:sz w:val="24"/>
          <w:szCs w:val="18"/>
        </w:rPr>
        <w:t>如果造价工程师有要求，承包人应向造价工程师提供其对雇员劳务工资、分包人已完工程款以及材料和工程设备供应商贷款的支付凭证。如果承包人未能提供上述凭证，视为承包人未向雇员、分包人、供应商支付相关款项。</w:t>
      </w:r>
    </w:p>
    <w:p w14:paraId="033897D3">
      <w:pPr>
        <w:pStyle w:val="2"/>
        <w:adjustRightInd w:val="0"/>
        <w:snapToGrid w:val="0"/>
        <w:spacing w:line="360" w:lineRule="auto"/>
        <w:rPr>
          <w:rFonts w:hAnsi="宋体"/>
          <w:b/>
          <w:color w:val="auto"/>
          <w:sz w:val="24"/>
          <w:szCs w:val="18"/>
        </w:rPr>
      </w:pPr>
      <w:r>
        <w:rPr>
          <w:rFonts w:hAnsi="宋体"/>
          <w:b/>
          <w:color w:val="auto"/>
          <w:sz w:val="24"/>
          <w:szCs w:val="18"/>
        </w:rPr>
        <w:t xml:space="preserve">78.4  </w:t>
      </w:r>
    </w:p>
    <w:p w14:paraId="638AD9AC">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1998208" behindDoc="0" locked="0" layoutInCell="1" allowOverlap="1">
                <wp:simplePos x="0" y="0"/>
                <wp:positionH relativeFrom="column">
                  <wp:posOffset>-114300</wp:posOffset>
                </wp:positionH>
                <wp:positionV relativeFrom="paragraph">
                  <wp:posOffset>22225</wp:posOffset>
                </wp:positionV>
                <wp:extent cx="914400" cy="504190"/>
                <wp:effectExtent l="0" t="0" r="0" b="0"/>
                <wp:wrapNone/>
                <wp:docPr id="379" name="文本框 379"/>
                <wp:cNvGraphicFramePr/>
                <a:graphic xmlns:a="http://schemas.openxmlformats.org/drawingml/2006/main">
                  <a:graphicData uri="http://schemas.microsoft.com/office/word/2010/wordprocessingShape">
                    <wps:wsp>
                      <wps:cNvSpPr txBox="1"/>
                      <wps:spPr>
                        <a:xfrm>
                          <a:off x="0" y="0"/>
                          <a:ext cx="914400" cy="504190"/>
                        </a:xfrm>
                        <a:prstGeom prst="rect">
                          <a:avLst/>
                        </a:prstGeom>
                        <a:noFill/>
                        <a:ln>
                          <a:noFill/>
                        </a:ln>
                        <a:effectLst/>
                      </wps:spPr>
                      <wps:txbx>
                        <w:txbxContent>
                          <w:p w14:paraId="60828387">
                            <w:pPr>
                              <w:pStyle w:val="13"/>
                              <w:spacing w:line="200" w:lineRule="exact"/>
                              <w:rPr>
                                <w:rFonts w:ascii="楷体_GB2312" w:hAnsi="宋体"/>
                                <w:sz w:val="18"/>
                                <w:szCs w:val="18"/>
                              </w:rPr>
                            </w:pPr>
                            <w:r>
                              <w:rPr>
                                <w:rFonts w:hint="eastAsia" w:ascii="楷体_GB2312" w:hAnsi="宋体"/>
                                <w:sz w:val="18"/>
                                <w:szCs w:val="18"/>
                              </w:rPr>
                              <w:t>承包人未按规定支付款项的限制</w:t>
                            </w:r>
                          </w:p>
                        </w:txbxContent>
                      </wps:txbx>
                      <wps:bodyPr upright="1"/>
                    </wps:wsp>
                  </a:graphicData>
                </a:graphic>
              </wp:anchor>
            </w:drawing>
          </mc:Choice>
          <mc:Fallback>
            <w:pict>
              <v:shape id="_x0000_s1026" o:spid="_x0000_s1026" o:spt="202" type="#_x0000_t202" style="position:absolute;left:0pt;margin-left:-9pt;margin-top:1.75pt;height:39.7pt;width:72pt;z-index:251998208;mso-width-relative:page;mso-height-relative:page;" filled="f" stroked="f" coordsize="21600,21600" o:gfxdata="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VJ&#10;7KfVAAAACAEAAA8AAAAAAAAAAQAgAAAAIgAAAGRycy9kb3ducmV2LnhtbFBLAQIUABQAAAAIAIdO&#10;4kCgyKzGtAEAAF8DAAAOAAAAAAAAAAEAIAAAACQBAABkcnMvZTJvRG9jLnhtbFBLBQYAAAAABgAG&#10;AFkBAABKBQAAAAA=&#10;">
                <v:fill on="f" focussize="0,0"/>
                <v:stroke on="f"/>
                <v:imagedata o:title=""/>
                <o:lock v:ext="edit" aspectratio="f"/>
                <v:textbox>
                  <w:txbxContent>
                    <w:p w14:paraId="60828387">
                      <w:pPr>
                        <w:pStyle w:val="13"/>
                        <w:spacing w:line="200" w:lineRule="exact"/>
                        <w:rPr>
                          <w:rFonts w:ascii="楷体_GB2312" w:hAnsi="宋体"/>
                          <w:sz w:val="18"/>
                          <w:szCs w:val="18"/>
                        </w:rPr>
                      </w:pPr>
                      <w:r>
                        <w:rPr>
                          <w:rFonts w:hint="eastAsia" w:ascii="楷体_GB2312" w:hAnsi="宋体"/>
                          <w:sz w:val="18"/>
                          <w:szCs w:val="18"/>
                        </w:rPr>
                        <w:t>承包人未按规定支付款项的限制</w:t>
                      </w:r>
                    </w:p>
                  </w:txbxContent>
                </v:textbox>
              </v:shape>
            </w:pict>
          </mc:Fallback>
        </mc:AlternateContent>
      </w:r>
      <w:r>
        <w:rPr>
          <w:rFonts w:hint="eastAsia" w:hAnsi="宋体"/>
          <w:color w:val="auto"/>
          <w:sz w:val="24"/>
          <w:szCs w:val="18"/>
        </w:rPr>
        <w:t>如果承包人未按照雇员劳务合同和政府有关规定支付雇员劳务工资，或未按照分包合同支付分包人工程款，或未按照购销合同支付材料和工程设备供应商货款，均视为承包人违约。若在造价工程师书面通知改正后的</w:t>
      </w:r>
      <w:r>
        <w:rPr>
          <w:rFonts w:hAnsi="宋体"/>
          <w:color w:val="auto"/>
          <w:sz w:val="24"/>
          <w:szCs w:val="18"/>
        </w:rPr>
        <w:t>7</w:t>
      </w:r>
      <w:r>
        <w:rPr>
          <w:rFonts w:hint="eastAsia" w:hAnsi="宋体"/>
          <w:color w:val="auto"/>
          <w:sz w:val="24"/>
          <w:szCs w:val="18"/>
        </w:rPr>
        <w:t>天内，承包人仍未采取措施补救的，发包人可在不损害承包人其他权利的前提下，实施下列工作：</w:t>
      </w:r>
    </w:p>
    <w:p w14:paraId="3F28E59A">
      <w:pPr>
        <w:pStyle w:val="2"/>
        <w:numPr>
          <w:ilvl w:val="0"/>
          <w:numId w:val="26"/>
        </w:numPr>
        <w:tabs>
          <w:tab w:val="left" w:pos="2160"/>
        </w:tabs>
        <w:adjustRightInd w:val="0"/>
        <w:snapToGrid w:val="0"/>
        <w:spacing w:line="360" w:lineRule="auto"/>
        <w:ind w:left="1619" w:leftChars="771" w:firstLine="0"/>
        <w:rPr>
          <w:rFonts w:hAnsi="宋体"/>
          <w:color w:val="auto"/>
          <w:sz w:val="24"/>
          <w:szCs w:val="18"/>
        </w:rPr>
      </w:pPr>
      <w:r>
        <w:rPr>
          <w:rFonts w:hint="eastAsia" w:hAnsi="宋体"/>
          <w:color w:val="auto"/>
          <w:sz w:val="24"/>
          <w:szCs w:val="18"/>
        </w:rPr>
        <w:t>立即停止向承包人支付应付的款项；</w:t>
      </w:r>
    </w:p>
    <w:p w14:paraId="4A2266B5">
      <w:pPr>
        <w:pStyle w:val="2"/>
        <w:numPr>
          <w:ilvl w:val="0"/>
          <w:numId w:val="26"/>
        </w:numPr>
        <w:tabs>
          <w:tab w:val="left" w:pos="2160"/>
        </w:tabs>
        <w:adjustRightInd w:val="0"/>
        <w:snapToGrid w:val="0"/>
        <w:spacing w:line="360" w:lineRule="auto"/>
        <w:ind w:left="1618" w:leftChars="770" w:hanging="1"/>
        <w:rPr>
          <w:rFonts w:hAnsi="宋体"/>
          <w:color w:val="auto"/>
          <w:sz w:val="24"/>
          <w:szCs w:val="18"/>
        </w:rPr>
      </w:pPr>
      <w:r>
        <w:rPr>
          <w:rFonts w:hint="eastAsia" w:hAnsi="宋体"/>
          <w:color w:val="auto"/>
          <w:sz w:val="24"/>
          <w:szCs w:val="18"/>
        </w:rPr>
        <w:t>在相应支付期应付的工程款范围内，直接向雇员、分包人和材料设备供应商支付承包人应付的款项。</w:t>
      </w:r>
    </w:p>
    <w:p w14:paraId="069D6F5B">
      <w:pPr>
        <w:pStyle w:val="2"/>
        <w:adjustRightInd w:val="0"/>
        <w:snapToGrid w:val="0"/>
        <w:spacing w:line="360" w:lineRule="auto"/>
        <w:ind w:left="1619" w:leftChars="771"/>
        <w:rPr>
          <w:rFonts w:hAnsi="宋体"/>
          <w:color w:val="auto"/>
          <w:sz w:val="24"/>
          <w:szCs w:val="18"/>
        </w:rPr>
      </w:pPr>
      <w:r>
        <w:rPr>
          <w:rFonts w:hint="eastAsia" w:hAnsi="宋体"/>
          <w:color w:val="auto"/>
          <w:sz w:val="24"/>
          <w:szCs w:val="18"/>
        </w:rPr>
        <w:t>发包人在实施上述工作后的</w:t>
      </w:r>
      <w:r>
        <w:rPr>
          <w:rFonts w:hAnsi="宋体"/>
          <w:color w:val="auto"/>
          <w:sz w:val="24"/>
          <w:szCs w:val="18"/>
        </w:rPr>
        <w:t>14</w:t>
      </w:r>
      <w:r>
        <w:rPr>
          <w:rFonts w:hint="eastAsia" w:hAnsi="宋体"/>
          <w:color w:val="auto"/>
          <w:sz w:val="24"/>
          <w:szCs w:val="18"/>
        </w:rPr>
        <w:t>天内应以书面形式通知承包人，抄送造价工程师。造价工程师在签发下期支付证书时，应扣除已由发包人直接支付的款项。由于上述工作原因发生的费用由承包人承担；给发包人造成损失的，承包人应予赔偿。</w:t>
      </w:r>
    </w:p>
    <w:p w14:paraId="59E42833">
      <w:pPr>
        <w:pStyle w:val="2"/>
        <w:adjustRightInd w:val="0"/>
        <w:snapToGrid w:val="0"/>
        <w:spacing w:line="360" w:lineRule="auto"/>
        <w:ind w:right="-238"/>
        <w:rPr>
          <w:rFonts w:hAnsi="宋体"/>
          <w:b/>
          <w:color w:val="auto"/>
          <w:sz w:val="24"/>
          <w:szCs w:val="18"/>
        </w:rPr>
      </w:pPr>
    </w:p>
    <w:p w14:paraId="75591D56">
      <w:pPr>
        <w:pStyle w:val="2"/>
        <w:tabs>
          <w:tab w:val="left" w:pos="540"/>
        </w:tabs>
        <w:adjustRightInd w:val="0"/>
        <w:snapToGrid w:val="0"/>
        <w:spacing w:before="240" w:beforeLines="100" w:line="360" w:lineRule="auto"/>
        <w:ind w:right="-238"/>
        <w:rPr>
          <w:rFonts w:hAnsi="宋体"/>
          <w:b/>
          <w:color w:val="auto"/>
          <w:sz w:val="30"/>
          <w:szCs w:val="24"/>
        </w:rPr>
      </w:pPr>
      <w:r>
        <w:rPr>
          <w:rFonts w:hAnsi="宋体"/>
          <w:b/>
          <w:color w:val="auto"/>
          <w:sz w:val="30"/>
          <w:szCs w:val="24"/>
        </w:rPr>
        <w:t xml:space="preserve">79  </w:t>
      </w:r>
      <w:r>
        <w:rPr>
          <w:rFonts w:hint="eastAsia" w:hAnsi="宋体"/>
          <w:b/>
          <w:color w:val="auto"/>
          <w:sz w:val="30"/>
          <w:szCs w:val="24"/>
        </w:rPr>
        <w:t>预付款</w:t>
      </w:r>
    </w:p>
    <w:p w14:paraId="2C974B95">
      <w:pPr>
        <w:pStyle w:val="2"/>
        <w:adjustRightInd w:val="0"/>
        <w:snapToGrid w:val="0"/>
        <w:spacing w:line="360" w:lineRule="auto"/>
        <w:rPr>
          <w:rFonts w:hAnsi="宋体"/>
          <w:b/>
          <w:color w:val="auto"/>
          <w:sz w:val="24"/>
          <w:szCs w:val="18"/>
        </w:rPr>
      </w:pPr>
      <w:r>
        <w:rPr>
          <w:color w:val="auto"/>
        </w:rPr>
        <mc:AlternateContent>
          <mc:Choice Requires="wps">
            <w:drawing>
              <wp:anchor distT="0" distB="0" distL="114300" distR="114300" simplePos="0" relativeHeight="251999232" behindDoc="0" locked="0" layoutInCell="1" allowOverlap="1">
                <wp:simplePos x="0" y="0"/>
                <wp:positionH relativeFrom="column">
                  <wp:posOffset>-114300</wp:posOffset>
                </wp:positionH>
                <wp:positionV relativeFrom="paragraph">
                  <wp:posOffset>226695</wp:posOffset>
                </wp:positionV>
                <wp:extent cx="1371600" cy="560705"/>
                <wp:effectExtent l="0" t="0" r="0" b="0"/>
                <wp:wrapNone/>
                <wp:docPr id="380" name="文本框 380"/>
                <wp:cNvGraphicFramePr/>
                <a:graphic xmlns:a="http://schemas.openxmlformats.org/drawingml/2006/main">
                  <a:graphicData uri="http://schemas.microsoft.com/office/word/2010/wordprocessingShape">
                    <wps:wsp>
                      <wps:cNvSpPr txBox="1"/>
                      <wps:spPr>
                        <a:xfrm>
                          <a:off x="0" y="0"/>
                          <a:ext cx="1371600" cy="560705"/>
                        </a:xfrm>
                        <a:prstGeom prst="rect">
                          <a:avLst/>
                        </a:prstGeom>
                        <a:noFill/>
                        <a:ln>
                          <a:noFill/>
                        </a:ln>
                        <a:effectLst/>
                      </wps:spPr>
                      <wps:txbx>
                        <w:txbxContent>
                          <w:p w14:paraId="37457630">
                            <w:pPr>
                              <w:pStyle w:val="13"/>
                              <w:spacing w:line="200" w:lineRule="exact"/>
                              <w:rPr>
                                <w:rFonts w:ascii="楷体_GB2312" w:hAnsi="宋体"/>
                                <w:sz w:val="18"/>
                                <w:szCs w:val="18"/>
                              </w:rPr>
                            </w:pPr>
                            <w:r>
                              <w:rPr>
                                <w:rFonts w:hint="eastAsia" w:ascii="楷体_GB2312" w:hAnsi="宋体"/>
                                <w:sz w:val="18"/>
                                <w:szCs w:val="18"/>
                              </w:rPr>
                              <w:t>预付款的约定</w:t>
                            </w:r>
                          </w:p>
                          <w:p w14:paraId="07452C54">
                            <w:pPr>
                              <w:pStyle w:val="13"/>
                              <w:spacing w:line="200" w:lineRule="exact"/>
                              <w:rPr>
                                <w:rFonts w:ascii="楷体_GB2312" w:hAnsi="宋体"/>
                                <w:sz w:val="18"/>
                                <w:szCs w:val="18"/>
                              </w:rPr>
                            </w:pPr>
                            <w:r>
                              <w:rPr>
                                <w:rFonts w:hint="eastAsia" w:ascii="楷体_GB2312" w:hAnsi="宋体"/>
                                <w:sz w:val="18"/>
                                <w:szCs w:val="18"/>
                              </w:rPr>
                              <w:t>及管理</w:t>
                            </w:r>
                          </w:p>
                        </w:txbxContent>
                      </wps:txbx>
                      <wps:bodyPr upright="1"/>
                    </wps:wsp>
                  </a:graphicData>
                </a:graphic>
              </wp:anchor>
            </w:drawing>
          </mc:Choice>
          <mc:Fallback>
            <w:pict>
              <v:shape id="_x0000_s1026" o:spid="_x0000_s1026" o:spt="202" type="#_x0000_t202" style="position:absolute;left:0pt;margin-left:-9pt;margin-top:17.85pt;height:44.15pt;width:108pt;z-index:251999232;mso-width-relative:page;mso-height-relative:page;" filled="f" stroked="f" coordsize="21600,21600" o:gfxdata="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DIa&#10;P9/XAAAACgEAAA8AAAAAAAAAAQAgAAAAIgAAAGRycy9kb3ducmV2LnhtbFBLAQIUABQAAAAIAIdO&#10;4kAB3UUqsgEAAGADAAAOAAAAAAAAAAEAIAAAACYBAABkcnMvZTJvRG9jLnhtbFBLBQYAAAAABgAG&#10;AFkBAABKBQAAAAA=&#10;">
                <v:fill on="f" focussize="0,0"/>
                <v:stroke on="f"/>
                <v:imagedata o:title=""/>
                <o:lock v:ext="edit" aspectratio="f"/>
                <v:textbox>
                  <w:txbxContent>
                    <w:p w14:paraId="37457630">
                      <w:pPr>
                        <w:pStyle w:val="13"/>
                        <w:spacing w:line="200" w:lineRule="exact"/>
                        <w:rPr>
                          <w:rFonts w:ascii="楷体_GB2312" w:hAnsi="宋体"/>
                          <w:sz w:val="18"/>
                          <w:szCs w:val="18"/>
                        </w:rPr>
                      </w:pPr>
                      <w:r>
                        <w:rPr>
                          <w:rFonts w:hint="eastAsia" w:ascii="楷体_GB2312" w:hAnsi="宋体"/>
                          <w:sz w:val="18"/>
                          <w:szCs w:val="18"/>
                        </w:rPr>
                        <w:t>预付款的约定</w:t>
                      </w:r>
                    </w:p>
                    <w:p w14:paraId="07452C54">
                      <w:pPr>
                        <w:pStyle w:val="13"/>
                        <w:spacing w:line="200" w:lineRule="exact"/>
                        <w:rPr>
                          <w:rFonts w:ascii="楷体_GB2312" w:hAnsi="宋体"/>
                          <w:sz w:val="18"/>
                          <w:szCs w:val="18"/>
                        </w:rPr>
                      </w:pPr>
                      <w:r>
                        <w:rPr>
                          <w:rFonts w:hint="eastAsia" w:ascii="楷体_GB2312" w:hAnsi="宋体"/>
                          <w:sz w:val="18"/>
                          <w:szCs w:val="18"/>
                        </w:rPr>
                        <w:t>及管理</w:t>
                      </w:r>
                    </w:p>
                  </w:txbxContent>
                </v:textbox>
              </v:shape>
            </w:pict>
          </mc:Fallback>
        </mc:AlternateContent>
      </w:r>
      <w:r>
        <w:rPr>
          <w:rFonts w:hAnsi="宋体"/>
          <w:b/>
          <w:color w:val="auto"/>
          <w:sz w:val="24"/>
          <w:szCs w:val="18"/>
        </w:rPr>
        <w:t xml:space="preserve">79.1      </w:t>
      </w:r>
    </w:p>
    <w:p w14:paraId="472B469C">
      <w:pPr>
        <w:pStyle w:val="2"/>
        <w:adjustRightInd w:val="0"/>
        <w:snapToGrid w:val="0"/>
        <w:spacing w:line="360" w:lineRule="auto"/>
        <w:ind w:left="1619" w:leftChars="771"/>
        <w:rPr>
          <w:rFonts w:hAnsi="宋体"/>
          <w:color w:val="auto"/>
          <w:sz w:val="24"/>
          <w:szCs w:val="18"/>
        </w:rPr>
      </w:pPr>
      <w:r>
        <w:rPr>
          <w:rFonts w:hint="eastAsia" w:hAnsi="宋体"/>
          <w:color w:val="auto"/>
          <w:sz w:val="24"/>
          <w:szCs w:val="18"/>
        </w:rPr>
        <w:t>除专用条款另有约定外，合同双方当事人应约定预付款，并在专用条款中明确预付款金额、支付办法和抵扣方式。</w:t>
      </w:r>
    </w:p>
    <w:p w14:paraId="54FEAA31">
      <w:pPr>
        <w:pStyle w:val="2"/>
        <w:adjustRightInd w:val="0"/>
        <w:snapToGrid w:val="0"/>
        <w:spacing w:line="360" w:lineRule="auto"/>
        <w:ind w:left="1619" w:leftChars="771"/>
        <w:rPr>
          <w:rFonts w:hAnsi="宋体"/>
          <w:color w:val="auto"/>
          <w:sz w:val="24"/>
          <w:szCs w:val="18"/>
        </w:rPr>
      </w:pPr>
      <w:r>
        <w:rPr>
          <w:rFonts w:hint="eastAsia" w:hAnsi="宋体"/>
          <w:color w:val="auto"/>
          <w:sz w:val="24"/>
          <w:szCs w:val="18"/>
        </w:rPr>
        <w:t>预付款专款专用，承包人应在财务账目中表明专用于为合同工程施工购置材料、工程设备、施工设备、修建临时设施以及组织施工队伍进场等所需的款项，不得挪作他用。除专用条款另有约定外，预付款的最高限额为合同价款的</w:t>
      </w:r>
      <w:r>
        <w:rPr>
          <w:rFonts w:hAnsi="宋体"/>
          <w:color w:val="auto"/>
          <w:sz w:val="24"/>
          <w:szCs w:val="18"/>
        </w:rPr>
        <w:t>30%</w:t>
      </w:r>
      <w:r>
        <w:rPr>
          <w:rFonts w:hint="eastAsia" w:hAnsi="宋体"/>
          <w:color w:val="auto"/>
          <w:sz w:val="24"/>
          <w:szCs w:val="18"/>
        </w:rPr>
        <w:t>。</w:t>
      </w:r>
    </w:p>
    <w:p w14:paraId="2CB2BA8D">
      <w:pPr>
        <w:pStyle w:val="2"/>
        <w:tabs>
          <w:tab w:val="left" w:pos="1320"/>
        </w:tabs>
        <w:adjustRightInd w:val="0"/>
        <w:snapToGrid w:val="0"/>
        <w:spacing w:line="360" w:lineRule="auto"/>
        <w:rPr>
          <w:rFonts w:hAnsi="宋体"/>
          <w:b/>
          <w:color w:val="auto"/>
          <w:sz w:val="24"/>
          <w:szCs w:val="18"/>
        </w:rPr>
      </w:pPr>
      <w:r>
        <w:rPr>
          <w:rFonts w:hAnsi="宋体"/>
          <w:b/>
          <w:color w:val="auto"/>
          <w:sz w:val="24"/>
          <w:szCs w:val="18"/>
        </w:rPr>
        <w:t xml:space="preserve">79.2  </w:t>
      </w:r>
    </w:p>
    <w:p w14:paraId="3DD90A86">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2000256" behindDoc="0" locked="0" layoutInCell="1" allowOverlap="1">
                <wp:simplePos x="0" y="0"/>
                <wp:positionH relativeFrom="column">
                  <wp:posOffset>-114300</wp:posOffset>
                </wp:positionH>
                <wp:positionV relativeFrom="paragraph">
                  <wp:posOffset>19685</wp:posOffset>
                </wp:positionV>
                <wp:extent cx="914400" cy="591185"/>
                <wp:effectExtent l="0" t="0" r="0" b="0"/>
                <wp:wrapNone/>
                <wp:docPr id="381" name="文本框 381"/>
                <wp:cNvGraphicFramePr/>
                <a:graphic xmlns:a="http://schemas.openxmlformats.org/drawingml/2006/main">
                  <a:graphicData uri="http://schemas.microsoft.com/office/word/2010/wordprocessingShape">
                    <wps:wsp>
                      <wps:cNvSpPr txBox="1"/>
                      <wps:spPr>
                        <a:xfrm>
                          <a:off x="0" y="0"/>
                          <a:ext cx="914400" cy="591185"/>
                        </a:xfrm>
                        <a:prstGeom prst="rect">
                          <a:avLst/>
                        </a:prstGeom>
                        <a:noFill/>
                        <a:ln>
                          <a:noFill/>
                        </a:ln>
                        <a:effectLst/>
                      </wps:spPr>
                      <wps:txbx>
                        <w:txbxContent>
                          <w:p w14:paraId="271378D5">
                            <w:pPr>
                              <w:pStyle w:val="13"/>
                              <w:spacing w:line="200" w:lineRule="exact"/>
                              <w:rPr>
                                <w:rFonts w:ascii="楷体_GB2312" w:hAnsi="宋体"/>
                                <w:sz w:val="18"/>
                                <w:szCs w:val="18"/>
                              </w:rPr>
                            </w:pPr>
                            <w:r>
                              <w:rPr>
                                <w:rFonts w:hint="eastAsia" w:ascii="楷体_GB2312" w:hAnsi="宋体"/>
                                <w:sz w:val="18"/>
                                <w:szCs w:val="18"/>
                              </w:rPr>
                              <w:t>预付款支付申请的提交、核实与支付</w:t>
                            </w:r>
                          </w:p>
                        </w:txbxContent>
                      </wps:txbx>
                      <wps:bodyPr upright="1"/>
                    </wps:wsp>
                  </a:graphicData>
                </a:graphic>
              </wp:anchor>
            </w:drawing>
          </mc:Choice>
          <mc:Fallback>
            <w:pict>
              <v:shape id="_x0000_s1026" o:spid="_x0000_s1026" o:spt="202" type="#_x0000_t202" style="position:absolute;left:0pt;margin-left:-9pt;margin-top:1.55pt;height:46.55pt;width:72pt;z-index:252000256;mso-width-relative:page;mso-height-relative:page;" filled="f" stroked="f" coordsize="21600,21600" o:gfxdata="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CeJ8&#10;5NUAAAAIAQAADwAAAAAAAAABACAAAAAiAAAAZHJzL2Rvd25yZXYueG1sUEsBAhQAFAAAAAgAh07i&#10;QFb/2w+zAQAAXwMAAA4AAAAAAAAAAQAgAAAAJAEAAGRycy9lMm9Eb2MueG1sUEsFBgAAAAAGAAYA&#10;WQEAAEkFAAAAAA==&#10;">
                <v:fill on="f" focussize="0,0"/>
                <v:stroke on="f"/>
                <v:imagedata o:title=""/>
                <o:lock v:ext="edit" aspectratio="f"/>
                <v:textbox>
                  <w:txbxContent>
                    <w:p w14:paraId="271378D5">
                      <w:pPr>
                        <w:pStyle w:val="13"/>
                        <w:spacing w:line="200" w:lineRule="exact"/>
                        <w:rPr>
                          <w:rFonts w:ascii="楷体_GB2312" w:hAnsi="宋体"/>
                          <w:sz w:val="18"/>
                          <w:szCs w:val="18"/>
                        </w:rPr>
                      </w:pPr>
                      <w:r>
                        <w:rPr>
                          <w:rFonts w:hint="eastAsia" w:ascii="楷体_GB2312" w:hAnsi="宋体"/>
                          <w:sz w:val="18"/>
                          <w:szCs w:val="18"/>
                        </w:rPr>
                        <w:t>预付款支付申请的提交、核实与支付</w:t>
                      </w:r>
                    </w:p>
                  </w:txbxContent>
                </v:textbox>
              </v:shape>
            </w:pict>
          </mc:Fallback>
        </mc:AlternateContent>
      </w:r>
      <w:r>
        <w:rPr>
          <w:rFonts w:hint="eastAsia" w:hAnsi="宋体"/>
          <w:color w:val="auto"/>
          <w:sz w:val="24"/>
          <w:szCs w:val="18"/>
        </w:rPr>
        <w:t>承包人在完成下列工作后，应按照专用条款约定的期限内向造价工程师提交预付款支付申请，并抄送发包人。</w:t>
      </w:r>
    </w:p>
    <w:p w14:paraId="043912DF">
      <w:pPr>
        <w:pStyle w:val="2"/>
        <w:adjustRightInd w:val="0"/>
        <w:snapToGrid w:val="0"/>
        <w:spacing w:line="360" w:lineRule="auto"/>
        <w:ind w:firstLine="1620" w:firstLineChars="675"/>
        <w:rPr>
          <w:rFonts w:hAnsi="宋体"/>
          <w:color w:val="auto"/>
          <w:sz w:val="24"/>
          <w:szCs w:val="18"/>
        </w:rPr>
      </w:pPr>
      <w:r>
        <w:rPr>
          <w:rFonts w:hint="eastAsia" w:hAnsi="宋体"/>
          <w:color w:val="auto"/>
          <w:sz w:val="24"/>
          <w:szCs w:val="18"/>
        </w:rPr>
        <w:t>（</w:t>
      </w:r>
      <w:r>
        <w:rPr>
          <w:rFonts w:hAnsi="宋体"/>
          <w:color w:val="auto"/>
          <w:sz w:val="24"/>
          <w:szCs w:val="18"/>
        </w:rPr>
        <w:t>1</w:t>
      </w:r>
      <w:r>
        <w:rPr>
          <w:rFonts w:hint="eastAsia" w:hAnsi="宋体"/>
          <w:color w:val="auto"/>
          <w:sz w:val="24"/>
          <w:szCs w:val="18"/>
        </w:rPr>
        <w:t>）签订本合同；</w:t>
      </w:r>
    </w:p>
    <w:p w14:paraId="668EDA3C">
      <w:pPr>
        <w:pStyle w:val="2"/>
        <w:adjustRightInd w:val="0"/>
        <w:snapToGrid w:val="0"/>
        <w:spacing w:line="360" w:lineRule="auto"/>
        <w:ind w:firstLine="1620" w:firstLineChars="675"/>
        <w:rPr>
          <w:rFonts w:hAnsi="宋体"/>
          <w:color w:val="auto"/>
          <w:sz w:val="24"/>
          <w:szCs w:val="18"/>
        </w:rPr>
      </w:pPr>
      <w:r>
        <w:rPr>
          <w:rFonts w:hint="eastAsia" w:hAnsi="宋体"/>
          <w:color w:val="auto"/>
          <w:sz w:val="24"/>
          <w:szCs w:val="18"/>
        </w:rPr>
        <w:t>（</w:t>
      </w:r>
      <w:r>
        <w:rPr>
          <w:rFonts w:hAnsi="宋体"/>
          <w:color w:val="auto"/>
          <w:sz w:val="24"/>
          <w:szCs w:val="18"/>
        </w:rPr>
        <w:t>2</w:t>
      </w:r>
      <w:r>
        <w:rPr>
          <w:rFonts w:hint="eastAsia" w:hAnsi="宋体"/>
          <w:color w:val="auto"/>
          <w:sz w:val="24"/>
          <w:szCs w:val="18"/>
        </w:rPr>
        <w:t>）按照第</w:t>
      </w:r>
      <w:r>
        <w:rPr>
          <w:rFonts w:hAnsi="宋体"/>
          <w:color w:val="auto"/>
          <w:sz w:val="24"/>
          <w:szCs w:val="18"/>
        </w:rPr>
        <w:t>28.1</w:t>
      </w:r>
      <w:r>
        <w:rPr>
          <w:rFonts w:hint="eastAsia" w:hAnsi="宋体"/>
          <w:color w:val="auto"/>
          <w:sz w:val="24"/>
          <w:szCs w:val="18"/>
        </w:rPr>
        <w:t>款规定提供履约担保；</w:t>
      </w:r>
    </w:p>
    <w:p w14:paraId="4DBBB767">
      <w:pPr>
        <w:pStyle w:val="2"/>
        <w:adjustRightInd w:val="0"/>
        <w:snapToGrid w:val="0"/>
        <w:spacing w:line="360" w:lineRule="auto"/>
        <w:ind w:firstLine="1620" w:firstLineChars="675"/>
        <w:rPr>
          <w:rFonts w:hAnsi="宋体"/>
          <w:color w:val="auto"/>
          <w:sz w:val="24"/>
          <w:szCs w:val="18"/>
        </w:rPr>
      </w:pPr>
      <w:r>
        <w:rPr>
          <w:rFonts w:hint="eastAsia" w:hAnsi="宋体"/>
          <w:color w:val="auto"/>
          <w:sz w:val="24"/>
          <w:szCs w:val="18"/>
        </w:rPr>
        <w:t>（</w:t>
      </w:r>
      <w:r>
        <w:rPr>
          <w:rFonts w:hAnsi="宋体"/>
          <w:color w:val="auto"/>
          <w:sz w:val="24"/>
          <w:szCs w:val="18"/>
        </w:rPr>
        <w:t>3</w:t>
      </w:r>
      <w:r>
        <w:rPr>
          <w:rFonts w:hint="eastAsia" w:hAnsi="宋体"/>
          <w:color w:val="auto"/>
          <w:sz w:val="24"/>
          <w:szCs w:val="18"/>
        </w:rPr>
        <w:t>）向发包人提供与预付款等额的预付款保函的正本。</w:t>
      </w:r>
    </w:p>
    <w:p w14:paraId="5B939CB5">
      <w:pPr>
        <w:pStyle w:val="2"/>
        <w:adjustRightInd w:val="0"/>
        <w:snapToGrid w:val="0"/>
        <w:spacing w:line="360" w:lineRule="auto"/>
        <w:ind w:left="1619" w:leftChars="771" w:firstLine="2"/>
        <w:rPr>
          <w:rFonts w:hAnsi="宋体"/>
          <w:color w:val="auto"/>
          <w:sz w:val="24"/>
          <w:szCs w:val="18"/>
        </w:rPr>
      </w:pPr>
      <w:r>
        <w:rPr>
          <w:rFonts w:hint="eastAsia" w:hAnsi="宋体"/>
          <w:color w:val="auto"/>
          <w:sz w:val="24"/>
          <w:szCs w:val="18"/>
        </w:rPr>
        <w:t>造价工程师应对支付申请进行核实，并在收到支付申请后的</w:t>
      </w:r>
      <w:r>
        <w:rPr>
          <w:rFonts w:hAnsi="宋体"/>
          <w:color w:val="auto"/>
          <w:sz w:val="24"/>
          <w:szCs w:val="18"/>
        </w:rPr>
        <w:t>7</w:t>
      </w:r>
      <w:r>
        <w:rPr>
          <w:rFonts w:hint="eastAsia" w:hAnsi="宋体"/>
          <w:color w:val="auto"/>
          <w:sz w:val="24"/>
          <w:szCs w:val="18"/>
        </w:rPr>
        <w:t>天内报发包人确认后向发包人发出支付证书，同时抄送承包人。</w:t>
      </w:r>
    </w:p>
    <w:p w14:paraId="1F6B8118">
      <w:pPr>
        <w:pStyle w:val="2"/>
        <w:adjustRightInd w:val="0"/>
        <w:snapToGrid w:val="0"/>
        <w:spacing w:line="360" w:lineRule="auto"/>
        <w:ind w:left="1619" w:leftChars="771"/>
        <w:rPr>
          <w:rFonts w:hAnsi="宋体"/>
          <w:color w:val="auto"/>
          <w:sz w:val="24"/>
          <w:szCs w:val="18"/>
        </w:rPr>
      </w:pPr>
      <w:r>
        <w:rPr>
          <w:rFonts w:hint="eastAsia" w:hAnsi="宋体"/>
          <w:color w:val="auto"/>
          <w:sz w:val="24"/>
          <w:szCs w:val="18"/>
        </w:rPr>
        <w:t>发包人在造价工程师签发支付证书后的</w:t>
      </w:r>
      <w:r>
        <w:rPr>
          <w:rFonts w:hAnsi="宋体"/>
          <w:color w:val="auto"/>
          <w:sz w:val="24"/>
          <w:szCs w:val="18"/>
        </w:rPr>
        <w:t>7</w:t>
      </w:r>
      <w:r>
        <w:rPr>
          <w:rFonts w:hint="eastAsia" w:hAnsi="宋体"/>
          <w:color w:val="auto"/>
          <w:sz w:val="24"/>
          <w:szCs w:val="18"/>
        </w:rPr>
        <w:t>天内向承包人支付预付款，并通知造价工程师。</w:t>
      </w:r>
    </w:p>
    <w:p w14:paraId="21F0D848">
      <w:pPr>
        <w:pStyle w:val="2"/>
        <w:tabs>
          <w:tab w:val="left" w:pos="1320"/>
        </w:tabs>
        <w:adjustRightInd w:val="0"/>
        <w:snapToGrid w:val="0"/>
        <w:spacing w:line="360" w:lineRule="auto"/>
        <w:rPr>
          <w:rFonts w:hAnsi="宋体"/>
          <w:b/>
          <w:color w:val="auto"/>
          <w:sz w:val="24"/>
          <w:szCs w:val="18"/>
        </w:rPr>
      </w:pPr>
      <w:r>
        <w:rPr>
          <w:rFonts w:hAnsi="宋体"/>
          <w:b/>
          <w:color w:val="auto"/>
          <w:sz w:val="24"/>
          <w:szCs w:val="18"/>
        </w:rPr>
        <w:t xml:space="preserve">79.3  </w:t>
      </w:r>
    </w:p>
    <w:p w14:paraId="0CD18827">
      <w:pPr>
        <w:pStyle w:val="3"/>
        <w:adjustRightInd w:val="0"/>
        <w:snapToGrid w:val="0"/>
        <w:spacing w:line="360" w:lineRule="auto"/>
        <w:ind w:left="1619" w:leftChars="771" w:firstLine="0"/>
        <w:rPr>
          <w:rFonts w:ascii="宋体"/>
          <w:color w:val="auto"/>
          <w:sz w:val="24"/>
          <w:szCs w:val="18"/>
        </w:rPr>
      </w:pPr>
      <w:r>
        <w:rPr>
          <w:color w:val="auto"/>
        </w:rPr>
        <mc:AlternateContent>
          <mc:Choice Requires="wps">
            <w:drawing>
              <wp:anchor distT="0" distB="0" distL="114300" distR="114300" simplePos="0" relativeHeight="252001280" behindDoc="0" locked="0" layoutInCell="1" allowOverlap="1">
                <wp:simplePos x="0" y="0"/>
                <wp:positionH relativeFrom="column">
                  <wp:posOffset>-114300</wp:posOffset>
                </wp:positionH>
                <wp:positionV relativeFrom="paragraph">
                  <wp:posOffset>10795</wp:posOffset>
                </wp:positionV>
                <wp:extent cx="800100" cy="400685"/>
                <wp:effectExtent l="0" t="0" r="0" b="0"/>
                <wp:wrapNone/>
                <wp:docPr id="382" name="文本框 382"/>
                <wp:cNvGraphicFramePr/>
                <a:graphic xmlns:a="http://schemas.openxmlformats.org/drawingml/2006/main">
                  <a:graphicData uri="http://schemas.microsoft.com/office/word/2010/wordprocessingShape">
                    <wps:wsp>
                      <wps:cNvSpPr txBox="1"/>
                      <wps:spPr>
                        <a:xfrm>
                          <a:off x="0" y="0"/>
                          <a:ext cx="800100" cy="400685"/>
                        </a:xfrm>
                        <a:prstGeom prst="rect">
                          <a:avLst/>
                        </a:prstGeom>
                        <a:noFill/>
                        <a:ln>
                          <a:noFill/>
                        </a:ln>
                        <a:effectLst/>
                      </wps:spPr>
                      <wps:txbx>
                        <w:txbxContent>
                          <w:p w14:paraId="5DD6FC5D">
                            <w:pPr>
                              <w:pStyle w:val="13"/>
                              <w:spacing w:line="200" w:lineRule="exact"/>
                              <w:rPr>
                                <w:rFonts w:ascii="楷体_GB2312" w:hAnsi="宋体"/>
                                <w:sz w:val="18"/>
                                <w:szCs w:val="18"/>
                              </w:rPr>
                            </w:pPr>
                            <w:r>
                              <w:rPr>
                                <w:rFonts w:hint="eastAsia" w:ascii="楷体_GB2312" w:hAnsi="宋体"/>
                                <w:sz w:val="18"/>
                                <w:szCs w:val="18"/>
                              </w:rPr>
                              <w:t>预付款支付</w:t>
                            </w:r>
                          </w:p>
                          <w:p w14:paraId="789CD8FA">
                            <w:pPr>
                              <w:pStyle w:val="13"/>
                              <w:spacing w:line="200" w:lineRule="exact"/>
                              <w:rPr>
                                <w:rFonts w:ascii="楷体_GB2312" w:hAnsi="宋体"/>
                                <w:sz w:val="18"/>
                                <w:szCs w:val="18"/>
                              </w:rPr>
                            </w:pPr>
                            <w:r>
                              <w:rPr>
                                <w:rFonts w:hint="eastAsia" w:ascii="楷体_GB2312" w:hAnsi="宋体"/>
                                <w:sz w:val="18"/>
                                <w:szCs w:val="18"/>
                              </w:rPr>
                              <w:t>的限制</w:t>
                            </w:r>
                          </w:p>
                        </w:txbxContent>
                      </wps:txbx>
                      <wps:bodyPr upright="1"/>
                    </wps:wsp>
                  </a:graphicData>
                </a:graphic>
              </wp:anchor>
            </w:drawing>
          </mc:Choice>
          <mc:Fallback>
            <w:pict>
              <v:shape id="_x0000_s1026" o:spid="_x0000_s1026" o:spt="202" type="#_x0000_t202" style="position:absolute;left:0pt;margin-left:-9pt;margin-top:0.85pt;height:31.55pt;width:63pt;z-index:252001280;mso-width-relative:page;mso-height-relative:page;" filled="f" stroked="f" coordsize="21600,21600" o:gfxdata="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yi//C1AAA&#10;AAgBAAAPAAAAAAAAAAEAIAAAACIAAABkcnMvZG93bnJldi54bWxQSwECFAAUAAAACACHTuJACp6a&#10;PrABAABfAwAADgAAAAAAAAABACAAAAAjAQAAZHJzL2Uyb0RvYy54bWxQSwUGAAAAAAYABgBZAQAA&#10;RQUAAAAA&#10;">
                <v:fill on="f" focussize="0,0"/>
                <v:stroke on="f"/>
                <v:imagedata o:title=""/>
                <o:lock v:ext="edit" aspectratio="f"/>
                <v:textbox>
                  <w:txbxContent>
                    <w:p w14:paraId="5DD6FC5D">
                      <w:pPr>
                        <w:pStyle w:val="13"/>
                        <w:spacing w:line="200" w:lineRule="exact"/>
                        <w:rPr>
                          <w:rFonts w:ascii="楷体_GB2312" w:hAnsi="宋体"/>
                          <w:sz w:val="18"/>
                          <w:szCs w:val="18"/>
                        </w:rPr>
                      </w:pPr>
                      <w:r>
                        <w:rPr>
                          <w:rFonts w:hint="eastAsia" w:ascii="楷体_GB2312" w:hAnsi="宋体"/>
                          <w:sz w:val="18"/>
                          <w:szCs w:val="18"/>
                        </w:rPr>
                        <w:t>预付款支付</w:t>
                      </w:r>
                    </w:p>
                    <w:p w14:paraId="789CD8FA">
                      <w:pPr>
                        <w:pStyle w:val="13"/>
                        <w:spacing w:line="200" w:lineRule="exact"/>
                        <w:rPr>
                          <w:rFonts w:ascii="楷体_GB2312" w:hAnsi="宋体"/>
                          <w:sz w:val="18"/>
                          <w:szCs w:val="18"/>
                        </w:rPr>
                      </w:pPr>
                      <w:r>
                        <w:rPr>
                          <w:rFonts w:hint="eastAsia" w:ascii="楷体_GB2312" w:hAnsi="宋体"/>
                          <w:sz w:val="18"/>
                          <w:szCs w:val="18"/>
                        </w:rPr>
                        <w:t>的限制</w:t>
                      </w:r>
                    </w:p>
                  </w:txbxContent>
                </v:textbox>
              </v:shape>
            </w:pict>
          </mc:Fallback>
        </mc:AlternateContent>
      </w:r>
      <w:r>
        <w:rPr>
          <w:rFonts w:hint="eastAsia" w:ascii="宋体" w:hAnsi="宋体"/>
          <w:color w:val="auto"/>
          <w:sz w:val="24"/>
          <w:szCs w:val="18"/>
        </w:rPr>
        <w:t>发包人没有按时支付预付款的，承包人应在付款期满后的</w:t>
      </w:r>
      <w:r>
        <w:rPr>
          <w:rFonts w:ascii="宋体" w:hAnsi="宋体"/>
          <w:color w:val="auto"/>
          <w:sz w:val="24"/>
          <w:szCs w:val="18"/>
        </w:rPr>
        <w:t>10</w:t>
      </w:r>
      <w:r>
        <w:rPr>
          <w:rFonts w:hint="eastAsia" w:ascii="宋体" w:hAnsi="宋体"/>
          <w:color w:val="auto"/>
          <w:sz w:val="24"/>
          <w:szCs w:val="18"/>
        </w:rPr>
        <w:t>天向发包人发出要求支付的通知；发包人收到通知后仍不按要求支付，承包人可在发出通知</w:t>
      </w:r>
      <w:r>
        <w:rPr>
          <w:rFonts w:ascii="宋体" w:hAnsi="宋体"/>
          <w:color w:val="auto"/>
          <w:sz w:val="24"/>
          <w:szCs w:val="18"/>
        </w:rPr>
        <w:t>14</w:t>
      </w:r>
      <w:r>
        <w:rPr>
          <w:rFonts w:hint="eastAsia" w:ascii="宋体" w:hAnsi="宋体"/>
          <w:color w:val="auto"/>
          <w:sz w:val="24"/>
          <w:szCs w:val="18"/>
        </w:rPr>
        <w:t>天后</w:t>
      </w:r>
      <w:r>
        <w:rPr>
          <w:rFonts w:hint="eastAsia" w:ascii="宋体" w:hAnsi="宋体"/>
          <w:color w:val="auto"/>
          <w:sz w:val="24"/>
          <w:szCs w:val="24"/>
        </w:rPr>
        <w:t>暂停</w:t>
      </w:r>
      <w:r>
        <w:rPr>
          <w:rFonts w:hint="eastAsia" w:ascii="宋体" w:hAnsi="宋体"/>
          <w:color w:val="auto"/>
          <w:sz w:val="24"/>
          <w:szCs w:val="18"/>
        </w:rPr>
        <w:t>施工。发包人应承担由此增加的费用和（或）延误的工期，并向承包人支付合理利润。</w:t>
      </w:r>
    </w:p>
    <w:p w14:paraId="0A915A5C">
      <w:pPr>
        <w:pStyle w:val="2"/>
        <w:tabs>
          <w:tab w:val="left" w:pos="1320"/>
        </w:tabs>
        <w:adjustRightInd w:val="0"/>
        <w:snapToGrid w:val="0"/>
        <w:spacing w:line="360" w:lineRule="auto"/>
        <w:rPr>
          <w:rFonts w:hAnsi="宋体"/>
          <w:color w:val="auto"/>
          <w:sz w:val="24"/>
          <w:szCs w:val="18"/>
        </w:rPr>
      </w:pPr>
      <w:r>
        <w:rPr>
          <w:rFonts w:hAnsi="宋体"/>
          <w:b/>
          <w:color w:val="auto"/>
          <w:sz w:val="24"/>
          <w:szCs w:val="18"/>
        </w:rPr>
        <w:t xml:space="preserve">79.4 </w:t>
      </w:r>
    </w:p>
    <w:p w14:paraId="7235523C">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2002304" behindDoc="0" locked="0" layoutInCell="1" allowOverlap="1">
                <wp:simplePos x="0" y="0"/>
                <wp:positionH relativeFrom="column">
                  <wp:posOffset>-114300</wp:posOffset>
                </wp:positionH>
                <wp:positionV relativeFrom="paragraph">
                  <wp:posOffset>46355</wp:posOffset>
                </wp:positionV>
                <wp:extent cx="1028700" cy="304165"/>
                <wp:effectExtent l="0" t="0" r="0" b="0"/>
                <wp:wrapNone/>
                <wp:docPr id="383" name="文本框 383"/>
                <wp:cNvGraphicFramePr/>
                <a:graphic xmlns:a="http://schemas.openxmlformats.org/drawingml/2006/main">
                  <a:graphicData uri="http://schemas.microsoft.com/office/word/2010/wordprocessingShape">
                    <wps:wsp>
                      <wps:cNvSpPr txBox="1"/>
                      <wps:spPr>
                        <a:xfrm>
                          <a:off x="0" y="0"/>
                          <a:ext cx="1028700" cy="304165"/>
                        </a:xfrm>
                        <a:prstGeom prst="rect">
                          <a:avLst/>
                        </a:prstGeom>
                        <a:noFill/>
                        <a:ln>
                          <a:noFill/>
                        </a:ln>
                        <a:effectLst/>
                      </wps:spPr>
                      <wps:txbx>
                        <w:txbxContent>
                          <w:p w14:paraId="203C22F4">
                            <w:pPr>
                              <w:pStyle w:val="13"/>
                              <w:spacing w:line="200" w:lineRule="exact"/>
                              <w:rPr>
                                <w:rFonts w:ascii="楷体_GB2312" w:hAnsi="宋体"/>
                                <w:sz w:val="18"/>
                                <w:szCs w:val="18"/>
                              </w:rPr>
                            </w:pPr>
                            <w:r>
                              <w:rPr>
                                <w:rFonts w:hint="eastAsia" w:ascii="楷体_GB2312" w:hAnsi="宋体"/>
                                <w:sz w:val="18"/>
                                <w:szCs w:val="18"/>
                              </w:rPr>
                              <w:t>预付款的扣回</w:t>
                            </w:r>
                          </w:p>
                        </w:txbxContent>
                      </wps:txbx>
                      <wps:bodyPr upright="1"/>
                    </wps:wsp>
                  </a:graphicData>
                </a:graphic>
              </wp:anchor>
            </w:drawing>
          </mc:Choice>
          <mc:Fallback>
            <w:pict>
              <v:shape id="_x0000_s1026" o:spid="_x0000_s1026" o:spt="202" type="#_x0000_t202" style="position:absolute;left:0pt;margin-left:-9pt;margin-top:3.65pt;height:23.95pt;width:81pt;z-index:252002304;mso-width-relative:page;mso-height-relative:page;" filled="f" stroked="f" coordsize="21600,21600" o:gfxdata="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lx&#10;F3HWAAAACAEAAA8AAAAAAAAAAQAgAAAAIgAAAGRycy9kb3ducmV2LnhtbFBLAQIUABQAAAAIAIdO&#10;4kC1ZxMMswEAAGADAAAOAAAAAAAAAAEAIAAAACUBAABkcnMvZTJvRG9jLnhtbFBLBQYAAAAABgAG&#10;AFkBAABKBQAAAAA=&#10;">
                <v:fill on="f" focussize="0,0"/>
                <v:stroke on="f"/>
                <v:imagedata o:title=""/>
                <o:lock v:ext="edit" aspectratio="f"/>
                <v:textbox>
                  <w:txbxContent>
                    <w:p w14:paraId="203C22F4">
                      <w:pPr>
                        <w:pStyle w:val="13"/>
                        <w:spacing w:line="200" w:lineRule="exact"/>
                        <w:rPr>
                          <w:rFonts w:ascii="楷体_GB2312" w:hAnsi="宋体"/>
                          <w:sz w:val="18"/>
                          <w:szCs w:val="18"/>
                        </w:rPr>
                      </w:pPr>
                      <w:r>
                        <w:rPr>
                          <w:rFonts w:hint="eastAsia" w:ascii="楷体_GB2312" w:hAnsi="宋体"/>
                          <w:sz w:val="18"/>
                          <w:szCs w:val="18"/>
                        </w:rPr>
                        <w:t>预付款的扣回</w:t>
                      </w:r>
                    </w:p>
                  </w:txbxContent>
                </v:textbox>
              </v:shape>
            </w:pict>
          </mc:Fallback>
        </mc:AlternateContent>
      </w:r>
      <w:r>
        <w:rPr>
          <w:rFonts w:hint="eastAsia" w:hAnsi="宋体"/>
          <w:color w:val="auto"/>
          <w:sz w:val="24"/>
          <w:szCs w:val="18"/>
        </w:rPr>
        <w:t>预付款应从每支付期应支付给承包人的进度款中扣回，直到扣回的金额达到专用条款约定的预付款金额为止。造价工程师应依据专用条款约定的抵扣方式，在签发支付证书时从应支付给承包人的款项中扣回。</w:t>
      </w:r>
    </w:p>
    <w:p w14:paraId="0021FC8D">
      <w:pPr>
        <w:pStyle w:val="2"/>
        <w:tabs>
          <w:tab w:val="left" w:pos="1320"/>
        </w:tabs>
        <w:adjustRightInd w:val="0"/>
        <w:snapToGrid w:val="0"/>
        <w:spacing w:line="360" w:lineRule="auto"/>
        <w:rPr>
          <w:rFonts w:hAnsi="宋体"/>
          <w:b/>
          <w:color w:val="auto"/>
          <w:sz w:val="24"/>
          <w:szCs w:val="18"/>
        </w:rPr>
      </w:pPr>
      <w:r>
        <w:rPr>
          <w:rFonts w:hAnsi="宋体"/>
          <w:b/>
          <w:color w:val="auto"/>
          <w:sz w:val="24"/>
          <w:szCs w:val="18"/>
        </w:rPr>
        <w:t xml:space="preserve">79.5  </w:t>
      </w:r>
    </w:p>
    <w:p w14:paraId="7B4E2BD7">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2003328" behindDoc="0" locked="0" layoutInCell="1" allowOverlap="1">
                <wp:simplePos x="0" y="0"/>
                <wp:positionH relativeFrom="column">
                  <wp:posOffset>-114300</wp:posOffset>
                </wp:positionH>
                <wp:positionV relativeFrom="paragraph">
                  <wp:posOffset>13335</wp:posOffset>
                </wp:positionV>
                <wp:extent cx="914400" cy="408305"/>
                <wp:effectExtent l="0" t="0" r="0" b="0"/>
                <wp:wrapNone/>
                <wp:docPr id="384" name="文本框 384"/>
                <wp:cNvGraphicFramePr/>
                <a:graphic xmlns:a="http://schemas.openxmlformats.org/drawingml/2006/main">
                  <a:graphicData uri="http://schemas.microsoft.com/office/word/2010/wordprocessingShape">
                    <wps:wsp>
                      <wps:cNvSpPr txBox="1"/>
                      <wps:spPr>
                        <a:xfrm>
                          <a:off x="0" y="0"/>
                          <a:ext cx="914400" cy="408305"/>
                        </a:xfrm>
                        <a:prstGeom prst="rect">
                          <a:avLst/>
                        </a:prstGeom>
                        <a:noFill/>
                        <a:ln>
                          <a:noFill/>
                        </a:ln>
                        <a:effectLst/>
                      </wps:spPr>
                      <wps:txbx>
                        <w:txbxContent>
                          <w:p w14:paraId="2D3F3B5C">
                            <w:pPr>
                              <w:pStyle w:val="13"/>
                              <w:spacing w:line="200" w:lineRule="exact"/>
                              <w:rPr>
                                <w:rFonts w:ascii="楷体_GB2312" w:hAnsi="宋体"/>
                                <w:sz w:val="18"/>
                                <w:szCs w:val="18"/>
                              </w:rPr>
                            </w:pPr>
                            <w:r>
                              <w:rPr>
                                <w:rFonts w:hint="eastAsia" w:ascii="楷体_GB2312" w:hAnsi="宋体"/>
                                <w:sz w:val="18"/>
                                <w:szCs w:val="18"/>
                              </w:rPr>
                              <w:t>预付款保函的有效与退还</w:t>
                            </w:r>
                          </w:p>
                        </w:txbxContent>
                      </wps:txbx>
                      <wps:bodyPr upright="1"/>
                    </wps:wsp>
                  </a:graphicData>
                </a:graphic>
              </wp:anchor>
            </w:drawing>
          </mc:Choice>
          <mc:Fallback>
            <w:pict>
              <v:shape id="_x0000_s1026" o:spid="_x0000_s1026" o:spt="202" type="#_x0000_t202" style="position:absolute;left:0pt;margin-left:-9pt;margin-top:1.05pt;height:32.15pt;width:72pt;z-index:252003328;mso-width-relative:page;mso-height-relative:page;" filled="f" stroked="f" coordsize="21600,21600" o:gfxdata="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K3FF&#10;tdUAAAAIAQAADwAAAAAAAAABACAAAAAiAAAAZHJzL2Rvd25yZXYueG1sUEsBAhQAFAAAAAgAh07i&#10;QLwVC8uzAQAAXwMAAA4AAAAAAAAAAQAgAAAAJAEAAGRycy9lMm9Eb2MueG1sUEsFBgAAAAAGAAYA&#10;WQEAAEkFAAAAAA==&#10;">
                <v:fill on="f" focussize="0,0"/>
                <v:stroke on="f"/>
                <v:imagedata o:title=""/>
                <o:lock v:ext="edit" aspectratio="f"/>
                <v:textbox>
                  <w:txbxContent>
                    <w:p w14:paraId="2D3F3B5C">
                      <w:pPr>
                        <w:pStyle w:val="13"/>
                        <w:spacing w:line="200" w:lineRule="exact"/>
                        <w:rPr>
                          <w:rFonts w:ascii="楷体_GB2312" w:hAnsi="宋体"/>
                          <w:sz w:val="18"/>
                          <w:szCs w:val="18"/>
                        </w:rPr>
                      </w:pPr>
                      <w:r>
                        <w:rPr>
                          <w:rFonts w:hint="eastAsia" w:ascii="楷体_GB2312" w:hAnsi="宋体"/>
                          <w:sz w:val="18"/>
                          <w:szCs w:val="18"/>
                        </w:rPr>
                        <w:t>预付款保函的有效与退还</w:t>
                      </w:r>
                    </w:p>
                  </w:txbxContent>
                </v:textbox>
              </v:shape>
            </w:pict>
          </mc:Fallback>
        </mc:AlternateContent>
      </w:r>
      <w:r>
        <w:rPr>
          <w:rFonts w:hint="eastAsia" w:hAnsi="宋体"/>
          <w:color w:val="auto"/>
          <w:sz w:val="24"/>
          <w:szCs w:val="18"/>
        </w:rPr>
        <w:t>承包人应保持预付款保函在预付款全部扣回之前一直有效。发包人应在预付款扣完后的</w:t>
      </w:r>
      <w:r>
        <w:rPr>
          <w:rFonts w:hAnsi="宋体"/>
          <w:color w:val="auto"/>
          <w:sz w:val="24"/>
          <w:szCs w:val="18"/>
        </w:rPr>
        <w:t>14</w:t>
      </w:r>
      <w:r>
        <w:rPr>
          <w:rFonts w:hint="eastAsia" w:hAnsi="宋体"/>
          <w:color w:val="auto"/>
          <w:sz w:val="24"/>
          <w:szCs w:val="18"/>
        </w:rPr>
        <w:t>天内将预付款保函退还承包人，并不得向承包人收取预付款的任何利息。</w:t>
      </w:r>
    </w:p>
    <w:p w14:paraId="4F567F11">
      <w:pPr>
        <w:pStyle w:val="2"/>
        <w:adjustRightInd w:val="0"/>
        <w:snapToGrid w:val="0"/>
        <w:spacing w:line="360" w:lineRule="auto"/>
        <w:rPr>
          <w:rFonts w:hAnsi="宋体"/>
          <w:b/>
          <w:color w:val="auto"/>
          <w:sz w:val="24"/>
          <w:szCs w:val="18"/>
        </w:rPr>
      </w:pPr>
    </w:p>
    <w:p w14:paraId="63ADCABE">
      <w:pPr>
        <w:pStyle w:val="2"/>
        <w:tabs>
          <w:tab w:val="left" w:pos="540"/>
        </w:tabs>
        <w:adjustRightInd w:val="0"/>
        <w:snapToGrid w:val="0"/>
        <w:spacing w:before="240" w:beforeLines="100" w:line="360" w:lineRule="auto"/>
        <w:ind w:right="-238"/>
        <w:rPr>
          <w:rFonts w:hAnsi="宋体"/>
          <w:b/>
          <w:color w:val="auto"/>
          <w:sz w:val="30"/>
          <w:szCs w:val="24"/>
        </w:rPr>
      </w:pPr>
      <w:r>
        <w:rPr>
          <w:rFonts w:hAnsi="宋体"/>
          <w:b/>
          <w:color w:val="auto"/>
          <w:sz w:val="30"/>
          <w:szCs w:val="24"/>
        </w:rPr>
        <w:t xml:space="preserve">80  </w:t>
      </w:r>
      <w:r>
        <w:rPr>
          <w:rFonts w:hint="eastAsia" w:hAnsi="宋体"/>
          <w:b/>
          <w:color w:val="auto"/>
          <w:sz w:val="30"/>
          <w:szCs w:val="24"/>
        </w:rPr>
        <w:t>安全文明施工费</w:t>
      </w:r>
    </w:p>
    <w:p w14:paraId="3F9D0F10">
      <w:pPr>
        <w:pStyle w:val="2"/>
        <w:adjustRightInd w:val="0"/>
        <w:snapToGrid w:val="0"/>
        <w:spacing w:line="360" w:lineRule="auto"/>
        <w:rPr>
          <w:rFonts w:hAnsi="宋体"/>
          <w:b/>
          <w:color w:val="auto"/>
          <w:sz w:val="24"/>
          <w:szCs w:val="18"/>
        </w:rPr>
      </w:pPr>
      <w:r>
        <w:rPr>
          <w:rFonts w:hAnsi="宋体"/>
          <w:b/>
          <w:color w:val="auto"/>
          <w:sz w:val="24"/>
          <w:szCs w:val="18"/>
        </w:rPr>
        <w:t xml:space="preserve">80.1      </w:t>
      </w:r>
    </w:p>
    <w:p w14:paraId="1BE282CC">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2004352" behindDoc="0" locked="0" layoutInCell="1" allowOverlap="1">
                <wp:simplePos x="0" y="0"/>
                <wp:positionH relativeFrom="column">
                  <wp:posOffset>-114300</wp:posOffset>
                </wp:positionH>
                <wp:positionV relativeFrom="paragraph">
                  <wp:posOffset>17780</wp:posOffset>
                </wp:positionV>
                <wp:extent cx="1028700" cy="440055"/>
                <wp:effectExtent l="0" t="0" r="0" b="0"/>
                <wp:wrapNone/>
                <wp:docPr id="385" name="文本框 385"/>
                <wp:cNvGraphicFramePr/>
                <a:graphic xmlns:a="http://schemas.openxmlformats.org/drawingml/2006/main">
                  <a:graphicData uri="http://schemas.microsoft.com/office/word/2010/wordprocessingShape">
                    <wps:wsp>
                      <wps:cNvSpPr txBox="1"/>
                      <wps:spPr>
                        <a:xfrm>
                          <a:off x="0" y="0"/>
                          <a:ext cx="1028700" cy="440055"/>
                        </a:xfrm>
                        <a:prstGeom prst="rect">
                          <a:avLst/>
                        </a:prstGeom>
                        <a:noFill/>
                        <a:ln>
                          <a:noFill/>
                        </a:ln>
                        <a:effectLst/>
                      </wps:spPr>
                      <wps:txbx>
                        <w:txbxContent>
                          <w:p w14:paraId="5028E342">
                            <w:pPr>
                              <w:pStyle w:val="13"/>
                              <w:spacing w:line="200" w:lineRule="exact"/>
                              <w:rPr>
                                <w:rFonts w:ascii="楷体_GB2312" w:hAnsi="宋体"/>
                                <w:sz w:val="18"/>
                                <w:szCs w:val="18"/>
                              </w:rPr>
                            </w:pPr>
                            <w:r>
                              <w:rPr>
                                <w:rFonts w:hint="eastAsia" w:ascii="楷体_GB2312" w:hAnsi="宋体"/>
                                <w:sz w:val="18"/>
                                <w:szCs w:val="18"/>
                              </w:rPr>
                              <w:t>内容、范围和</w:t>
                            </w:r>
                          </w:p>
                          <w:p w14:paraId="287BE598">
                            <w:pPr>
                              <w:pStyle w:val="13"/>
                              <w:spacing w:line="200" w:lineRule="exact"/>
                              <w:rPr>
                                <w:rFonts w:ascii="楷体_GB2312" w:hAnsi="宋体"/>
                                <w:sz w:val="18"/>
                                <w:szCs w:val="18"/>
                              </w:rPr>
                            </w:pPr>
                            <w:r>
                              <w:rPr>
                                <w:rFonts w:hint="eastAsia" w:ascii="楷体_GB2312" w:hAnsi="宋体"/>
                                <w:sz w:val="18"/>
                                <w:szCs w:val="18"/>
                              </w:rPr>
                              <w:t>金额</w:t>
                            </w:r>
                          </w:p>
                        </w:txbxContent>
                      </wps:txbx>
                      <wps:bodyPr upright="1"/>
                    </wps:wsp>
                  </a:graphicData>
                </a:graphic>
              </wp:anchor>
            </w:drawing>
          </mc:Choice>
          <mc:Fallback>
            <w:pict>
              <v:shape id="_x0000_s1026" o:spid="_x0000_s1026" o:spt="202" type="#_x0000_t202" style="position:absolute;left:0pt;margin-left:-9pt;margin-top:1.4pt;height:34.65pt;width:81pt;z-index:252004352;mso-width-relative:page;mso-height-relative:page;" filled="f" stroked="f" coordsize="21600,21600" o:gfxdata="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7bIi3U&#10;AAAACAEAAA8AAAAAAAAAAQAgAAAAIgAAAGRycy9kb3ducmV2LnhtbFBLAQIUABQAAAAIAIdO4kBg&#10;qYmUsgEAAGADAAAOAAAAAAAAAAEAIAAAACMBAABkcnMvZTJvRG9jLnhtbFBLBQYAAAAABgAGAFkB&#10;AABHBQAAAAA=&#10;">
                <v:fill on="f" focussize="0,0"/>
                <v:stroke on="f"/>
                <v:imagedata o:title=""/>
                <o:lock v:ext="edit" aspectratio="f"/>
                <v:textbox>
                  <w:txbxContent>
                    <w:p w14:paraId="5028E342">
                      <w:pPr>
                        <w:pStyle w:val="13"/>
                        <w:spacing w:line="200" w:lineRule="exact"/>
                        <w:rPr>
                          <w:rFonts w:ascii="楷体_GB2312" w:hAnsi="宋体"/>
                          <w:sz w:val="18"/>
                          <w:szCs w:val="18"/>
                        </w:rPr>
                      </w:pPr>
                      <w:r>
                        <w:rPr>
                          <w:rFonts w:hint="eastAsia" w:ascii="楷体_GB2312" w:hAnsi="宋体"/>
                          <w:sz w:val="18"/>
                          <w:szCs w:val="18"/>
                        </w:rPr>
                        <w:t>内容、范围和</w:t>
                      </w:r>
                    </w:p>
                    <w:p w14:paraId="287BE598">
                      <w:pPr>
                        <w:pStyle w:val="13"/>
                        <w:spacing w:line="200" w:lineRule="exact"/>
                        <w:rPr>
                          <w:rFonts w:ascii="楷体_GB2312" w:hAnsi="宋体"/>
                          <w:sz w:val="18"/>
                          <w:szCs w:val="18"/>
                        </w:rPr>
                      </w:pPr>
                      <w:r>
                        <w:rPr>
                          <w:rFonts w:hint="eastAsia" w:ascii="楷体_GB2312" w:hAnsi="宋体"/>
                          <w:sz w:val="18"/>
                          <w:szCs w:val="18"/>
                        </w:rPr>
                        <w:t>金额</w:t>
                      </w:r>
                    </w:p>
                  </w:txbxContent>
                </v:textbox>
              </v:shape>
            </w:pict>
          </mc:Fallback>
        </mc:AlternateContent>
      </w:r>
      <w:r>
        <w:rPr>
          <w:rFonts w:hint="eastAsia" w:hAnsi="宋体"/>
          <w:color w:val="auto"/>
          <w:sz w:val="24"/>
          <w:szCs w:val="18"/>
        </w:rPr>
        <w:t>合同双方当事人应在专用条款中约定安全文明施工费的内容、范围和金额，并按照第</w:t>
      </w:r>
      <w:r>
        <w:rPr>
          <w:rFonts w:hAnsi="宋体"/>
          <w:color w:val="auto"/>
          <w:sz w:val="24"/>
          <w:szCs w:val="18"/>
        </w:rPr>
        <w:t>45</w:t>
      </w:r>
      <w:r>
        <w:rPr>
          <w:rFonts w:hint="eastAsia" w:hAnsi="宋体"/>
          <w:color w:val="auto"/>
          <w:sz w:val="24"/>
          <w:szCs w:val="18"/>
        </w:rPr>
        <w:t>条规定实施安全文明施工。除专用条款另有约定外，安全文明施工费的内容和范围，应以现行广东省统一工程计价依据规定为准。</w:t>
      </w:r>
    </w:p>
    <w:p w14:paraId="46085AD1">
      <w:pPr>
        <w:pStyle w:val="2"/>
        <w:adjustRightInd w:val="0"/>
        <w:snapToGrid w:val="0"/>
        <w:spacing w:line="360" w:lineRule="auto"/>
        <w:rPr>
          <w:rFonts w:hAnsi="宋体"/>
          <w:color w:val="auto"/>
          <w:sz w:val="24"/>
          <w:szCs w:val="18"/>
          <w:u w:val="dotted"/>
        </w:rPr>
      </w:pPr>
      <w:r>
        <w:rPr>
          <w:rFonts w:hAnsi="宋体"/>
          <w:b/>
          <w:color w:val="auto"/>
          <w:sz w:val="24"/>
          <w:szCs w:val="18"/>
        </w:rPr>
        <w:t xml:space="preserve">80.2  </w:t>
      </w:r>
    </w:p>
    <w:p w14:paraId="2D11527A">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2005376" behindDoc="0" locked="0" layoutInCell="1" allowOverlap="1">
                <wp:simplePos x="0" y="0"/>
                <wp:positionH relativeFrom="column">
                  <wp:posOffset>-114300</wp:posOffset>
                </wp:positionH>
                <wp:positionV relativeFrom="paragraph">
                  <wp:posOffset>34290</wp:posOffset>
                </wp:positionV>
                <wp:extent cx="800100" cy="381000"/>
                <wp:effectExtent l="0" t="0" r="0" b="0"/>
                <wp:wrapNone/>
                <wp:docPr id="386" name="文本框 386"/>
                <wp:cNvGraphicFramePr/>
                <a:graphic xmlns:a="http://schemas.openxmlformats.org/drawingml/2006/main">
                  <a:graphicData uri="http://schemas.microsoft.com/office/word/2010/wordprocessingShape">
                    <wps:wsp>
                      <wps:cNvSpPr txBox="1"/>
                      <wps:spPr>
                        <a:xfrm>
                          <a:off x="0" y="0"/>
                          <a:ext cx="800100" cy="381000"/>
                        </a:xfrm>
                        <a:prstGeom prst="rect">
                          <a:avLst/>
                        </a:prstGeom>
                        <a:noFill/>
                        <a:ln>
                          <a:noFill/>
                        </a:ln>
                        <a:effectLst/>
                      </wps:spPr>
                      <wps:txbx>
                        <w:txbxContent>
                          <w:p w14:paraId="62DF4595">
                            <w:pPr>
                              <w:pStyle w:val="13"/>
                              <w:spacing w:line="200" w:lineRule="exact"/>
                              <w:rPr>
                                <w:rFonts w:ascii="楷体_GB2312" w:hAnsi="宋体"/>
                                <w:sz w:val="18"/>
                                <w:szCs w:val="18"/>
                              </w:rPr>
                            </w:pPr>
                            <w:r>
                              <w:rPr>
                                <w:rFonts w:hint="eastAsia" w:ascii="楷体_GB2312" w:hAnsi="宋体"/>
                                <w:sz w:val="18"/>
                                <w:szCs w:val="18"/>
                              </w:rPr>
                              <w:t>支付申请的</w:t>
                            </w:r>
                          </w:p>
                          <w:p w14:paraId="75B332E1">
                            <w:pPr>
                              <w:pStyle w:val="13"/>
                              <w:spacing w:line="200" w:lineRule="exact"/>
                              <w:rPr>
                                <w:rFonts w:ascii="楷体_GB2312" w:hAnsi="宋体"/>
                                <w:sz w:val="18"/>
                                <w:szCs w:val="18"/>
                              </w:rPr>
                            </w:pPr>
                            <w:r>
                              <w:rPr>
                                <w:rFonts w:hint="eastAsia" w:ascii="楷体_GB2312" w:hAnsi="宋体"/>
                                <w:sz w:val="18"/>
                                <w:szCs w:val="18"/>
                              </w:rPr>
                              <w:t>提交与核实</w:t>
                            </w:r>
                          </w:p>
                        </w:txbxContent>
                      </wps:txbx>
                      <wps:bodyPr upright="1"/>
                    </wps:wsp>
                  </a:graphicData>
                </a:graphic>
              </wp:anchor>
            </w:drawing>
          </mc:Choice>
          <mc:Fallback>
            <w:pict>
              <v:shape id="_x0000_s1026" o:spid="_x0000_s1026" o:spt="202" type="#_x0000_t202" style="position:absolute;left:0pt;margin-left:-9pt;margin-top:2.7pt;height:30pt;width:63pt;z-index:252005376;mso-width-relative:page;mso-height-relative:page;" filled="f" stroked="f" coordsize="21600,21600" o:gfxdata="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KN4k3TAAAA&#10;CAEAAA8AAAAAAAAAAQAgAAAAIgAAAGRycy9kb3ducmV2LnhtbFBLAQIUABQAAAAIAIdO4kDRawAo&#10;sAEAAF8DAAAOAAAAAAAAAAEAIAAAACIBAABkcnMvZTJvRG9jLnhtbFBLBQYAAAAABgAGAFkBAABE&#10;BQAAAAA=&#10;">
                <v:fill on="f" focussize="0,0"/>
                <v:stroke on="f"/>
                <v:imagedata o:title=""/>
                <o:lock v:ext="edit" aspectratio="f"/>
                <v:textbox>
                  <w:txbxContent>
                    <w:p w14:paraId="62DF4595">
                      <w:pPr>
                        <w:pStyle w:val="13"/>
                        <w:spacing w:line="200" w:lineRule="exact"/>
                        <w:rPr>
                          <w:rFonts w:ascii="楷体_GB2312" w:hAnsi="宋体"/>
                          <w:sz w:val="18"/>
                          <w:szCs w:val="18"/>
                        </w:rPr>
                      </w:pPr>
                      <w:r>
                        <w:rPr>
                          <w:rFonts w:hint="eastAsia" w:ascii="楷体_GB2312" w:hAnsi="宋体"/>
                          <w:sz w:val="18"/>
                          <w:szCs w:val="18"/>
                        </w:rPr>
                        <w:t>支付申请的</w:t>
                      </w:r>
                    </w:p>
                    <w:p w14:paraId="75B332E1">
                      <w:pPr>
                        <w:pStyle w:val="13"/>
                        <w:spacing w:line="200" w:lineRule="exact"/>
                        <w:rPr>
                          <w:rFonts w:ascii="楷体_GB2312" w:hAnsi="宋体"/>
                          <w:sz w:val="18"/>
                          <w:szCs w:val="18"/>
                        </w:rPr>
                      </w:pPr>
                      <w:r>
                        <w:rPr>
                          <w:rFonts w:hint="eastAsia" w:ascii="楷体_GB2312" w:hAnsi="宋体"/>
                          <w:sz w:val="18"/>
                          <w:szCs w:val="18"/>
                        </w:rPr>
                        <w:t>提交与核实</w:t>
                      </w:r>
                    </w:p>
                  </w:txbxContent>
                </v:textbox>
              </v:shape>
            </w:pict>
          </mc:Fallback>
        </mc:AlternateContent>
      </w:r>
      <w:r>
        <w:rPr>
          <w:rFonts w:hint="eastAsia" w:hAnsi="宋体"/>
          <w:color w:val="auto"/>
          <w:sz w:val="24"/>
          <w:szCs w:val="18"/>
        </w:rPr>
        <w:t>专用条款没有约定的，承包人应在接到监理工程师按照第</w:t>
      </w:r>
      <w:r>
        <w:rPr>
          <w:rFonts w:hAnsi="宋体"/>
          <w:color w:val="auto"/>
          <w:sz w:val="24"/>
          <w:szCs w:val="18"/>
        </w:rPr>
        <w:t>34.2</w:t>
      </w:r>
      <w:r>
        <w:rPr>
          <w:rFonts w:hint="eastAsia" w:hAnsi="宋体"/>
          <w:color w:val="auto"/>
          <w:sz w:val="24"/>
          <w:szCs w:val="18"/>
        </w:rPr>
        <w:t>款规定发出开工令后的</w:t>
      </w:r>
      <w:r>
        <w:rPr>
          <w:rFonts w:hAnsi="宋体"/>
          <w:color w:val="auto"/>
          <w:sz w:val="24"/>
          <w:szCs w:val="18"/>
        </w:rPr>
        <w:t>7</w:t>
      </w:r>
      <w:r>
        <w:rPr>
          <w:rFonts w:hint="eastAsia" w:hAnsi="宋体"/>
          <w:color w:val="auto"/>
          <w:sz w:val="24"/>
          <w:szCs w:val="18"/>
        </w:rPr>
        <w:t>天内向造价工程师提交安全文明施工费支付申请，并抄送发包人。造价工程师应对支付申请进行核实，并在收到支付申请后的</w:t>
      </w:r>
      <w:r>
        <w:rPr>
          <w:rFonts w:hAnsi="宋体"/>
          <w:color w:val="auto"/>
          <w:sz w:val="24"/>
          <w:szCs w:val="18"/>
        </w:rPr>
        <w:t>7</w:t>
      </w:r>
      <w:r>
        <w:rPr>
          <w:rFonts w:hint="eastAsia" w:hAnsi="宋体"/>
          <w:color w:val="auto"/>
          <w:sz w:val="24"/>
          <w:szCs w:val="18"/>
        </w:rPr>
        <w:t>天内报发包人确认后向发包人发出支付证书，同时抄送承包人。</w:t>
      </w:r>
    </w:p>
    <w:p w14:paraId="263EB5DA">
      <w:pPr>
        <w:pStyle w:val="2"/>
        <w:adjustRightInd w:val="0"/>
        <w:snapToGrid w:val="0"/>
        <w:spacing w:line="360" w:lineRule="auto"/>
        <w:rPr>
          <w:rFonts w:hAnsi="宋体"/>
          <w:b/>
          <w:color w:val="auto"/>
          <w:sz w:val="24"/>
          <w:szCs w:val="18"/>
        </w:rPr>
      </w:pPr>
      <w:r>
        <w:rPr>
          <w:rFonts w:hAnsi="宋体"/>
          <w:b/>
          <w:color w:val="auto"/>
          <w:sz w:val="24"/>
          <w:szCs w:val="18"/>
        </w:rPr>
        <w:t xml:space="preserve">80.3  </w:t>
      </w:r>
    </w:p>
    <w:p w14:paraId="65C1A86E">
      <w:pPr>
        <w:pStyle w:val="2"/>
        <w:adjustRightInd w:val="0"/>
        <w:snapToGrid w:val="0"/>
        <w:spacing w:line="360" w:lineRule="auto"/>
        <w:ind w:left="1619" w:leftChars="771"/>
        <w:rPr>
          <w:rFonts w:hAnsi="宋体"/>
          <w:color w:val="auto"/>
          <w:sz w:val="24"/>
          <w:szCs w:val="18"/>
        </w:rPr>
      </w:pPr>
      <w:r>
        <w:rPr>
          <w:rFonts w:hint="eastAsia" w:hAnsi="宋体"/>
          <w:color w:val="auto"/>
          <w:sz w:val="24"/>
          <w:szCs w:val="18"/>
        </w:rPr>
        <w:t>合同双方当事人应按照建设行政主管部门的规定，在专用条款中约定安全文明施工费的支付办法和抵扣方式。除专用条款另有约定外，</w:t>
      </w:r>
      <w:r>
        <w:rPr>
          <w:color w:val="auto"/>
        </w:rPr>
        <mc:AlternateContent>
          <mc:Choice Requires="wps">
            <w:drawing>
              <wp:anchor distT="0" distB="0" distL="114300" distR="114300" simplePos="0" relativeHeight="252006400" behindDoc="0" locked="0" layoutInCell="1" allowOverlap="1">
                <wp:simplePos x="0" y="0"/>
                <wp:positionH relativeFrom="column">
                  <wp:posOffset>-114300</wp:posOffset>
                </wp:positionH>
                <wp:positionV relativeFrom="paragraph">
                  <wp:posOffset>71755</wp:posOffset>
                </wp:positionV>
                <wp:extent cx="1028700" cy="352425"/>
                <wp:effectExtent l="0" t="0" r="0" b="0"/>
                <wp:wrapNone/>
                <wp:docPr id="387" name="文本框 387"/>
                <wp:cNvGraphicFramePr/>
                <a:graphic xmlns:a="http://schemas.openxmlformats.org/drawingml/2006/main">
                  <a:graphicData uri="http://schemas.microsoft.com/office/word/2010/wordprocessingShape">
                    <wps:wsp>
                      <wps:cNvSpPr txBox="1"/>
                      <wps:spPr>
                        <a:xfrm>
                          <a:off x="0" y="0"/>
                          <a:ext cx="1028700" cy="352425"/>
                        </a:xfrm>
                        <a:prstGeom prst="rect">
                          <a:avLst/>
                        </a:prstGeom>
                        <a:noFill/>
                        <a:ln>
                          <a:noFill/>
                        </a:ln>
                        <a:effectLst/>
                      </wps:spPr>
                      <wps:txbx>
                        <w:txbxContent>
                          <w:p w14:paraId="38CA715C">
                            <w:pPr>
                              <w:rPr>
                                <w:rFonts w:ascii="楷体_GB2312" w:hAnsi="宋体" w:eastAsia="楷体_GB2312"/>
                                <w:b/>
                                <w:bCs/>
                                <w:sz w:val="18"/>
                                <w:szCs w:val="18"/>
                              </w:rPr>
                            </w:pPr>
                            <w:r>
                              <w:rPr>
                                <w:rFonts w:hint="eastAsia" w:ascii="楷体_GB2312" w:hAnsi="宋体" w:eastAsia="楷体_GB2312"/>
                                <w:b/>
                                <w:bCs/>
                                <w:sz w:val="18"/>
                                <w:szCs w:val="18"/>
                              </w:rPr>
                              <w:t>费用支付</w:t>
                            </w:r>
                          </w:p>
                        </w:txbxContent>
                      </wps:txbx>
                      <wps:bodyPr upright="1"/>
                    </wps:wsp>
                  </a:graphicData>
                </a:graphic>
              </wp:anchor>
            </w:drawing>
          </mc:Choice>
          <mc:Fallback>
            <w:pict>
              <v:shape id="_x0000_s1026" o:spid="_x0000_s1026" o:spt="202" type="#_x0000_t202" style="position:absolute;left:0pt;margin-left:-9pt;margin-top:5.65pt;height:27.75pt;width:81pt;z-index:252006400;mso-width-relative:page;mso-height-relative:page;" filled="f" stroked="f" coordsize="21600,21600" o:gfxdata="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e+gt&#10;d9UAAAAJAQAADwAAAAAAAAABACAAAAAiAAAAZHJzL2Rvd25yZXYueG1sUEsBAhQAFAAAAAgAh07i&#10;QETjbouzAQAAYAMAAA4AAAAAAAAAAQAgAAAAJAEAAGRycy9lMm9Eb2MueG1sUEsFBgAAAAAGAAYA&#10;WQEAAEkFAAAAAA==&#10;">
                <v:fill on="f" focussize="0,0"/>
                <v:stroke on="f"/>
                <v:imagedata o:title=""/>
                <o:lock v:ext="edit" aspectratio="f"/>
                <v:textbox>
                  <w:txbxContent>
                    <w:p w14:paraId="38CA715C">
                      <w:pPr>
                        <w:rPr>
                          <w:rFonts w:ascii="楷体_GB2312" w:hAnsi="宋体" w:eastAsia="楷体_GB2312"/>
                          <w:b/>
                          <w:bCs/>
                          <w:sz w:val="18"/>
                          <w:szCs w:val="18"/>
                        </w:rPr>
                      </w:pPr>
                      <w:r>
                        <w:rPr>
                          <w:rFonts w:hint="eastAsia" w:ascii="楷体_GB2312" w:hAnsi="宋体" w:eastAsia="楷体_GB2312"/>
                          <w:b/>
                          <w:bCs/>
                          <w:sz w:val="18"/>
                          <w:szCs w:val="18"/>
                        </w:rPr>
                        <w:t>费用支付</w:t>
                      </w:r>
                    </w:p>
                  </w:txbxContent>
                </v:textbox>
              </v:shape>
            </w:pict>
          </mc:Fallback>
        </mc:AlternateContent>
      </w:r>
      <w:r>
        <w:rPr>
          <w:rFonts w:hint="eastAsia" w:hAnsi="宋体"/>
          <w:color w:val="auto"/>
          <w:sz w:val="24"/>
          <w:szCs w:val="18"/>
        </w:rPr>
        <w:t>发包人应在造价工程师签发支付证书后的</w:t>
      </w:r>
      <w:r>
        <w:rPr>
          <w:rFonts w:hAnsi="宋体"/>
          <w:color w:val="auto"/>
          <w:sz w:val="24"/>
          <w:szCs w:val="18"/>
        </w:rPr>
        <w:t>7</w:t>
      </w:r>
      <w:r>
        <w:rPr>
          <w:rFonts w:hint="eastAsia" w:hAnsi="宋体"/>
          <w:color w:val="auto"/>
          <w:sz w:val="24"/>
          <w:szCs w:val="18"/>
        </w:rPr>
        <w:t>天内向承包人支付安全文明施工费，并保证在工程开工后的</w:t>
      </w:r>
      <w:r>
        <w:rPr>
          <w:rFonts w:hAnsi="宋体"/>
          <w:color w:val="auto"/>
          <w:sz w:val="24"/>
          <w:szCs w:val="18"/>
        </w:rPr>
        <w:t>28</w:t>
      </w:r>
      <w:r>
        <w:rPr>
          <w:rFonts w:hint="eastAsia" w:hAnsi="宋体"/>
          <w:color w:val="auto"/>
          <w:sz w:val="24"/>
          <w:szCs w:val="18"/>
        </w:rPr>
        <w:t>天内支付安全文明施工费金额的</w:t>
      </w:r>
      <w:r>
        <w:rPr>
          <w:rFonts w:hAnsi="宋体"/>
          <w:color w:val="auto"/>
          <w:sz w:val="24"/>
          <w:szCs w:val="18"/>
        </w:rPr>
        <w:t>50%</w:t>
      </w:r>
      <w:r>
        <w:rPr>
          <w:rFonts w:hint="eastAsia" w:hAnsi="宋体"/>
          <w:color w:val="auto"/>
          <w:sz w:val="24"/>
          <w:szCs w:val="18"/>
        </w:rPr>
        <w:t>，同时通知造价工程师。剩余部分金额，自该支付款从每支付期应支付给承包人的进度款中扣完之日起，按照实际发生费用与进度款同期支付。</w:t>
      </w:r>
    </w:p>
    <w:p w14:paraId="32682506">
      <w:pPr>
        <w:pStyle w:val="2"/>
        <w:tabs>
          <w:tab w:val="left" w:pos="1320"/>
        </w:tabs>
        <w:adjustRightInd w:val="0"/>
        <w:snapToGrid w:val="0"/>
        <w:spacing w:line="360" w:lineRule="auto"/>
        <w:rPr>
          <w:rFonts w:hAnsi="宋体"/>
          <w:b/>
          <w:color w:val="auto"/>
          <w:sz w:val="24"/>
          <w:szCs w:val="18"/>
        </w:rPr>
      </w:pPr>
      <w:r>
        <w:rPr>
          <w:rFonts w:hAnsi="宋体"/>
          <w:b/>
          <w:color w:val="auto"/>
          <w:sz w:val="24"/>
          <w:szCs w:val="18"/>
        </w:rPr>
        <w:t xml:space="preserve">80.4  </w:t>
      </w:r>
    </w:p>
    <w:p w14:paraId="6E0A6771">
      <w:pPr>
        <w:pStyle w:val="3"/>
        <w:adjustRightInd w:val="0"/>
        <w:snapToGrid w:val="0"/>
        <w:spacing w:line="360" w:lineRule="auto"/>
        <w:ind w:left="1619" w:leftChars="771" w:firstLine="0"/>
        <w:rPr>
          <w:rFonts w:ascii="宋体"/>
          <w:color w:val="auto"/>
          <w:sz w:val="24"/>
          <w:szCs w:val="24"/>
        </w:rPr>
      </w:pPr>
      <w:r>
        <w:rPr>
          <w:color w:val="auto"/>
        </w:rPr>
        <mc:AlternateContent>
          <mc:Choice Requires="wps">
            <w:drawing>
              <wp:anchor distT="0" distB="0" distL="114300" distR="114300" simplePos="0" relativeHeight="252007424" behindDoc="0" locked="0" layoutInCell="1" allowOverlap="1">
                <wp:simplePos x="0" y="0"/>
                <wp:positionH relativeFrom="column">
                  <wp:posOffset>-114300</wp:posOffset>
                </wp:positionH>
                <wp:positionV relativeFrom="paragraph">
                  <wp:posOffset>10795</wp:posOffset>
                </wp:positionV>
                <wp:extent cx="914400" cy="400685"/>
                <wp:effectExtent l="0" t="0" r="0" b="0"/>
                <wp:wrapNone/>
                <wp:docPr id="388" name="文本框 388"/>
                <wp:cNvGraphicFramePr/>
                <a:graphic xmlns:a="http://schemas.openxmlformats.org/drawingml/2006/main">
                  <a:graphicData uri="http://schemas.microsoft.com/office/word/2010/wordprocessingShape">
                    <wps:wsp>
                      <wps:cNvSpPr txBox="1"/>
                      <wps:spPr>
                        <a:xfrm>
                          <a:off x="0" y="0"/>
                          <a:ext cx="914400" cy="400685"/>
                        </a:xfrm>
                        <a:prstGeom prst="rect">
                          <a:avLst/>
                        </a:prstGeom>
                        <a:noFill/>
                        <a:ln>
                          <a:noFill/>
                        </a:ln>
                        <a:effectLst/>
                      </wps:spPr>
                      <wps:txbx>
                        <w:txbxContent>
                          <w:p w14:paraId="4D2B55A3">
                            <w:pPr>
                              <w:rPr>
                                <w:rFonts w:ascii="楷体_GB2312" w:hAnsi="宋体" w:eastAsia="楷体_GB2312"/>
                                <w:b/>
                                <w:bCs/>
                                <w:sz w:val="18"/>
                                <w:szCs w:val="18"/>
                              </w:rPr>
                            </w:pPr>
                            <w:r>
                              <w:rPr>
                                <w:rFonts w:hint="eastAsia" w:ascii="楷体_GB2312" w:hAnsi="宋体" w:eastAsia="楷体_GB2312"/>
                                <w:b/>
                                <w:bCs/>
                                <w:sz w:val="18"/>
                                <w:szCs w:val="18"/>
                              </w:rPr>
                              <w:t>支付限制</w:t>
                            </w:r>
                          </w:p>
                        </w:txbxContent>
                      </wps:txbx>
                      <wps:bodyPr upright="1"/>
                    </wps:wsp>
                  </a:graphicData>
                </a:graphic>
              </wp:anchor>
            </w:drawing>
          </mc:Choice>
          <mc:Fallback>
            <w:pict>
              <v:shape id="_x0000_s1026" o:spid="_x0000_s1026" o:spt="202" type="#_x0000_t202" style="position:absolute;left:0pt;margin-left:-9pt;margin-top:0.85pt;height:31.55pt;width:72pt;z-index:252007424;mso-width-relative:page;mso-height-relative:page;" filled="f" stroked="f" coordsize="21600,21600" o:gfxdata="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zf4wzV&#10;AAAACAEAAA8AAAAAAAAAAQAgAAAAIgAAAGRycy9kb3ducmV2LnhtbFBLAQIUABQAAAAIAIdO4kA5&#10;7SAJsQEAAF8DAAAOAAAAAAAAAAEAIAAAACQBAABkcnMvZTJvRG9jLnhtbFBLBQYAAAAABgAGAFkB&#10;AABHBQAAAAA=&#10;">
                <v:fill on="f" focussize="0,0"/>
                <v:stroke on="f"/>
                <v:imagedata o:title=""/>
                <o:lock v:ext="edit" aspectratio="f"/>
                <v:textbox>
                  <w:txbxContent>
                    <w:p w14:paraId="4D2B55A3">
                      <w:pPr>
                        <w:rPr>
                          <w:rFonts w:ascii="楷体_GB2312" w:hAnsi="宋体" w:eastAsia="楷体_GB2312"/>
                          <w:b/>
                          <w:bCs/>
                          <w:sz w:val="18"/>
                          <w:szCs w:val="18"/>
                        </w:rPr>
                      </w:pPr>
                      <w:r>
                        <w:rPr>
                          <w:rFonts w:hint="eastAsia" w:ascii="楷体_GB2312" w:hAnsi="宋体" w:eastAsia="楷体_GB2312"/>
                          <w:b/>
                          <w:bCs/>
                          <w:sz w:val="18"/>
                          <w:szCs w:val="18"/>
                        </w:rPr>
                        <w:t>支付限制</w:t>
                      </w:r>
                    </w:p>
                  </w:txbxContent>
                </v:textbox>
              </v:shape>
            </w:pict>
          </mc:Fallback>
        </mc:AlternateContent>
      </w:r>
      <w:r>
        <w:rPr>
          <w:rFonts w:hint="eastAsia" w:ascii="宋体" w:hAnsi="宋体"/>
          <w:color w:val="auto"/>
          <w:sz w:val="24"/>
          <w:szCs w:val="24"/>
        </w:rPr>
        <w:t>发包人没有按时支付</w:t>
      </w:r>
      <w:r>
        <w:rPr>
          <w:rFonts w:hint="eastAsia" w:ascii="宋体" w:hAnsi="宋体"/>
          <w:color w:val="auto"/>
          <w:sz w:val="24"/>
          <w:szCs w:val="18"/>
        </w:rPr>
        <w:t>安全文明施工费</w:t>
      </w:r>
      <w:r>
        <w:rPr>
          <w:rFonts w:hint="eastAsia" w:ascii="宋体" w:hAnsi="宋体"/>
          <w:color w:val="auto"/>
          <w:sz w:val="24"/>
          <w:szCs w:val="24"/>
        </w:rPr>
        <w:t>的，</w:t>
      </w:r>
      <w:r>
        <w:rPr>
          <w:rFonts w:hint="eastAsia" w:ascii="宋体" w:hAnsi="宋体"/>
          <w:color w:val="auto"/>
          <w:sz w:val="24"/>
          <w:szCs w:val="18"/>
        </w:rPr>
        <w:t>承包人应在付款期满后的</w:t>
      </w:r>
      <w:r>
        <w:rPr>
          <w:rFonts w:ascii="宋体" w:hAnsi="宋体"/>
          <w:color w:val="auto"/>
          <w:sz w:val="24"/>
          <w:szCs w:val="18"/>
        </w:rPr>
        <w:t>10</w:t>
      </w:r>
      <w:r>
        <w:rPr>
          <w:rFonts w:hint="eastAsia" w:ascii="宋体" w:hAnsi="宋体"/>
          <w:color w:val="auto"/>
          <w:sz w:val="24"/>
          <w:szCs w:val="18"/>
        </w:rPr>
        <w:t>天向发包人发出要求支付的通知；发包人收到通知后仍不按要求支付，承包人可在发出通知</w:t>
      </w:r>
      <w:r>
        <w:rPr>
          <w:rFonts w:ascii="宋体" w:hAnsi="宋体"/>
          <w:color w:val="auto"/>
          <w:sz w:val="24"/>
          <w:szCs w:val="18"/>
        </w:rPr>
        <w:t>14</w:t>
      </w:r>
      <w:r>
        <w:rPr>
          <w:rFonts w:hint="eastAsia" w:ascii="宋体" w:hAnsi="宋体"/>
          <w:color w:val="auto"/>
          <w:sz w:val="24"/>
          <w:szCs w:val="18"/>
        </w:rPr>
        <w:t>天后</w:t>
      </w:r>
      <w:r>
        <w:rPr>
          <w:rFonts w:hint="eastAsia" w:ascii="宋体" w:hAnsi="宋体"/>
          <w:color w:val="auto"/>
          <w:sz w:val="24"/>
          <w:szCs w:val="24"/>
        </w:rPr>
        <w:t>暂停施工。发包人应承担由此增加的费用和（或）延误的工期，并向承包人支付合理利润。</w:t>
      </w:r>
    </w:p>
    <w:p w14:paraId="4E650232">
      <w:pPr>
        <w:pStyle w:val="2"/>
        <w:adjustRightInd w:val="0"/>
        <w:snapToGrid w:val="0"/>
        <w:spacing w:line="360" w:lineRule="auto"/>
        <w:rPr>
          <w:rFonts w:hAnsi="宋体"/>
          <w:b/>
          <w:color w:val="auto"/>
          <w:sz w:val="24"/>
          <w:szCs w:val="18"/>
        </w:rPr>
      </w:pPr>
      <w:r>
        <w:rPr>
          <w:rFonts w:hAnsi="宋体"/>
          <w:b/>
          <w:color w:val="auto"/>
          <w:sz w:val="24"/>
          <w:szCs w:val="18"/>
        </w:rPr>
        <w:t xml:space="preserve">80.5  </w:t>
      </w:r>
    </w:p>
    <w:p w14:paraId="6204DD9D">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2008448" behindDoc="0" locked="0" layoutInCell="1" allowOverlap="1">
                <wp:simplePos x="0" y="0"/>
                <wp:positionH relativeFrom="column">
                  <wp:posOffset>-114300</wp:posOffset>
                </wp:positionH>
                <wp:positionV relativeFrom="paragraph">
                  <wp:posOffset>1905</wp:posOffset>
                </wp:positionV>
                <wp:extent cx="914400" cy="471170"/>
                <wp:effectExtent l="0" t="0" r="0" b="0"/>
                <wp:wrapNone/>
                <wp:docPr id="389" name="文本框 389"/>
                <wp:cNvGraphicFramePr/>
                <a:graphic xmlns:a="http://schemas.openxmlformats.org/drawingml/2006/main">
                  <a:graphicData uri="http://schemas.microsoft.com/office/word/2010/wordprocessingShape">
                    <wps:wsp>
                      <wps:cNvSpPr txBox="1"/>
                      <wps:spPr>
                        <a:xfrm>
                          <a:off x="0" y="0"/>
                          <a:ext cx="914400" cy="471170"/>
                        </a:xfrm>
                        <a:prstGeom prst="rect">
                          <a:avLst/>
                        </a:prstGeom>
                        <a:noFill/>
                        <a:ln>
                          <a:noFill/>
                        </a:ln>
                        <a:effectLst/>
                      </wps:spPr>
                      <wps:txbx>
                        <w:txbxContent>
                          <w:p w14:paraId="2CABB68B">
                            <w:pPr>
                              <w:spacing w:line="240" w:lineRule="exact"/>
                              <w:rPr>
                                <w:rFonts w:ascii="宋体"/>
                              </w:rPr>
                            </w:pPr>
                            <w:r>
                              <w:rPr>
                                <w:rFonts w:hint="eastAsia" w:ascii="楷体_GB2312" w:hAnsi="宋体" w:eastAsia="楷体_GB2312"/>
                                <w:b/>
                                <w:bCs/>
                                <w:sz w:val="18"/>
                                <w:szCs w:val="18"/>
                              </w:rPr>
                              <w:t>管理要求</w:t>
                            </w:r>
                          </w:p>
                        </w:txbxContent>
                      </wps:txbx>
                      <wps:bodyPr upright="1"/>
                    </wps:wsp>
                  </a:graphicData>
                </a:graphic>
              </wp:anchor>
            </w:drawing>
          </mc:Choice>
          <mc:Fallback>
            <w:pict>
              <v:shape id="_x0000_s1026" o:spid="_x0000_s1026" o:spt="202" type="#_x0000_t202" style="position:absolute;left:0pt;margin-left:-9pt;margin-top:0.15pt;height:37.1pt;width:72pt;z-index:252008448;mso-width-relative:page;mso-height-relative:page;" filled="f" stroked="f" coordsize="21600,21600" o:gfxdata="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D9w&#10;1MfVAAAABwEAAA8AAAAAAAAAAQAgAAAAIgAAAGRycy9kb3ducmV2LnhtbFBLAQIUABQAAAAIAIdO&#10;4kD159ExtAEAAF8DAAAOAAAAAAAAAAEAIAAAACQBAABkcnMvZTJvRG9jLnhtbFBLBQYAAAAABgAG&#10;AFkBAABKBQAAAAA=&#10;">
                <v:fill on="f" focussize="0,0"/>
                <v:stroke on="f"/>
                <v:imagedata o:title=""/>
                <o:lock v:ext="edit" aspectratio="f"/>
                <v:textbox>
                  <w:txbxContent>
                    <w:p w14:paraId="2CABB68B">
                      <w:pPr>
                        <w:spacing w:line="240" w:lineRule="exact"/>
                        <w:rPr>
                          <w:rFonts w:ascii="宋体"/>
                        </w:rPr>
                      </w:pPr>
                      <w:r>
                        <w:rPr>
                          <w:rFonts w:hint="eastAsia" w:ascii="楷体_GB2312" w:hAnsi="宋体" w:eastAsia="楷体_GB2312"/>
                          <w:b/>
                          <w:bCs/>
                          <w:sz w:val="18"/>
                          <w:szCs w:val="18"/>
                        </w:rPr>
                        <w:t>管理要求</w:t>
                      </w:r>
                    </w:p>
                  </w:txbxContent>
                </v:textbox>
              </v:shape>
            </w:pict>
          </mc:Fallback>
        </mc:AlternateContent>
      </w:r>
      <w:r>
        <w:rPr>
          <w:rFonts w:hint="eastAsia" w:hAnsi="宋体"/>
          <w:color w:val="auto"/>
          <w:sz w:val="24"/>
          <w:szCs w:val="18"/>
        </w:rPr>
        <w:t>安全文明施工费专款专用，承包人应在财务账目中单独列项备查，不得挪作他用，否则造价工程师有权责令其限期改正；逾期未改正的，可以责令其暂停施工，由此造成的损失和延误的工期由承包人承担。</w:t>
      </w:r>
    </w:p>
    <w:p w14:paraId="46BCA50D">
      <w:pPr>
        <w:pStyle w:val="2"/>
        <w:tabs>
          <w:tab w:val="left" w:pos="1620"/>
        </w:tabs>
        <w:adjustRightInd w:val="0"/>
        <w:snapToGrid w:val="0"/>
        <w:spacing w:line="360" w:lineRule="auto"/>
        <w:rPr>
          <w:color w:val="auto"/>
        </w:rPr>
      </w:pPr>
    </w:p>
    <w:p w14:paraId="5E0B1749">
      <w:pPr>
        <w:pStyle w:val="2"/>
        <w:tabs>
          <w:tab w:val="left" w:pos="540"/>
        </w:tabs>
        <w:adjustRightInd w:val="0"/>
        <w:snapToGrid w:val="0"/>
        <w:spacing w:before="240" w:beforeLines="100" w:line="360" w:lineRule="auto"/>
        <w:ind w:right="-238"/>
        <w:rPr>
          <w:rFonts w:hAnsi="宋体"/>
          <w:b/>
          <w:color w:val="auto"/>
          <w:sz w:val="30"/>
          <w:szCs w:val="24"/>
        </w:rPr>
      </w:pPr>
      <w:r>
        <w:rPr>
          <w:rFonts w:hAnsi="宋体"/>
          <w:b/>
          <w:color w:val="auto"/>
          <w:sz w:val="30"/>
          <w:szCs w:val="24"/>
        </w:rPr>
        <w:t xml:space="preserve">81  </w:t>
      </w:r>
      <w:r>
        <w:rPr>
          <w:rFonts w:hint="eastAsia" w:hAnsi="宋体"/>
          <w:b/>
          <w:color w:val="auto"/>
          <w:sz w:val="30"/>
          <w:szCs w:val="24"/>
        </w:rPr>
        <w:t>进度款</w:t>
      </w:r>
    </w:p>
    <w:p w14:paraId="32BC62B1">
      <w:pPr>
        <w:pStyle w:val="2"/>
        <w:adjustRightInd w:val="0"/>
        <w:snapToGrid w:val="0"/>
        <w:spacing w:line="360" w:lineRule="auto"/>
        <w:rPr>
          <w:rFonts w:hAnsi="宋体"/>
          <w:b/>
          <w:color w:val="auto"/>
          <w:sz w:val="24"/>
          <w:szCs w:val="18"/>
        </w:rPr>
      </w:pPr>
      <w:r>
        <w:rPr>
          <w:rFonts w:hAnsi="宋体"/>
          <w:b/>
          <w:color w:val="auto"/>
          <w:sz w:val="24"/>
          <w:szCs w:val="18"/>
        </w:rPr>
        <w:t>81.1</w:t>
      </w:r>
    </w:p>
    <w:p w14:paraId="055EA582">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2009472" behindDoc="0" locked="0" layoutInCell="1" allowOverlap="1">
                <wp:simplePos x="0" y="0"/>
                <wp:positionH relativeFrom="column">
                  <wp:posOffset>-114300</wp:posOffset>
                </wp:positionH>
                <wp:positionV relativeFrom="paragraph">
                  <wp:posOffset>8255</wp:posOffset>
                </wp:positionV>
                <wp:extent cx="914400" cy="686435"/>
                <wp:effectExtent l="0" t="0" r="0" b="0"/>
                <wp:wrapNone/>
                <wp:docPr id="390" name="文本框 390"/>
                <wp:cNvGraphicFramePr/>
                <a:graphic xmlns:a="http://schemas.openxmlformats.org/drawingml/2006/main">
                  <a:graphicData uri="http://schemas.microsoft.com/office/word/2010/wordprocessingShape">
                    <wps:wsp>
                      <wps:cNvSpPr txBox="1"/>
                      <wps:spPr>
                        <a:xfrm>
                          <a:off x="0" y="0"/>
                          <a:ext cx="914400" cy="686435"/>
                        </a:xfrm>
                        <a:prstGeom prst="rect">
                          <a:avLst/>
                        </a:prstGeom>
                        <a:noFill/>
                        <a:ln>
                          <a:noFill/>
                        </a:ln>
                        <a:effectLst/>
                      </wps:spPr>
                      <wps:txbx>
                        <w:txbxContent>
                          <w:p w14:paraId="3C0C4ED7">
                            <w:pPr>
                              <w:rPr>
                                <w:rFonts w:ascii="楷体_GB2312" w:hAnsi="宋体" w:eastAsia="楷体_GB2312"/>
                                <w:b/>
                                <w:bCs/>
                                <w:sz w:val="18"/>
                                <w:szCs w:val="18"/>
                              </w:rPr>
                            </w:pPr>
                            <w:r>
                              <w:rPr>
                                <w:rFonts w:hint="eastAsia" w:ascii="楷体_GB2312" w:hAnsi="宋体" w:eastAsia="楷体_GB2312"/>
                                <w:b/>
                                <w:bCs/>
                                <w:sz w:val="18"/>
                                <w:szCs w:val="18"/>
                              </w:rPr>
                              <w:t>约定支付期限和提交支付申请</w:t>
                            </w:r>
                          </w:p>
                        </w:txbxContent>
                      </wps:txbx>
                      <wps:bodyPr upright="1"/>
                    </wps:wsp>
                  </a:graphicData>
                </a:graphic>
              </wp:anchor>
            </w:drawing>
          </mc:Choice>
          <mc:Fallback>
            <w:pict>
              <v:shape id="_x0000_s1026" o:spid="_x0000_s1026" o:spt="202" type="#_x0000_t202" style="position:absolute;left:0pt;margin-left:-9pt;margin-top:0.65pt;height:54.05pt;width:72pt;z-index:252009472;mso-width-relative:page;mso-height-relative:page;" filled="f" stroked="f" coordsize="21600,21600" o:gfxdata="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Ylby&#10;79UAAAAJAQAADwAAAAAAAAABACAAAAAiAAAAZHJzL2Rvd25yZXYueG1sUEsBAhQAFAAAAAgAh07i&#10;QETIwv6zAQAAXwMAAA4AAAAAAAAAAQAgAAAAJAEAAGRycy9lMm9Eb2MueG1sUEsFBgAAAAAGAAYA&#10;WQEAAEkFAAAAAA==&#10;">
                <v:fill on="f" focussize="0,0"/>
                <v:stroke on="f"/>
                <v:imagedata o:title=""/>
                <o:lock v:ext="edit" aspectratio="f"/>
                <v:textbox>
                  <w:txbxContent>
                    <w:p w14:paraId="3C0C4ED7">
                      <w:pPr>
                        <w:rPr>
                          <w:rFonts w:ascii="楷体_GB2312" w:hAnsi="宋体" w:eastAsia="楷体_GB2312"/>
                          <w:b/>
                          <w:bCs/>
                          <w:sz w:val="18"/>
                          <w:szCs w:val="18"/>
                        </w:rPr>
                      </w:pPr>
                      <w:r>
                        <w:rPr>
                          <w:rFonts w:hint="eastAsia" w:ascii="楷体_GB2312" w:hAnsi="宋体" w:eastAsia="楷体_GB2312"/>
                          <w:b/>
                          <w:bCs/>
                          <w:sz w:val="18"/>
                          <w:szCs w:val="18"/>
                        </w:rPr>
                        <w:t>约定支付期限和提交支付申请</w:t>
                      </w:r>
                    </w:p>
                  </w:txbxContent>
                </v:textbox>
              </v:shape>
            </w:pict>
          </mc:Fallback>
        </mc:AlternateContent>
      </w:r>
      <w:r>
        <w:rPr>
          <w:rFonts w:hint="eastAsia" w:hAnsi="宋体"/>
          <w:color w:val="auto"/>
          <w:sz w:val="24"/>
          <w:szCs w:val="18"/>
        </w:rPr>
        <w:t>合同双方当事人应在专用条款中明确进度款支付期的时限。专用条款没有约定的，支付期以月为单位。涉及政府投资资金的工程，支付期、支付方法等需调整的，应在专用条款中约定。</w:t>
      </w:r>
    </w:p>
    <w:p w14:paraId="7ADCE405">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2010496" behindDoc="0" locked="0" layoutInCell="1" allowOverlap="1">
                <wp:simplePos x="0" y="0"/>
                <wp:positionH relativeFrom="column">
                  <wp:posOffset>-228600</wp:posOffset>
                </wp:positionH>
                <wp:positionV relativeFrom="paragraph">
                  <wp:posOffset>9359900</wp:posOffset>
                </wp:positionV>
                <wp:extent cx="1409700" cy="597535"/>
                <wp:effectExtent l="0" t="0" r="0" b="0"/>
                <wp:wrapNone/>
                <wp:docPr id="391" name="文本框 391"/>
                <wp:cNvGraphicFramePr/>
                <a:graphic xmlns:a="http://schemas.openxmlformats.org/drawingml/2006/main">
                  <a:graphicData uri="http://schemas.microsoft.com/office/word/2010/wordprocessingShape">
                    <wps:wsp>
                      <wps:cNvSpPr txBox="1"/>
                      <wps:spPr>
                        <a:xfrm>
                          <a:off x="0" y="0"/>
                          <a:ext cx="1409700" cy="597535"/>
                        </a:xfrm>
                        <a:prstGeom prst="rect">
                          <a:avLst/>
                        </a:prstGeom>
                        <a:noFill/>
                        <a:ln>
                          <a:noFill/>
                        </a:ln>
                        <a:effectLst/>
                      </wps:spPr>
                      <wps:txbx>
                        <w:txbxContent>
                          <w:p w14:paraId="787E4779">
                            <w:pPr>
                              <w:spacing w:line="240" w:lineRule="exact"/>
                              <w:rPr>
                                <w:rFonts w:eastAsia="楷体_GB2312"/>
                                <w:b/>
                                <w:bCs/>
                                <w:sz w:val="18"/>
                                <w:szCs w:val="18"/>
                              </w:rPr>
                            </w:pPr>
                            <w:r>
                              <w:rPr>
                                <w:rFonts w:hint="eastAsia" w:eastAsia="楷体_GB2312"/>
                                <w:b/>
                                <w:bCs/>
                                <w:sz w:val="18"/>
                                <w:szCs w:val="18"/>
                              </w:rPr>
                              <w:t>安全文明施工费</w:t>
                            </w:r>
                          </w:p>
                          <w:p w14:paraId="4A249619">
                            <w:pPr>
                              <w:spacing w:line="240" w:lineRule="exact"/>
                              <w:rPr>
                                <w:rFonts w:eastAsia="楷体_GB2312"/>
                                <w:b/>
                                <w:bCs/>
                                <w:sz w:val="18"/>
                                <w:szCs w:val="18"/>
                              </w:rPr>
                            </w:pPr>
                            <w:r>
                              <w:rPr>
                                <w:rFonts w:hint="eastAsia" w:eastAsia="楷体_GB2312"/>
                                <w:b/>
                                <w:bCs/>
                                <w:sz w:val="18"/>
                                <w:szCs w:val="18"/>
                              </w:rPr>
                              <w:t>支付申请的提交、</w:t>
                            </w:r>
                          </w:p>
                          <w:p w14:paraId="5C1E4205">
                            <w:pPr>
                              <w:spacing w:line="240" w:lineRule="exact"/>
                              <w:rPr>
                                <w:rFonts w:eastAsia="楷体_GB2312"/>
                                <w:b/>
                                <w:bCs/>
                                <w:sz w:val="18"/>
                                <w:szCs w:val="18"/>
                              </w:rPr>
                            </w:pPr>
                            <w:r>
                              <w:rPr>
                                <w:rFonts w:hint="eastAsia" w:eastAsia="楷体_GB2312"/>
                                <w:b/>
                                <w:bCs/>
                                <w:sz w:val="18"/>
                                <w:szCs w:val="18"/>
                              </w:rPr>
                              <w:t>核实与支付</w:t>
                            </w:r>
                          </w:p>
                          <w:p w14:paraId="4117D10A">
                            <w:pPr>
                              <w:rPr>
                                <w:rFonts w:eastAsia="楷体_GB2312"/>
                                <w:b/>
                                <w:bCs/>
                                <w:sz w:val="18"/>
                                <w:szCs w:val="18"/>
                              </w:rPr>
                            </w:pPr>
                          </w:p>
                        </w:txbxContent>
                      </wps:txbx>
                      <wps:bodyPr upright="1"/>
                    </wps:wsp>
                  </a:graphicData>
                </a:graphic>
              </wp:anchor>
            </w:drawing>
          </mc:Choice>
          <mc:Fallback>
            <w:pict>
              <v:shape id="_x0000_s1026" o:spid="_x0000_s1026" o:spt="202" type="#_x0000_t202" style="position:absolute;left:0pt;margin-left:-18pt;margin-top:737pt;height:47.05pt;width:111pt;z-index:252010496;mso-width-relative:page;mso-height-relative:page;" filled="f" stroked="f" coordsize="21600,21600" o:gfxdata="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C&#10;YDi11wAAAA0BAAAPAAAAAAAAAAEAIAAAACIAAABkcnMvZG93bnJldi54bWxQSwECFAAUAAAACACH&#10;TuJAh2+xO7MBAABgAwAADgAAAAAAAAABACAAAAAmAQAAZHJzL2Uyb0RvYy54bWxQSwUGAAAAAAYA&#10;BgBZAQAASwUAAAAA&#10;">
                <v:fill on="f" focussize="0,0"/>
                <v:stroke on="f"/>
                <v:imagedata o:title=""/>
                <o:lock v:ext="edit" aspectratio="f"/>
                <v:textbox>
                  <w:txbxContent>
                    <w:p w14:paraId="787E4779">
                      <w:pPr>
                        <w:spacing w:line="240" w:lineRule="exact"/>
                        <w:rPr>
                          <w:rFonts w:eastAsia="楷体_GB2312"/>
                          <w:b/>
                          <w:bCs/>
                          <w:sz w:val="18"/>
                          <w:szCs w:val="18"/>
                        </w:rPr>
                      </w:pPr>
                      <w:r>
                        <w:rPr>
                          <w:rFonts w:hint="eastAsia" w:eastAsia="楷体_GB2312"/>
                          <w:b/>
                          <w:bCs/>
                          <w:sz w:val="18"/>
                          <w:szCs w:val="18"/>
                        </w:rPr>
                        <w:t>安全文明施工费</w:t>
                      </w:r>
                    </w:p>
                    <w:p w14:paraId="4A249619">
                      <w:pPr>
                        <w:spacing w:line="240" w:lineRule="exact"/>
                        <w:rPr>
                          <w:rFonts w:eastAsia="楷体_GB2312"/>
                          <w:b/>
                          <w:bCs/>
                          <w:sz w:val="18"/>
                          <w:szCs w:val="18"/>
                        </w:rPr>
                      </w:pPr>
                      <w:r>
                        <w:rPr>
                          <w:rFonts w:hint="eastAsia" w:eastAsia="楷体_GB2312"/>
                          <w:b/>
                          <w:bCs/>
                          <w:sz w:val="18"/>
                          <w:szCs w:val="18"/>
                        </w:rPr>
                        <w:t>支付申请的提交、</w:t>
                      </w:r>
                    </w:p>
                    <w:p w14:paraId="5C1E4205">
                      <w:pPr>
                        <w:spacing w:line="240" w:lineRule="exact"/>
                        <w:rPr>
                          <w:rFonts w:eastAsia="楷体_GB2312"/>
                          <w:b/>
                          <w:bCs/>
                          <w:sz w:val="18"/>
                          <w:szCs w:val="18"/>
                        </w:rPr>
                      </w:pPr>
                      <w:r>
                        <w:rPr>
                          <w:rFonts w:hint="eastAsia" w:eastAsia="楷体_GB2312"/>
                          <w:b/>
                          <w:bCs/>
                          <w:sz w:val="18"/>
                          <w:szCs w:val="18"/>
                        </w:rPr>
                        <w:t>核实与支付</w:t>
                      </w:r>
                    </w:p>
                    <w:p w14:paraId="4117D10A">
                      <w:pPr>
                        <w:rPr>
                          <w:rFonts w:eastAsia="楷体_GB2312"/>
                          <w:b/>
                          <w:bCs/>
                          <w:sz w:val="18"/>
                          <w:szCs w:val="18"/>
                        </w:rPr>
                      </w:pPr>
                    </w:p>
                  </w:txbxContent>
                </v:textbox>
              </v:shape>
            </w:pict>
          </mc:Fallback>
        </mc:AlternateContent>
      </w:r>
      <w:r>
        <w:rPr>
          <w:rFonts w:hint="eastAsia" w:hAnsi="宋体"/>
          <w:color w:val="auto"/>
          <w:sz w:val="24"/>
          <w:szCs w:val="18"/>
        </w:rPr>
        <w:t>承包人应在每个支付期结束后的</w:t>
      </w:r>
      <w:r>
        <w:rPr>
          <w:rFonts w:hAnsi="宋体"/>
          <w:color w:val="auto"/>
          <w:sz w:val="24"/>
          <w:szCs w:val="18"/>
        </w:rPr>
        <w:t>7</w:t>
      </w:r>
      <w:r>
        <w:rPr>
          <w:rFonts w:hint="eastAsia" w:hAnsi="宋体"/>
          <w:color w:val="auto"/>
          <w:sz w:val="24"/>
          <w:szCs w:val="18"/>
        </w:rPr>
        <w:t>天内向造价工程师提交由承包人代表签署的支付申请和已完工程款额报告一式四份，详细说明此支付期间自己认为有权得到的款项，包括分包人已完工程款，同时抄送发包人。该支付申请的内容包括：</w:t>
      </w:r>
    </w:p>
    <w:p w14:paraId="43648C8B">
      <w:pPr>
        <w:pStyle w:val="2"/>
        <w:numPr>
          <w:ilvl w:val="0"/>
          <w:numId w:val="27"/>
        </w:numPr>
        <w:adjustRightInd w:val="0"/>
        <w:snapToGrid w:val="0"/>
        <w:spacing w:line="360" w:lineRule="auto"/>
        <w:ind w:left="1620" w:firstLine="0"/>
        <w:rPr>
          <w:rFonts w:hAnsi="宋体"/>
          <w:color w:val="auto"/>
          <w:sz w:val="24"/>
          <w:szCs w:val="18"/>
        </w:rPr>
      </w:pPr>
      <w:r>
        <w:rPr>
          <w:rFonts w:hint="eastAsia" w:hAnsi="宋体"/>
          <w:color w:val="auto"/>
          <w:sz w:val="24"/>
          <w:szCs w:val="18"/>
        </w:rPr>
        <w:t>已完工程款；</w:t>
      </w:r>
    </w:p>
    <w:p w14:paraId="5E6EAE65">
      <w:pPr>
        <w:pStyle w:val="2"/>
        <w:numPr>
          <w:ilvl w:val="0"/>
          <w:numId w:val="27"/>
        </w:numPr>
        <w:adjustRightInd w:val="0"/>
        <w:snapToGrid w:val="0"/>
        <w:spacing w:line="360" w:lineRule="auto"/>
        <w:ind w:left="1620" w:firstLine="0"/>
        <w:rPr>
          <w:rFonts w:hAnsi="宋体"/>
          <w:color w:val="auto"/>
          <w:sz w:val="24"/>
          <w:szCs w:val="18"/>
        </w:rPr>
      </w:pPr>
      <w:r>
        <w:rPr>
          <w:rFonts w:hint="eastAsia" w:hAnsi="宋体"/>
          <w:color w:val="auto"/>
          <w:sz w:val="24"/>
          <w:szCs w:val="18"/>
        </w:rPr>
        <w:t>已实际支付的工程款；</w:t>
      </w:r>
    </w:p>
    <w:p w14:paraId="6FDDDC2B">
      <w:pPr>
        <w:pStyle w:val="2"/>
        <w:numPr>
          <w:ilvl w:val="0"/>
          <w:numId w:val="27"/>
        </w:numPr>
        <w:adjustRightInd w:val="0"/>
        <w:snapToGrid w:val="0"/>
        <w:spacing w:line="360" w:lineRule="auto"/>
        <w:ind w:left="1620" w:firstLine="0"/>
        <w:rPr>
          <w:rFonts w:hAnsi="宋体"/>
          <w:color w:val="auto"/>
          <w:sz w:val="24"/>
          <w:szCs w:val="18"/>
        </w:rPr>
      </w:pPr>
      <w:r>
        <w:rPr>
          <w:rFonts w:hint="eastAsia" w:hAnsi="宋体"/>
          <w:color w:val="auto"/>
          <w:sz w:val="24"/>
          <w:szCs w:val="18"/>
        </w:rPr>
        <w:t>本期间完成的工程款；</w:t>
      </w:r>
    </w:p>
    <w:p w14:paraId="7009ED19">
      <w:pPr>
        <w:pStyle w:val="2"/>
        <w:numPr>
          <w:ilvl w:val="0"/>
          <w:numId w:val="27"/>
        </w:numPr>
        <w:adjustRightInd w:val="0"/>
        <w:snapToGrid w:val="0"/>
        <w:spacing w:line="360" w:lineRule="auto"/>
        <w:ind w:left="1620" w:firstLine="0"/>
        <w:rPr>
          <w:rFonts w:hAnsi="宋体"/>
          <w:color w:val="auto"/>
          <w:sz w:val="24"/>
          <w:szCs w:val="18"/>
        </w:rPr>
      </w:pPr>
      <w:r>
        <w:rPr>
          <w:rFonts w:hint="eastAsia" w:hAnsi="宋体"/>
          <w:color w:val="auto"/>
          <w:sz w:val="24"/>
          <w:szCs w:val="18"/>
        </w:rPr>
        <w:t>本期间完成的计日工费用；</w:t>
      </w:r>
    </w:p>
    <w:p w14:paraId="56B254F2">
      <w:pPr>
        <w:pStyle w:val="2"/>
        <w:numPr>
          <w:ilvl w:val="0"/>
          <w:numId w:val="27"/>
        </w:numPr>
        <w:adjustRightInd w:val="0"/>
        <w:snapToGrid w:val="0"/>
        <w:spacing w:line="360" w:lineRule="auto"/>
        <w:ind w:left="1620" w:firstLine="0"/>
        <w:rPr>
          <w:rFonts w:hAnsi="宋体"/>
          <w:color w:val="auto"/>
          <w:sz w:val="24"/>
          <w:szCs w:val="18"/>
        </w:rPr>
      </w:pPr>
      <w:r>
        <w:rPr>
          <w:rFonts w:hint="eastAsia" w:hAnsi="宋体"/>
          <w:color w:val="auto"/>
          <w:sz w:val="24"/>
          <w:szCs w:val="18"/>
        </w:rPr>
        <w:t>本期间应支付的暂列金额价款；</w:t>
      </w:r>
    </w:p>
    <w:p w14:paraId="7D2A65E5">
      <w:pPr>
        <w:pStyle w:val="2"/>
        <w:numPr>
          <w:ilvl w:val="0"/>
          <w:numId w:val="27"/>
        </w:numPr>
        <w:adjustRightInd w:val="0"/>
        <w:snapToGrid w:val="0"/>
        <w:spacing w:line="360" w:lineRule="auto"/>
        <w:ind w:left="1620" w:firstLine="0"/>
        <w:rPr>
          <w:rFonts w:hAnsi="宋体"/>
          <w:color w:val="auto"/>
          <w:sz w:val="24"/>
          <w:szCs w:val="18"/>
        </w:rPr>
      </w:pPr>
      <w:r>
        <w:rPr>
          <w:rFonts w:hint="eastAsia" w:hAnsi="宋体"/>
          <w:color w:val="auto"/>
          <w:sz w:val="24"/>
          <w:szCs w:val="18"/>
        </w:rPr>
        <w:t>根据第</w:t>
      </w:r>
      <w:r>
        <w:rPr>
          <w:rFonts w:hAnsi="宋体"/>
          <w:color w:val="auto"/>
          <w:sz w:val="24"/>
          <w:szCs w:val="18"/>
        </w:rPr>
        <w:t>66</w:t>
      </w:r>
      <w:r>
        <w:rPr>
          <w:rFonts w:hint="eastAsia" w:hAnsi="宋体"/>
          <w:color w:val="auto"/>
          <w:sz w:val="24"/>
          <w:szCs w:val="18"/>
        </w:rPr>
        <w:t>条规定本期间应扣除的误期赔偿费；</w:t>
      </w:r>
    </w:p>
    <w:p w14:paraId="098EED28">
      <w:pPr>
        <w:pStyle w:val="2"/>
        <w:numPr>
          <w:ilvl w:val="0"/>
          <w:numId w:val="27"/>
        </w:numPr>
        <w:adjustRightInd w:val="0"/>
        <w:snapToGrid w:val="0"/>
        <w:spacing w:line="360" w:lineRule="auto"/>
        <w:ind w:left="1620" w:firstLine="0"/>
        <w:rPr>
          <w:rFonts w:hAnsi="宋体"/>
          <w:color w:val="auto"/>
          <w:sz w:val="24"/>
          <w:szCs w:val="18"/>
        </w:rPr>
      </w:pPr>
      <w:r>
        <w:rPr>
          <w:rFonts w:hint="eastAsia" w:hAnsi="宋体"/>
          <w:color w:val="auto"/>
          <w:sz w:val="24"/>
          <w:szCs w:val="18"/>
        </w:rPr>
        <w:t>根据第</w:t>
      </w:r>
      <w:r>
        <w:rPr>
          <w:rFonts w:hAnsi="宋体"/>
          <w:color w:val="auto"/>
          <w:sz w:val="24"/>
          <w:szCs w:val="18"/>
        </w:rPr>
        <w:t>68</w:t>
      </w:r>
      <w:r>
        <w:rPr>
          <w:rFonts w:hint="eastAsia" w:hAnsi="宋体"/>
          <w:color w:val="auto"/>
          <w:sz w:val="24"/>
          <w:szCs w:val="18"/>
        </w:rPr>
        <w:t>条至第</w:t>
      </w:r>
      <w:r>
        <w:rPr>
          <w:rFonts w:hAnsi="宋体"/>
          <w:color w:val="auto"/>
          <w:sz w:val="24"/>
          <w:szCs w:val="18"/>
        </w:rPr>
        <w:t>76</w:t>
      </w:r>
      <w:r>
        <w:rPr>
          <w:rFonts w:hint="eastAsia" w:hAnsi="宋体"/>
          <w:color w:val="auto"/>
          <w:sz w:val="24"/>
          <w:szCs w:val="18"/>
        </w:rPr>
        <w:t>条规定本期间应支付的调整工程款；</w:t>
      </w:r>
    </w:p>
    <w:p w14:paraId="1F974C97">
      <w:pPr>
        <w:pStyle w:val="2"/>
        <w:numPr>
          <w:ilvl w:val="0"/>
          <w:numId w:val="27"/>
        </w:numPr>
        <w:adjustRightInd w:val="0"/>
        <w:snapToGrid w:val="0"/>
        <w:spacing w:line="360" w:lineRule="auto"/>
        <w:ind w:left="1620" w:firstLine="0"/>
        <w:rPr>
          <w:rFonts w:hAnsi="宋体"/>
          <w:color w:val="auto"/>
          <w:sz w:val="24"/>
          <w:szCs w:val="18"/>
        </w:rPr>
      </w:pPr>
      <w:r>
        <w:rPr>
          <w:rFonts w:hint="eastAsia" w:hAnsi="宋体"/>
          <w:color w:val="auto"/>
          <w:sz w:val="24"/>
          <w:szCs w:val="18"/>
        </w:rPr>
        <w:t>根据第</w:t>
      </w:r>
      <w:r>
        <w:rPr>
          <w:rFonts w:hAnsi="宋体"/>
          <w:color w:val="auto"/>
          <w:sz w:val="24"/>
          <w:szCs w:val="18"/>
        </w:rPr>
        <w:t>79</w:t>
      </w:r>
      <w:r>
        <w:rPr>
          <w:rFonts w:hint="eastAsia" w:hAnsi="宋体"/>
          <w:color w:val="auto"/>
          <w:sz w:val="24"/>
          <w:szCs w:val="18"/>
        </w:rPr>
        <w:t>条本期间应扣回的预付款；</w:t>
      </w:r>
    </w:p>
    <w:p w14:paraId="13E4FAEE">
      <w:pPr>
        <w:pStyle w:val="2"/>
        <w:numPr>
          <w:ilvl w:val="0"/>
          <w:numId w:val="27"/>
        </w:numPr>
        <w:tabs>
          <w:tab w:val="left" w:pos="2160"/>
        </w:tabs>
        <w:adjustRightInd w:val="0"/>
        <w:snapToGrid w:val="0"/>
        <w:spacing w:line="360" w:lineRule="auto"/>
        <w:ind w:left="1620" w:firstLine="0"/>
        <w:rPr>
          <w:rFonts w:hAnsi="宋体"/>
          <w:color w:val="auto"/>
          <w:sz w:val="24"/>
          <w:szCs w:val="18"/>
        </w:rPr>
      </w:pPr>
      <w:r>
        <w:rPr>
          <w:rFonts w:hint="eastAsia" w:hAnsi="宋体"/>
          <w:color w:val="auto"/>
          <w:sz w:val="24"/>
          <w:szCs w:val="18"/>
        </w:rPr>
        <w:t>根据第</w:t>
      </w:r>
      <w:r>
        <w:rPr>
          <w:rFonts w:hAnsi="宋体"/>
          <w:color w:val="auto"/>
          <w:sz w:val="24"/>
          <w:szCs w:val="18"/>
        </w:rPr>
        <w:t>80</w:t>
      </w:r>
      <w:r>
        <w:rPr>
          <w:rFonts w:hint="eastAsia" w:hAnsi="宋体"/>
          <w:color w:val="auto"/>
          <w:sz w:val="24"/>
          <w:szCs w:val="18"/>
        </w:rPr>
        <w:t>条规定本期间应支付或扣回的安全文明施工费；</w:t>
      </w:r>
    </w:p>
    <w:p w14:paraId="7543B9C8">
      <w:pPr>
        <w:pStyle w:val="2"/>
        <w:numPr>
          <w:ilvl w:val="0"/>
          <w:numId w:val="27"/>
        </w:numPr>
        <w:tabs>
          <w:tab w:val="left" w:pos="2160"/>
        </w:tabs>
        <w:adjustRightInd w:val="0"/>
        <w:snapToGrid w:val="0"/>
        <w:spacing w:line="360" w:lineRule="auto"/>
        <w:ind w:left="1620" w:firstLine="0"/>
        <w:rPr>
          <w:rFonts w:hAnsi="宋体"/>
          <w:color w:val="auto"/>
          <w:sz w:val="24"/>
          <w:szCs w:val="18"/>
        </w:rPr>
      </w:pPr>
      <w:r>
        <w:rPr>
          <w:rFonts w:hint="eastAsia" w:hAnsi="宋体"/>
          <w:color w:val="auto"/>
          <w:sz w:val="24"/>
          <w:szCs w:val="18"/>
        </w:rPr>
        <w:t>根据第</w:t>
      </w:r>
      <w:r>
        <w:rPr>
          <w:rFonts w:hAnsi="宋体"/>
          <w:color w:val="auto"/>
          <w:sz w:val="24"/>
          <w:szCs w:val="18"/>
        </w:rPr>
        <w:t>84</w:t>
      </w:r>
      <w:r>
        <w:rPr>
          <w:rFonts w:hint="eastAsia" w:hAnsi="宋体"/>
          <w:color w:val="auto"/>
          <w:sz w:val="24"/>
          <w:szCs w:val="18"/>
        </w:rPr>
        <w:t>条本期间应扣留的质量保证金；</w:t>
      </w:r>
    </w:p>
    <w:p w14:paraId="4BB84F2C">
      <w:pPr>
        <w:pStyle w:val="2"/>
        <w:numPr>
          <w:ilvl w:val="0"/>
          <w:numId w:val="27"/>
        </w:numPr>
        <w:tabs>
          <w:tab w:val="left" w:pos="2160"/>
        </w:tabs>
        <w:adjustRightInd w:val="0"/>
        <w:snapToGrid w:val="0"/>
        <w:spacing w:line="360" w:lineRule="auto"/>
        <w:ind w:left="1620" w:firstLine="0"/>
        <w:rPr>
          <w:rFonts w:hAnsi="宋体"/>
          <w:color w:val="auto"/>
          <w:sz w:val="24"/>
          <w:szCs w:val="18"/>
        </w:rPr>
      </w:pPr>
      <w:r>
        <w:rPr>
          <w:rFonts w:hint="eastAsia" w:hAnsi="宋体"/>
          <w:color w:val="auto"/>
          <w:sz w:val="24"/>
          <w:szCs w:val="18"/>
        </w:rPr>
        <w:t>根据合同约定，本期间应支付或扣留（回）的其他款项；</w:t>
      </w:r>
    </w:p>
    <w:p w14:paraId="16E95309">
      <w:pPr>
        <w:pStyle w:val="2"/>
        <w:numPr>
          <w:ilvl w:val="0"/>
          <w:numId w:val="27"/>
        </w:numPr>
        <w:tabs>
          <w:tab w:val="left" w:pos="2160"/>
        </w:tabs>
        <w:adjustRightInd w:val="0"/>
        <w:snapToGrid w:val="0"/>
        <w:spacing w:line="360" w:lineRule="auto"/>
        <w:ind w:left="1620" w:firstLine="0"/>
        <w:rPr>
          <w:rFonts w:hAnsi="宋体"/>
          <w:color w:val="auto"/>
          <w:sz w:val="24"/>
          <w:szCs w:val="18"/>
        </w:rPr>
      </w:pPr>
      <w:r>
        <w:rPr>
          <w:rFonts w:hint="eastAsia" w:hAnsi="宋体"/>
          <w:color w:val="auto"/>
          <w:sz w:val="24"/>
          <w:szCs w:val="18"/>
        </w:rPr>
        <w:t>本期间应支付的工程款。</w:t>
      </w:r>
    </w:p>
    <w:p w14:paraId="412E4FEA">
      <w:pPr>
        <w:pStyle w:val="2"/>
        <w:tabs>
          <w:tab w:val="left" w:pos="1320"/>
        </w:tabs>
        <w:adjustRightInd w:val="0"/>
        <w:snapToGrid w:val="0"/>
        <w:spacing w:line="360" w:lineRule="auto"/>
        <w:rPr>
          <w:rFonts w:hAnsi="宋体"/>
          <w:b/>
          <w:color w:val="auto"/>
          <w:sz w:val="24"/>
          <w:szCs w:val="18"/>
        </w:rPr>
      </w:pPr>
      <w:r>
        <w:rPr>
          <w:rFonts w:hAnsi="宋体"/>
          <w:b/>
          <w:color w:val="auto"/>
          <w:sz w:val="24"/>
          <w:szCs w:val="18"/>
        </w:rPr>
        <w:t xml:space="preserve">81.2 </w:t>
      </w:r>
    </w:p>
    <w:p w14:paraId="396A4E24">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2011520" behindDoc="0" locked="0" layoutInCell="1" allowOverlap="1">
                <wp:simplePos x="0" y="0"/>
                <wp:positionH relativeFrom="column">
                  <wp:posOffset>-114300</wp:posOffset>
                </wp:positionH>
                <wp:positionV relativeFrom="paragraph">
                  <wp:posOffset>0</wp:posOffset>
                </wp:positionV>
                <wp:extent cx="914400" cy="670560"/>
                <wp:effectExtent l="0" t="0" r="0" b="0"/>
                <wp:wrapNone/>
                <wp:docPr id="392" name="文本框 392"/>
                <wp:cNvGraphicFramePr/>
                <a:graphic xmlns:a="http://schemas.openxmlformats.org/drawingml/2006/main">
                  <a:graphicData uri="http://schemas.microsoft.com/office/word/2010/wordprocessingShape">
                    <wps:wsp>
                      <wps:cNvSpPr txBox="1"/>
                      <wps:spPr>
                        <a:xfrm>
                          <a:off x="0" y="0"/>
                          <a:ext cx="914400" cy="670560"/>
                        </a:xfrm>
                        <a:prstGeom prst="rect">
                          <a:avLst/>
                        </a:prstGeom>
                        <a:noFill/>
                        <a:ln>
                          <a:noFill/>
                        </a:ln>
                        <a:effectLst/>
                      </wps:spPr>
                      <wps:txbx>
                        <w:txbxContent>
                          <w:p w14:paraId="10D58AA3">
                            <w:pPr>
                              <w:rPr>
                                <w:rFonts w:ascii="楷体_GB2312" w:hAnsi="宋体" w:eastAsia="楷体_GB2312"/>
                                <w:b/>
                                <w:bCs/>
                                <w:sz w:val="18"/>
                                <w:szCs w:val="18"/>
                              </w:rPr>
                            </w:pPr>
                            <w:r>
                              <w:rPr>
                                <w:rFonts w:hint="eastAsia" w:ascii="楷体_GB2312" w:hAnsi="宋体" w:eastAsia="楷体_GB2312"/>
                                <w:b/>
                                <w:bCs/>
                                <w:sz w:val="18"/>
                                <w:szCs w:val="18"/>
                              </w:rPr>
                              <w:t>签发期中支付证书</w:t>
                            </w:r>
                          </w:p>
                        </w:txbxContent>
                      </wps:txbx>
                      <wps:bodyPr upright="1"/>
                    </wps:wsp>
                  </a:graphicData>
                </a:graphic>
              </wp:anchor>
            </w:drawing>
          </mc:Choice>
          <mc:Fallback>
            <w:pict>
              <v:shape id="_x0000_s1026" o:spid="_x0000_s1026" o:spt="202" type="#_x0000_t202" style="position:absolute;left:0pt;margin-left:-9pt;margin-top:0pt;height:52.8pt;width:72pt;z-index:252011520;mso-width-relative:page;mso-height-relative:page;" filled="f" stroked="f" coordsize="21600,21600" o:gfxdata="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h2FL&#10;CdQAAAAIAQAADwAAAAAAAAABACAAAAAiAAAAZHJzL2Rvd25yZXYueG1sUEsBAhQAFAAAAAgAh07i&#10;QEinTEC0AQAAXwMAAA4AAAAAAAAAAQAgAAAAIwEAAGRycy9lMm9Eb2MueG1sUEsFBgAAAAAGAAYA&#10;WQEAAEkFAAAAAA==&#10;">
                <v:fill on="f" focussize="0,0"/>
                <v:stroke on="f"/>
                <v:imagedata o:title=""/>
                <o:lock v:ext="edit" aspectratio="f"/>
                <v:textbox>
                  <w:txbxContent>
                    <w:p w14:paraId="10D58AA3">
                      <w:pPr>
                        <w:rPr>
                          <w:rFonts w:ascii="楷体_GB2312" w:hAnsi="宋体" w:eastAsia="楷体_GB2312"/>
                          <w:b/>
                          <w:bCs/>
                          <w:sz w:val="18"/>
                          <w:szCs w:val="18"/>
                        </w:rPr>
                      </w:pPr>
                      <w:r>
                        <w:rPr>
                          <w:rFonts w:hint="eastAsia" w:ascii="楷体_GB2312" w:hAnsi="宋体" w:eastAsia="楷体_GB2312"/>
                          <w:b/>
                          <w:bCs/>
                          <w:sz w:val="18"/>
                          <w:szCs w:val="18"/>
                        </w:rPr>
                        <w:t>签发期中支付证书</w:t>
                      </w:r>
                    </w:p>
                  </w:txbxContent>
                </v:textbox>
              </v:shape>
            </w:pict>
          </mc:Fallback>
        </mc:AlternateContent>
      </w:r>
      <w:r>
        <w:rPr>
          <w:rFonts w:hint="eastAsia" w:hAnsi="宋体"/>
          <w:color w:val="auto"/>
          <w:sz w:val="24"/>
          <w:szCs w:val="18"/>
        </w:rPr>
        <w:t>造价工程师在收到上述资料后，应按照第</w:t>
      </w:r>
      <w:r>
        <w:rPr>
          <w:rFonts w:hAnsi="宋体"/>
          <w:color w:val="auto"/>
          <w:sz w:val="24"/>
          <w:szCs w:val="18"/>
        </w:rPr>
        <w:t>62</w:t>
      </w:r>
      <w:r>
        <w:rPr>
          <w:rFonts w:hint="eastAsia" w:hAnsi="宋体"/>
          <w:color w:val="auto"/>
          <w:sz w:val="24"/>
          <w:szCs w:val="18"/>
        </w:rPr>
        <w:t>条的规定进行计量，并根据计量结果和合同约定对资料内容予以核实。在收到上述资料后的</w:t>
      </w:r>
      <w:r>
        <w:rPr>
          <w:rFonts w:hAnsi="宋体"/>
          <w:color w:val="auto"/>
          <w:sz w:val="24"/>
          <w:szCs w:val="18"/>
        </w:rPr>
        <w:t>28</w:t>
      </w:r>
      <w:r>
        <w:rPr>
          <w:rFonts w:hint="eastAsia" w:hAnsi="宋体"/>
          <w:color w:val="auto"/>
          <w:sz w:val="24"/>
          <w:szCs w:val="18"/>
        </w:rPr>
        <w:t>天内报发包人确认后向发包人签发期中支付证书，同时抄送承包人。</w:t>
      </w:r>
    </w:p>
    <w:p w14:paraId="1551F12C">
      <w:pPr>
        <w:pStyle w:val="2"/>
        <w:adjustRightInd w:val="0"/>
        <w:snapToGrid w:val="0"/>
        <w:spacing w:line="360" w:lineRule="auto"/>
        <w:ind w:left="1619" w:leftChars="771"/>
        <w:rPr>
          <w:rFonts w:hAnsi="宋体"/>
          <w:color w:val="auto"/>
          <w:sz w:val="24"/>
          <w:szCs w:val="18"/>
        </w:rPr>
      </w:pPr>
      <w:r>
        <w:rPr>
          <w:rFonts w:hint="eastAsia" w:hAnsi="宋体"/>
          <w:color w:val="auto"/>
          <w:sz w:val="24"/>
          <w:szCs w:val="18"/>
        </w:rPr>
        <w:t>如果该支付期间应支付金额少于专用条款约定的期中支付证书的最低限额时，造价工程师不必按照本款开具任何支付证书，但应通知发包人和承包人。上述款额转期结算，直到应支付的款额累计达到专用条款约定的期中支付证书的最低限额为止。</w:t>
      </w:r>
    </w:p>
    <w:p w14:paraId="141D81BC">
      <w:pPr>
        <w:pStyle w:val="2"/>
        <w:adjustRightInd w:val="0"/>
        <w:snapToGrid w:val="0"/>
        <w:spacing w:line="360" w:lineRule="auto"/>
        <w:ind w:left="1619" w:leftChars="771"/>
        <w:rPr>
          <w:rFonts w:hAnsi="宋体"/>
          <w:color w:val="auto"/>
          <w:sz w:val="24"/>
          <w:szCs w:val="18"/>
        </w:rPr>
      </w:pPr>
      <w:r>
        <w:rPr>
          <w:rFonts w:hint="eastAsia" w:hAnsi="宋体"/>
          <w:color w:val="auto"/>
          <w:sz w:val="24"/>
          <w:szCs w:val="18"/>
        </w:rPr>
        <w:t>造价工程师签发期中支付证书，不应视为发包人已同意、批准或接受了承包人完成该部分工作。</w:t>
      </w:r>
    </w:p>
    <w:p w14:paraId="60E9F468">
      <w:pPr>
        <w:pStyle w:val="2"/>
        <w:tabs>
          <w:tab w:val="left" w:pos="1320"/>
        </w:tabs>
        <w:adjustRightInd w:val="0"/>
        <w:snapToGrid w:val="0"/>
        <w:spacing w:line="360" w:lineRule="auto"/>
        <w:rPr>
          <w:rFonts w:hAnsi="宋体"/>
          <w:b/>
          <w:color w:val="auto"/>
          <w:sz w:val="24"/>
          <w:szCs w:val="18"/>
        </w:rPr>
      </w:pPr>
      <w:r>
        <w:rPr>
          <w:rFonts w:hAnsi="宋体"/>
          <w:b/>
          <w:color w:val="auto"/>
          <w:sz w:val="24"/>
          <w:szCs w:val="18"/>
        </w:rPr>
        <w:t xml:space="preserve">81.3  </w:t>
      </w:r>
    </w:p>
    <w:p w14:paraId="7D8D981A">
      <w:pPr>
        <w:pStyle w:val="2"/>
        <w:adjustRightInd w:val="0"/>
        <w:snapToGrid w:val="0"/>
        <w:spacing w:line="360" w:lineRule="auto"/>
        <w:ind w:left="1619" w:leftChars="771"/>
        <w:rPr>
          <w:rFonts w:hAnsi="宋体"/>
          <w:b/>
          <w:color w:val="auto"/>
          <w:sz w:val="24"/>
          <w:szCs w:val="18"/>
        </w:rPr>
      </w:pPr>
      <w:r>
        <w:rPr>
          <w:color w:val="auto"/>
        </w:rPr>
        <mc:AlternateContent>
          <mc:Choice Requires="wps">
            <w:drawing>
              <wp:anchor distT="0" distB="0" distL="114300" distR="114300" simplePos="0" relativeHeight="252012544" behindDoc="0" locked="0" layoutInCell="1" allowOverlap="1">
                <wp:simplePos x="0" y="0"/>
                <wp:positionH relativeFrom="column">
                  <wp:posOffset>-114300</wp:posOffset>
                </wp:positionH>
                <wp:positionV relativeFrom="paragraph">
                  <wp:posOffset>6350</wp:posOffset>
                </wp:positionV>
                <wp:extent cx="1028700" cy="267970"/>
                <wp:effectExtent l="0" t="0" r="0" b="0"/>
                <wp:wrapNone/>
                <wp:docPr id="393" name="文本框 393"/>
                <wp:cNvGraphicFramePr/>
                <a:graphic xmlns:a="http://schemas.openxmlformats.org/drawingml/2006/main">
                  <a:graphicData uri="http://schemas.microsoft.com/office/word/2010/wordprocessingShape">
                    <wps:wsp>
                      <wps:cNvSpPr txBox="1"/>
                      <wps:spPr>
                        <a:xfrm>
                          <a:off x="0" y="0"/>
                          <a:ext cx="1028700" cy="267970"/>
                        </a:xfrm>
                        <a:prstGeom prst="rect">
                          <a:avLst/>
                        </a:prstGeom>
                        <a:noFill/>
                        <a:ln>
                          <a:noFill/>
                        </a:ln>
                        <a:effectLst/>
                      </wps:spPr>
                      <wps:txbx>
                        <w:txbxContent>
                          <w:p w14:paraId="43B25450">
                            <w:pPr>
                              <w:rPr>
                                <w:rFonts w:ascii="楷体_GB2312" w:hAnsi="宋体" w:eastAsia="楷体_GB2312"/>
                                <w:b/>
                                <w:bCs/>
                                <w:sz w:val="18"/>
                                <w:szCs w:val="18"/>
                              </w:rPr>
                            </w:pPr>
                            <w:r>
                              <w:rPr>
                                <w:rFonts w:hint="eastAsia" w:ascii="楷体_GB2312" w:hAnsi="宋体" w:eastAsia="楷体_GB2312"/>
                                <w:b/>
                                <w:bCs/>
                                <w:sz w:val="18"/>
                                <w:szCs w:val="18"/>
                              </w:rPr>
                              <w:t>进度款支付</w:t>
                            </w:r>
                          </w:p>
                        </w:txbxContent>
                      </wps:txbx>
                      <wps:bodyPr upright="1"/>
                    </wps:wsp>
                  </a:graphicData>
                </a:graphic>
              </wp:anchor>
            </w:drawing>
          </mc:Choice>
          <mc:Fallback>
            <w:pict>
              <v:shape id="_x0000_s1026" o:spid="_x0000_s1026" o:spt="202" type="#_x0000_t202" style="position:absolute;left:0pt;margin-left:-9pt;margin-top:0.5pt;height:21.1pt;width:81pt;z-index:252012544;mso-width-relative:page;mso-height-relative:page;" filled="f" stroked="f" coordsize="21600,21600" o:gfxdata="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Masy6&#10;1AAAAAgBAAAPAAAAAAAAAAEAIAAAACIAAABkcnMvZG93bnJldi54bWxQSwECFAAUAAAACACHTuJA&#10;10SzvbMBAABgAwAADgAAAAAAAAABACAAAAAjAQAAZHJzL2Uyb0RvYy54bWxQSwUGAAAAAAYABgBZ&#10;AQAASAUAAAAA&#10;">
                <v:fill on="f" focussize="0,0"/>
                <v:stroke on="f"/>
                <v:imagedata o:title=""/>
                <o:lock v:ext="edit" aspectratio="f"/>
                <v:textbox>
                  <w:txbxContent>
                    <w:p w14:paraId="43B25450">
                      <w:pPr>
                        <w:rPr>
                          <w:rFonts w:ascii="楷体_GB2312" w:hAnsi="宋体" w:eastAsia="楷体_GB2312"/>
                          <w:b/>
                          <w:bCs/>
                          <w:sz w:val="18"/>
                          <w:szCs w:val="18"/>
                        </w:rPr>
                      </w:pPr>
                      <w:r>
                        <w:rPr>
                          <w:rFonts w:hint="eastAsia" w:ascii="楷体_GB2312" w:hAnsi="宋体" w:eastAsia="楷体_GB2312"/>
                          <w:b/>
                          <w:bCs/>
                          <w:sz w:val="18"/>
                          <w:szCs w:val="18"/>
                        </w:rPr>
                        <w:t>进度款支付</w:t>
                      </w:r>
                    </w:p>
                  </w:txbxContent>
                </v:textbox>
              </v:shape>
            </w:pict>
          </mc:Fallback>
        </mc:AlternateContent>
      </w:r>
      <w:r>
        <w:rPr>
          <w:rFonts w:hint="eastAsia" w:hAnsi="宋体"/>
          <w:color w:val="auto"/>
          <w:sz w:val="24"/>
          <w:szCs w:val="18"/>
        </w:rPr>
        <w:t>发包人应在造价工程师签发期中支付证书后的</w:t>
      </w:r>
      <w:r>
        <w:rPr>
          <w:rFonts w:hAnsi="宋体"/>
          <w:color w:val="auto"/>
          <w:sz w:val="24"/>
          <w:szCs w:val="18"/>
        </w:rPr>
        <w:t>14</w:t>
      </w:r>
      <w:r>
        <w:rPr>
          <w:rFonts w:hint="eastAsia" w:hAnsi="宋体"/>
          <w:color w:val="auto"/>
          <w:sz w:val="24"/>
          <w:szCs w:val="18"/>
        </w:rPr>
        <w:t>天内，按照期中支付证书列明的金额向承包人支付进度款，并通知造价工程师。</w:t>
      </w:r>
    </w:p>
    <w:p w14:paraId="3FBD3094">
      <w:pPr>
        <w:pStyle w:val="2"/>
        <w:tabs>
          <w:tab w:val="left" w:pos="1320"/>
        </w:tabs>
        <w:adjustRightInd w:val="0"/>
        <w:snapToGrid w:val="0"/>
        <w:spacing w:line="360" w:lineRule="auto"/>
        <w:rPr>
          <w:rFonts w:hAnsi="宋体"/>
          <w:color w:val="auto"/>
          <w:sz w:val="24"/>
          <w:szCs w:val="18"/>
        </w:rPr>
      </w:pPr>
      <w:r>
        <w:rPr>
          <w:rFonts w:hAnsi="宋体"/>
          <w:b/>
          <w:color w:val="auto"/>
          <w:sz w:val="24"/>
          <w:szCs w:val="18"/>
        </w:rPr>
        <w:t>81.4</w:t>
      </w:r>
    </w:p>
    <w:p w14:paraId="39386A10">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2013568" behindDoc="0" locked="0" layoutInCell="1" allowOverlap="1">
                <wp:simplePos x="0" y="0"/>
                <wp:positionH relativeFrom="column">
                  <wp:posOffset>-114300</wp:posOffset>
                </wp:positionH>
                <wp:positionV relativeFrom="paragraph">
                  <wp:posOffset>8255</wp:posOffset>
                </wp:positionV>
                <wp:extent cx="914400" cy="647700"/>
                <wp:effectExtent l="0" t="0" r="0" b="0"/>
                <wp:wrapNone/>
                <wp:docPr id="394" name="文本框 394"/>
                <wp:cNvGraphicFramePr/>
                <a:graphic xmlns:a="http://schemas.openxmlformats.org/drawingml/2006/main">
                  <a:graphicData uri="http://schemas.microsoft.com/office/word/2010/wordprocessingShape">
                    <wps:wsp>
                      <wps:cNvSpPr txBox="1"/>
                      <wps:spPr>
                        <a:xfrm>
                          <a:off x="0" y="0"/>
                          <a:ext cx="914400" cy="647700"/>
                        </a:xfrm>
                        <a:prstGeom prst="rect">
                          <a:avLst/>
                        </a:prstGeom>
                        <a:noFill/>
                        <a:ln>
                          <a:noFill/>
                        </a:ln>
                        <a:effectLst/>
                      </wps:spPr>
                      <wps:txbx>
                        <w:txbxContent>
                          <w:p w14:paraId="56406C73">
                            <w:pPr>
                              <w:jc w:val="left"/>
                              <w:rPr>
                                <w:rFonts w:ascii="楷体_GB2312" w:hAnsi="宋体" w:eastAsia="楷体_GB2312"/>
                                <w:b/>
                                <w:bCs/>
                                <w:sz w:val="18"/>
                                <w:szCs w:val="18"/>
                              </w:rPr>
                            </w:pPr>
                            <w:r>
                              <w:rPr>
                                <w:rFonts w:hint="eastAsia" w:ascii="楷体_GB2312" w:hAnsi="宋体" w:eastAsia="楷体_GB2312"/>
                                <w:b/>
                                <w:bCs/>
                                <w:sz w:val="18"/>
                                <w:szCs w:val="18"/>
                              </w:rPr>
                              <w:t>签发期中支付证书的限制</w:t>
                            </w:r>
                          </w:p>
                        </w:txbxContent>
                      </wps:txbx>
                      <wps:bodyPr upright="1"/>
                    </wps:wsp>
                  </a:graphicData>
                </a:graphic>
              </wp:anchor>
            </w:drawing>
          </mc:Choice>
          <mc:Fallback>
            <w:pict>
              <v:shape id="_x0000_s1026" o:spid="_x0000_s1026" o:spt="202" type="#_x0000_t202" style="position:absolute;left:0pt;margin-left:-9pt;margin-top:0.65pt;height:51pt;width:72pt;z-index:252013568;mso-width-relative:page;mso-height-relative:page;" filled="f" stroked="f" coordsize="21600,21600" o:gfxdata="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F33Z&#10;8tUAAAAJAQAADwAAAAAAAAABACAAAAAiAAAAZHJzL2Rvd25yZXYueG1sUEsBAhQAFAAAAAgAh07i&#10;QNIQCmKzAQAAXwMAAA4AAAAAAAAAAQAgAAAAJAEAAGRycy9lMm9Eb2MueG1sUEsFBgAAAAAGAAYA&#10;WQEAAEkFAAAAAA==&#10;">
                <v:fill on="f" focussize="0,0"/>
                <v:stroke on="f"/>
                <v:imagedata o:title=""/>
                <o:lock v:ext="edit" aspectratio="f"/>
                <v:textbox>
                  <w:txbxContent>
                    <w:p w14:paraId="56406C73">
                      <w:pPr>
                        <w:jc w:val="left"/>
                        <w:rPr>
                          <w:rFonts w:ascii="楷体_GB2312" w:hAnsi="宋体" w:eastAsia="楷体_GB2312"/>
                          <w:b/>
                          <w:bCs/>
                          <w:sz w:val="18"/>
                          <w:szCs w:val="18"/>
                        </w:rPr>
                      </w:pPr>
                      <w:r>
                        <w:rPr>
                          <w:rFonts w:hint="eastAsia" w:ascii="楷体_GB2312" w:hAnsi="宋体" w:eastAsia="楷体_GB2312"/>
                          <w:b/>
                          <w:bCs/>
                          <w:sz w:val="18"/>
                          <w:szCs w:val="18"/>
                        </w:rPr>
                        <w:t>签发期中支付证书的限制</w:t>
                      </w:r>
                    </w:p>
                  </w:txbxContent>
                </v:textbox>
              </v:shape>
            </w:pict>
          </mc:Fallback>
        </mc:AlternateContent>
      </w:r>
      <w:r>
        <w:rPr>
          <w:rFonts w:hint="eastAsia" w:hAnsi="宋体"/>
          <w:color w:val="auto"/>
          <w:sz w:val="24"/>
          <w:szCs w:val="18"/>
        </w:rPr>
        <w:t>如果造价工程师未在第</w:t>
      </w:r>
      <w:r>
        <w:rPr>
          <w:rFonts w:hAnsi="宋体"/>
          <w:color w:val="auto"/>
          <w:sz w:val="24"/>
          <w:szCs w:val="18"/>
        </w:rPr>
        <w:t>81.2</w:t>
      </w:r>
      <w:r>
        <w:rPr>
          <w:rFonts w:hint="eastAsia" w:hAnsi="宋体"/>
          <w:color w:val="auto"/>
          <w:sz w:val="24"/>
          <w:szCs w:val="18"/>
        </w:rPr>
        <w:t>款规定的期限内签发期中支付证书</w:t>
      </w:r>
      <w:r>
        <w:rPr>
          <w:rFonts w:hint="eastAsia" w:hAnsi="宋体"/>
          <w:color w:val="auto"/>
          <w:sz w:val="24"/>
          <w:szCs w:val="24"/>
        </w:rPr>
        <w:t>的</w:t>
      </w:r>
      <w:r>
        <w:rPr>
          <w:rFonts w:hint="eastAsia" w:hAnsi="宋体"/>
          <w:color w:val="auto"/>
          <w:sz w:val="24"/>
          <w:szCs w:val="18"/>
        </w:rPr>
        <w:t>，则视为承包人提交的支付申请已被认可，承包人应及时向发包人发出要求支付的通知。发包人应在收到通知后的</w:t>
      </w:r>
      <w:r>
        <w:rPr>
          <w:rFonts w:hAnsi="宋体"/>
          <w:color w:val="auto"/>
          <w:sz w:val="24"/>
          <w:szCs w:val="18"/>
        </w:rPr>
        <w:t>14</w:t>
      </w:r>
      <w:r>
        <w:rPr>
          <w:rFonts w:hint="eastAsia" w:hAnsi="宋体"/>
          <w:color w:val="auto"/>
          <w:sz w:val="24"/>
          <w:szCs w:val="18"/>
        </w:rPr>
        <w:t>天内，按照承包人支付申请列明的金额向承包人支付进度款。</w:t>
      </w:r>
    </w:p>
    <w:p w14:paraId="2A228538">
      <w:pPr>
        <w:pStyle w:val="2"/>
        <w:tabs>
          <w:tab w:val="left" w:pos="1320"/>
        </w:tabs>
        <w:adjustRightInd w:val="0"/>
        <w:snapToGrid w:val="0"/>
        <w:spacing w:line="360" w:lineRule="auto"/>
        <w:rPr>
          <w:rFonts w:hAnsi="宋体"/>
          <w:b/>
          <w:color w:val="auto"/>
          <w:sz w:val="24"/>
          <w:szCs w:val="18"/>
        </w:rPr>
      </w:pPr>
      <w:r>
        <w:rPr>
          <w:rFonts w:hAnsi="宋体"/>
          <w:b/>
          <w:color w:val="auto"/>
          <w:sz w:val="24"/>
          <w:szCs w:val="18"/>
        </w:rPr>
        <w:t xml:space="preserve">81.5  </w:t>
      </w:r>
    </w:p>
    <w:p w14:paraId="3FCC41C8">
      <w:pPr>
        <w:pStyle w:val="3"/>
        <w:adjustRightInd w:val="0"/>
        <w:snapToGrid w:val="0"/>
        <w:spacing w:line="360" w:lineRule="auto"/>
        <w:ind w:left="1619" w:leftChars="771" w:firstLine="0"/>
        <w:rPr>
          <w:rFonts w:ascii="宋体"/>
          <w:color w:val="auto"/>
          <w:sz w:val="24"/>
          <w:szCs w:val="24"/>
        </w:rPr>
      </w:pPr>
      <w:r>
        <w:rPr>
          <w:color w:val="auto"/>
        </w:rPr>
        <mc:AlternateContent>
          <mc:Choice Requires="wps">
            <w:drawing>
              <wp:anchor distT="0" distB="0" distL="114300" distR="114300" simplePos="0" relativeHeight="252014592" behindDoc="0" locked="0" layoutInCell="1" allowOverlap="1">
                <wp:simplePos x="0" y="0"/>
                <wp:positionH relativeFrom="column">
                  <wp:posOffset>-114300</wp:posOffset>
                </wp:positionH>
                <wp:positionV relativeFrom="paragraph">
                  <wp:posOffset>12065</wp:posOffset>
                </wp:positionV>
                <wp:extent cx="914400" cy="647065"/>
                <wp:effectExtent l="0" t="0" r="0" b="0"/>
                <wp:wrapNone/>
                <wp:docPr id="395" name="文本框 395"/>
                <wp:cNvGraphicFramePr/>
                <a:graphic xmlns:a="http://schemas.openxmlformats.org/drawingml/2006/main">
                  <a:graphicData uri="http://schemas.microsoft.com/office/word/2010/wordprocessingShape">
                    <wps:wsp>
                      <wps:cNvSpPr txBox="1"/>
                      <wps:spPr>
                        <a:xfrm>
                          <a:off x="0" y="0"/>
                          <a:ext cx="914400" cy="647065"/>
                        </a:xfrm>
                        <a:prstGeom prst="rect">
                          <a:avLst/>
                        </a:prstGeom>
                        <a:noFill/>
                        <a:ln>
                          <a:noFill/>
                        </a:ln>
                        <a:effectLst/>
                      </wps:spPr>
                      <wps:txbx>
                        <w:txbxContent>
                          <w:p w14:paraId="3A700045">
                            <w:pPr>
                              <w:jc w:val="left"/>
                              <w:rPr>
                                <w:rFonts w:ascii="楷体_GB2312" w:hAnsi="宋体" w:eastAsia="楷体_GB2312"/>
                                <w:b/>
                                <w:bCs/>
                                <w:sz w:val="18"/>
                                <w:szCs w:val="18"/>
                              </w:rPr>
                            </w:pPr>
                            <w:r>
                              <w:rPr>
                                <w:rFonts w:hint="eastAsia" w:ascii="楷体_GB2312" w:hAnsi="宋体" w:eastAsia="楷体_GB2312"/>
                                <w:b/>
                                <w:bCs/>
                                <w:sz w:val="18"/>
                                <w:szCs w:val="18"/>
                              </w:rPr>
                              <w:t>进度款支付的限制</w:t>
                            </w:r>
                          </w:p>
                        </w:txbxContent>
                      </wps:txbx>
                      <wps:bodyPr upright="1"/>
                    </wps:wsp>
                  </a:graphicData>
                </a:graphic>
              </wp:anchor>
            </w:drawing>
          </mc:Choice>
          <mc:Fallback>
            <w:pict>
              <v:shape id="_x0000_s1026" o:spid="_x0000_s1026" o:spt="202" type="#_x0000_t202" style="position:absolute;left:0pt;margin-left:-9pt;margin-top:0.95pt;height:50.95pt;width:72pt;z-index:252014592;mso-width-relative:page;mso-height-relative:page;" filled="f" stroked="f" coordsize="21600,21600" o:gfxdata="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Dpj&#10;GV7VAAAACQEAAA8AAAAAAAAAAQAgAAAAIgAAAGRycy9kb3ducmV2LnhtbFBLAQIUABQAAAAIAIdO&#10;4kCHc/pRtAEAAF8DAAAOAAAAAAAAAAEAIAAAACQBAABkcnMvZTJvRG9jLnhtbFBLBQYAAAAABgAG&#10;AFkBAABKBQAAAAA=&#10;">
                <v:fill on="f" focussize="0,0"/>
                <v:stroke on="f"/>
                <v:imagedata o:title=""/>
                <o:lock v:ext="edit" aspectratio="f"/>
                <v:textbox>
                  <w:txbxContent>
                    <w:p w14:paraId="3A700045">
                      <w:pPr>
                        <w:jc w:val="left"/>
                        <w:rPr>
                          <w:rFonts w:ascii="楷体_GB2312" w:hAnsi="宋体" w:eastAsia="楷体_GB2312"/>
                          <w:b/>
                          <w:bCs/>
                          <w:sz w:val="18"/>
                          <w:szCs w:val="18"/>
                        </w:rPr>
                      </w:pPr>
                      <w:r>
                        <w:rPr>
                          <w:rFonts w:hint="eastAsia" w:ascii="楷体_GB2312" w:hAnsi="宋体" w:eastAsia="楷体_GB2312"/>
                          <w:b/>
                          <w:bCs/>
                          <w:sz w:val="18"/>
                          <w:szCs w:val="18"/>
                        </w:rPr>
                        <w:t>进度款支付的限制</w:t>
                      </w:r>
                    </w:p>
                  </w:txbxContent>
                </v:textbox>
              </v:shape>
            </w:pict>
          </mc:Fallback>
        </mc:AlternateContent>
      </w:r>
      <w:r>
        <w:rPr>
          <w:rFonts w:hint="eastAsia" w:ascii="宋体" w:hAnsi="宋体"/>
          <w:color w:val="auto"/>
          <w:sz w:val="24"/>
          <w:szCs w:val="24"/>
        </w:rPr>
        <w:t>发包人未按照第</w:t>
      </w:r>
      <w:r>
        <w:rPr>
          <w:rFonts w:ascii="宋体" w:hAnsi="宋体"/>
          <w:color w:val="auto"/>
          <w:sz w:val="24"/>
          <w:szCs w:val="24"/>
        </w:rPr>
        <w:t>81.3</w:t>
      </w:r>
      <w:r>
        <w:rPr>
          <w:rFonts w:hint="eastAsia" w:ascii="宋体" w:hAnsi="宋体"/>
          <w:color w:val="auto"/>
          <w:sz w:val="24"/>
          <w:szCs w:val="24"/>
        </w:rPr>
        <w:t>款和第</w:t>
      </w:r>
      <w:r>
        <w:rPr>
          <w:rFonts w:ascii="宋体" w:hAnsi="宋体"/>
          <w:color w:val="auto"/>
          <w:sz w:val="24"/>
          <w:szCs w:val="24"/>
        </w:rPr>
        <w:t>81.4</w:t>
      </w:r>
      <w:r>
        <w:rPr>
          <w:rFonts w:hint="eastAsia" w:ascii="宋体" w:hAnsi="宋体"/>
          <w:color w:val="auto"/>
          <w:sz w:val="24"/>
          <w:szCs w:val="24"/>
        </w:rPr>
        <w:t>款规定支付进度款的，承包人应及时向发包人发出要求支付的通知；发包人收到通知后仍不按要求支付的，可与承包人协商签订延期支付协议，经承包人同意后可延期支付，承包人有权按照第</w:t>
      </w:r>
      <w:r>
        <w:rPr>
          <w:rFonts w:ascii="宋体" w:hAnsi="宋体"/>
          <w:color w:val="auto"/>
          <w:sz w:val="24"/>
          <w:szCs w:val="24"/>
        </w:rPr>
        <w:t>78.2</w:t>
      </w:r>
      <w:r>
        <w:rPr>
          <w:rFonts w:hint="eastAsia" w:ascii="宋体" w:hAnsi="宋体"/>
          <w:color w:val="auto"/>
          <w:sz w:val="24"/>
          <w:szCs w:val="24"/>
        </w:rPr>
        <w:t>款规定获得延期支付的利息。</w:t>
      </w:r>
    </w:p>
    <w:p w14:paraId="1CAC9400">
      <w:pPr>
        <w:pStyle w:val="3"/>
        <w:adjustRightInd w:val="0"/>
        <w:snapToGrid w:val="0"/>
        <w:spacing w:line="360" w:lineRule="auto"/>
        <w:ind w:left="1640" w:leftChars="781" w:firstLine="0"/>
        <w:rPr>
          <w:rFonts w:ascii="宋体"/>
          <w:color w:val="auto"/>
          <w:sz w:val="24"/>
          <w:szCs w:val="24"/>
        </w:rPr>
      </w:pPr>
      <w:r>
        <w:rPr>
          <w:rFonts w:hint="eastAsia" w:ascii="宋体" w:hAnsi="宋体"/>
          <w:color w:val="auto"/>
          <w:sz w:val="24"/>
          <w:szCs w:val="24"/>
        </w:rPr>
        <w:t>发包人未按照按照合同约定支付进度款，合同双方当事人又未达成延期支付协议，导致无法施工的，承包人可停止施工。发包人应承担由此增加的费用和（或）延误的工期，并向承包人支付合理利润。</w:t>
      </w:r>
    </w:p>
    <w:p w14:paraId="189CAABE">
      <w:pPr>
        <w:pStyle w:val="2"/>
        <w:tabs>
          <w:tab w:val="left" w:pos="1320"/>
        </w:tabs>
        <w:adjustRightInd w:val="0"/>
        <w:snapToGrid w:val="0"/>
        <w:spacing w:line="360" w:lineRule="auto"/>
        <w:rPr>
          <w:rFonts w:hAnsi="宋体"/>
          <w:color w:val="auto"/>
          <w:sz w:val="24"/>
          <w:szCs w:val="18"/>
        </w:rPr>
      </w:pPr>
      <w:r>
        <w:rPr>
          <w:rFonts w:hAnsi="宋体"/>
          <w:b/>
          <w:color w:val="auto"/>
          <w:sz w:val="24"/>
          <w:szCs w:val="18"/>
        </w:rPr>
        <w:t>81.6</w:t>
      </w:r>
    </w:p>
    <w:p w14:paraId="20BF899A">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2015616" behindDoc="0" locked="0" layoutInCell="1" allowOverlap="1">
                <wp:simplePos x="0" y="0"/>
                <wp:positionH relativeFrom="column">
                  <wp:posOffset>-114300</wp:posOffset>
                </wp:positionH>
                <wp:positionV relativeFrom="paragraph">
                  <wp:posOffset>15875</wp:posOffset>
                </wp:positionV>
                <wp:extent cx="1028700" cy="266065"/>
                <wp:effectExtent l="0" t="0" r="0" b="0"/>
                <wp:wrapNone/>
                <wp:docPr id="396" name="文本框 396"/>
                <wp:cNvGraphicFramePr/>
                <a:graphic xmlns:a="http://schemas.openxmlformats.org/drawingml/2006/main">
                  <a:graphicData uri="http://schemas.microsoft.com/office/word/2010/wordprocessingShape">
                    <wps:wsp>
                      <wps:cNvSpPr txBox="1"/>
                      <wps:spPr>
                        <a:xfrm>
                          <a:off x="0" y="0"/>
                          <a:ext cx="1028700" cy="266065"/>
                        </a:xfrm>
                        <a:prstGeom prst="rect">
                          <a:avLst/>
                        </a:prstGeom>
                        <a:noFill/>
                        <a:ln>
                          <a:noFill/>
                        </a:ln>
                        <a:effectLst/>
                      </wps:spPr>
                      <wps:txbx>
                        <w:txbxContent>
                          <w:p w14:paraId="0EAD9118">
                            <w:pPr>
                              <w:rPr>
                                <w:rFonts w:ascii="楷体_GB2312" w:hAnsi="宋体" w:eastAsia="楷体_GB2312"/>
                                <w:b/>
                                <w:bCs/>
                                <w:sz w:val="18"/>
                                <w:szCs w:val="18"/>
                              </w:rPr>
                            </w:pPr>
                            <w:r>
                              <w:rPr>
                                <w:rFonts w:hint="eastAsia" w:ascii="楷体_GB2312" w:hAnsi="宋体" w:eastAsia="楷体_GB2312"/>
                                <w:b/>
                                <w:bCs/>
                                <w:sz w:val="18"/>
                                <w:szCs w:val="18"/>
                              </w:rPr>
                              <w:t>修正支付证书</w:t>
                            </w:r>
                          </w:p>
                        </w:txbxContent>
                      </wps:txbx>
                      <wps:bodyPr upright="1"/>
                    </wps:wsp>
                  </a:graphicData>
                </a:graphic>
              </wp:anchor>
            </w:drawing>
          </mc:Choice>
          <mc:Fallback>
            <w:pict>
              <v:shape id="_x0000_s1026" o:spid="_x0000_s1026" o:spt="202" type="#_x0000_t202" style="position:absolute;left:0pt;margin-left:-9pt;margin-top:1.25pt;height:20.95pt;width:81pt;z-index:252015616;mso-width-relative:page;mso-height-relative:page;" filled="f" stroked="f" coordsize="21600,21600" o:gfxdata="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7nQV&#10;MdUAAAAIAQAADwAAAAAAAAABACAAAAAiAAAAZHJzL2Rvd25yZXYueG1sUEsBAhQAFAAAAAgAh07i&#10;QBoOhSOzAQAAYAMAAA4AAAAAAAAAAQAgAAAAJAEAAGRycy9lMm9Eb2MueG1sUEsFBgAAAAAGAAYA&#10;WQEAAEkFAAAAAA==&#10;">
                <v:fill on="f" focussize="0,0"/>
                <v:stroke on="f"/>
                <v:imagedata o:title=""/>
                <o:lock v:ext="edit" aspectratio="f"/>
                <v:textbox>
                  <w:txbxContent>
                    <w:p w14:paraId="0EAD9118">
                      <w:pPr>
                        <w:rPr>
                          <w:rFonts w:ascii="楷体_GB2312" w:hAnsi="宋体" w:eastAsia="楷体_GB2312"/>
                          <w:b/>
                          <w:bCs/>
                          <w:sz w:val="18"/>
                          <w:szCs w:val="18"/>
                        </w:rPr>
                      </w:pPr>
                      <w:r>
                        <w:rPr>
                          <w:rFonts w:hint="eastAsia" w:ascii="楷体_GB2312" w:hAnsi="宋体" w:eastAsia="楷体_GB2312"/>
                          <w:b/>
                          <w:bCs/>
                          <w:sz w:val="18"/>
                          <w:szCs w:val="18"/>
                        </w:rPr>
                        <w:t>修正支付证书</w:t>
                      </w:r>
                    </w:p>
                  </w:txbxContent>
                </v:textbox>
              </v:shape>
            </w:pict>
          </mc:Fallback>
        </mc:AlternateContent>
      </w:r>
      <w:r>
        <w:rPr>
          <w:rFonts w:hint="eastAsia" w:hAnsi="宋体"/>
          <w:color w:val="auto"/>
          <w:sz w:val="24"/>
          <w:szCs w:val="18"/>
        </w:rPr>
        <w:t>发现以前签发的任何支付证书有错、漏或重复的，造价工程师有权在期中支付证书中修正以前签发的任何支付证书，承包人也有权提出修正申请。经合同双方当事人复核同意修正的，应在该支付期的进度款中支付或扣除。如果合同工程或其任何部分没有达到质量要求，造价工程师有权</w:t>
      </w:r>
      <w:r>
        <w:rPr>
          <w:rFonts w:hint="eastAsia" w:hAnsi="宋体"/>
          <w:color w:val="auto"/>
          <w:sz w:val="24"/>
          <w:szCs w:val="24"/>
        </w:rPr>
        <w:t>按照合同约定处理，并</w:t>
      </w:r>
      <w:r>
        <w:rPr>
          <w:rFonts w:hint="eastAsia" w:hAnsi="宋体"/>
          <w:color w:val="auto"/>
          <w:sz w:val="24"/>
          <w:szCs w:val="18"/>
        </w:rPr>
        <w:t>在任何期中支付证书中扣除相应价款。</w:t>
      </w:r>
    </w:p>
    <w:p w14:paraId="1E99EE6A">
      <w:pPr>
        <w:pStyle w:val="2"/>
        <w:adjustRightInd w:val="0"/>
        <w:snapToGrid w:val="0"/>
        <w:spacing w:line="360" w:lineRule="auto"/>
        <w:ind w:right="-238"/>
        <w:rPr>
          <w:color w:val="auto"/>
        </w:rPr>
      </w:pPr>
    </w:p>
    <w:p w14:paraId="2AA9023D">
      <w:pPr>
        <w:pStyle w:val="2"/>
        <w:tabs>
          <w:tab w:val="left" w:pos="540"/>
        </w:tabs>
        <w:adjustRightInd w:val="0"/>
        <w:snapToGrid w:val="0"/>
        <w:spacing w:before="240" w:beforeLines="100" w:line="360" w:lineRule="auto"/>
        <w:ind w:right="-238"/>
        <w:rPr>
          <w:rFonts w:hAnsi="宋体"/>
          <w:b/>
          <w:color w:val="auto"/>
          <w:sz w:val="30"/>
          <w:szCs w:val="30"/>
        </w:rPr>
      </w:pPr>
      <w:r>
        <w:rPr>
          <w:rFonts w:hAnsi="宋体"/>
          <w:b/>
          <w:color w:val="auto"/>
          <w:sz w:val="30"/>
          <w:szCs w:val="30"/>
        </w:rPr>
        <w:t xml:space="preserve">82  </w:t>
      </w:r>
      <w:r>
        <w:rPr>
          <w:rFonts w:hint="eastAsia" w:hAnsi="宋体"/>
          <w:b/>
          <w:color w:val="auto"/>
          <w:sz w:val="30"/>
          <w:szCs w:val="30"/>
        </w:rPr>
        <w:t>竣工结算</w:t>
      </w:r>
    </w:p>
    <w:p w14:paraId="376C2D6A">
      <w:pPr>
        <w:pStyle w:val="2"/>
        <w:adjustRightInd w:val="0"/>
        <w:snapToGrid w:val="0"/>
        <w:spacing w:line="360" w:lineRule="auto"/>
        <w:rPr>
          <w:rFonts w:hAnsi="宋体"/>
          <w:b/>
          <w:color w:val="auto"/>
          <w:sz w:val="24"/>
          <w:szCs w:val="18"/>
        </w:rPr>
      </w:pPr>
      <w:r>
        <w:rPr>
          <w:rFonts w:hAnsi="宋体"/>
          <w:b/>
          <w:color w:val="auto"/>
          <w:sz w:val="24"/>
          <w:szCs w:val="18"/>
        </w:rPr>
        <w:t xml:space="preserve">82.1      </w:t>
      </w:r>
    </w:p>
    <w:p w14:paraId="65B81D06">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2016640" behindDoc="0" locked="0" layoutInCell="1" allowOverlap="1">
                <wp:simplePos x="0" y="0"/>
                <wp:positionH relativeFrom="column">
                  <wp:posOffset>-114300</wp:posOffset>
                </wp:positionH>
                <wp:positionV relativeFrom="paragraph">
                  <wp:posOffset>38735</wp:posOffset>
                </wp:positionV>
                <wp:extent cx="914400" cy="396240"/>
                <wp:effectExtent l="0" t="0" r="0" b="0"/>
                <wp:wrapNone/>
                <wp:docPr id="397" name="文本框 397"/>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2BA7F40A">
                            <w:pPr>
                              <w:spacing w:line="240" w:lineRule="exact"/>
                              <w:rPr>
                                <w:rFonts w:ascii="楷体_GB2312" w:hAnsi="宋体" w:eastAsia="楷体_GB2312"/>
                                <w:b/>
                                <w:bCs/>
                                <w:sz w:val="18"/>
                                <w:szCs w:val="18"/>
                              </w:rPr>
                            </w:pPr>
                            <w:r>
                              <w:rPr>
                                <w:rFonts w:hint="eastAsia" w:ascii="楷体_GB2312" w:hAnsi="宋体" w:eastAsia="楷体_GB2312"/>
                                <w:b/>
                                <w:bCs/>
                                <w:sz w:val="18"/>
                                <w:szCs w:val="18"/>
                              </w:rPr>
                              <w:t>约定结算程序和期限</w:t>
                            </w:r>
                          </w:p>
                        </w:txbxContent>
                      </wps:txbx>
                      <wps:bodyPr upright="1"/>
                    </wps:wsp>
                  </a:graphicData>
                </a:graphic>
              </wp:anchor>
            </w:drawing>
          </mc:Choice>
          <mc:Fallback>
            <w:pict>
              <v:shape id="_x0000_s1026" o:spid="_x0000_s1026" o:spt="202" type="#_x0000_t202" style="position:absolute;left:0pt;margin-left:-9pt;margin-top:3.05pt;height:31.2pt;width:72pt;z-index:252016640;mso-width-relative:page;mso-height-relative:page;" filled="f" stroked="f" coordsize="21600,21600" o:gfxdata="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q+wM&#10;FdQAAAAIAQAADwAAAAAAAAABACAAAAAiAAAAZHJzL2Rvd25yZXYueG1sUEsBAhQAFAAAAAgAh07i&#10;QEEx2Ve0AQAAXwMAAA4AAAAAAAAAAQAgAAAAIwEAAGRycy9lMm9Eb2MueG1sUEsFBgAAAAAGAAYA&#10;WQEAAEkFAAAAAA==&#10;">
                <v:fill on="f" focussize="0,0"/>
                <v:stroke on="f"/>
                <v:imagedata o:title=""/>
                <o:lock v:ext="edit" aspectratio="f"/>
                <v:textbox>
                  <w:txbxContent>
                    <w:p w14:paraId="2BA7F40A">
                      <w:pPr>
                        <w:spacing w:line="240" w:lineRule="exact"/>
                        <w:rPr>
                          <w:rFonts w:ascii="楷体_GB2312" w:hAnsi="宋体" w:eastAsia="楷体_GB2312"/>
                          <w:b/>
                          <w:bCs/>
                          <w:sz w:val="18"/>
                          <w:szCs w:val="18"/>
                        </w:rPr>
                      </w:pPr>
                      <w:r>
                        <w:rPr>
                          <w:rFonts w:hint="eastAsia" w:ascii="楷体_GB2312" w:hAnsi="宋体" w:eastAsia="楷体_GB2312"/>
                          <w:b/>
                          <w:bCs/>
                          <w:sz w:val="18"/>
                          <w:szCs w:val="18"/>
                        </w:rPr>
                        <w:t>约定结算程序和期限</w:t>
                      </w:r>
                    </w:p>
                  </w:txbxContent>
                </v:textbox>
              </v:shape>
            </w:pict>
          </mc:Fallback>
        </mc:AlternateContent>
      </w:r>
      <w:r>
        <w:rPr>
          <w:rFonts w:hint="eastAsia" w:hAnsi="宋体"/>
          <w:color w:val="auto"/>
          <w:sz w:val="24"/>
          <w:szCs w:val="18"/>
        </w:rPr>
        <w:t>合同双方当事人应按照国家标准《建设工程工程量清单计价规范》（</w:t>
      </w:r>
      <w:r>
        <w:rPr>
          <w:rFonts w:hAnsi="宋体"/>
          <w:color w:val="auto"/>
          <w:sz w:val="24"/>
          <w:szCs w:val="18"/>
        </w:rPr>
        <w:t>GB50500-2008</w:t>
      </w:r>
      <w:r>
        <w:rPr>
          <w:rFonts w:hint="eastAsia" w:hAnsi="宋体"/>
          <w:color w:val="auto"/>
          <w:sz w:val="24"/>
          <w:szCs w:val="18"/>
        </w:rPr>
        <w:t>）规定在专用条款中明确办理竣工结算的程序和时限。专用条款没有约定的，竣工结算按照第</w:t>
      </w:r>
      <w:r>
        <w:rPr>
          <w:rFonts w:hAnsi="宋体"/>
          <w:color w:val="auto"/>
          <w:sz w:val="24"/>
          <w:szCs w:val="18"/>
        </w:rPr>
        <w:t>82.2</w:t>
      </w:r>
      <w:r>
        <w:rPr>
          <w:rFonts w:hint="eastAsia" w:hAnsi="宋体"/>
          <w:color w:val="auto"/>
          <w:sz w:val="24"/>
          <w:szCs w:val="18"/>
        </w:rPr>
        <w:t>款至第</w:t>
      </w:r>
      <w:r>
        <w:rPr>
          <w:rFonts w:hAnsi="宋体"/>
          <w:color w:val="auto"/>
          <w:sz w:val="24"/>
          <w:szCs w:val="18"/>
        </w:rPr>
        <w:t>82.5</w:t>
      </w:r>
      <w:r>
        <w:rPr>
          <w:rFonts w:hint="eastAsia" w:hAnsi="宋体"/>
          <w:color w:val="auto"/>
          <w:sz w:val="24"/>
          <w:szCs w:val="18"/>
        </w:rPr>
        <w:t>款规定办理。</w:t>
      </w:r>
    </w:p>
    <w:p w14:paraId="53557ACE">
      <w:pPr>
        <w:pStyle w:val="2"/>
        <w:adjustRightInd w:val="0"/>
        <w:snapToGrid w:val="0"/>
        <w:spacing w:line="360" w:lineRule="auto"/>
        <w:ind w:left="1619" w:leftChars="771"/>
        <w:rPr>
          <w:rFonts w:hAnsi="宋体"/>
          <w:color w:val="auto"/>
          <w:sz w:val="24"/>
          <w:szCs w:val="18"/>
        </w:rPr>
      </w:pPr>
      <w:r>
        <w:rPr>
          <w:rFonts w:hint="eastAsia" w:hAnsi="宋体"/>
          <w:color w:val="auto"/>
          <w:sz w:val="24"/>
          <w:szCs w:val="18"/>
        </w:rPr>
        <w:t>在办理竣工结算期间，发包人按照第</w:t>
      </w:r>
      <w:r>
        <w:rPr>
          <w:rFonts w:hAnsi="宋体"/>
          <w:color w:val="auto"/>
          <w:sz w:val="24"/>
          <w:szCs w:val="18"/>
        </w:rPr>
        <w:t>78</w:t>
      </w:r>
      <w:r>
        <w:rPr>
          <w:rFonts w:hint="eastAsia" w:hAnsi="宋体"/>
          <w:color w:val="auto"/>
          <w:sz w:val="24"/>
          <w:szCs w:val="18"/>
        </w:rPr>
        <w:t>条规定应向承包人支付的工程款及其他款项不停止。</w:t>
      </w:r>
    </w:p>
    <w:p w14:paraId="3B78C0D6">
      <w:pPr>
        <w:pStyle w:val="2"/>
        <w:adjustRightInd w:val="0"/>
        <w:snapToGrid w:val="0"/>
        <w:spacing w:line="360" w:lineRule="auto"/>
        <w:rPr>
          <w:rFonts w:hAnsi="宋体"/>
          <w:b/>
          <w:color w:val="auto"/>
          <w:sz w:val="24"/>
          <w:szCs w:val="18"/>
        </w:rPr>
      </w:pPr>
      <w:r>
        <w:rPr>
          <w:rFonts w:hAnsi="宋体"/>
          <w:b/>
          <w:color w:val="auto"/>
          <w:sz w:val="24"/>
          <w:szCs w:val="18"/>
        </w:rPr>
        <w:t xml:space="preserve">82.2  </w:t>
      </w:r>
    </w:p>
    <w:p w14:paraId="7E319BF4">
      <w:pPr>
        <w:pStyle w:val="2"/>
        <w:tabs>
          <w:tab w:val="left" w:pos="2641"/>
        </w:tabs>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2017664" behindDoc="0" locked="0" layoutInCell="1" allowOverlap="1">
                <wp:simplePos x="0" y="0"/>
                <wp:positionH relativeFrom="column">
                  <wp:posOffset>-114300</wp:posOffset>
                </wp:positionH>
                <wp:positionV relativeFrom="paragraph">
                  <wp:posOffset>23495</wp:posOffset>
                </wp:positionV>
                <wp:extent cx="914400" cy="459105"/>
                <wp:effectExtent l="0" t="0" r="0" b="0"/>
                <wp:wrapNone/>
                <wp:docPr id="398" name="文本框 398"/>
                <wp:cNvGraphicFramePr/>
                <a:graphic xmlns:a="http://schemas.openxmlformats.org/drawingml/2006/main">
                  <a:graphicData uri="http://schemas.microsoft.com/office/word/2010/wordprocessingShape">
                    <wps:wsp>
                      <wps:cNvSpPr txBox="1"/>
                      <wps:spPr>
                        <a:xfrm>
                          <a:off x="0" y="0"/>
                          <a:ext cx="914400" cy="459105"/>
                        </a:xfrm>
                        <a:prstGeom prst="rect">
                          <a:avLst/>
                        </a:prstGeom>
                        <a:noFill/>
                        <a:ln>
                          <a:noFill/>
                        </a:ln>
                        <a:effectLst/>
                      </wps:spPr>
                      <wps:txbx>
                        <w:txbxContent>
                          <w:p w14:paraId="43A226A3">
                            <w:pPr>
                              <w:spacing w:line="240" w:lineRule="exact"/>
                              <w:rPr>
                                <w:rFonts w:ascii="楷体_GB2312" w:hAnsi="宋体" w:eastAsia="楷体_GB2312"/>
                                <w:b/>
                                <w:bCs/>
                                <w:sz w:val="18"/>
                                <w:szCs w:val="18"/>
                              </w:rPr>
                            </w:pPr>
                            <w:r>
                              <w:rPr>
                                <w:rFonts w:hint="eastAsia" w:ascii="楷体_GB2312" w:hAnsi="宋体" w:eastAsia="楷体_GB2312"/>
                                <w:b/>
                                <w:bCs/>
                                <w:sz w:val="18"/>
                                <w:szCs w:val="18"/>
                              </w:rPr>
                              <w:t>递交结算文件及其限制</w:t>
                            </w:r>
                          </w:p>
                        </w:txbxContent>
                      </wps:txbx>
                      <wps:bodyPr upright="1"/>
                    </wps:wsp>
                  </a:graphicData>
                </a:graphic>
              </wp:anchor>
            </w:drawing>
          </mc:Choice>
          <mc:Fallback>
            <w:pict>
              <v:shape id="_x0000_s1026" o:spid="_x0000_s1026" o:spt="202" type="#_x0000_t202" style="position:absolute;left:0pt;margin-left:-9pt;margin-top:1.85pt;height:36.15pt;width:72pt;z-index:252017664;mso-width-relative:page;mso-height-relative:page;" filled="f" stroked="f" coordsize="21600,21600" o:gfxdata="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0H8eK&#10;1QAAAAgBAAAPAAAAAAAAAAEAIAAAACIAAABkcnMvZG93bnJldi54bWxQSwECFAAUAAAACACHTuJA&#10;0/OD8LIBAABfAwAADgAAAAAAAAABACAAAAAkAQAAZHJzL2Uyb0RvYy54bWxQSwUGAAAAAAYABgBZ&#10;AQAASAUAAAAA&#10;">
                <v:fill on="f" focussize="0,0"/>
                <v:stroke on="f"/>
                <v:imagedata o:title=""/>
                <o:lock v:ext="edit" aspectratio="f"/>
                <v:textbox>
                  <w:txbxContent>
                    <w:p w14:paraId="43A226A3">
                      <w:pPr>
                        <w:spacing w:line="240" w:lineRule="exact"/>
                        <w:rPr>
                          <w:rFonts w:ascii="楷体_GB2312" w:hAnsi="宋体" w:eastAsia="楷体_GB2312"/>
                          <w:b/>
                          <w:bCs/>
                          <w:sz w:val="18"/>
                          <w:szCs w:val="18"/>
                        </w:rPr>
                      </w:pPr>
                      <w:r>
                        <w:rPr>
                          <w:rFonts w:hint="eastAsia" w:ascii="楷体_GB2312" w:hAnsi="宋体" w:eastAsia="楷体_GB2312"/>
                          <w:b/>
                          <w:bCs/>
                          <w:sz w:val="18"/>
                          <w:szCs w:val="18"/>
                        </w:rPr>
                        <w:t>递交结算文件及其限制</w:t>
                      </w:r>
                    </w:p>
                  </w:txbxContent>
                </v:textbox>
              </v:shape>
            </w:pict>
          </mc:Fallback>
        </mc:AlternateContent>
      </w:r>
      <w:r>
        <w:rPr>
          <w:rFonts w:hint="eastAsia" w:hAnsi="宋体"/>
          <w:color w:val="auto"/>
          <w:sz w:val="24"/>
          <w:szCs w:val="18"/>
        </w:rPr>
        <w:t>承包人应在提交竣工验收申请报告前编制完成竣工结算文件，并在提交竣工验收申请报告的同时向造价工程师递交竣工结算文件。</w:t>
      </w:r>
    </w:p>
    <w:p w14:paraId="72E8E6EF">
      <w:pPr>
        <w:pStyle w:val="2"/>
        <w:adjustRightInd w:val="0"/>
        <w:snapToGrid w:val="0"/>
        <w:spacing w:line="360" w:lineRule="auto"/>
        <w:ind w:left="1619" w:leftChars="771"/>
        <w:rPr>
          <w:rFonts w:hAnsi="宋体"/>
          <w:color w:val="auto"/>
          <w:sz w:val="24"/>
          <w:szCs w:val="18"/>
        </w:rPr>
      </w:pPr>
      <w:r>
        <w:rPr>
          <w:rFonts w:hint="eastAsia" w:hAnsi="宋体"/>
          <w:color w:val="auto"/>
          <w:sz w:val="24"/>
          <w:szCs w:val="18"/>
        </w:rPr>
        <w:t>承包人未在本款规定的时间内递交竣工结算文件，经发包人催促后仍未递交或没有明确答复的，造价工程师可根据自己掌握的资料编制竣工结算文件，在报经发包人批准后，作为办理竣工结算和支付结算款的依据，承包人应予以认可。</w:t>
      </w:r>
    </w:p>
    <w:p w14:paraId="332858C6">
      <w:pPr>
        <w:pStyle w:val="2"/>
        <w:adjustRightInd w:val="0"/>
        <w:snapToGrid w:val="0"/>
        <w:spacing w:line="360" w:lineRule="auto"/>
        <w:rPr>
          <w:rFonts w:hAnsi="宋体"/>
          <w:b/>
          <w:color w:val="auto"/>
          <w:sz w:val="24"/>
          <w:szCs w:val="18"/>
          <w:u w:val="single"/>
        </w:rPr>
      </w:pPr>
      <w:r>
        <w:rPr>
          <w:rFonts w:hAnsi="宋体"/>
          <w:b/>
          <w:color w:val="auto"/>
          <w:sz w:val="24"/>
          <w:szCs w:val="18"/>
        </w:rPr>
        <w:t xml:space="preserve">82.3  </w:t>
      </w:r>
    </w:p>
    <w:p w14:paraId="6EF21D26">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2018688" behindDoc="0" locked="0" layoutInCell="1" allowOverlap="1">
                <wp:simplePos x="0" y="0"/>
                <wp:positionH relativeFrom="column">
                  <wp:posOffset>-114300</wp:posOffset>
                </wp:positionH>
                <wp:positionV relativeFrom="paragraph">
                  <wp:posOffset>38735</wp:posOffset>
                </wp:positionV>
                <wp:extent cx="914400" cy="418465"/>
                <wp:effectExtent l="0" t="0" r="0" b="0"/>
                <wp:wrapNone/>
                <wp:docPr id="399" name="文本框 399"/>
                <wp:cNvGraphicFramePr/>
                <a:graphic xmlns:a="http://schemas.openxmlformats.org/drawingml/2006/main">
                  <a:graphicData uri="http://schemas.microsoft.com/office/word/2010/wordprocessingShape">
                    <wps:wsp>
                      <wps:cNvSpPr txBox="1"/>
                      <wps:spPr>
                        <a:xfrm>
                          <a:off x="0" y="0"/>
                          <a:ext cx="914400" cy="418465"/>
                        </a:xfrm>
                        <a:prstGeom prst="rect">
                          <a:avLst/>
                        </a:prstGeom>
                        <a:noFill/>
                        <a:ln>
                          <a:noFill/>
                        </a:ln>
                        <a:effectLst/>
                      </wps:spPr>
                      <wps:txbx>
                        <w:txbxContent>
                          <w:p w14:paraId="7C110130">
                            <w:pPr>
                              <w:spacing w:line="240" w:lineRule="exact"/>
                              <w:rPr>
                                <w:rFonts w:ascii="楷体_GB2312" w:hAnsi="宋体" w:eastAsia="楷体_GB2312"/>
                                <w:b/>
                                <w:bCs/>
                                <w:sz w:val="18"/>
                                <w:szCs w:val="18"/>
                              </w:rPr>
                            </w:pPr>
                            <w:r>
                              <w:rPr>
                                <w:rFonts w:hint="eastAsia" w:ascii="楷体_GB2312" w:hAnsi="宋体" w:eastAsia="楷体_GB2312"/>
                                <w:b/>
                                <w:bCs/>
                                <w:sz w:val="18"/>
                                <w:szCs w:val="18"/>
                              </w:rPr>
                              <w:t>核实结算文件及其限制</w:t>
                            </w:r>
                          </w:p>
                        </w:txbxContent>
                      </wps:txbx>
                      <wps:bodyPr upright="1"/>
                    </wps:wsp>
                  </a:graphicData>
                </a:graphic>
              </wp:anchor>
            </w:drawing>
          </mc:Choice>
          <mc:Fallback>
            <w:pict>
              <v:shape id="_x0000_s1026" o:spid="_x0000_s1026" o:spt="202" type="#_x0000_t202" style="position:absolute;left:0pt;margin-left:-9pt;margin-top:3.05pt;height:32.95pt;width:72pt;z-index:252018688;mso-width-relative:page;mso-height-relative:page;" filled="f" stroked="f" coordsize="21600,21600" o:gfxdata="UEsDBAoAAAAAAIdO4kAAAAAAAAAAAAAAAAAEAAAAZHJzL1BLAwQUAAAACACHTuJAsUJJ49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sUJJ&#10;49UAAAAIAQAADwAAAAAAAAABACAAAAAiAAAAZHJzL2Rvd25yZXYueG1sUEsBAhQAFAAAAAgAh07i&#10;QOdKNFezAQAAXwMAAA4AAAAAAAAAAQAgAAAAJAEAAGRycy9lMm9Eb2MueG1sUEsFBgAAAAAGAAYA&#10;WQEAAEkFAAAAAA==&#10;">
                <v:fill on="f" focussize="0,0"/>
                <v:stroke on="f"/>
                <v:imagedata o:title=""/>
                <o:lock v:ext="edit" aspectratio="f"/>
                <v:textbox>
                  <w:txbxContent>
                    <w:p w14:paraId="7C110130">
                      <w:pPr>
                        <w:spacing w:line="240" w:lineRule="exact"/>
                        <w:rPr>
                          <w:rFonts w:ascii="楷体_GB2312" w:hAnsi="宋体" w:eastAsia="楷体_GB2312"/>
                          <w:b/>
                          <w:bCs/>
                          <w:sz w:val="18"/>
                          <w:szCs w:val="18"/>
                        </w:rPr>
                      </w:pPr>
                      <w:r>
                        <w:rPr>
                          <w:rFonts w:hint="eastAsia" w:ascii="楷体_GB2312" w:hAnsi="宋体" w:eastAsia="楷体_GB2312"/>
                          <w:b/>
                          <w:bCs/>
                          <w:sz w:val="18"/>
                          <w:szCs w:val="18"/>
                        </w:rPr>
                        <w:t>核实结算文件及其限制</w:t>
                      </w:r>
                    </w:p>
                  </w:txbxContent>
                </v:textbox>
              </v:shape>
            </w:pict>
          </mc:Fallback>
        </mc:AlternateContent>
      </w:r>
      <w:r>
        <w:rPr>
          <w:rFonts w:hint="eastAsia" w:hAnsi="宋体"/>
          <w:color w:val="auto"/>
          <w:sz w:val="24"/>
          <w:szCs w:val="18"/>
        </w:rPr>
        <w:t>造价工程师应在收到承包人按照第</w:t>
      </w:r>
      <w:r>
        <w:rPr>
          <w:rFonts w:hAnsi="宋体"/>
          <w:color w:val="auto"/>
          <w:sz w:val="24"/>
          <w:szCs w:val="18"/>
        </w:rPr>
        <w:t>82.2</w:t>
      </w:r>
      <w:r>
        <w:rPr>
          <w:rFonts w:hint="eastAsia" w:hAnsi="宋体"/>
          <w:color w:val="auto"/>
          <w:sz w:val="24"/>
          <w:szCs w:val="18"/>
        </w:rPr>
        <w:t>款规定递交的竣工结算文件后的</w:t>
      </w:r>
      <w:r>
        <w:rPr>
          <w:rFonts w:hAnsi="宋体"/>
          <w:color w:val="auto"/>
          <w:sz w:val="24"/>
          <w:szCs w:val="18"/>
        </w:rPr>
        <w:t>28</w:t>
      </w:r>
      <w:r>
        <w:rPr>
          <w:rFonts w:hint="eastAsia" w:hAnsi="宋体"/>
          <w:color w:val="auto"/>
          <w:sz w:val="24"/>
          <w:szCs w:val="18"/>
        </w:rPr>
        <w:t>天内予以核实，并向承包人提出完整的核实意见（包括进一步补充资料和修改结算文件），同时抄报发包人。承包人在收到核实意见后的</w:t>
      </w:r>
      <w:r>
        <w:rPr>
          <w:rFonts w:hAnsi="宋体"/>
          <w:color w:val="auto"/>
          <w:sz w:val="24"/>
          <w:szCs w:val="18"/>
        </w:rPr>
        <w:t>28</w:t>
      </w:r>
      <w:r>
        <w:rPr>
          <w:rFonts w:hint="eastAsia" w:hAnsi="宋体"/>
          <w:color w:val="auto"/>
          <w:sz w:val="24"/>
          <w:szCs w:val="18"/>
        </w:rPr>
        <w:t>天内按照造价工程师提出的合理要求补充资料，修改竣工结算文件，并再次递交给造价工程师。</w:t>
      </w:r>
    </w:p>
    <w:p w14:paraId="7CF5119A">
      <w:pPr>
        <w:pStyle w:val="2"/>
        <w:adjustRightInd w:val="0"/>
        <w:snapToGrid w:val="0"/>
        <w:spacing w:line="360" w:lineRule="auto"/>
        <w:ind w:left="1619" w:leftChars="771"/>
        <w:rPr>
          <w:rFonts w:hAnsi="宋体"/>
          <w:color w:val="auto"/>
          <w:sz w:val="24"/>
          <w:szCs w:val="18"/>
        </w:rPr>
      </w:pPr>
      <w:r>
        <w:rPr>
          <w:rFonts w:hint="eastAsia" w:hAnsi="宋体"/>
          <w:color w:val="auto"/>
          <w:sz w:val="24"/>
          <w:szCs w:val="18"/>
        </w:rPr>
        <w:t>造价工程师在收到竣工结算文件后的</w:t>
      </w:r>
      <w:r>
        <w:rPr>
          <w:rFonts w:hAnsi="宋体"/>
          <w:color w:val="auto"/>
          <w:sz w:val="24"/>
          <w:szCs w:val="18"/>
        </w:rPr>
        <w:t>28</w:t>
      </w:r>
      <w:r>
        <w:rPr>
          <w:rFonts w:hint="eastAsia" w:hAnsi="宋体"/>
          <w:color w:val="auto"/>
          <w:sz w:val="24"/>
          <w:szCs w:val="18"/>
        </w:rPr>
        <w:t>天内，不核实竣工结算或未提出核实意见的，视为承包人递交的竣工结算已被认可。</w:t>
      </w:r>
    </w:p>
    <w:p w14:paraId="2FF0714B">
      <w:pPr>
        <w:pStyle w:val="2"/>
        <w:adjustRightInd w:val="0"/>
        <w:snapToGrid w:val="0"/>
        <w:spacing w:line="360" w:lineRule="auto"/>
        <w:ind w:left="1619" w:leftChars="771"/>
        <w:rPr>
          <w:rFonts w:hAnsi="宋体"/>
          <w:color w:val="auto"/>
          <w:sz w:val="24"/>
          <w:szCs w:val="18"/>
          <w:u w:val="single"/>
        </w:rPr>
      </w:pPr>
      <w:r>
        <w:rPr>
          <w:rFonts w:hint="eastAsia" w:hAnsi="宋体"/>
          <w:color w:val="auto"/>
          <w:sz w:val="24"/>
          <w:szCs w:val="18"/>
        </w:rPr>
        <w:t>承包人在收到造价工程师提出的核实意见后的</w:t>
      </w:r>
      <w:r>
        <w:rPr>
          <w:rFonts w:hAnsi="宋体"/>
          <w:color w:val="auto"/>
          <w:sz w:val="24"/>
          <w:szCs w:val="18"/>
        </w:rPr>
        <w:t>28</w:t>
      </w:r>
      <w:r>
        <w:rPr>
          <w:rFonts w:hint="eastAsia" w:hAnsi="宋体"/>
          <w:color w:val="auto"/>
          <w:sz w:val="24"/>
          <w:szCs w:val="18"/>
        </w:rPr>
        <w:t>天内，不确认也未提出异议的，视为造价工程师提出的核实意见已被认可，竣工结算办理完毕。</w:t>
      </w:r>
    </w:p>
    <w:p w14:paraId="590EC456">
      <w:pPr>
        <w:pStyle w:val="2"/>
        <w:adjustRightInd w:val="0"/>
        <w:snapToGrid w:val="0"/>
        <w:spacing w:line="360" w:lineRule="auto"/>
        <w:rPr>
          <w:rFonts w:hAnsi="宋体"/>
          <w:b/>
          <w:color w:val="auto"/>
          <w:sz w:val="24"/>
          <w:szCs w:val="18"/>
          <w:u w:val="single"/>
        </w:rPr>
      </w:pPr>
      <w:r>
        <w:rPr>
          <w:rFonts w:hAnsi="宋体"/>
          <w:b/>
          <w:color w:val="auto"/>
          <w:sz w:val="24"/>
          <w:szCs w:val="18"/>
        </w:rPr>
        <w:t xml:space="preserve">82.4  </w:t>
      </w:r>
    </w:p>
    <w:p w14:paraId="5E86CBC3">
      <w:pPr>
        <w:pStyle w:val="2"/>
        <w:adjustRightInd w:val="0"/>
        <w:snapToGrid w:val="0"/>
        <w:spacing w:line="360" w:lineRule="auto"/>
        <w:ind w:left="1619" w:leftChars="771"/>
        <w:rPr>
          <w:rFonts w:hAnsi="宋体"/>
          <w:color w:val="auto"/>
          <w:sz w:val="24"/>
          <w:szCs w:val="18"/>
          <w:u w:val="single"/>
        </w:rPr>
      </w:pPr>
      <w:r>
        <w:rPr>
          <w:color w:val="auto"/>
        </w:rPr>
        <mc:AlternateContent>
          <mc:Choice Requires="wps">
            <w:drawing>
              <wp:anchor distT="0" distB="0" distL="114300" distR="114300" simplePos="0" relativeHeight="252019712" behindDoc="0" locked="0" layoutInCell="1" allowOverlap="1">
                <wp:simplePos x="0" y="0"/>
                <wp:positionH relativeFrom="column">
                  <wp:posOffset>-114300</wp:posOffset>
                </wp:positionH>
                <wp:positionV relativeFrom="paragraph">
                  <wp:posOffset>15875</wp:posOffset>
                </wp:positionV>
                <wp:extent cx="800100" cy="718185"/>
                <wp:effectExtent l="0" t="0" r="0" b="0"/>
                <wp:wrapNone/>
                <wp:docPr id="400" name="文本框 400"/>
                <wp:cNvGraphicFramePr/>
                <a:graphic xmlns:a="http://schemas.openxmlformats.org/drawingml/2006/main">
                  <a:graphicData uri="http://schemas.microsoft.com/office/word/2010/wordprocessingShape">
                    <wps:wsp>
                      <wps:cNvSpPr txBox="1"/>
                      <wps:spPr>
                        <a:xfrm>
                          <a:off x="0" y="0"/>
                          <a:ext cx="800100" cy="718185"/>
                        </a:xfrm>
                        <a:prstGeom prst="rect">
                          <a:avLst/>
                        </a:prstGeom>
                        <a:noFill/>
                        <a:ln>
                          <a:noFill/>
                        </a:ln>
                        <a:effectLst/>
                      </wps:spPr>
                      <wps:txbx>
                        <w:txbxContent>
                          <w:p w14:paraId="79220372">
                            <w:pPr>
                              <w:spacing w:line="240" w:lineRule="exact"/>
                              <w:rPr>
                                <w:rFonts w:ascii="楷体_GB2312" w:hAnsi="宋体" w:eastAsia="楷体_GB2312"/>
                                <w:b/>
                                <w:bCs/>
                                <w:sz w:val="18"/>
                                <w:szCs w:val="18"/>
                              </w:rPr>
                            </w:pPr>
                            <w:r>
                              <w:rPr>
                                <w:rFonts w:hint="eastAsia" w:ascii="楷体_GB2312" w:hAnsi="宋体" w:eastAsia="楷体_GB2312"/>
                                <w:b/>
                                <w:bCs/>
                                <w:sz w:val="18"/>
                                <w:szCs w:val="18"/>
                              </w:rPr>
                              <w:t>复核再次递</w:t>
                            </w:r>
                          </w:p>
                          <w:p w14:paraId="63B3D24F">
                            <w:pPr>
                              <w:spacing w:line="240" w:lineRule="exact"/>
                              <w:rPr>
                                <w:rFonts w:ascii="楷体_GB2312" w:hAnsi="宋体" w:eastAsia="楷体_GB2312"/>
                                <w:b/>
                                <w:bCs/>
                                <w:sz w:val="18"/>
                                <w:szCs w:val="18"/>
                              </w:rPr>
                            </w:pPr>
                            <w:r>
                              <w:rPr>
                                <w:rFonts w:hint="eastAsia" w:ascii="楷体_GB2312" w:hAnsi="宋体" w:eastAsia="楷体_GB2312"/>
                                <w:b/>
                                <w:bCs/>
                                <w:sz w:val="18"/>
                                <w:szCs w:val="18"/>
                              </w:rPr>
                              <w:t>交结算文件</w:t>
                            </w:r>
                          </w:p>
                        </w:txbxContent>
                      </wps:txbx>
                      <wps:bodyPr upright="1"/>
                    </wps:wsp>
                  </a:graphicData>
                </a:graphic>
              </wp:anchor>
            </w:drawing>
          </mc:Choice>
          <mc:Fallback>
            <w:pict>
              <v:shape id="_x0000_s1026" o:spid="_x0000_s1026" o:spt="202" type="#_x0000_t202" style="position:absolute;left:0pt;margin-left:-9pt;margin-top:1.25pt;height:56.55pt;width:63pt;z-index:252019712;mso-width-relative:page;mso-height-relative:page;" filled="f" stroked="f" coordsize="21600,21600" o:gfxdata="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kP8adUA&#10;AAAJAQAADwAAAAAAAAABACAAAAAiAAAAZHJzL2Rvd25yZXYueG1sUEsBAhQAFAAAAAgAh07iQLCw&#10;cKCwAQAAXwMAAA4AAAAAAAAAAQAgAAAAJAEAAGRycy9lMm9Eb2MueG1sUEsFBgAAAAAGAAYAWQEA&#10;AEYFAAAAAA==&#10;">
                <v:fill on="f" focussize="0,0"/>
                <v:stroke on="f"/>
                <v:imagedata o:title=""/>
                <o:lock v:ext="edit" aspectratio="f"/>
                <v:textbox>
                  <w:txbxContent>
                    <w:p w14:paraId="79220372">
                      <w:pPr>
                        <w:spacing w:line="240" w:lineRule="exact"/>
                        <w:rPr>
                          <w:rFonts w:ascii="楷体_GB2312" w:hAnsi="宋体" w:eastAsia="楷体_GB2312"/>
                          <w:b/>
                          <w:bCs/>
                          <w:sz w:val="18"/>
                          <w:szCs w:val="18"/>
                        </w:rPr>
                      </w:pPr>
                      <w:r>
                        <w:rPr>
                          <w:rFonts w:hint="eastAsia" w:ascii="楷体_GB2312" w:hAnsi="宋体" w:eastAsia="楷体_GB2312"/>
                          <w:b/>
                          <w:bCs/>
                          <w:sz w:val="18"/>
                          <w:szCs w:val="18"/>
                        </w:rPr>
                        <w:t>复核再次递</w:t>
                      </w:r>
                    </w:p>
                    <w:p w14:paraId="63B3D24F">
                      <w:pPr>
                        <w:spacing w:line="240" w:lineRule="exact"/>
                        <w:rPr>
                          <w:rFonts w:ascii="楷体_GB2312" w:hAnsi="宋体" w:eastAsia="楷体_GB2312"/>
                          <w:b/>
                          <w:bCs/>
                          <w:sz w:val="18"/>
                          <w:szCs w:val="18"/>
                        </w:rPr>
                      </w:pPr>
                      <w:r>
                        <w:rPr>
                          <w:rFonts w:hint="eastAsia" w:ascii="楷体_GB2312" w:hAnsi="宋体" w:eastAsia="楷体_GB2312"/>
                          <w:b/>
                          <w:bCs/>
                          <w:sz w:val="18"/>
                          <w:szCs w:val="18"/>
                        </w:rPr>
                        <w:t>交结算文件</w:t>
                      </w:r>
                    </w:p>
                  </w:txbxContent>
                </v:textbox>
              </v:shape>
            </w:pict>
          </mc:Fallback>
        </mc:AlternateContent>
      </w:r>
      <w:r>
        <w:rPr>
          <w:rFonts w:hint="eastAsia" w:hAnsi="宋体"/>
          <w:color w:val="auto"/>
          <w:sz w:val="24"/>
          <w:szCs w:val="18"/>
        </w:rPr>
        <w:t>造价工程师应在收到承包人按照第</w:t>
      </w:r>
      <w:r>
        <w:rPr>
          <w:rFonts w:hAnsi="宋体"/>
          <w:color w:val="auto"/>
          <w:sz w:val="24"/>
          <w:szCs w:val="18"/>
        </w:rPr>
        <w:t>82.3</w:t>
      </w:r>
      <w:r>
        <w:rPr>
          <w:rFonts w:hint="eastAsia" w:hAnsi="宋体"/>
          <w:color w:val="auto"/>
          <w:sz w:val="24"/>
          <w:szCs w:val="18"/>
        </w:rPr>
        <w:t>款规定再次递交的竣工结算文件后的</w:t>
      </w:r>
      <w:r>
        <w:rPr>
          <w:rFonts w:hAnsi="宋体"/>
          <w:color w:val="auto"/>
          <w:sz w:val="24"/>
          <w:szCs w:val="18"/>
        </w:rPr>
        <w:t>28</w:t>
      </w:r>
      <w:r>
        <w:rPr>
          <w:rFonts w:hint="eastAsia" w:hAnsi="宋体"/>
          <w:color w:val="auto"/>
          <w:sz w:val="24"/>
          <w:szCs w:val="18"/>
        </w:rPr>
        <w:t>天内予以复核，并将复核结果通知承包人、抄报发包人。</w:t>
      </w:r>
    </w:p>
    <w:p w14:paraId="62B139A7">
      <w:pPr>
        <w:pStyle w:val="2"/>
        <w:adjustRightInd w:val="0"/>
        <w:snapToGrid w:val="0"/>
        <w:spacing w:line="360" w:lineRule="auto"/>
        <w:ind w:left="1615"/>
        <w:rPr>
          <w:rFonts w:hAnsi="宋体"/>
          <w:color w:val="auto"/>
          <w:sz w:val="24"/>
          <w:szCs w:val="18"/>
        </w:rPr>
      </w:pPr>
      <w:r>
        <w:rPr>
          <w:rFonts w:hint="eastAsia" w:hAnsi="宋体"/>
          <w:color w:val="auto"/>
          <w:sz w:val="24"/>
          <w:szCs w:val="18"/>
        </w:rPr>
        <w:t>（</w:t>
      </w:r>
      <w:r>
        <w:rPr>
          <w:rFonts w:hAnsi="宋体"/>
          <w:color w:val="auto"/>
          <w:sz w:val="24"/>
          <w:szCs w:val="18"/>
        </w:rPr>
        <w:t>1</w:t>
      </w:r>
      <w:r>
        <w:rPr>
          <w:rFonts w:hint="eastAsia" w:hAnsi="宋体"/>
          <w:color w:val="auto"/>
          <w:sz w:val="24"/>
          <w:szCs w:val="18"/>
        </w:rPr>
        <w:t>）经复核无误的，除属于第</w:t>
      </w:r>
      <w:r>
        <w:rPr>
          <w:rFonts w:hAnsi="宋体"/>
          <w:color w:val="auto"/>
          <w:sz w:val="24"/>
          <w:szCs w:val="18"/>
        </w:rPr>
        <w:t>86</w:t>
      </w:r>
      <w:r>
        <w:rPr>
          <w:rFonts w:hint="eastAsia" w:hAnsi="宋体"/>
          <w:color w:val="auto"/>
          <w:sz w:val="24"/>
          <w:szCs w:val="18"/>
        </w:rPr>
        <w:t>条规定的争议外，发包人应在</w:t>
      </w:r>
      <w:r>
        <w:rPr>
          <w:rFonts w:hAnsi="宋体"/>
          <w:color w:val="auto"/>
          <w:sz w:val="24"/>
          <w:szCs w:val="18"/>
        </w:rPr>
        <w:t>7</w:t>
      </w:r>
      <w:r>
        <w:rPr>
          <w:rFonts w:hint="eastAsia" w:hAnsi="宋体"/>
          <w:color w:val="auto"/>
          <w:sz w:val="24"/>
          <w:szCs w:val="18"/>
        </w:rPr>
        <w:t>天内在竣工结算文件上签字确认，竣工结算办理完毕。</w:t>
      </w:r>
    </w:p>
    <w:p w14:paraId="2735F3F5">
      <w:pPr>
        <w:pStyle w:val="2"/>
        <w:adjustRightInd w:val="0"/>
        <w:snapToGrid w:val="0"/>
        <w:spacing w:line="360" w:lineRule="auto"/>
        <w:ind w:left="1615"/>
        <w:rPr>
          <w:rFonts w:hAnsi="宋体"/>
          <w:color w:val="auto"/>
          <w:sz w:val="24"/>
          <w:szCs w:val="18"/>
          <w:u w:val="single"/>
        </w:rPr>
      </w:pPr>
      <w:r>
        <w:rPr>
          <w:rFonts w:hint="eastAsia" w:hAnsi="宋体"/>
          <w:color w:val="auto"/>
          <w:sz w:val="24"/>
          <w:szCs w:val="18"/>
        </w:rPr>
        <w:t>（</w:t>
      </w:r>
      <w:r>
        <w:rPr>
          <w:rFonts w:hAnsi="宋体"/>
          <w:color w:val="auto"/>
          <w:sz w:val="24"/>
          <w:szCs w:val="18"/>
        </w:rPr>
        <w:t>2</w:t>
      </w:r>
      <w:r>
        <w:rPr>
          <w:rFonts w:hint="eastAsia" w:hAnsi="宋体"/>
          <w:color w:val="auto"/>
          <w:sz w:val="24"/>
          <w:szCs w:val="18"/>
        </w:rPr>
        <w:t>）经复核认为有误的：无误部分按照本款第</w:t>
      </w:r>
      <w:r>
        <w:rPr>
          <w:rFonts w:hAnsi="宋体"/>
          <w:color w:val="auto"/>
          <w:sz w:val="24"/>
          <w:szCs w:val="18"/>
        </w:rPr>
        <w:t>(1)</w:t>
      </w:r>
      <w:r>
        <w:rPr>
          <w:rFonts w:hint="eastAsia" w:hAnsi="宋体"/>
          <w:color w:val="auto"/>
          <w:sz w:val="24"/>
          <w:szCs w:val="18"/>
        </w:rPr>
        <w:t>点规定办理不完全竣工结算；有误部分由造价工程师与合同双方当事人协商解决，或按照第</w:t>
      </w:r>
      <w:r>
        <w:rPr>
          <w:rFonts w:hAnsi="宋体"/>
          <w:color w:val="auto"/>
          <w:sz w:val="24"/>
          <w:szCs w:val="18"/>
        </w:rPr>
        <w:t>86</w:t>
      </w:r>
      <w:r>
        <w:rPr>
          <w:rFonts w:hint="eastAsia" w:hAnsi="宋体"/>
          <w:color w:val="auto"/>
          <w:sz w:val="24"/>
          <w:szCs w:val="18"/>
        </w:rPr>
        <w:t>条规定处理。</w:t>
      </w:r>
    </w:p>
    <w:p w14:paraId="5431EBD4">
      <w:pPr>
        <w:pStyle w:val="2"/>
        <w:adjustRightInd w:val="0"/>
        <w:snapToGrid w:val="0"/>
        <w:spacing w:line="360" w:lineRule="auto"/>
        <w:rPr>
          <w:rFonts w:hAnsi="宋体"/>
          <w:color w:val="auto"/>
          <w:sz w:val="24"/>
          <w:szCs w:val="18"/>
        </w:rPr>
      </w:pPr>
      <w:r>
        <w:rPr>
          <w:rFonts w:hAnsi="宋体"/>
          <w:b/>
          <w:color w:val="auto"/>
          <w:sz w:val="24"/>
          <w:szCs w:val="18"/>
        </w:rPr>
        <w:t>82.5</w:t>
      </w:r>
    </w:p>
    <w:p w14:paraId="6761335D">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2020736" behindDoc="0" locked="0" layoutInCell="1" allowOverlap="1">
                <wp:simplePos x="0" y="0"/>
                <wp:positionH relativeFrom="column">
                  <wp:posOffset>-114300</wp:posOffset>
                </wp:positionH>
                <wp:positionV relativeFrom="paragraph">
                  <wp:posOffset>5715</wp:posOffset>
                </wp:positionV>
                <wp:extent cx="914400" cy="396240"/>
                <wp:effectExtent l="0" t="0" r="0" b="0"/>
                <wp:wrapNone/>
                <wp:docPr id="401" name="文本框 40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4809ACC6">
                            <w:pPr>
                              <w:spacing w:line="240" w:lineRule="exact"/>
                              <w:rPr>
                                <w:rFonts w:ascii="楷体_GB2312" w:hAnsi="宋体" w:eastAsia="楷体_GB2312"/>
                                <w:b/>
                                <w:bCs/>
                                <w:sz w:val="18"/>
                                <w:szCs w:val="18"/>
                              </w:rPr>
                            </w:pPr>
                            <w:r>
                              <w:rPr>
                                <w:rFonts w:hint="eastAsia" w:ascii="楷体_GB2312" w:hAnsi="宋体" w:eastAsia="楷体_GB2312"/>
                                <w:b/>
                                <w:bCs/>
                                <w:sz w:val="18"/>
                                <w:szCs w:val="18"/>
                              </w:rPr>
                              <w:t>交付工程</w:t>
                            </w:r>
                          </w:p>
                        </w:txbxContent>
                      </wps:txbx>
                      <wps:bodyPr upright="1"/>
                    </wps:wsp>
                  </a:graphicData>
                </a:graphic>
              </wp:anchor>
            </w:drawing>
          </mc:Choice>
          <mc:Fallback>
            <w:pict>
              <v:shape id="_x0000_s1026" o:spid="_x0000_s1026" o:spt="202" type="#_x0000_t202" style="position:absolute;left:0pt;margin-left:-9pt;margin-top:0.45pt;height:31.2pt;width:72pt;z-index:252020736;mso-width-relative:page;mso-height-relative:page;" filled="f" stroked="f" coordsize="21600,21600" o:gfxdata="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ECm&#10;pdUAAAAHAQAADwAAAAAAAAABACAAAAAiAAAAZHJzL2Rvd25yZXYueG1sUEsBAhQAFAAAAAgAh07i&#10;QDMR6gmzAQAAXwMAAA4AAAAAAAAAAQAgAAAAJAEAAGRycy9lMm9Eb2MueG1sUEsFBgAAAAAGAAYA&#10;WQEAAEkFAAAAAA==&#10;">
                <v:fill on="f" focussize="0,0"/>
                <v:stroke on="f"/>
                <v:imagedata o:title=""/>
                <o:lock v:ext="edit" aspectratio="f"/>
                <v:textbox>
                  <w:txbxContent>
                    <w:p w14:paraId="4809ACC6">
                      <w:pPr>
                        <w:spacing w:line="240" w:lineRule="exact"/>
                        <w:rPr>
                          <w:rFonts w:ascii="楷体_GB2312" w:hAnsi="宋体" w:eastAsia="楷体_GB2312"/>
                          <w:b/>
                          <w:bCs/>
                          <w:sz w:val="18"/>
                          <w:szCs w:val="18"/>
                        </w:rPr>
                      </w:pPr>
                      <w:r>
                        <w:rPr>
                          <w:rFonts w:hint="eastAsia" w:ascii="楷体_GB2312" w:hAnsi="宋体" w:eastAsia="楷体_GB2312"/>
                          <w:b/>
                          <w:bCs/>
                          <w:sz w:val="18"/>
                          <w:szCs w:val="18"/>
                        </w:rPr>
                        <w:t>交付工程</w:t>
                      </w:r>
                    </w:p>
                  </w:txbxContent>
                </v:textbox>
              </v:shape>
            </w:pict>
          </mc:Fallback>
        </mc:AlternateContent>
      </w:r>
      <w:r>
        <w:rPr>
          <w:rFonts w:hint="eastAsia" w:hAnsi="宋体"/>
          <w:color w:val="auto"/>
          <w:sz w:val="24"/>
          <w:szCs w:val="18"/>
        </w:rPr>
        <w:t>发包人应在已核实无误的竣工结算文件上签名确认，拒不签认的，承包人可不交付竣工工程。</w:t>
      </w:r>
    </w:p>
    <w:p w14:paraId="795C6586">
      <w:pPr>
        <w:pStyle w:val="2"/>
        <w:adjustRightInd w:val="0"/>
        <w:snapToGrid w:val="0"/>
        <w:spacing w:line="360" w:lineRule="auto"/>
        <w:ind w:left="1619" w:leftChars="771"/>
        <w:rPr>
          <w:rFonts w:hAnsi="宋体"/>
          <w:color w:val="auto"/>
          <w:sz w:val="24"/>
          <w:szCs w:val="18"/>
        </w:rPr>
      </w:pPr>
      <w:r>
        <w:rPr>
          <w:rFonts w:hint="eastAsia" w:hAnsi="宋体"/>
          <w:color w:val="auto"/>
          <w:sz w:val="24"/>
          <w:szCs w:val="18"/>
        </w:rPr>
        <w:t>承包人未及时递交竣工结算文件的，发包人要求交付竣工工程，承包人应当交付；发包人不要求交付竣工工程，承包人承担照管永久工程责任。</w:t>
      </w:r>
    </w:p>
    <w:p w14:paraId="2907E197">
      <w:pPr>
        <w:pStyle w:val="2"/>
        <w:adjustRightInd w:val="0"/>
        <w:snapToGrid w:val="0"/>
        <w:spacing w:line="360" w:lineRule="auto"/>
        <w:rPr>
          <w:rFonts w:hAnsi="宋体"/>
          <w:b/>
          <w:color w:val="auto"/>
          <w:sz w:val="24"/>
          <w:szCs w:val="18"/>
        </w:rPr>
      </w:pPr>
    </w:p>
    <w:p w14:paraId="14B69F80">
      <w:pPr>
        <w:pStyle w:val="2"/>
        <w:tabs>
          <w:tab w:val="left" w:pos="540"/>
        </w:tabs>
        <w:adjustRightInd w:val="0"/>
        <w:snapToGrid w:val="0"/>
        <w:spacing w:before="240" w:beforeLines="100" w:line="360" w:lineRule="auto"/>
        <w:ind w:right="-238"/>
        <w:rPr>
          <w:rFonts w:hAnsi="宋体"/>
          <w:b/>
          <w:color w:val="auto"/>
          <w:sz w:val="30"/>
          <w:szCs w:val="24"/>
        </w:rPr>
      </w:pPr>
      <w:r>
        <w:rPr>
          <w:rFonts w:hAnsi="宋体"/>
          <w:b/>
          <w:color w:val="auto"/>
          <w:sz w:val="30"/>
          <w:szCs w:val="24"/>
        </w:rPr>
        <w:t xml:space="preserve">83  </w:t>
      </w:r>
      <w:r>
        <w:rPr>
          <w:rFonts w:hint="eastAsia" w:hAnsi="宋体"/>
          <w:b/>
          <w:color w:val="auto"/>
          <w:sz w:val="30"/>
          <w:szCs w:val="24"/>
        </w:rPr>
        <w:t>结算款</w:t>
      </w:r>
    </w:p>
    <w:p w14:paraId="13563082">
      <w:pPr>
        <w:pStyle w:val="2"/>
        <w:adjustRightInd w:val="0"/>
        <w:snapToGrid w:val="0"/>
        <w:spacing w:line="360" w:lineRule="auto"/>
        <w:rPr>
          <w:rFonts w:hAnsi="宋体"/>
          <w:color w:val="auto"/>
          <w:sz w:val="24"/>
          <w:szCs w:val="18"/>
        </w:rPr>
      </w:pPr>
      <w:r>
        <w:rPr>
          <w:rFonts w:hAnsi="宋体"/>
          <w:b/>
          <w:color w:val="auto"/>
          <w:sz w:val="24"/>
          <w:szCs w:val="18"/>
        </w:rPr>
        <w:t xml:space="preserve">83.1 </w:t>
      </w:r>
    </w:p>
    <w:p w14:paraId="4CC8BE28">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2021760" behindDoc="0" locked="0" layoutInCell="1" allowOverlap="1">
                <wp:simplePos x="0" y="0"/>
                <wp:positionH relativeFrom="column">
                  <wp:posOffset>-114300</wp:posOffset>
                </wp:positionH>
                <wp:positionV relativeFrom="paragraph">
                  <wp:posOffset>36195</wp:posOffset>
                </wp:positionV>
                <wp:extent cx="685800" cy="459105"/>
                <wp:effectExtent l="0" t="0" r="0" b="0"/>
                <wp:wrapNone/>
                <wp:docPr id="402" name="文本框 402"/>
                <wp:cNvGraphicFramePr/>
                <a:graphic xmlns:a="http://schemas.openxmlformats.org/drawingml/2006/main">
                  <a:graphicData uri="http://schemas.microsoft.com/office/word/2010/wordprocessingShape">
                    <wps:wsp>
                      <wps:cNvSpPr txBox="1"/>
                      <wps:spPr>
                        <a:xfrm>
                          <a:off x="0" y="0"/>
                          <a:ext cx="685800" cy="459105"/>
                        </a:xfrm>
                        <a:prstGeom prst="rect">
                          <a:avLst/>
                        </a:prstGeom>
                        <a:noFill/>
                        <a:ln>
                          <a:noFill/>
                        </a:ln>
                        <a:effectLst/>
                      </wps:spPr>
                      <wps:txbx>
                        <w:txbxContent>
                          <w:p w14:paraId="643D31DB">
                            <w:pPr>
                              <w:spacing w:line="240" w:lineRule="exact"/>
                              <w:rPr>
                                <w:rFonts w:ascii="楷体_GB2312" w:hAnsi="宋体" w:eastAsia="楷体_GB2312"/>
                                <w:b/>
                                <w:bCs/>
                                <w:sz w:val="18"/>
                                <w:szCs w:val="18"/>
                              </w:rPr>
                            </w:pPr>
                            <w:r>
                              <w:rPr>
                                <w:rFonts w:hint="eastAsia" w:ascii="楷体_GB2312" w:hAnsi="宋体" w:eastAsia="楷体_GB2312"/>
                                <w:b/>
                                <w:bCs/>
                                <w:sz w:val="18"/>
                                <w:szCs w:val="18"/>
                              </w:rPr>
                              <w:t>提交竣工</w:t>
                            </w:r>
                          </w:p>
                          <w:p w14:paraId="685479EF">
                            <w:pPr>
                              <w:spacing w:line="240" w:lineRule="exact"/>
                              <w:rPr>
                                <w:rFonts w:ascii="楷体_GB2312" w:hAnsi="宋体" w:eastAsia="楷体_GB2312"/>
                                <w:b/>
                                <w:bCs/>
                                <w:sz w:val="18"/>
                                <w:szCs w:val="18"/>
                              </w:rPr>
                            </w:pPr>
                            <w:r>
                              <w:rPr>
                                <w:rFonts w:hint="eastAsia" w:ascii="楷体_GB2312" w:hAnsi="宋体" w:eastAsia="楷体_GB2312"/>
                                <w:b/>
                                <w:bCs/>
                                <w:sz w:val="18"/>
                                <w:szCs w:val="18"/>
                              </w:rPr>
                              <w:t>支付申请</w:t>
                            </w:r>
                          </w:p>
                        </w:txbxContent>
                      </wps:txbx>
                      <wps:bodyPr upright="1"/>
                    </wps:wsp>
                  </a:graphicData>
                </a:graphic>
              </wp:anchor>
            </w:drawing>
          </mc:Choice>
          <mc:Fallback>
            <w:pict>
              <v:shape id="_x0000_s1026" o:spid="_x0000_s1026" o:spt="202" type="#_x0000_t202" style="position:absolute;left:0pt;margin-left:-9pt;margin-top:2.85pt;height:36.15pt;width:54pt;z-index:252021760;mso-width-relative:page;mso-height-relative:page;" filled="f" stroked="f" coordsize="21600,21600" o:gfxdata="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RwIVi&#10;1AAAAAcBAAAPAAAAAAAAAAEAIAAAACIAAABkcnMvZG93bnJldi54bWxQSwECFAAUAAAACACHTuJA&#10;WbYkJbMBAABfAwAADgAAAAAAAAABACAAAAAjAQAAZHJzL2Uyb0RvYy54bWxQSwUGAAAAAAYABgBZ&#10;AQAASAUAAAAA&#10;">
                <v:fill on="f" focussize="0,0"/>
                <v:stroke on="f"/>
                <v:imagedata o:title=""/>
                <o:lock v:ext="edit" aspectratio="f"/>
                <v:textbox>
                  <w:txbxContent>
                    <w:p w14:paraId="643D31DB">
                      <w:pPr>
                        <w:spacing w:line="240" w:lineRule="exact"/>
                        <w:rPr>
                          <w:rFonts w:ascii="楷体_GB2312" w:hAnsi="宋体" w:eastAsia="楷体_GB2312"/>
                          <w:b/>
                          <w:bCs/>
                          <w:sz w:val="18"/>
                          <w:szCs w:val="18"/>
                        </w:rPr>
                      </w:pPr>
                      <w:r>
                        <w:rPr>
                          <w:rFonts w:hint="eastAsia" w:ascii="楷体_GB2312" w:hAnsi="宋体" w:eastAsia="楷体_GB2312"/>
                          <w:b/>
                          <w:bCs/>
                          <w:sz w:val="18"/>
                          <w:szCs w:val="18"/>
                        </w:rPr>
                        <w:t>提交竣工</w:t>
                      </w:r>
                    </w:p>
                    <w:p w14:paraId="685479EF">
                      <w:pPr>
                        <w:spacing w:line="240" w:lineRule="exact"/>
                        <w:rPr>
                          <w:rFonts w:ascii="楷体_GB2312" w:hAnsi="宋体" w:eastAsia="楷体_GB2312"/>
                          <w:b/>
                          <w:bCs/>
                          <w:sz w:val="18"/>
                          <w:szCs w:val="18"/>
                        </w:rPr>
                      </w:pPr>
                      <w:r>
                        <w:rPr>
                          <w:rFonts w:hint="eastAsia" w:ascii="楷体_GB2312" w:hAnsi="宋体" w:eastAsia="楷体_GB2312"/>
                          <w:b/>
                          <w:bCs/>
                          <w:sz w:val="18"/>
                          <w:szCs w:val="18"/>
                        </w:rPr>
                        <w:t>支付申请</w:t>
                      </w:r>
                    </w:p>
                  </w:txbxContent>
                </v:textbox>
              </v:shape>
            </w:pict>
          </mc:Fallback>
        </mc:AlternateContent>
      </w:r>
      <w:r>
        <w:rPr>
          <w:rFonts w:hint="eastAsia" w:hAnsi="宋体"/>
          <w:color w:val="auto"/>
          <w:sz w:val="24"/>
          <w:szCs w:val="18"/>
        </w:rPr>
        <w:t>合同双方当事人应在专用条款中明确结算款的支付时限。专用条款没有约定的，结算款支付按照第</w:t>
      </w:r>
      <w:r>
        <w:rPr>
          <w:rFonts w:hAnsi="宋体"/>
          <w:color w:val="auto"/>
          <w:sz w:val="24"/>
          <w:szCs w:val="18"/>
        </w:rPr>
        <w:t>83.2</w:t>
      </w:r>
      <w:r>
        <w:rPr>
          <w:rFonts w:hint="eastAsia" w:hAnsi="宋体"/>
          <w:color w:val="auto"/>
          <w:sz w:val="24"/>
          <w:szCs w:val="18"/>
        </w:rPr>
        <w:t>款至第</w:t>
      </w:r>
      <w:r>
        <w:rPr>
          <w:rFonts w:hAnsi="宋体"/>
          <w:color w:val="auto"/>
          <w:sz w:val="24"/>
          <w:szCs w:val="18"/>
        </w:rPr>
        <w:t>83.5</w:t>
      </w:r>
      <w:r>
        <w:rPr>
          <w:rFonts w:hint="eastAsia" w:hAnsi="宋体"/>
          <w:color w:val="auto"/>
          <w:sz w:val="24"/>
          <w:szCs w:val="18"/>
        </w:rPr>
        <w:t>款规定办理。涉及政府投资资金的工程</w:t>
      </w:r>
      <w:r>
        <w:rPr>
          <w:rFonts w:hAnsi="宋体"/>
          <w:color w:val="auto"/>
          <w:sz w:val="24"/>
          <w:szCs w:val="18"/>
        </w:rPr>
        <w:t>,</w:t>
      </w:r>
      <w:r>
        <w:rPr>
          <w:rFonts w:hint="eastAsia" w:hAnsi="宋体"/>
          <w:color w:val="auto"/>
          <w:sz w:val="24"/>
          <w:szCs w:val="18"/>
        </w:rPr>
        <w:t>支付期、支付方法等需调整的，应在专用条款中约定。</w:t>
      </w:r>
    </w:p>
    <w:p w14:paraId="3F0600FC">
      <w:pPr>
        <w:pStyle w:val="2"/>
        <w:adjustRightInd w:val="0"/>
        <w:snapToGrid w:val="0"/>
        <w:spacing w:line="360" w:lineRule="auto"/>
        <w:ind w:left="1619" w:leftChars="771"/>
        <w:rPr>
          <w:rFonts w:hAnsi="宋体"/>
          <w:color w:val="auto"/>
          <w:sz w:val="24"/>
          <w:szCs w:val="18"/>
        </w:rPr>
      </w:pPr>
      <w:r>
        <w:rPr>
          <w:rFonts w:hint="eastAsia" w:hAnsi="宋体"/>
          <w:color w:val="auto"/>
          <w:sz w:val="24"/>
          <w:szCs w:val="18"/>
        </w:rPr>
        <w:t>承包人应按照第</w:t>
      </w:r>
      <w:r>
        <w:rPr>
          <w:rFonts w:hAnsi="宋体"/>
          <w:color w:val="auto"/>
          <w:sz w:val="24"/>
          <w:szCs w:val="18"/>
        </w:rPr>
        <w:t>82.2</w:t>
      </w:r>
      <w:r>
        <w:rPr>
          <w:rFonts w:hint="eastAsia" w:hAnsi="宋体"/>
          <w:color w:val="auto"/>
          <w:sz w:val="24"/>
          <w:szCs w:val="18"/>
        </w:rPr>
        <w:t>款规定在向造价工程师递交竣工结算文件时，根据国家、省规定的格式向造价工程师递交由承包人代表签认的竣工结算支付申请和竣工结算款额报告一式四份，并附上完整的结算资料，详细列出下列内容，同时抄送发包人、监理工程师各一份。</w:t>
      </w:r>
    </w:p>
    <w:p w14:paraId="6270DA9A">
      <w:pPr>
        <w:pStyle w:val="2"/>
        <w:tabs>
          <w:tab w:val="left" w:pos="2641"/>
        </w:tabs>
        <w:adjustRightInd w:val="0"/>
        <w:snapToGrid w:val="0"/>
        <w:spacing w:line="360" w:lineRule="auto"/>
        <w:ind w:left="1619" w:leftChars="771"/>
        <w:rPr>
          <w:rFonts w:hAnsi="宋体"/>
          <w:color w:val="auto"/>
          <w:sz w:val="24"/>
          <w:szCs w:val="18"/>
        </w:rPr>
      </w:pPr>
      <w:r>
        <w:rPr>
          <w:rFonts w:hint="eastAsia" w:hAnsi="宋体"/>
          <w:color w:val="auto"/>
          <w:sz w:val="24"/>
          <w:szCs w:val="18"/>
        </w:rPr>
        <w:t>（</w:t>
      </w:r>
      <w:r>
        <w:rPr>
          <w:rFonts w:hAnsi="宋体"/>
          <w:color w:val="auto"/>
          <w:sz w:val="24"/>
          <w:szCs w:val="18"/>
        </w:rPr>
        <w:t>1</w:t>
      </w:r>
      <w:r>
        <w:rPr>
          <w:rFonts w:hint="eastAsia" w:hAnsi="宋体"/>
          <w:color w:val="auto"/>
          <w:sz w:val="24"/>
          <w:szCs w:val="18"/>
        </w:rPr>
        <w:t>）根据合同完成全部或所有工程的总造价；</w:t>
      </w:r>
    </w:p>
    <w:p w14:paraId="5A1A5A8A">
      <w:pPr>
        <w:pStyle w:val="2"/>
        <w:tabs>
          <w:tab w:val="left" w:pos="2641"/>
        </w:tabs>
        <w:adjustRightInd w:val="0"/>
        <w:snapToGrid w:val="0"/>
        <w:spacing w:line="360" w:lineRule="auto"/>
        <w:ind w:left="1619" w:leftChars="771"/>
        <w:rPr>
          <w:rFonts w:hAnsi="宋体"/>
          <w:color w:val="auto"/>
          <w:sz w:val="24"/>
          <w:szCs w:val="18"/>
        </w:rPr>
      </w:pPr>
      <w:r>
        <w:rPr>
          <w:rFonts w:hint="eastAsia" w:hAnsi="宋体"/>
          <w:color w:val="auto"/>
          <w:sz w:val="24"/>
          <w:szCs w:val="18"/>
        </w:rPr>
        <w:t>（</w:t>
      </w:r>
      <w:r>
        <w:rPr>
          <w:rFonts w:hAnsi="宋体"/>
          <w:color w:val="auto"/>
          <w:sz w:val="24"/>
          <w:szCs w:val="18"/>
        </w:rPr>
        <w:t>2</w:t>
      </w:r>
      <w:r>
        <w:rPr>
          <w:rFonts w:hint="eastAsia" w:hAnsi="宋体"/>
          <w:color w:val="auto"/>
          <w:sz w:val="24"/>
          <w:szCs w:val="18"/>
        </w:rPr>
        <w:t>）根据合同约定发包人应付的所有款项。</w:t>
      </w:r>
    </w:p>
    <w:p w14:paraId="1F51F98A">
      <w:pPr>
        <w:pStyle w:val="2"/>
        <w:tabs>
          <w:tab w:val="left" w:pos="2641"/>
        </w:tabs>
        <w:adjustRightInd w:val="0"/>
        <w:snapToGrid w:val="0"/>
        <w:spacing w:line="360" w:lineRule="auto"/>
        <w:rPr>
          <w:rFonts w:hAnsi="宋体"/>
          <w:b/>
          <w:color w:val="auto"/>
          <w:sz w:val="24"/>
          <w:szCs w:val="18"/>
          <w:u w:val="single"/>
        </w:rPr>
      </w:pPr>
      <w:r>
        <w:rPr>
          <w:rFonts w:hAnsi="宋体"/>
          <w:b/>
          <w:color w:val="auto"/>
          <w:sz w:val="24"/>
          <w:szCs w:val="18"/>
        </w:rPr>
        <w:t xml:space="preserve">83.2  </w:t>
      </w:r>
    </w:p>
    <w:p w14:paraId="14892B37">
      <w:pPr>
        <w:pStyle w:val="2"/>
        <w:adjustRightInd w:val="0"/>
        <w:snapToGrid w:val="0"/>
        <w:spacing w:line="360" w:lineRule="auto"/>
        <w:ind w:left="1619" w:leftChars="771"/>
        <w:rPr>
          <w:rFonts w:hAnsi="宋体"/>
          <w:color w:val="auto"/>
          <w:sz w:val="24"/>
          <w:szCs w:val="18"/>
          <w:u w:val="single"/>
        </w:rPr>
      </w:pPr>
      <w:r>
        <w:rPr>
          <w:color w:val="auto"/>
        </w:rPr>
        <mc:AlternateContent>
          <mc:Choice Requires="wps">
            <w:drawing>
              <wp:anchor distT="0" distB="0" distL="114300" distR="114300" simplePos="0" relativeHeight="252022784" behindDoc="0" locked="0" layoutInCell="1" allowOverlap="1">
                <wp:simplePos x="0" y="0"/>
                <wp:positionH relativeFrom="column">
                  <wp:posOffset>-114300</wp:posOffset>
                </wp:positionH>
                <wp:positionV relativeFrom="paragraph">
                  <wp:posOffset>15875</wp:posOffset>
                </wp:positionV>
                <wp:extent cx="800100" cy="504190"/>
                <wp:effectExtent l="0" t="0" r="0" b="0"/>
                <wp:wrapNone/>
                <wp:docPr id="403" name="文本框 403"/>
                <wp:cNvGraphicFramePr/>
                <a:graphic xmlns:a="http://schemas.openxmlformats.org/drawingml/2006/main">
                  <a:graphicData uri="http://schemas.microsoft.com/office/word/2010/wordprocessingShape">
                    <wps:wsp>
                      <wps:cNvSpPr txBox="1"/>
                      <wps:spPr>
                        <a:xfrm>
                          <a:off x="0" y="0"/>
                          <a:ext cx="800100" cy="504190"/>
                        </a:xfrm>
                        <a:prstGeom prst="rect">
                          <a:avLst/>
                        </a:prstGeom>
                        <a:noFill/>
                        <a:ln>
                          <a:noFill/>
                        </a:ln>
                        <a:effectLst/>
                      </wps:spPr>
                      <wps:txbx>
                        <w:txbxContent>
                          <w:p w14:paraId="4EC6AD55">
                            <w:pPr>
                              <w:spacing w:line="240" w:lineRule="exact"/>
                              <w:rPr>
                                <w:rFonts w:ascii="楷体_GB2312" w:hAnsi="宋体" w:eastAsia="楷体_GB2312"/>
                                <w:b/>
                                <w:bCs/>
                                <w:sz w:val="18"/>
                                <w:szCs w:val="18"/>
                              </w:rPr>
                            </w:pPr>
                            <w:r>
                              <w:rPr>
                                <w:rFonts w:hint="eastAsia" w:ascii="楷体_GB2312" w:hAnsi="宋体" w:eastAsia="楷体_GB2312"/>
                                <w:b/>
                                <w:bCs/>
                                <w:sz w:val="18"/>
                                <w:szCs w:val="18"/>
                              </w:rPr>
                              <w:t>签发竣工</w:t>
                            </w:r>
                          </w:p>
                          <w:p w14:paraId="32787C13">
                            <w:pPr>
                              <w:spacing w:line="240" w:lineRule="exact"/>
                              <w:rPr>
                                <w:rFonts w:ascii="楷体_GB2312" w:hAnsi="宋体" w:eastAsia="楷体_GB2312"/>
                                <w:b/>
                                <w:bCs/>
                                <w:sz w:val="18"/>
                                <w:szCs w:val="18"/>
                              </w:rPr>
                            </w:pPr>
                            <w:r>
                              <w:rPr>
                                <w:rFonts w:hint="eastAsia" w:ascii="楷体_GB2312" w:hAnsi="宋体" w:eastAsia="楷体_GB2312"/>
                                <w:b/>
                                <w:bCs/>
                                <w:sz w:val="18"/>
                                <w:szCs w:val="18"/>
                              </w:rPr>
                              <w:t>结算支付</w:t>
                            </w:r>
                          </w:p>
                          <w:p w14:paraId="16CE9A7E">
                            <w:pPr>
                              <w:spacing w:line="240" w:lineRule="exact"/>
                              <w:rPr>
                                <w:rFonts w:ascii="楷体_GB2312" w:hAnsi="宋体" w:eastAsia="楷体_GB2312"/>
                                <w:b/>
                                <w:bCs/>
                                <w:sz w:val="18"/>
                                <w:szCs w:val="18"/>
                              </w:rPr>
                            </w:pPr>
                            <w:r>
                              <w:rPr>
                                <w:rFonts w:hint="eastAsia" w:ascii="楷体_GB2312" w:hAnsi="宋体" w:eastAsia="楷体_GB2312"/>
                                <w:b/>
                                <w:bCs/>
                                <w:sz w:val="18"/>
                                <w:szCs w:val="18"/>
                              </w:rPr>
                              <w:t>证书</w:t>
                            </w:r>
                          </w:p>
                        </w:txbxContent>
                      </wps:txbx>
                      <wps:bodyPr upright="1"/>
                    </wps:wsp>
                  </a:graphicData>
                </a:graphic>
              </wp:anchor>
            </w:drawing>
          </mc:Choice>
          <mc:Fallback>
            <w:pict>
              <v:shape id="_x0000_s1026" o:spid="_x0000_s1026" o:spt="202" type="#_x0000_t202" style="position:absolute;left:0pt;margin-left:-9pt;margin-top:1.25pt;height:39.7pt;width:63pt;z-index:252022784;mso-width-relative:page;mso-height-relative:page;" filled="f" stroked="f" coordsize="21600,21600" o:gfxdata="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5HqUbU&#10;AAAACAEAAA8AAAAAAAAAAQAgAAAAIgAAAGRycy9kb3ducmV2LnhtbFBLAQIUABQAAAAIAIdO4kCe&#10;PmHKsgEAAF8DAAAOAAAAAAAAAAEAIAAAACMBAABkcnMvZTJvRG9jLnhtbFBLBQYAAAAABgAGAFkB&#10;AABHBQAAAAA=&#10;">
                <v:fill on="f" focussize="0,0"/>
                <v:stroke on="f"/>
                <v:imagedata o:title=""/>
                <o:lock v:ext="edit" aspectratio="f"/>
                <v:textbox>
                  <w:txbxContent>
                    <w:p w14:paraId="4EC6AD55">
                      <w:pPr>
                        <w:spacing w:line="240" w:lineRule="exact"/>
                        <w:rPr>
                          <w:rFonts w:ascii="楷体_GB2312" w:hAnsi="宋体" w:eastAsia="楷体_GB2312"/>
                          <w:b/>
                          <w:bCs/>
                          <w:sz w:val="18"/>
                          <w:szCs w:val="18"/>
                        </w:rPr>
                      </w:pPr>
                      <w:r>
                        <w:rPr>
                          <w:rFonts w:hint="eastAsia" w:ascii="楷体_GB2312" w:hAnsi="宋体" w:eastAsia="楷体_GB2312"/>
                          <w:b/>
                          <w:bCs/>
                          <w:sz w:val="18"/>
                          <w:szCs w:val="18"/>
                        </w:rPr>
                        <w:t>签发竣工</w:t>
                      </w:r>
                    </w:p>
                    <w:p w14:paraId="32787C13">
                      <w:pPr>
                        <w:spacing w:line="240" w:lineRule="exact"/>
                        <w:rPr>
                          <w:rFonts w:ascii="楷体_GB2312" w:hAnsi="宋体" w:eastAsia="楷体_GB2312"/>
                          <w:b/>
                          <w:bCs/>
                          <w:sz w:val="18"/>
                          <w:szCs w:val="18"/>
                        </w:rPr>
                      </w:pPr>
                      <w:r>
                        <w:rPr>
                          <w:rFonts w:hint="eastAsia" w:ascii="楷体_GB2312" w:hAnsi="宋体" w:eastAsia="楷体_GB2312"/>
                          <w:b/>
                          <w:bCs/>
                          <w:sz w:val="18"/>
                          <w:szCs w:val="18"/>
                        </w:rPr>
                        <w:t>结算支付</w:t>
                      </w:r>
                    </w:p>
                    <w:p w14:paraId="16CE9A7E">
                      <w:pPr>
                        <w:spacing w:line="240" w:lineRule="exact"/>
                        <w:rPr>
                          <w:rFonts w:ascii="楷体_GB2312" w:hAnsi="宋体" w:eastAsia="楷体_GB2312"/>
                          <w:b/>
                          <w:bCs/>
                          <w:sz w:val="18"/>
                          <w:szCs w:val="18"/>
                        </w:rPr>
                      </w:pPr>
                      <w:r>
                        <w:rPr>
                          <w:rFonts w:hint="eastAsia" w:ascii="楷体_GB2312" w:hAnsi="宋体" w:eastAsia="楷体_GB2312"/>
                          <w:b/>
                          <w:bCs/>
                          <w:sz w:val="18"/>
                          <w:szCs w:val="18"/>
                        </w:rPr>
                        <w:t>证书</w:t>
                      </w:r>
                    </w:p>
                  </w:txbxContent>
                </v:textbox>
              </v:shape>
            </w:pict>
          </mc:Fallback>
        </mc:AlternateContent>
      </w:r>
      <w:r>
        <w:rPr>
          <w:rFonts w:hint="eastAsia" w:hAnsi="宋体"/>
          <w:color w:val="auto"/>
          <w:sz w:val="24"/>
          <w:szCs w:val="18"/>
        </w:rPr>
        <w:t>造价工程师在收到上述资料后，应按照第</w:t>
      </w:r>
      <w:r>
        <w:rPr>
          <w:rFonts w:hAnsi="宋体"/>
          <w:color w:val="auto"/>
          <w:sz w:val="24"/>
          <w:szCs w:val="18"/>
        </w:rPr>
        <w:t>82.3</w:t>
      </w:r>
      <w:r>
        <w:rPr>
          <w:rFonts w:hint="eastAsia" w:hAnsi="宋体"/>
          <w:color w:val="auto"/>
          <w:sz w:val="24"/>
          <w:szCs w:val="18"/>
        </w:rPr>
        <w:t>款、第</w:t>
      </w:r>
      <w:r>
        <w:rPr>
          <w:rFonts w:hAnsi="宋体"/>
          <w:color w:val="auto"/>
          <w:sz w:val="24"/>
          <w:szCs w:val="18"/>
        </w:rPr>
        <w:t>82.4</w:t>
      </w:r>
      <w:r>
        <w:rPr>
          <w:rFonts w:hint="eastAsia" w:hAnsi="宋体"/>
          <w:color w:val="auto"/>
          <w:sz w:val="24"/>
          <w:szCs w:val="18"/>
        </w:rPr>
        <w:t>款规定核实竣工结算文件，并在发包人签字确认竣工结算文件后的</w:t>
      </w:r>
      <w:r>
        <w:rPr>
          <w:rFonts w:hAnsi="宋体"/>
          <w:color w:val="auto"/>
          <w:sz w:val="24"/>
          <w:szCs w:val="18"/>
        </w:rPr>
        <w:t>7</w:t>
      </w:r>
      <w:r>
        <w:rPr>
          <w:rFonts w:hint="eastAsia" w:hAnsi="宋体"/>
          <w:color w:val="auto"/>
          <w:sz w:val="24"/>
          <w:szCs w:val="18"/>
        </w:rPr>
        <w:t>天内，向发包人签发竣工结算支付证书，同时抄送承包人。</w:t>
      </w:r>
    </w:p>
    <w:p w14:paraId="2AA5F300">
      <w:pPr>
        <w:pStyle w:val="2"/>
        <w:adjustRightInd w:val="0"/>
        <w:snapToGrid w:val="0"/>
        <w:spacing w:line="360" w:lineRule="auto"/>
        <w:rPr>
          <w:rFonts w:hAnsi="宋体"/>
          <w:color w:val="auto"/>
          <w:sz w:val="24"/>
          <w:szCs w:val="18"/>
        </w:rPr>
      </w:pPr>
      <w:r>
        <w:rPr>
          <w:rFonts w:hAnsi="宋体"/>
          <w:b/>
          <w:color w:val="auto"/>
          <w:sz w:val="24"/>
          <w:szCs w:val="18"/>
        </w:rPr>
        <w:t>83.3</w:t>
      </w:r>
    </w:p>
    <w:p w14:paraId="13AE2B7F">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2023808" behindDoc="0" locked="0" layoutInCell="1" allowOverlap="1">
                <wp:simplePos x="0" y="0"/>
                <wp:positionH relativeFrom="column">
                  <wp:posOffset>-114300</wp:posOffset>
                </wp:positionH>
                <wp:positionV relativeFrom="paragraph">
                  <wp:posOffset>5715</wp:posOffset>
                </wp:positionV>
                <wp:extent cx="800100" cy="396240"/>
                <wp:effectExtent l="0" t="0" r="0" b="0"/>
                <wp:wrapNone/>
                <wp:docPr id="282" name="文本框 282"/>
                <wp:cNvGraphicFramePr/>
                <a:graphic xmlns:a="http://schemas.openxmlformats.org/drawingml/2006/main">
                  <a:graphicData uri="http://schemas.microsoft.com/office/word/2010/wordprocessingShape">
                    <wps:wsp>
                      <wps:cNvSpPr txBox="1"/>
                      <wps:spPr>
                        <a:xfrm>
                          <a:off x="0" y="0"/>
                          <a:ext cx="800100" cy="396240"/>
                        </a:xfrm>
                        <a:prstGeom prst="rect">
                          <a:avLst/>
                        </a:prstGeom>
                        <a:noFill/>
                        <a:ln>
                          <a:noFill/>
                        </a:ln>
                        <a:effectLst/>
                      </wps:spPr>
                      <wps:txbx>
                        <w:txbxContent>
                          <w:p w14:paraId="7B7AEA74">
                            <w:pPr>
                              <w:spacing w:line="240" w:lineRule="exact"/>
                              <w:rPr>
                                <w:rFonts w:ascii="楷体_GB2312" w:hAnsi="宋体" w:eastAsia="楷体_GB2312"/>
                                <w:b/>
                                <w:bCs/>
                                <w:sz w:val="18"/>
                                <w:szCs w:val="18"/>
                              </w:rPr>
                            </w:pPr>
                            <w:r>
                              <w:rPr>
                                <w:rFonts w:hint="eastAsia" w:ascii="楷体_GB2312" w:hAnsi="宋体" w:eastAsia="楷体_GB2312"/>
                                <w:b/>
                                <w:bCs/>
                                <w:sz w:val="18"/>
                                <w:szCs w:val="18"/>
                              </w:rPr>
                              <w:t>竣工结算款</w:t>
                            </w:r>
                          </w:p>
                          <w:p w14:paraId="7DF4F660">
                            <w:pPr>
                              <w:spacing w:line="240" w:lineRule="exact"/>
                              <w:rPr>
                                <w:rFonts w:ascii="楷体_GB2312" w:hAnsi="宋体" w:eastAsia="楷体_GB2312"/>
                                <w:b/>
                                <w:bCs/>
                                <w:sz w:val="18"/>
                                <w:szCs w:val="18"/>
                              </w:rPr>
                            </w:pPr>
                            <w:r>
                              <w:rPr>
                                <w:rFonts w:hint="eastAsia" w:ascii="楷体_GB2312" w:hAnsi="宋体" w:eastAsia="楷体_GB2312"/>
                                <w:b/>
                                <w:bCs/>
                                <w:sz w:val="18"/>
                                <w:szCs w:val="18"/>
                              </w:rPr>
                              <w:t>支付</w:t>
                            </w:r>
                          </w:p>
                        </w:txbxContent>
                      </wps:txbx>
                      <wps:bodyPr upright="1"/>
                    </wps:wsp>
                  </a:graphicData>
                </a:graphic>
              </wp:anchor>
            </w:drawing>
          </mc:Choice>
          <mc:Fallback>
            <w:pict>
              <v:shape id="_x0000_s1026" o:spid="_x0000_s1026" o:spt="202" type="#_x0000_t202" style="position:absolute;left:0pt;margin-left:-9pt;margin-top:0.45pt;height:31.2pt;width:63pt;z-index:252023808;mso-width-relative:page;mso-height-relative:page;" filled="f" stroked="f" coordsize="21600,21600" o:gfxdata="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ihS6a9MA&#10;AAAHAQAADwAAAAAAAAABACAAAAAiAAAAZHJzL2Rvd25yZXYueG1sUEsBAhQAFAAAAAgAh07iQH2b&#10;WNyyAQAAXwMAAA4AAAAAAAAAAQAgAAAAIgEAAGRycy9lMm9Eb2MueG1sUEsFBgAAAAAGAAYAWQEA&#10;AEYFAAAAAA==&#10;">
                <v:fill on="f" focussize="0,0"/>
                <v:stroke on="f"/>
                <v:imagedata o:title=""/>
                <o:lock v:ext="edit" aspectratio="f"/>
                <v:textbox>
                  <w:txbxContent>
                    <w:p w14:paraId="7B7AEA74">
                      <w:pPr>
                        <w:spacing w:line="240" w:lineRule="exact"/>
                        <w:rPr>
                          <w:rFonts w:ascii="楷体_GB2312" w:hAnsi="宋体" w:eastAsia="楷体_GB2312"/>
                          <w:b/>
                          <w:bCs/>
                          <w:sz w:val="18"/>
                          <w:szCs w:val="18"/>
                        </w:rPr>
                      </w:pPr>
                      <w:r>
                        <w:rPr>
                          <w:rFonts w:hint="eastAsia" w:ascii="楷体_GB2312" w:hAnsi="宋体" w:eastAsia="楷体_GB2312"/>
                          <w:b/>
                          <w:bCs/>
                          <w:sz w:val="18"/>
                          <w:szCs w:val="18"/>
                        </w:rPr>
                        <w:t>竣工结算款</w:t>
                      </w:r>
                    </w:p>
                    <w:p w14:paraId="7DF4F660">
                      <w:pPr>
                        <w:spacing w:line="240" w:lineRule="exact"/>
                        <w:rPr>
                          <w:rFonts w:ascii="楷体_GB2312" w:hAnsi="宋体" w:eastAsia="楷体_GB2312"/>
                          <w:b/>
                          <w:bCs/>
                          <w:sz w:val="18"/>
                          <w:szCs w:val="18"/>
                        </w:rPr>
                      </w:pPr>
                      <w:r>
                        <w:rPr>
                          <w:rFonts w:hint="eastAsia" w:ascii="楷体_GB2312" w:hAnsi="宋体" w:eastAsia="楷体_GB2312"/>
                          <w:b/>
                          <w:bCs/>
                          <w:sz w:val="18"/>
                          <w:szCs w:val="18"/>
                        </w:rPr>
                        <w:t>支付</w:t>
                      </w:r>
                    </w:p>
                  </w:txbxContent>
                </v:textbox>
              </v:shape>
            </w:pict>
          </mc:Fallback>
        </mc:AlternateContent>
      </w:r>
      <w:r>
        <w:rPr>
          <w:rFonts w:hint="eastAsia" w:hAnsi="宋体"/>
          <w:color w:val="auto"/>
          <w:sz w:val="24"/>
          <w:szCs w:val="18"/>
        </w:rPr>
        <w:t>发包人应在造价工程师签发竣工结算支付证书后的</w:t>
      </w:r>
      <w:r>
        <w:rPr>
          <w:rFonts w:hAnsi="宋体"/>
          <w:color w:val="auto"/>
          <w:sz w:val="24"/>
          <w:szCs w:val="18"/>
        </w:rPr>
        <w:t>28</w:t>
      </w:r>
      <w:r>
        <w:rPr>
          <w:rFonts w:hint="eastAsia" w:hAnsi="宋体"/>
          <w:color w:val="auto"/>
          <w:sz w:val="24"/>
          <w:szCs w:val="18"/>
        </w:rPr>
        <w:t>天内，按照竣工结算支付证书列明的金额向承包人支付结算款，并通知造价工程师。</w:t>
      </w:r>
    </w:p>
    <w:p w14:paraId="2F85E8D1">
      <w:pPr>
        <w:pStyle w:val="2"/>
        <w:tabs>
          <w:tab w:val="left" w:pos="1320"/>
        </w:tabs>
        <w:adjustRightInd w:val="0"/>
        <w:snapToGrid w:val="0"/>
        <w:spacing w:line="360" w:lineRule="auto"/>
        <w:rPr>
          <w:rFonts w:hAnsi="宋体"/>
          <w:b/>
          <w:color w:val="auto"/>
          <w:sz w:val="24"/>
          <w:szCs w:val="18"/>
        </w:rPr>
      </w:pPr>
      <w:r>
        <w:rPr>
          <w:rFonts w:hAnsi="宋体"/>
          <w:b/>
          <w:color w:val="auto"/>
          <w:sz w:val="24"/>
          <w:szCs w:val="18"/>
        </w:rPr>
        <w:t xml:space="preserve">83.4  </w:t>
      </w:r>
    </w:p>
    <w:p w14:paraId="4DE8C468">
      <w:pPr>
        <w:pStyle w:val="2"/>
        <w:adjustRightInd w:val="0"/>
        <w:snapToGrid w:val="0"/>
        <w:spacing w:line="360" w:lineRule="auto"/>
        <w:ind w:left="1678" w:leftChars="799" w:firstLine="2"/>
        <w:rPr>
          <w:rFonts w:hAnsi="宋体"/>
          <w:color w:val="auto"/>
          <w:sz w:val="24"/>
          <w:szCs w:val="18"/>
        </w:rPr>
      </w:pPr>
      <w:r>
        <w:rPr>
          <w:color w:val="auto"/>
        </w:rPr>
        <mc:AlternateContent>
          <mc:Choice Requires="wps">
            <w:drawing>
              <wp:anchor distT="0" distB="0" distL="114300" distR="114300" simplePos="0" relativeHeight="252024832" behindDoc="0" locked="0" layoutInCell="1" allowOverlap="1">
                <wp:simplePos x="0" y="0"/>
                <wp:positionH relativeFrom="column">
                  <wp:posOffset>-66675</wp:posOffset>
                </wp:positionH>
                <wp:positionV relativeFrom="paragraph">
                  <wp:posOffset>12065</wp:posOffset>
                </wp:positionV>
                <wp:extent cx="1047750" cy="829310"/>
                <wp:effectExtent l="0" t="0" r="0" b="0"/>
                <wp:wrapNone/>
                <wp:docPr id="283" name="文本框 283"/>
                <wp:cNvGraphicFramePr/>
                <a:graphic xmlns:a="http://schemas.openxmlformats.org/drawingml/2006/main">
                  <a:graphicData uri="http://schemas.microsoft.com/office/word/2010/wordprocessingShape">
                    <wps:wsp>
                      <wps:cNvSpPr txBox="1"/>
                      <wps:spPr>
                        <a:xfrm>
                          <a:off x="0" y="0"/>
                          <a:ext cx="1047750" cy="829310"/>
                        </a:xfrm>
                        <a:prstGeom prst="rect">
                          <a:avLst/>
                        </a:prstGeom>
                        <a:noFill/>
                        <a:ln>
                          <a:noFill/>
                        </a:ln>
                        <a:effectLst/>
                      </wps:spPr>
                      <wps:txbx>
                        <w:txbxContent>
                          <w:p w14:paraId="03023D4F">
                            <w:pPr>
                              <w:spacing w:line="240" w:lineRule="exact"/>
                              <w:rPr>
                                <w:rFonts w:ascii="楷体_GB2312" w:hAnsi="宋体" w:eastAsia="楷体_GB2312"/>
                                <w:b/>
                                <w:bCs/>
                                <w:sz w:val="18"/>
                                <w:szCs w:val="18"/>
                              </w:rPr>
                            </w:pPr>
                            <w:r>
                              <w:rPr>
                                <w:rFonts w:hint="eastAsia" w:ascii="楷体_GB2312" w:hAnsi="宋体" w:eastAsia="楷体_GB2312"/>
                                <w:b/>
                                <w:bCs/>
                                <w:sz w:val="18"/>
                                <w:szCs w:val="18"/>
                              </w:rPr>
                              <w:t>签发竣工结算</w:t>
                            </w:r>
                          </w:p>
                          <w:p w14:paraId="61A1E298">
                            <w:pPr>
                              <w:spacing w:line="240" w:lineRule="exact"/>
                              <w:rPr>
                                <w:rFonts w:ascii="楷体_GB2312" w:hAnsi="宋体" w:eastAsia="楷体_GB2312"/>
                                <w:b/>
                                <w:bCs/>
                                <w:sz w:val="18"/>
                                <w:szCs w:val="18"/>
                              </w:rPr>
                            </w:pPr>
                            <w:r>
                              <w:rPr>
                                <w:rFonts w:hint="eastAsia" w:ascii="楷体_GB2312" w:hAnsi="宋体" w:eastAsia="楷体_GB2312"/>
                                <w:b/>
                                <w:bCs/>
                                <w:sz w:val="18"/>
                                <w:szCs w:val="18"/>
                              </w:rPr>
                              <w:t>支付证书的限</w:t>
                            </w:r>
                          </w:p>
                          <w:p w14:paraId="44311550">
                            <w:pPr>
                              <w:spacing w:line="240" w:lineRule="exact"/>
                              <w:rPr>
                                <w:rFonts w:ascii="楷体_GB2312" w:hAnsi="宋体" w:eastAsia="楷体_GB2312"/>
                                <w:b/>
                                <w:bCs/>
                                <w:sz w:val="18"/>
                                <w:szCs w:val="18"/>
                              </w:rPr>
                            </w:pPr>
                            <w:r>
                              <w:rPr>
                                <w:rFonts w:hint="eastAsia" w:ascii="楷体_GB2312" w:hAnsi="宋体" w:eastAsia="楷体_GB2312"/>
                                <w:b/>
                                <w:bCs/>
                                <w:sz w:val="18"/>
                                <w:szCs w:val="18"/>
                              </w:rPr>
                              <w:t>制</w:t>
                            </w:r>
                          </w:p>
                        </w:txbxContent>
                      </wps:txbx>
                      <wps:bodyPr upright="1"/>
                    </wps:wsp>
                  </a:graphicData>
                </a:graphic>
              </wp:anchor>
            </w:drawing>
          </mc:Choice>
          <mc:Fallback>
            <w:pict>
              <v:shape id="_x0000_s1026" o:spid="_x0000_s1026" o:spt="202" type="#_x0000_t202" style="position:absolute;left:0pt;margin-left:-5.25pt;margin-top:0.95pt;height:65.3pt;width:82.5pt;z-index:252024832;mso-width-relative:page;mso-height-relative:page;" filled="f" stroked="f" coordsize="21600,21600" o:gfxdata="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TQ&#10;ap3VAAAACQEAAA8AAAAAAAAAAQAgAAAAIgAAAGRycy9kb3ducmV2LnhtbFBLAQIUABQAAAAIAIdO&#10;4kAknIpztAEAAGADAAAOAAAAAAAAAAEAIAAAACQBAABkcnMvZTJvRG9jLnhtbFBLBQYAAAAABgAG&#10;AFkBAABKBQAAAAA=&#10;">
                <v:fill on="f" focussize="0,0"/>
                <v:stroke on="f"/>
                <v:imagedata o:title=""/>
                <o:lock v:ext="edit" aspectratio="f"/>
                <v:textbox>
                  <w:txbxContent>
                    <w:p w14:paraId="03023D4F">
                      <w:pPr>
                        <w:spacing w:line="240" w:lineRule="exact"/>
                        <w:rPr>
                          <w:rFonts w:ascii="楷体_GB2312" w:hAnsi="宋体" w:eastAsia="楷体_GB2312"/>
                          <w:b/>
                          <w:bCs/>
                          <w:sz w:val="18"/>
                          <w:szCs w:val="18"/>
                        </w:rPr>
                      </w:pPr>
                      <w:r>
                        <w:rPr>
                          <w:rFonts w:hint="eastAsia" w:ascii="楷体_GB2312" w:hAnsi="宋体" w:eastAsia="楷体_GB2312"/>
                          <w:b/>
                          <w:bCs/>
                          <w:sz w:val="18"/>
                          <w:szCs w:val="18"/>
                        </w:rPr>
                        <w:t>签发竣工结算</w:t>
                      </w:r>
                    </w:p>
                    <w:p w14:paraId="61A1E298">
                      <w:pPr>
                        <w:spacing w:line="240" w:lineRule="exact"/>
                        <w:rPr>
                          <w:rFonts w:ascii="楷体_GB2312" w:hAnsi="宋体" w:eastAsia="楷体_GB2312"/>
                          <w:b/>
                          <w:bCs/>
                          <w:sz w:val="18"/>
                          <w:szCs w:val="18"/>
                        </w:rPr>
                      </w:pPr>
                      <w:r>
                        <w:rPr>
                          <w:rFonts w:hint="eastAsia" w:ascii="楷体_GB2312" w:hAnsi="宋体" w:eastAsia="楷体_GB2312"/>
                          <w:b/>
                          <w:bCs/>
                          <w:sz w:val="18"/>
                          <w:szCs w:val="18"/>
                        </w:rPr>
                        <w:t>支付证书的限</w:t>
                      </w:r>
                    </w:p>
                    <w:p w14:paraId="44311550">
                      <w:pPr>
                        <w:spacing w:line="240" w:lineRule="exact"/>
                        <w:rPr>
                          <w:rFonts w:ascii="楷体_GB2312" w:hAnsi="宋体" w:eastAsia="楷体_GB2312"/>
                          <w:b/>
                          <w:bCs/>
                          <w:sz w:val="18"/>
                          <w:szCs w:val="18"/>
                        </w:rPr>
                      </w:pPr>
                      <w:r>
                        <w:rPr>
                          <w:rFonts w:hint="eastAsia" w:ascii="楷体_GB2312" w:hAnsi="宋体" w:eastAsia="楷体_GB2312"/>
                          <w:b/>
                          <w:bCs/>
                          <w:sz w:val="18"/>
                          <w:szCs w:val="18"/>
                        </w:rPr>
                        <w:t>制</w:t>
                      </w:r>
                    </w:p>
                  </w:txbxContent>
                </v:textbox>
              </v:shape>
            </w:pict>
          </mc:Fallback>
        </mc:AlternateContent>
      </w:r>
      <w:r>
        <w:rPr>
          <w:rFonts w:hint="eastAsia" w:hAnsi="宋体"/>
          <w:color w:val="auto"/>
          <w:sz w:val="24"/>
          <w:szCs w:val="18"/>
        </w:rPr>
        <w:t>如果造价工程师未在第</w:t>
      </w:r>
      <w:r>
        <w:rPr>
          <w:rFonts w:hAnsi="宋体"/>
          <w:color w:val="auto"/>
          <w:sz w:val="24"/>
          <w:szCs w:val="18"/>
        </w:rPr>
        <w:t>83.2</w:t>
      </w:r>
      <w:r>
        <w:rPr>
          <w:rFonts w:hint="eastAsia" w:hAnsi="宋体"/>
          <w:color w:val="auto"/>
          <w:sz w:val="24"/>
          <w:szCs w:val="18"/>
        </w:rPr>
        <w:t>款规定的期限内签发竣工结算支付证书</w:t>
      </w:r>
      <w:r>
        <w:rPr>
          <w:rFonts w:hint="eastAsia" w:hAnsi="宋体"/>
          <w:color w:val="auto"/>
          <w:sz w:val="24"/>
          <w:szCs w:val="24"/>
        </w:rPr>
        <w:t>的</w:t>
      </w:r>
      <w:r>
        <w:rPr>
          <w:rFonts w:hint="eastAsia" w:hAnsi="宋体"/>
          <w:color w:val="auto"/>
          <w:sz w:val="24"/>
          <w:szCs w:val="18"/>
        </w:rPr>
        <w:t>，则视为承包人提交的竣工支付申请已被认可，承包人应及时向发包人发出要求支付竣工结算款的通知。发包人应在收到通知后的</w:t>
      </w:r>
      <w:r>
        <w:rPr>
          <w:rFonts w:hAnsi="宋体"/>
          <w:color w:val="auto"/>
          <w:sz w:val="24"/>
          <w:szCs w:val="18"/>
        </w:rPr>
        <w:t>28</w:t>
      </w:r>
      <w:r>
        <w:rPr>
          <w:rFonts w:hint="eastAsia" w:hAnsi="宋体"/>
          <w:color w:val="auto"/>
          <w:sz w:val="24"/>
          <w:szCs w:val="18"/>
        </w:rPr>
        <w:t>天内，按照承包人支付申请列明的金额向承包人支付竣工结算款。</w:t>
      </w:r>
    </w:p>
    <w:p w14:paraId="133860AE">
      <w:pPr>
        <w:pStyle w:val="2"/>
        <w:adjustRightInd w:val="0"/>
        <w:snapToGrid w:val="0"/>
        <w:spacing w:line="360" w:lineRule="auto"/>
        <w:rPr>
          <w:rFonts w:hAnsi="宋体"/>
          <w:b/>
          <w:color w:val="auto"/>
          <w:sz w:val="24"/>
          <w:szCs w:val="18"/>
        </w:rPr>
      </w:pPr>
      <w:r>
        <w:rPr>
          <w:rFonts w:hAnsi="宋体"/>
          <w:b/>
          <w:color w:val="auto"/>
          <w:sz w:val="24"/>
          <w:szCs w:val="18"/>
        </w:rPr>
        <w:t xml:space="preserve">83.5  </w:t>
      </w:r>
    </w:p>
    <w:p w14:paraId="4AEF80B1">
      <w:pPr>
        <w:pStyle w:val="2"/>
        <w:adjustRightInd w:val="0"/>
        <w:snapToGrid w:val="0"/>
        <w:spacing w:line="360" w:lineRule="auto"/>
        <w:ind w:left="1680" w:leftChars="800"/>
        <w:rPr>
          <w:rFonts w:hAnsi="宋体"/>
          <w:color w:val="auto"/>
          <w:sz w:val="24"/>
          <w:szCs w:val="18"/>
        </w:rPr>
      </w:pPr>
      <w:r>
        <w:rPr>
          <w:color w:val="auto"/>
        </w:rPr>
        <mc:AlternateContent>
          <mc:Choice Requires="wps">
            <w:drawing>
              <wp:anchor distT="0" distB="0" distL="114300" distR="114300" simplePos="0" relativeHeight="252025856" behindDoc="0" locked="0" layoutInCell="1" allowOverlap="1">
                <wp:simplePos x="0" y="0"/>
                <wp:positionH relativeFrom="column">
                  <wp:posOffset>-114300</wp:posOffset>
                </wp:positionH>
                <wp:positionV relativeFrom="paragraph">
                  <wp:posOffset>58420</wp:posOffset>
                </wp:positionV>
                <wp:extent cx="914400" cy="407670"/>
                <wp:effectExtent l="0" t="0" r="0" b="0"/>
                <wp:wrapNone/>
                <wp:docPr id="284" name="文本框 284"/>
                <wp:cNvGraphicFramePr/>
                <a:graphic xmlns:a="http://schemas.openxmlformats.org/drawingml/2006/main">
                  <a:graphicData uri="http://schemas.microsoft.com/office/word/2010/wordprocessingShape">
                    <wps:wsp>
                      <wps:cNvSpPr txBox="1"/>
                      <wps:spPr>
                        <a:xfrm>
                          <a:off x="0" y="0"/>
                          <a:ext cx="914400" cy="407670"/>
                        </a:xfrm>
                        <a:prstGeom prst="rect">
                          <a:avLst/>
                        </a:prstGeom>
                        <a:noFill/>
                        <a:ln>
                          <a:noFill/>
                        </a:ln>
                        <a:effectLst/>
                      </wps:spPr>
                      <wps:txbx>
                        <w:txbxContent>
                          <w:p w14:paraId="2D37FD0E">
                            <w:pPr>
                              <w:spacing w:line="240" w:lineRule="exact"/>
                              <w:rPr>
                                <w:rFonts w:ascii="楷体_GB2312" w:hAnsi="宋体" w:eastAsia="楷体_GB2312"/>
                                <w:b/>
                                <w:bCs/>
                                <w:sz w:val="18"/>
                                <w:szCs w:val="18"/>
                              </w:rPr>
                            </w:pPr>
                            <w:r>
                              <w:rPr>
                                <w:rFonts w:hint="eastAsia" w:ascii="楷体_GB2312" w:hAnsi="宋体" w:eastAsia="楷体_GB2312"/>
                                <w:b/>
                                <w:bCs/>
                                <w:sz w:val="18"/>
                                <w:szCs w:val="18"/>
                              </w:rPr>
                              <w:t>竣工结算款支付的限制</w:t>
                            </w:r>
                          </w:p>
                        </w:txbxContent>
                      </wps:txbx>
                      <wps:bodyPr upright="1"/>
                    </wps:wsp>
                  </a:graphicData>
                </a:graphic>
              </wp:anchor>
            </w:drawing>
          </mc:Choice>
          <mc:Fallback>
            <w:pict>
              <v:shape id="_x0000_s1026" o:spid="_x0000_s1026" o:spt="202" type="#_x0000_t202" style="position:absolute;left:0pt;margin-left:-9pt;margin-top:4.6pt;height:32.1pt;width:72pt;z-index:252025856;mso-width-relative:page;mso-height-relative:page;" filled="f" stroked="f" coordsize="21600,21600" o:gfxdata="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ErL&#10;MuPWAAAACAEAAA8AAAAAAAAAAQAgAAAAIgAAAGRycy9kb3ducmV2LnhtbFBLAQIUABQAAAAIAIdO&#10;4kCmZnUEswEAAF8DAAAOAAAAAAAAAAEAIAAAACUBAABkcnMvZTJvRG9jLnhtbFBLBQYAAAAABgAG&#10;AFkBAABKBQAAAAA=&#10;">
                <v:fill on="f" focussize="0,0"/>
                <v:stroke on="f"/>
                <v:imagedata o:title=""/>
                <o:lock v:ext="edit" aspectratio="f"/>
                <v:textbox>
                  <w:txbxContent>
                    <w:p w14:paraId="2D37FD0E">
                      <w:pPr>
                        <w:spacing w:line="240" w:lineRule="exact"/>
                        <w:rPr>
                          <w:rFonts w:ascii="楷体_GB2312" w:hAnsi="宋体" w:eastAsia="楷体_GB2312"/>
                          <w:b/>
                          <w:bCs/>
                          <w:sz w:val="18"/>
                          <w:szCs w:val="18"/>
                        </w:rPr>
                      </w:pPr>
                      <w:r>
                        <w:rPr>
                          <w:rFonts w:hint="eastAsia" w:ascii="楷体_GB2312" w:hAnsi="宋体" w:eastAsia="楷体_GB2312"/>
                          <w:b/>
                          <w:bCs/>
                          <w:sz w:val="18"/>
                          <w:szCs w:val="18"/>
                        </w:rPr>
                        <w:t>竣工结算款支付的限制</w:t>
                      </w:r>
                    </w:p>
                  </w:txbxContent>
                </v:textbox>
              </v:shape>
            </w:pict>
          </mc:Fallback>
        </mc:AlternateContent>
      </w:r>
      <w:r>
        <w:rPr>
          <w:rFonts w:hint="eastAsia" w:hAnsi="宋体"/>
          <w:color w:val="auto"/>
          <w:sz w:val="24"/>
          <w:szCs w:val="18"/>
        </w:rPr>
        <w:t>发包人未按照第</w:t>
      </w:r>
      <w:r>
        <w:rPr>
          <w:rFonts w:hAnsi="宋体"/>
          <w:color w:val="auto"/>
          <w:sz w:val="24"/>
          <w:szCs w:val="18"/>
        </w:rPr>
        <w:t>83.3</w:t>
      </w:r>
      <w:r>
        <w:rPr>
          <w:rFonts w:hint="eastAsia" w:hAnsi="宋体"/>
          <w:color w:val="auto"/>
          <w:sz w:val="24"/>
          <w:szCs w:val="18"/>
        </w:rPr>
        <w:t>款和第</w:t>
      </w:r>
      <w:r>
        <w:rPr>
          <w:rFonts w:hAnsi="宋体"/>
          <w:color w:val="auto"/>
          <w:sz w:val="24"/>
          <w:szCs w:val="18"/>
        </w:rPr>
        <w:t>83.4</w:t>
      </w:r>
      <w:r>
        <w:rPr>
          <w:rFonts w:hint="eastAsia" w:hAnsi="宋体"/>
          <w:color w:val="auto"/>
          <w:sz w:val="24"/>
          <w:szCs w:val="18"/>
        </w:rPr>
        <w:t>款规定支付竣工结算款的，</w:t>
      </w:r>
      <w:r>
        <w:rPr>
          <w:rFonts w:hint="eastAsia" w:hAnsi="宋体"/>
          <w:color w:val="auto"/>
          <w:sz w:val="24"/>
          <w:szCs w:val="24"/>
        </w:rPr>
        <w:t>承包人可催告发包人支付</w:t>
      </w:r>
      <w:r>
        <w:rPr>
          <w:rFonts w:hint="eastAsia" w:hAnsi="宋体"/>
          <w:color w:val="auto"/>
          <w:sz w:val="24"/>
          <w:szCs w:val="18"/>
        </w:rPr>
        <w:t>竣工结算款</w:t>
      </w:r>
      <w:r>
        <w:rPr>
          <w:rFonts w:hint="eastAsia" w:hAnsi="宋体"/>
          <w:color w:val="auto"/>
          <w:sz w:val="24"/>
          <w:szCs w:val="24"/>
        </w:rPr>
        <w:t>，如</w:t>
      </w:r>
      <w:r>
        <w:rPr>
          <w:rFonts w:hint="eastAsia" w:hAnsi="宋体"/>
          <w:color w:val="auto"/>
          <w:sz w:val="24"/>
          <w:szCs w:val="18"/>
        </w:rPr>
        <w:t>双方</w:t>
      </w:r>
      <w:r>
        <w:rPr>
          <w:rFonts w:hint="eastAsia" w:hAnsi="宋体"/>
          <w:color w:val="auto"/>
          <w:sz w:val="24"/>
          <w:szCs w:val="24"/>
        </w:rPr>
        <w:t>达成延期支付协议，承包人</w:t>
      </w:r>
      <w:r>
        <w:rPr>
          <w:rFonts w:hint="eastAsia" w:hAnsi="宋体"/>
          <w:color w:val="auto"/>
          <w:sz w:val="24"/>
          <w:szCs w:val="18"/>
        </w:rPr>
        <w:t>有权按照第</w:t>
      </w:r>
      <w:r>
        <w:rPr>
          <w:rFonts w:hAnsi="宋体"/>
          <w:color w:val="auto"/>
          <w:sz w:val="24"/>
          <w:szCs w:val="18"/>
        </w:rPr>
        <w:t>78.2</w:t>
      </w:r>
      <w:r>
        <w:rPr>
          <w:rFonts w:hint="eastAsia" w:hAnsi="宋体"/>
          <w:color w:val="auto"/>
          <w:sz w:val="24"/>
          <w:szCs w:val="18"/>
        </w:rPr>
        <w:t>款规定获得延期支付的利息。</w:t>
      </w:r>
    </w:p>
    <w:p w14:paraId="040E6A0C">
      <w:pPr>
        <w:pStyle w:val="2"/>
        <w:adjustRightInd w:val="0"/>
        <w:snapToGrid w:val="0"/>
        <w:spacing w:line="360" w:lineRule="auto"/>
        <w:ind w:left="1680" w:leftChars="800"/>
        <w:rPr>
          <w:rFonts w:hAnsi="宋体"/>
          <w:color w:val="auto"/>
          <w:sz w:val="24"/>
          <w:szCs w:val="18"/>
        </w:rPr>
      </w:pPr>
      <w:r>
        <w:rPr>
          <w:rFonts w:hint="eastAsia" w:hAnsi="宋体"/>
          <w:color w:val="auto"/>
          <w:sz w:val="24"/>
          <w:szCs w:val="18"/>
        </w:rPr>
        <w:t>发包人在收到竣工结算支付证书后的</w:t>
      </w:r>
      <w:r>
        <w:rPr>
          <w:rFonts w:hAnsi="宋体"/>
          <w:color w:val="auto"/>
          <w:sz w:val="24"/>
          <w:szCs w:val="18"/>
        </w:rPr>
        <w:t>56</w:t>
      </w:r>
      <w:r>
        <w:rPr>
          <w:rFonts w:hint="eastAsia" w:hAnsi="宋体"/>
          <w:color w:val="auto"/>
          <w:sz w:val="24"/>
          <w:szCs w:val="18"/>
        </w:rPr>
        <w:t>天内仍未支付竣工结算款，</w:t>
      </w:r>
      <w:r>
        <w:rPr>
          <w:rFonts w:hint="eastAsia" w:hAnsi="宋体"/>
          <w:color w:val="auto"/>
          <w:sz w:val="24"/>
        </w:rPr>
        <w:t>合同双方当事人</w:t>
      </w:r>
      <w:r>
        <w:rPr>
          <w:rFonts w:hint="eastAsia" w:hAnsi="宋体"/>
          <w:color w:val="auto"/>
          <w:sz w:val="24"/>
          <w:szCs w:val="18"/>
        </w:rPr>
        <w:t>又未达成</w:t>
      </w:r>
      <w:r>
        <w:rPr>
          <w:rFonts w:hint="eastAsia" w:hAnsi="宋体"/>
          <w:color w:val="auto"/>
          <w:sz w:val="24"/>
          <w:szCs w:val="24"/>
        </w:rPr>
        <w:t>延期支付协议</w:t>
      </w:r>
      <w:r>
        <w:rPr>
          <w:rFonts w:hint="eastAsia" w:hAnsi="宋体"/>
          <w:color w:val="auto"/>
          <w:sz w:val="24"/>
          <w:szCs w:val="18"/>
        </w:rPr>
        <w:t>的，除法律另有规定外，承包人可与发包人协商将该永久工程折价，也可直接向人民法院申请将该永久工程依法拍卖。承包人就该永久工程折价或拍卖的价款优先受偿。</w:t>
      </w:r>
    </w:p>
    <w:p w14:paraId="7EAB07E7">
      <w:pPr>
        <w:pStyle w:val="2"/>
        <w:tabs>
          <w:tab w:val="left" w:pos="540"/>
        </w:tabs>
        <w:adjustRightInd w:val="0"/>
        <w:snapToGrid w:val="0"/>
        <w:spacing w:line="360" w:lineRule="auto"/>
        <w:rPr>
          <w:rFonts w:hAnsi="宋体"/>
          <w:b/>
          <w:color w:val="auto"/>
          <w:sz w:val="30"/>
          <w:szCs w:val="24"/>
        </w:rPr>
      </w:pPr>
    </w:p>
    <w:p w14:paraId="6383C30F">
      <w:pPr>
        <w:pStyle w:val="2"/>
        <w:tabs>
          <w:tab w:val="left" w:pos="540"/>
        </w:tabs>
        <w:adjustRightInd w:val="0"/>
        <w:snapToGrid w:val="0"/>
        <w:spacing w:before="240" w:beforeLines="100" w:line="360" w:lineRule="auto"/>
        <w:ind w:right="-238"/>
        <w:rPr>
          <w:rFonts w:hAnsi="宋体"/>
          <w:b/>
          <w:color w:val="auto"/>
          <w:sz w:val="30"/>
          <w:szCs w:val="24"/>
        </w:rPr>
      </w:pPr>
      <w:r>
        <w:rPr>
          <w:rFonts w:hAnsi="宋体"/>
          <w:b/>
          <w:color w:val="auto"/>
          <w:sz w:val="30"/>
          <w:szCs w:val="24"/>
        </w:rPr>
        <w:t xml:space="preserve">84  </w:t>
      </w:r>
      <w:r>
        <w:rPr>
          <w:rFonts w:hint="eastAsia" w:hAnsi="宋体"/>
          <w:b/>
          <w:color w:val="auto"/>
          <w:sz w:val="30"/>
          <w:szCs w:val="24"/>
        </w:rPr>
        <w:t>质量保证金</w:t>
      </w:r>
    </w:p>
    <w:p w14:paraId="6569A760">
      <w:pPr>
        <w:pStyle w:val="2"/>
        <w:adjustRightInd w:val="0"/>
        <w:snapToGrid w:val="0"/>
        <w:spacing w:line="360" w:lineRule="auto"/>
        <w:rPr>
          <w:rFonts w:hAnsi="宋体"/>
          <w:b/>
          <w:color w:val="auto"/>
          <w:sz w:val="24"/>
          <w:szCs w:val="18"/>
        </w:rPr>
      </w:pPr>
      <w:r>
        <w:rPr>
          <w:rFonts w:hAnsi="宋体"/>
          <w:b/>
          <w:color w:val="auto"/>
          <w:sz w:val="24"/>
          <w:szCs w:val="18"/>
        </w:rPr>
        <w:t xml:space="preserve">84.1     </w:t>
      </w:r>
    </w:p>
    <w:p w14:paraId="23FB0FB2">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2026880"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285" name="文本框 285"/>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1F12496D">
                            <w:pPr>
                              <w:spacing w:line="240" w:lineRule="exact"/>
                              <w:rPr>
                                <w:rFonts w:ascii="楷体_GB2312" w:hAnsi="宋体" w:eastAsia="楷体_GB2312"/>
                                <w:b/>
                                <w:bCs/>
                                <w:sz w:val="18"/>
                                <w:szCs w:val="18"/>
                              </w:rPr>
                            </w:pPr>
                            <w:r>
                              <w:rPr>
                                <w:rFonts w:hint="eastAsia" w:ascii="楷体_GB2312" w:hAnsi="宋体" w:eastAsia="楷体_GB2312"/>
                                <w:b/>
                                <w:bCs/>
                                <w:sz w:val="18"/>
                                <w:szCs w:val="18"/>
                              </w:rPr>
                              <w:t>质量保证金的用途和限制</w:t>
                            </w:r>
                          </w:p>
                        </w:txbxContent>
                      </wps:txbx>
                      <wps:bodyPr upright="1"/>
                    </wps:wsp>
                  </a:graphicData>
                </a:graphic>
              </wp:anchor>
            </w:drawing>
          </mc:Choice>
          <mc:Fallback>
            <w:pict>
              <v:shape id="_x0000_s1026" o:spid="_x0000_s1026" o:spt="202" type="#_x0000_t202" style="position:absolute;left:0pt;margin-left:-9pt;margin-top:0.65pt;height:31.2pt;width:72pt;z-index:252026880;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Ja3&#10;aJbVAAAACAEAAA8AAAAAAAAAAQAgAAAAIgAAAGRycy9kb3ducmV2LnhtbFBLAQIUABQAAAAIAIdO&#10;4kBR1JnRtAEAAF8DAAAOAAAAAAAAAAEAIAAAACQBAABkcnMvZTJvRG9jLnhtbFBLBQYAAAAABgAG&#10;AFkBAABKBQAAAAA=&#10;">
                <v:fill on="f" focussize="0,0"/>
                <v:stroke on="f"/>
                <v:imagedata o:title=""/>
                <o:lock v:ext="edit" aspectratio="f"/>
                <v:textbox>
                  <w:txbxContent>
                    <w:p w14:paraId="1F12496D">
                      <w:pPr>
                        <w:spacing w:line="240" w:lineRule="exact"/>
                        <w:rPr>
                          <w:rFonts w:ascii="楷体_GB2312" w:hAnsi="宋体" w:eastAsia="楷体_GB2312"/>
                          <w:b/>
                          <w:bCs/>
                          <w:sz w:val="18"/>
                          <w:szCs w:val="18"/>
                        </w:rPr>
                      </w:pPr>
                      <w:r>
                        <w:rPr>
                          <w:rFonts w:hint="eastAsia" w:ascii="楷体_GB2312" w:hAnsi="宋体" w:eastAsia="楷体_GB2312"/>
                          <w:b/>
                          <w:bCs/>
                          <w:sz w:val="18"/>
                          <w:szCs w:val="18"/>
                        </w:rPr>
                        <w:t>质量保证金的用途和限制</w:t>
                      </w:r>
                    </w:p>
                  </w:txbxContent>
                </v:textbox>
              </v:shape>
            </w:pict>
          </mc:Fallback>
        </mc:AlternateContent>
      </w:r>
      <w:r>
        <w:rPr>
          <w:rFonts w:hint="eastAsia" w:hAnsi="宋体"/>
          <w:color w:val="auto"/>
          <w:sz w:val="24"/>
          <w:szCs w:val="18"/>
        </w:rPr>
        <w:t>质量保证金用于承包人对合同工程质量的担保。承包人未按照法律有关规定和合同约定履行质量保修义务的，发包人有权从质量保证金中扣留用于质量保修的各项支出。</w:t>
      </w:r>
    </w:p>
    <w:p w14:paraId="4A322BC5">
      <w:pPr>
        <w:pStyle w:val="2"/>
        <w:tabs>
          <w:tab w:val="left" w:pos="900"/>
        </w:tabs>
        <w:adjustRightInd w:val="0"/>
        <w:snapToGrid w:val="0"/>
        <w:spacing w:line="360" w:lineRule="auto"/>
        <w:rPr>
          <w:rFonts w:hAnsi="宋体"/>
          <w:b/>
          <w:color w:val="auto"/>
          <w:sz w:val="24"/>
          <w:szCs w:val="18"/>
        </w:rPr>
      </w:pPr>
      <w:r>
        <w:rPr>
          <w:rFonts w:hAnsi="宋体"/>
          <w:b/>
          <w:color w:val="auto"/>
          <w:sz w:val="24"/>
          <w:szCs w:val="18"/>
        </w:rPr>
        <w:t xml:space="preserve">84.2  </w:t>
      </w:r>
    </w:p>
    <w:p w14:paraId="45505CA6">
      <w:pPr>
        <w:pStyle w:val="2"/>
        <w:adjustRightInd w:val="0"/>
        <w:snapToGrid w:val="0"/>
        <w:spacing w:line="360" w:lineRule="auto"/>
        <w:ind w:left="1619" w:leftChars="771"/>
        <w:rPr>
          <w:rFonts w:hAnsi="宋体"/>
          <w:color w:val="auto"/>
          <w:sz w:val="24"/>
          <w:szCs w:val="18"/>
        </w:rPr>
      </w:pPr>
      <w:r>
        <w:rPr>
          <w:rFonts w:hint="eastAsia" w:hAnsi="宋体"/>
          <w:color w:val="auto"/>
          <w:sz w:val="24"/>
          <w:szCs w:val="18"/>
        </w:rPr>
        <w:t>合同双方当事人应在专用条款中约定质量保证金金额</w:t>
      </w:r>
      <w:r>
        <w:rPr>
          <w:color w:val="auto"/>
        </w:rPr>
        <mc:AlternateContent>
          <mc:Choice Requires="wps">
            <w:drawing>
              <wp:anchor distT="0" distB="0" distL="114300" distR="114300" simplePos="0" relativeHeight="252027904" behindDoc="0" locked="0" layoutInCell="1" allowOverlap="1">
                <wp:simplePos x="0" y="0"/>
                <wp:positionH relativeFrom="column">
                  <wp:posOffset>-114300</wp:posOffset>
                </wp:positionH>
                <wp:positionV relativeFrom="paragraph">
                  <wp:posOffset>20320</wp:posOffset>
                </wp:positionV>
                <wp:extent cx="914400" cy="519430"/>
                <wp:effectExtent l="0" t="0" r="0" b="0"/>
                <wp:wrapNone/>
                <wp:docPr id="286" name="文本框 286"/>
                <wp:cNvGraphicFramePr/>
                <a:graphic xmlns:a="http://schemas.openxmlformats.org/drawingml/2006/main">
                  <a:graphicData uri="http://schemas.microsoft.com/office/word/2010/wordprocessingShape">
                    <wps:wsp>
                      <wps:cNvSpPr txBox="1"/>
                      <wps:spPr>
                        <a:xfrm>
                          <a:off x="0" y="0"/>
                          <a:ext cx="914400" cy="519430"/>
                        </a:xfrm>
                        <a:prstGeom prst="rect">
                          <a:avLst/>
                        </a:prstGeom>
                        <a:noFill/>
                        <a:ln>
                          <a:noFill/>
                        </a:ln>
                        <a:effectLst/>
                      </wps:spPr>
                      <wps:txbx>
                        <w:txbxContent>
                          <w:p w14:paraId="0FD39B2A">
                            <w:pPr>
                              <w:spacing w:line="240" w:lineRule="exact"/>
                              <w:rPr>
                                <w:rFonts w:ascii="楷体_GB2312" w:hAnsi="宋体" w:eastAsia="楷体_GB2312"/>
                                <w:b/>
                                <w:bCs/>
                                <w:sz w:val="18"/>
                                <w:szCs w:val="18"/>
                              </w:rPr>
                            </w:pPr>
                            <w:r>
                              <w:rPr>
                                <w:rFonts w:hint="eastAsia" w:ascii="楷体_GB2312" w:hAnsi="宋体" w:eastAsia="楷体_GB2312"/>
                                <w:b/>
                                <w:bCs/>
                                <w:sz w:val="18"/>
                                <w:szCs w:val="18"/>
                              </w:rPr>
                              <w:t>质量保证金的约定与扣留</w:t>
                            </w:r>
                          </w:p>
                        </w:txbxContent>
                      </wps:txbx>
                      <wps:bodyPr upright="1"/>
                    </wps:wsp>
                  </a:graphicData>
                </a:graphic>
              </wp:anchor>
            </w:drawing>
          </mc:Choice>
          <mc:Fallback>
            <w:pict>
              <v:shape id="_x0000_s1026" o:spid="_x0000_s1026" o:spt="202" type="#_x0000_t202" style="position:absolute;left:0pt;margin-left:-9pt;margin-top:1.6pt;height:40.9pt;width:72pt;z-index:252027904;mso-width-relative:page;mso-height-relative:page;" filled="f" stroked="f" coordsize="21600,21600" o:gfxdata="UEsDBAoAAAAAAIdO4kAAAAAAAAAAAAAAAAAEAAAAZHJzL1BLAwQUAAAACACHTuJAUlFbx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JR&#10;W8TVAAAACAEAAA8AAAAAAAAAAQAgAAAAIgAAAGRycy9kb3ducmV2LnhtbFBLAQIUABQAAAAIAIdO&#10;4kBQtXYytAEAAF8DAAAOAAAAAAAAAAEAIAAAACQBAABkcnMvZTJvRG9jLnhtbFBLBQYAAAAABgAG&#10;AFkBAABKBQAAAAA=&#10;">
                <v:fill on="f" focussize="0,0"/>
                <v:stroke on="f"/>
                <v:imagedata o:title=""/>
                <o:lock v:ext="edit" aspectratio="f"/>
                <v:textbox>
                  <w:txbxContent>
                    <w:p w14:paraId="0FD39B2A">
                      <w:pPr>
                        <w:spacing w:line="240" w:lineRule="exact"/>
                        <w:rPr>
                          <w:rFonts w:ascii="楷体_GB2312" w:hAnsi="宋体" w:eastAsia="楷体_GB2312"/>
                          <w:b/>
                          <w:bCs/>
                          <w:sz w:val="18"/>
                          <w:szCs w:val="18"/>
                        </w:rPr>
                      </w:pPr>
                      <w:r>
                        <w:rPr>
                          <w:rFonts w:hint="eastAsia" w:ascii="楷体_GB2312" w:hAnsi="宋体" w:eastAsia="楷体_GB2312"/>
                          <w:b/>
                          <w:bCs/>
                          <w:sz w:val="18"/>
                          <w:szCs w:val="18"/>
                        </w:rPr>
                        <w:t>质量保证金的约定与扣留</w:t>
                      </w:r>
                    </w:p>
                  </w:txbxContent>
                </v:textbox>
              </v:shape>
            </w:pict>
          </mc:Fallback>
        </mc:AlternateContent>
      </w:r>
      <w:r>
        <w:rPr>
          <w:rFonts w:hint="eastAsia" w:hAnsi="宋体"/>
          <w:color w:val="auto"/>
          <w:sz w:val="24"/>
          <w:szCs w:val="18"/>
        </w:rPr>
        <w:t>。除专用条款另有约定外，质量保证金为合同价款的</w:t>
      </w:r>
      <w:r>
        <w:rPr>
          <w:rFonts w:hAnsi="宋体"/>
          <w:color w:val="auto"/>
          <w:sz w:val="24"/>
          <w:szCs w:val="18"/>
        </w:rPr>
        <w:t>3</w:t>
      </w:r>
      <w:r>
        <w:rPr>
          <w:rFonts w:hint="eastAsia" w:hAnsi="宋体"/>
          <w:color w:val="auto"/>
          <w:sz w:val="24"/>
          <w:szCs w:val="18"/>
        </w:rPr>
        <w:t>％。发包人应按照该比例从每支付期应支付给承包人的进度款或结算款中扣留，直到扣留的质量保证金总额达到专用条款约定的的金额为止。</w:t>
      </w:r>
    </w:p>
    <w:p w14:paraId="284BBFE7">
      <w:pPr>
        <w:pStyle w:val="2"/>
        <w:adjustRightInd w:val="0"/>
        <w:snapToGrid w:val="0"/>
        <w:spacing w:line="360" w:lineRule="auto"/>
        <w:rPr>
          <w:rFonts w:hAnsi="宋体"/>
          <w:b/>
          <w:color w:val="auto"/>
          <w:sz w:val="24"/>
          <w:szCs w:val="18"/>
        </w:rPr>
      </w:pPr>
      <w:r>
        <w:rPr>
          <w:rFonts w:hAnsi="宋体"/>
          <w:b/>
          <w:color w:val="auto"/>
          <w:sz w:val="24"/>
          <w:szCs w:val="18"/>
        </w:rPr>
        <w:t xml:space="preserve">84.3  </w:t>
      </w:r>
    </w:p>
    <w:p w14:paraId="0EA15280">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2028928"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287" name="文本框 287"/>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a:effectLst/>
                      </wps:spPr>
                      <wps:txbx>
                        <w:txbxContent>
                          <w:p w14:paraId="71621CCF">
                            <w:pPr>
                              <w:spacing w:line="240" w:lineRule="exact"/>
                              <w:rPr>
                                <w:rFonts w:ascii="楷体_GB2312" w:hAnsi="宋体" w:eastAsia="楷体_GB2312"/>
                                <w:b/>
                                <w:bCs/>
                                <w:sz w:val="18"/>
                                <w:szCs w:val="18"/>
                              </w:rPr>
                            </w:pPr>
                            <w:r>
                              <w:rPr>
                                <w:rFonts w:hint="eastAsia" w:ascii="楷体_GB2312" w:hAnsi="宋体" w:eastAsia="楷体_GB2312"/>
                                <w:b/>
                                <w:bCs/>
                                <w:sz w:val="18"/>
                                <w:szCs w:val="18"/>
                              </w:rPr>
                              <w:t>质量保证金返还</w:t>
                            </w:r>
                          </w:p>
                        </w:txbxContent>
                      </wps:txbx>
                      <wps:bodyPr upright="1"/>
                    </wps:wsp>
                  </a:graphicData>
                </a:graphic>
              </wp:anchor>
            </w:drawing>
          </mc:Choice>
          <mc:Fallback>
            <w:pict>
              <v:shape id="_x0000_s1026" o:spid="_x0000_s1026" o:spt="202" type="#_x0000_t202" style="position:absolute;left:0pt;margin-left:-9pt;margin-top:3.6pt;height:36.45pt;width:72pt;z-index:252028928;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qldg&#10;VtUAAAAIAQAADwAAAAAAAAABACAAAAAiAAAAZHJzL2Rvd25yZXYueG1sUEsBAhQAFAAAAAgAh07i&#10;QHgcVWizAQAAXwMAAA4AAAAAAAAAAQAgAAAAJAEAAGRycy9lMm9Eb2MueG1sUEsFBgAAAAAGAAYA&#10;WQEAAEkFAAAAAA==&#10;">
                <v:fill on="f" focussize="0,0"/>
                <v:stroke on="f"/>
                <v:imagedata o:title=""/>
                <o:lock v:ext="edit" aspectratio="f"/>
                <v:textbox>
                  <w:txbxContent>
                    <w:p w14:paraId="71621CCF">
                      <w:pPr>
                        <w:spacing w:line="240" w:lineRule="exact"/>
                        <w:rPr>
                          <w:rFonts w:ascii="楷体_GB2312" w:hAnsi="宋体" w:eastAsia="楷体_GB2312"/>
                          <w:b/>
                          <w:bCs/>
                          <w:sz w:val="18"/>
                          <w:szCs w:val="18"/>
                        </w:rPr>
                      </w:pPr>
                      <w:r>
                        <w:rPr>
                          <w:rFonts w:hint="eastAsia" w:ascii="楷体_GB2312" w:hAnsi="宋体" w:eastAsia="楷体_GB2312"/>
                          <w:b/>
                          <w:bCs/>
                          <w:sz w:val="18"/>
                          <w:szCs w:val="18"/>
                        </w:rPr>
                        <w:t>质量保证金返还</w:t>
                      </w:r>
                    </w:p>
                  </w:txbxContent>
                </v:textbox>
              </v:shape>
            </w:pict>
          </mc:Fallback>
        </mc:AlternateContent>
      </w:r>
      <w:r>
        <w:rPr>
          <w:rFonts w:hint="eastAsia" w:hAnsi="宋体"/>
          <w:color w:val="auto"/>
          <w:sz w:val="24"/>
          <w:szCs w:val="18"/>
        </w:rPr>
        <w:t>缺陷责任期（包括第</w:t>
      </w:r>
      <w:r>
        <w:rPr>
          <w:rFonts w:hAnsi="宋体"/>
          <w:color w:val="auto"/>
          <w:sz w:val="24"/>
          <w:szCs w:val="18"/>
        </w:rPr>
        <w:t>59.2</w:t>
      </w:r>
      <w:r>
        <w:rPr>
          <w:rFonts w:hint="eastAsia" w:hAnsi="宋体"/>
          <w:color w:val="auto"/>
          <w:sz w:val="24"/>
          <w:szCs w:val="18"/>
        </w:rPr>
        <w:t>款延长的期限）满时，承包人应向发包人申请到期应返还的剩余质量保证金金额。发包人如无异议，应在缺陷责任期满后的</w:t>
      </w:r>
      <w:r>
        <w:rPr>
          <w:rFonts w:hAnsi="宋体"/>
          <w:color w:val="auto"/>
          <w:sz w:val="24"/>
          <w:szCs w:val="18"/>
        </w:rPr>
        <w:t>14</w:t>
      </w:r>
      <w:r>
        <w:rPr>
          <w:rFonts w:hint="eastAsia" w:hAnsi="宋体"/>
          <w:color w:val="auto"/>
          <w:sz w:val="24"/>
          <w:szCs w:val="18"/>
        </w:rPr>
        <w:t>天内将剩余的质量保证金返还给承包人。剩余质量保证金的返还，并不能免除承包人按照合同约定应承担的质量保修责任和应履行的质量保修义务。</w:t>
      </w:r>
    </w:p>
    <w:p w14:paraId="03873A88">
      <w:pPr>
        <w:pStyle w:val="2"/>
        <w:adjustRightInd w:val="0"/>
        <w:snapToGrid w:val="0"/>
        <w:spacing w:line="360" w:lineRule="auto"/>
        <w:rPr>
          <w:rFonts w:hAnsi="宋体"/>
          <w:b/>
          <w:color w:val="auto"/>
          <w:sz w:val="24"/>
          <w:szCs w:val="18"/>
        </w:rPr>
      </w:pPr>
      <w:r>
        <w:rPr>
          <w:rFonts w:hAnsi="宋体"/>
          <w:b/>
          <w:color w:val="auto"/>
          <w:sz w:val="24"/>
          <w:szCs w:val="18"/>
        </w:rPr>
        <w:t xml:space="preserve">84.4  </w:t>
      </w:r>
    </w:p>
    <w:p w14:paraId="57D17AE5">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2029952"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288" name="文本框 288"/>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a:effectLst/>
                      </wps:spPr>
                      <wps:txbx>
                        <w:txbxContent>
                          <w:p w14:paraId="188363B6">
                            <w:pPr>
                              <w:spacing w:line="240" w:lineRule="exact"/>
                              <w:rPr>
                                <w:rFonts w:ascii="楷体_GB2312" w:hAnsi="宋体" w:eastAsia="楷体_GB2312"/>
                                <w:b/>
                                <w:bCs/>
                                <w:sz w:val="18"/>
                                <w:szCs w:val="18"/>
                              </w:rPr>
                            </w:pPr>
                            <w:r>
                              <w:rPr>
                                <w:rFonts w:hint="eastAsia" w:ascii="楷体_GB2312" w:hAnsi="宋体" w:eastAsia="楷体_GB2312"/>
                                <w:b/>
                                <w:bCs/>
                                <w:sz w:val="18"/>
                                <w:szCs w:val="18"/>
                              </w:rPr>
                              <w:t>质量保证金扣留</w:t>
                            </w:r>
                          </w:p>
                        </w:txbxContent>
                      </wps:txbx>
                      <wps:bodyPr upright="1"/>
                    </wps:wsp>
                  </a:graphicData>
                </a:graphic>
              </wp:anchor>
            </w:drawing>
          </mc:Choice>
          <mc:Fallback>
            <w:pict>
              <v:shape id="_x0000_s1026" o:spid="_x0000_s1026" o:spt="202" type="#_x0000_t202" style="position:absolute;left:0pt;margin-left:-9pt;margin-top:3.6pt;height:36.45pt;width:72pt;z-index:252029952;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qldg&#10;VtUAAAAIAQAADwAAAAAAAAABACAAAAAiAAAAZHJzL2Rvd25yZXYueG1sUEsBAhQAFAAAAAgAh07i&#10;QBgpydyzAQAAXwMAAA4AAAAAAAAAAQAgAAAAJAEAAGRycy9lMm9Eb2MueG1sUEsFBgAAAAAGAAYA&#10;WQEAAEkFAAAAAA==&#10;">
                <v:fill on="f" focussize="0,0"/>
                <v:stroke on="f"/>
                <v:imagedata o:title=""/>
                <o:lock v:ext="edit" aspectratio="f"/>
                <v:textbox>
                  <w:txbxContent>
                    <w:p w14:paraId="188363B6">
                      <w:pPr>
                        <w:spacing w:line="240" w:lineRule="exact"/>
                        <w:rPr>
                          <w:rFonts w:ascii="楷体_GB2312" w:hAnsi="宋体" w:eastAsia="楷体_GB2312"/>
                          <w:b/>
                          <w:bCs/>
                          <w:sz w:val="18"/>
                          <w:szCs w:val="18"/>
                        </w:rPr>
                      </w:pPr>
                      <w:r>
                        <w:rPr>
                          <w:rFonts w:hint="eastAsia" w:ascii="楷体_GB2312" w:hAnsi="宋体" w:eastAsia="楷体_GB2312"/>
                          <w:b/>
                          <w:bCs/>
                          <w:sz w:val="18"/>
                          <w:szCs w:val="18"/>
                        </w:rPr>
                        <w:t>质量保证金扣留</w:t>
                      </w:r>
                    </w:p>
                  </w:txbxContent>
                </v:textbox>
              </v:shape>
            </w:pict>
          </mc:Fallback>
        </mc:AlternateContent>
      </w:r>
      <w:r>
        <w:rPr>
          <w:rFonts w:hint="eastAsia" w:hAnsi="宋体"/>
          <w:color w:val="auto"/>
          <w:sz w:val="24"/>
          <w:szCs w:val="18"/>
        </w:rPr>
        <w:t>缺陷责任期（包括第</w:t>
      </w:r>
      <w:r>
        <w:rPr>
          <w:rFonts w:hAnsi="宋体"/>
          <w:color w:val="auto"/>
          <w:sz w:val="24"/>
          <w:szCs w:val="18"/>
        </w:rPr>
        <w:t>59.2</w:t>
      </w:r>
      <w:r>
        <w:rPr>
          <w:rFonts w:hint="eastAsia" w:hAnsi="宋体"/>
          <w:color w:val="auto"/>
          <w:sz w:val="24"/>
          <w:szCs w:val="18"/>
        </w:rPr>
        <w:t>款延长的期限）满时，承包人没有完成缺陷责任的，发包人有权扣留承包人未完成缺陷责任剩余工作所需的部分质量保证金余额，并有权根据第</w:t>
      </w:r>
      <w:r>
        <w:rPr>
          <w:rFonts w:hAnsi="宋体"/>
          <w:color w:val="auto"/>
          <w:sz w:val="24"/>
          <w:szCs w:val="18"/>
        </w:rPr>
        <w:t>59.2</w:t>
      </w:r>
      <w:r>
        <w:rPr>
          <w:rFonts w:hint="eastAsia" w:hAnsi="宋体"/>
          <w:color w:val="auto"/>
          <w:sz w:val="24"/>
          <w:szCs w:val="18"/>
        </w:rPr>
        <w:t>款约定要求延长缺陷责任期，直到完成剩余工作为止。</w:t>
      </w:r>
    </w:p>
    <w:p w14:paraId="690A5259">
      <w:pPr>
        <w:pStyle w:val="2"/>
        <w:adjustRightInd w:val="0"/>
        <w:snapToGrid w:val="0"/>
        <w:spacing w:line="360" w:lineRule="auto"/>
        <w:ind w:right="-238"/>
        <w:rPr>
          <w:rFonts w:hAnsi="宋体"/>
          <w:b/>
          <w:color w:val="auto"/>
          <w:sz w:val="24"/>
          <w:szCs w:val="18"/>
        </w:rPr>
      </w:pPr>
    </w:p>
    <w:p w14:paraId="1AF64C43">
      <w:pPr>
        <w:pStyle w:val="2"/>
        <w:tabs>
          <w:tab w:val="left" w:pos="540"/>
        </w:tabs>
        <w:adjustRightInd w:val="0"/>
        <w:snapToGrid w:val="0"/>
        <w:spacing w:before="240" w:beforeLines="100" w:line="360" w:lineRule="auto"/>
        <w:ind w:right="-238"/>
        <w:rPr>
          <w:rFonts w:hAnsi="宋体"/>
          <w:b/>
          <w:color w:val="auto"/>
          <w:sz w:val="30"/>
          <w:szCs w:val="24"/>
        </w:rPr>
      </w:pPr>
      <w:r>
        <w:rPr>
          <w:rFonts w:hAnsi="宋体"/>
          <w:b/>
          <w:color w:val="auto"/>
          <w:sz w:val="30"/>
          <w:szCs w:val="24"/>
        </w:rPr>
        <w:t xml:space="preserve">85  </w:t>
      </w:r>
      <w:r>
        <w:rPr>
          <w:rFonts w:hint="eastAsia" w:hAnsi="宋体"/>
          <w:b/>
          <w:color w:val="auto"/>
          <w:sz w:val="30"/>
          <w:szCs w:val="24"/>
        </w:rPr>
        <w:t>最终清算款</w:t>
      </w:r>
    </w:p>
    <w:p w14:paraId="7A957A9F">
      <w:pPr>
        <w:pStyle w:val="2"/>
        <w:adjustRightInd w:val="0"/>
        <w:snapToGrid w:val="0"/>
        <w:spacing w:line="360" w:lineRule="auto"/>
        <w:rPr>
          <w:rFonts w:hAnsi="宋体"/>
          <w:b/>
          <w:color w:val="auto"/>
          <w:sz w:val="24"/>
          <w:szCs w:val="18"/>
        </w:rPr>
      </w:pPr>
      <w:r>
        <w:rPr>
          <w:rFonts w:hAnsi="宋体"/>
          <w:b/>
          <w:color w:val="auto"/>
          <w:sz w:val="24"/>
          <w:szCs w:val="18"/>
        </w:rPr>
        <w:t xml:space="preserve">85.1     </w:t>
      </w:r>
    </w:p>
    <w:p w14:paraId="58109F9B">
      <w:pPr>
        <w:spacing w:line="360" w:lineRule="auto"/>
        <w:ind w:left="1619" w:leftChars="771"/>
        <w:rPr>
          <w:rFonts w:ascii="宋体"/>
          <w:color w:val="auto"/>
          <w:sz w:val="24"/>
          <w:szCs w:val="18"/>
        </w:rPr>
      </w:pPr>
      <w:r>
        <w:rPr>
          <w:color w:val="auto"/>
        </w:rPr>
        <mc:AlternateContent>
          <mc:Choice Requires="wps">
            <w:drawing>
              <wp:anchor distT="0" distB="0" distL="114300" distR="114300" simplePos="0" relativeHeight="252030976" behindDoc="0" locked="0" layoutInCell="1" allowOverlap="1">
                <wp:simplePos x="0" y="0"/>
                <wp:positionH relativeFrom="column">
                  <wp:posOffset>-114300</wp:posOffset>
                </wp:positionH>
                <wp:positionV relativeFrom="paragraph">
                  <wp:posOffset>74295</wp:posOffset>
                </wp:positionV>
                <wp:extent cx="914400" cy="396240"/>
                <wp:effectExtent l="0" t="0" r="0" b="0"/>
                <wp:wrapNone/>
                <wp:docPr id="289" name="文本框 28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76E4A91E">
                            <w:pPr>
                              <w:spacing w:line="240" w:lineRule="exact"/>
                              <w:rPr>
                                <w:rFonts w:ascii="楷体_GB2312" w:hAnsi="宋体" w:eastAsia="楷体_GB2312"/>
                                <w:b/>
                                <w:bCs/>
                                <w:sz w:val="18"/>
                                <w:szCs w:val="18"/>
                              </w:rPr>
                            </w:pPr>
                            <w:r>
                              <w:rPr>
                                <w:rFonts w:hint="eastAsia" w:ascii="楷体_GB2312" w:hAnsi="宋体" w:eastAsia="楷体_GB2312"/>
                                <w:b/>
                                <w:bCs/>
                                <w:sz w:val="18"/>
                                <w:szCs w:val="18"/>
                              </w:rPr>
                              <w:t>提交最终清算支付申请</w:t>
                            </w:r>
                          </w:p>
                        </w:txbxContent>
                      </wps:txbx>
                      <wps:bodyPr upright="1"/>
                    </wps:wsp>
                  </a:graphicData>
                </a:graphic>
              </wp:anchor>
            </w:drawing>
          </mc:Choice>
          <mc:Fallback>
            <w:pict>
              <v:shape id="_x0000_s1026" o:spid="_x0000_s1026" o:spt="202" type="#_x0000_t202" style="position:absolute;left:0pt;margin-left:-9pt;margin-top:5.85pt;height:31.2pt;width:72pt;z-index:252030976;mso-width-relative:page;mso-height-relative:page;" filled="f" stroked="f" coordsize="21600,21600" o:gfxdata="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A&#10;8iBW1gAAAAkBAAAPAAAAAAAAAAEAIAAAACIAAABkcnMvZG93bnJldi54bWxQSwECFAAUAAAACACH&#10;TuJA0e8pQbQBAABfAwAADgAAAAAAAAABACAAAAAlAQAAZHJzL2Uyb0RvYy54bWxQSwUGAAAAAAYA&#10;BgBZAQAASwUAAAAA&#10;">
                <v:fill on="f" focussize="0,0"/>
                <v:stroke on="f"/>
                <v:imagedata o:title=""/>
                <o:lock v:ext="edit" aspectratio="f"/>
                <v:textbox>
                  <w:txbxContent>
                    <w:p w14:paraId="76E4A91E">
                      <w:pPr>
                        <w:spacing w:line="240" w:lineRule="exact"/>
                        <w:rPr>
                          <w:rFonts w:ascii="楷体_GB2312" w:hAnsi="宋体" w:eastAsia="楷体_GB2312"/>
                          <w:b/>
                          <w:bCs/>
                          <w:sz w:val="18"/>
                          <w:szCs w:val="18"/>
                        </w:rPr>
                      </w:pPr>
                      <w:r>
                        <w:rPr>
                          <w:rFonts w:hint="eastAsia" w:ascii="楷体_GB2312" w:hAnsi="宋体" w:eastAsia="楷体_GB2312"/>
                          <w:b/>
                          <w:bCs/>
                          <w:sz w:val="18"/>
                          <w:szCs w:val="18"/>
                        </w:rPr>
                        <w:t>提交最终清算支付申请</w:t>
                      </w:r>
                    </w:p>
                  </w:txbxContent>
                </v:textbox>
              </v:shape>
            </w:pict>
          </mc:Fallback>
        </mc:AlternateContent>
      </w:r>
      <w:r>
        <w:rPr>
          <w:rFonts w:hint="eastAsia" w:ascii="宋体" w:hAnsi="宋体"/>
          <w:color w:val="auto"/>
          <w:sz w:val="24"/>
          <w:szCs w:val="18"/>
        </w:rPr>
        <w:t>合同双方当事人应在专用条款中明确最终清算款的支付时限。专用条款没有约定的</w:t>
      </w:r>
      <w:r>
        <w:rPr>
          <w:rFonts w:ascii="宋体"/>
          <w:color w:val="auto"/>
          <w:sz w:val="24"/>
          <w:szCs w:val="18"/>
        </w:rPr>
        <w:t>,</w:t>
      </w:r>
      <w:r>
        <w:rPr>
          <w:rFonts w:hint="eastAsia" w:ascii="宋体" w:hAnsi="宋体"/>
          <w:color w:val="auto"/>
          <w:sz w:val="24"/>
          <w:szCs w:val="18"/>
        </w:rPr>
        <w:t>最终清算款按照第</w:t>
      </w:r>
      <w:r>
        <w:rPr>
          <w:rFonts w:ascii="宋体" w:hAnsi="宋体"/>
          <w:color w:val="auto"/>
          <w:sz w:val="24"/>
          <w:szCs w:val="18"/>
        </w:rPr>
        <w:t>85.2</w:t>
      </w:r>
      <w:r>
        <w:rPr>
          <w:rFonts w:hint="eastAsia" w:ascii="宋体" w:hAnsi="宋体"/>
          <w:color w:val="auto"/>
          <w:sz w:val="24"/>
          <w:szCs w:val="18"/>
        </w:rPr>
        <w:t>款至第</w:t>
      </w:r>
      <w:r>
        <w:rPr>
          <w:rFonts w:ascii="宋体" w:hAnsi="宋体"/>
          <w:color w:val="auto"/>
          <w:sz w:val="24"/>
          <w:szCs w:val="18"/>
        </w:rPr>
        <w:t>85.5</w:t>
      </w:r>
      <w:r>
        <w:rPr>
          <w:rFonts w:hint="eastAsia" w:ascii="宋体" w:hAnsi="宋体"/>
          <w:color w:val="auto"/>
          <w:sz w:val="24"/>
          <w:szCs w:val="18"/>
        </w:rPr>
        <w:t>款规定办理。涉及政府投资资金的工程，支付期、支付方法等需调整的，应在专用条款中约定。</w:t>
      </w:r>
    </w:p>
    <w:p w14:paraId="1C50A5E3">
      <w:pPr>
        <w:spacing w:line="360" w:lineRule="auto"/>
        <w:ind w:left="1619" w:leftChars="771"/>
        <w:rPr>
          <w:rFonts w:ascii="宋体"/>
          <w:color w:val="auto"/>
        </w:rPr>
      </w:pPr>
      <w:r>
        <w:rPr>
          <w:rFonts w:hint="eastAsia" w:ascii="宋体" w:hAnsi="宋体"/>
          <w:color w:val="auto"/>
          <w:sz w:val="24"/>
          <w:szCs w:val="18"/>
        </w:rPr>
        <w:t>缺陷责任期终止证书签发后，承包人应按照专用条款约定的份数和期限向造价工程师提交最终清算支付申请，并提供相关证明材料。发包人对最终清算支付申请有异议的，有权要求承包人进一步修正和提供补充资料。承包人修正后，应再次向造价工程师提交修正后的最终清算支付申请。</w:t>
      </w:r>
    </w:p>
    <w:p w14:paraId="5FE0BF62">
      <w:pPr>
        <w:pStyle w:val="2"/>
        <w:tabs>
          <w:tab w:val="left" w:pos="900"/>
        </w:tabs>
        <w:adjustRightInd w:val="0"/>
        <w:snapToGrid w:val="0"/>
        <w:spacing w:line="360" w:lineRule="auto"/>
        <w:rPr>
          <w:rFonts w:hAnsi="宋体"/>
          <w:color w:val="auto"/>
          <w:sz w:val="24"/>
          <w:szCs w:val="18"/>
        </w:rPr>
      </w:pPr>
      <w:r>
        <w:rPr>
          <w:rFonts w:hAnsi="宋体"/>
          <w:b/>
          <w:color w:val="auto"/>
          <w:sz w:val="24"/>
          <w:szCs w:val="18"/>
        </w:rPr>
        <w:t>85.2</w:t>
      </w:r>
    </w:p>
    <w:p w14:paraId="433082DB">
      <w:pPr>
        <w:pStyle w:val="2"/>
        <w:adjustRightInd w:val="0"/>
        <w:snapToGrid w:val="0"/>
        <w:spacing w:line="360" w:lineRule="auto"/>
        <w:ind w:left="1619" w:leftChars="771"/>
        <w:rPr>
          <w:rFonts w:hAnsi="宋体"/>
          <w:color w:val="auto"/>
          <w:sz w:val="24"/>
          <w:szCs w:val="18"/>
          <w:u w:val="single"/>
        </w:rPr>
      </w:pPr>
      <w:r>
        <w:rPr>
          <w:color w:val="auto"/>
        </w:rPr>
        <mc:AlternateContent>
          <mc:Choice Requires="wps">
            <w:drawing>
              <wp:anchor distT="0" distB="0" distL="114300" distR="114300" simplePos="0" relativeHeight="252032000" behindDoc="0" locked="0" layoutInCell="1" allowOverlap="1">
                <wp:simplePos x="0" y="0"/>
                <wp:positionH relativeFrom="column">
                  <wp:posOffset>-114300</wp:posOffset>
                </wp:positionH>
                <wp:positionV relativeFrom="paragraph">
                  <wp:posOffset>8890</wp:posOffset>
                </wp:positionV>
                <wp:extent cx="1028700" cy="462915"/>
                <wp:effectExtent l="0" t="0" r="0" b="0"/>
                <wp:wrapNone/>
                <wp:docPr id="290" name="文本框 290"/>
                <wp:cNvGraphicFramePr/>
                <a:graphic xmlns:a="http://schemas.openxmlformats.org/drawingml/2006/main">
                  <a:graphicData uri="http://schemas.microsoft.com/office/word/2010/wordprocessingShape">
                    <wps:wsp>
                      <wps:cNvSpPr txBox="1"/>
                      <wps:spPr>
                        <a:xfrm>
                          <a:off x="0" y="0"/>
                          <a:ext cx="1028700" cy="462915"/>
                        </a:xfrm>
                        <a:prstGeom prst="rect">
                          <a:avLst/>
                        </a:prstGeom>
                        <a:noFill/>
                        <a:ln>
                          <a:noFill/>
                        </a:ln>
                        <a:effectLst/>
                      </wps:spPr>
                      <wps:txbx>
                        <w:txbxContent>
                          <w:p w14:paraId="79901A6E">
                            <w:pPr>
                              <w:spacing w:line="240" w:lineRule="exact"/>
                              <w:rPr>
                                <w:rFonts w:ascii="楷体_GB2312" w:hAnsi="宋体" w:eastAsia="楷体_GB2312"/>
                                <w:b/>
                                <w:bCs/>
                                <w:sz w:val="18"/>
                                <w:szCs w:val="18"/>
                              </w:rPr>
                            </w:pPr>
                            <w:r>
                              <w:rPr>
                                <w:rFonts w:hint="eastAsia" w:ascii="楷体_GB2312" w:hAnsi="宋体" w:eastAsia="楷体_GB2312"/>
                                <w:b/>
                                <w:bCs/>
                                <w:sz w:val="18"/>
                                <w:szCs w:val="18"/>
                              </w:rPr>
                              <w:t>签发最终清算</w:t>
                            </w:r>
                          </w:p>
                          <w:p w14:paraId="2F871F66">
                            <w:pPr>
                              <w:spacing w:line="240" w:lineRule="exact"/>
                              <w:rPr>
                                <w:rFonts w:ascii="宋体"/>
                                <w:b/>
                                <w:bCs/>
                                <w:sz w:val="18"/>
                                <w:szCs w:val="18"/>
                              </w:rPr>
                            </w:pPr>
                            <w:r>
                              <w:rPr>
                                <w:rFonts w:hint="eastAsia" w:ascii="楷体_GB2312" w:hAnsi="宋体" w:eastAsia="楷体_GB2312"/>
                                <w:b/>
                                <w:bCs/>
                                <w:sz w:val="18"/>
                                <w:szCs w:val="18"/>
                              </w:rPr>
                              <w:t>支付证书</w:t>
                            </w:r>
                          </w:p>
                        </w:txbxContent>
                      </wps:txbx>
                      <wps:bodyPr upright="1"/>
                    </wps:wsp>
                  </a:graphicData>
                </a:graphic>
              </wp:anchor>
            </w:drawing>
          </mc:Choice>
          <mc:Fallback>
            <w:pict>
              <v:shape id="_x0000_s1026" o:spid="_x0000_s1026" o:spt="202" type="#_x0000_t202" style="position:absolute;left:0pt;margin-left:-9pt;margin-top:0.7pt;height:36.45pt;width:81pt;z-index:252032000;mso-width-relative:page;mso-height-relative:page;" filled="f" stroked="f" coordsize="21600,21600" o:gfxdata="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s5Yk&#10;z9UAAAAIAQAADwAAAAAAAAABACAAAAAiAAAAZHJzL2Rvd25yZXYueG1sUEsBAhQAFAAAAAgAh07i&#10;QHWREqKzAQAAYAMAAA4AAAAAAAAAAQAgAAAAJAEAAGRycy9lMm9Eb2MueG1sUEsFBgAAAAAGAAYA&#10;WQEAAEkFAAAAAA==&#10;">
                <v:fill on="f" focussize="0,0"/>
                <v:stroke on="f"/>
                <v:imagedata o:title=""/>
                <o:lock v:ext="edit" aspectratio="f"/>
                <v:textbox>
                  <w:txbxContent>
                    <w:p w14:paraId="79901A6E">
                      <w:pPr>
                        <w:spacing w:line="240" w:lineRule="exact"/>
                        <w:rPr>
                          <w:rFonts w:ascii="楷体_GB2312" w:hAnsi="宋体" w:eastAsia="楷体_GB2312"/>
                          <w:b/>
                          <w:bCs/>
                          <w:sz w:val="18"/>
                          <w:szCs w:val="18"/>
                        </w:rPr>
                      </w:pPr>
                      <w:r>
                        <w:rPr>
                          <w:rFonts w:hint="eastAsia" w:ascii="楷体_GB2312" w:hAnsi="宋体" w:eastAsia="楷体_GB2312"/>
                          <w:b/>
                          <w:bCs/>
                          <w:sz w:val="18"/>
                          <w:szCs w:val="18"/>
                        </w:rPr>
                        <w:t>签发最终清算</w:t>
                      </w:r>
                    </w:p>
                    <w:p w14:paraId="2F871F66">
                      <w:pPr>
                        <w:spacing w:line="240" w:lineRule="exact"/>
                        <w:rPr>
                          <w:rFonts w:ascii="宋体"/>
                          <w:b/>
                          <w:bCs/>
                          <w:sz w:val="18"/>
                          <w:szCs w:val="18"/>
                        </w:rPr>
                      </w:pPr>
                      <w:r>
                        <w:rPr>
                          <w:rFonts w:hint="eastAsia" w:ascii="楷体_GB2312" w:hAnsi="宋体" w:eastAsia="楷体_GB2312"/>
                          <w:b/>
                          <w:bCs/>
                          <w:sz w:val="18"/>
                          <w:szCs w:val="18"/>
                        </w:rPr>
                        <w:t>支付证书</w:t>
                      </w:r>
                    </w:p>
                  </w:txbxContent>
                </v:textbox>
              </v:shape>
            </w:pict>
          </mc:Fallback>
        </mc:AlternateContent>
      </w:r>
      <w:r>
        <w:rPr>
          <w:rFonts w:hint="eastAsia" w:hAnsi="宋体"/>
          <w:color w:val="auto"/>
          <w:sz w:val="24"/>
          <w:szCs w:val="18"/>
        </w:rPr>
        <w:t>造价工程师应在收到最终清算支付申请后的</w:t>
      </w:r>
      <w:r>
        <w:rPr>
          <w:rFonts w:hAnsi="宋体"/>
          <w:color w:val="auto"/>
          <w:sz w:val="24"/>
          <w:szCs w:val="18"/>
        </w:rPr>
        <w:t>14</w:t>
      </w:r>
      <w:r>
        <w:rPr>
          <w:rFonts w:hint="eastAsia" w:hAnsi="宋体"/>
          <w:color w:val="auto"/>
          <w:sz w:val="24"/>
          <w:szCs w:val="18"/>
        </w:rPr>
        <w:t>天内予以计量、核实，并将核实结果通知承包人、抄报发包人。发包人应在收到核实结果后的</w:t>
      </w:r>
      <w:r>
        <w:rPr>
          <w:rFonts w:hAnsi="宋体"/>
          <w:color w:val="auto"/>
          <w:sz w:val="24"/>
          <w:szCs w:val="18"/>
        </w:rPr>
        <w:t>7</w:t>
      </w:r>
      <w:r>
        <w:rPr>
          <w:rFonts w:hint="eastAsia" w:hAnsi="宋体"/>
          <w:color w:val="auto"/>
          <w:sz w:val="24"/>
          <w:szCs w:val="18"/>
        </w:rPr>
        <w:t>天内在最终清算文件上签字确认。造价工程师应在发包人签字确认最终清算文件后的</w:t>
      </w:r>
      <w:r>
        <w:rPr>
          <w:rFonts w:hAnsi="宋体"/>
          <w:color w:val="auto"/>
          <w:sz w:val="24"/>
          <w:szCs w:val="18"/>
        </w:rPr>
        <w:t>7</w:t>
      </w:r>
      <w:r>
        <w:rPr>
          <w:rFonts w:hint="eastAsia" w:hAnsi="宋体"/>
          <w:color w:val="auto"/>
          <w:sz w:val="24"/>
          <w:szCs w:val="18"/>
        </w:rPr>
        <w:t>天内，向发包人签发最终清算支付证书，同时抄送承包人。</w:t>
      </w:r>
    </w:p>
    <w:p w14:paraId="536CD6AB">
      <w:pPr>
        <w:pStyle w:val="2"/>
        <w:adjustRightInd w:val="0"/>
        <w:snapToGrid w:val="0"/>
        <w:spacing w:line="360" w:lineRule="auto"/>
        <w:rPr>
          <w:rFonts w:hAnsi="宋体"/>
          <w:color w:val="auto"/>
          <w:sz w:val="24"/>
          <w:szCs w:val="18"/>
        </w:rPr>
      </w:pPr>
      <w:r>
        <w:rPr>
          <w:color w:val="auto"/>
        </w:rPr>
        <mc:AlternateContent>
          <mc:Choice Requires="wps">
            <w:drawing>
              <wp:anchor distT="0" distB="0" distL="114300" distR="114300" simplePos="0" relativeHeight="252033024" behindDoc="0" locked="0" layoutInCell="1" allowOverlap="1">
                <wp:simplePos x="0" y="0"/>
                <wp:positionH relativeFrom="column">
                  <wp:posOffset>-114300</wp:posOffset>
                </wp:positionH>
                <wp:positionV relativeFrom="paragraph">
                  <wp:posOffset>230505</wp:posOffset>
                </wp:positionV>
                <wp:extent cx="914400" cy="462915"/>
                <wp:effectExtent l="0" t="0" r="0" b="0"/>
                <wp:wrapNone/>
                <wp:docPr id="291" name="文本框 291"/>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a:effectLst/>
                      </wps:spPr>
                      <wps:txbx>
                        <w:txbxContent>
                          <w:p w14:paraId="4E3C4438">
                            <w:pPr>
                              <w:spacing w:line="240" w:lineRule="exact"/>
                              <w:rPr>
                                <w:rFonts w:ascii="宋体"/>
                                <w:b/>
                                <w:bCs/>
                                <w:sz w:val="18"/>
                                <w:szCs w:val="18"/>
                              </w:rPr>
                            </w:pPr>
                            <w:r>
                              <w:rPr>
                                <w:rFonts w:hint="eastAsia" w:ascii="楷体_GB2312" w:hAnsi="宋体" w:eastAsia="楷体_GB2312"/>
                                <w:b/>
                                <w:bCs/>
                                <w:sz w:val="18"/>
                                <w:szCs w:val="18"/>
                              </w:rPr>
                              <w:t>最终清算款支付</w:t>
                            </w:r>
                          </w:p>
                        </w:txbxContent>
                      </wps:txbx>
                      <wps:bodyPr upright="1"/>
                    </wps:wsp>
                  </a:graphicData>
                </a:graphic>
              </wp:anchor>
            </w:drawing>
          </mc:Choice>
          <mc:Fallback>
            <w:pict>
              <v:shape id="_x0000_s1026" o:spid="_x0000_s1026" o:spt="202" type="#_x0000_t202" style="position:absolute;left:0pt;margin-left:-9pt;margin-top:18.15pt;height:36.45pt;width:72pt;z-index:252033024;mso-width-relative:page;mso-height-relative:page;" filled="f" stroked="f" coordsize="21600,21600" o:gfxdata="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p&#10;Y8+Z2AAAAAoBAAAPAAAAAAAAAAEAIAAAACIAAABkcnMvZG93bnJldi54bWxQSwECFAAUAAAACACH&#10;TuJAakQXQLIBAABfAwAADgAAAAAAAAABACAAAAAnAQAAZHJzL2Uyb0RvYy54bWxQSwUGAAAAAAYA&#10;BgBZAQAASwUAAAAA&#10;">
                <v:fill on="f" focussize="0,0"/>
                <v:stroke on="f"/>
                <v:imagedata o:title=""/>
                <o:lock v:ext="edit" aspectratio="f"/>
                <v:textbox>
                  <w:txbxContent>
                    <w:p w14:paraId="4E3C4438">
                      <w:pPr>
                        <w:spacing w:line="240" w:lineRule="exact"/>
                        <w:rPr>
                          <w:rFonts w:ascii="宋体"/>
                          <w:b/>
                          <w:bCs/>
                          <w:sz w:val="18"/>
                          <w:szCs w:val="18"/>
                        </w:rPr>
                      </w:pPr>
                      <w:r>
                        <w:rPr>
                          <w:rFonts w:hint="eastAsia" w:ascii="楷体_GB2312" w:hAnsi="宋体" w:eastAsia="楷体_GB2312"/>
                          <w:b/>
                          <w:bCs/>
                          <w:sz w:val="18"/>
                          <w:szCs w:val="18"/>
                        </w:rPr>
                        <w:t>最终清算款支付</w:t>
                      </w:r>
                    </w:p>
                  </w:txbxContent>
                </v:textbox>
              </v:shape>
            </w:pict>
          </mc:Fallback>
        </mc:AlternateContent>
      </w:r>
      <w:r>
        <w:rPr>
          <w:rFonts w:hAnsi="宋体"/>
          <w:b/>
          <w:color w:val="auto"/>
          <w:sz w:val="24"/>
          <w:szCs w:val="18"/>
        </w:rPr>
        <w:t>85.3</w:t>
      </w:r>
    </w:p>
    <w:p w14:paraId="64CC540C">
      <w:pPr>
        <w:pStyle w:val="2"/>
        <w:adjustRightInd w:val="0"/>
        <w:snapToGrid w:val="0"/>
        <w:spacing w:line="360" w:lineRule="auto"/>
        <w:ind w:left="1619" w:leftChars="771" w:firstLine="1"/>
        <w:rPr>
          <w:rFonts w:hAnsi="宋体"/>
          <w:color w:val="auto"/>
          <w:sz w:val="24"/>
          <w:szCs w:val="18"/>
        </w:rPr>
      </w:pPr>
      <w:r>
        <w:rPr>
          <w:rFonts w:hint="eastAsia" w:hAnsi="宋体"/>
          <w:color w:val="auto"/>
          <w:sz w:val="24"/>
          <w:szCs w:val="18"/>
        </w:rPr>
        <w:t>发包人应在造价工程师签发最终清算支付证书后的</w:t>
      </w:r>
      <w:r>
        <w:rPr>
          <w:rFonts w:hAnsi="宋体"/>
          <w:color w:val="auto"/>
          <w:sz w:val="24"/>
          <w:szCs w:val="18"/>
        </w:rPr>
        <w:t xml:space="preserve">14 </w:t>
      </w:r>
      <w:r>
        <w:rPr>
          <w:rFonts w:hint="eastAsia" w:hAnsi="宋体"/>
          <w:color w:val="auto"/>
          <w:sz w:val="24"/>
          <w:szCs w:val="18"/>
        </w:rPr>
        <w:t>天内，按照最终清算支付证书列明的金额向承包人支付最终清算款，并通知造价工程师。</w:t>
      </w:r>
    </w:p>
    <w:p w14:paraId="36945E45">
      <w:pPr>
        <w:pStyle w:val="2"/>
        <w:adjustRightInd w:val="0"/>
        <w:snapToGrid w:val="0"/>
        <w:spacing w:line="360" w:lineRule="auto"/>
        <w:rPr>
          <w:rFonts w:hAnsi="宋体"/>
          <w:color w:val="auto"/>
          <w:sz w:val="24"/>
          <w:szCs w:val="18"/>
        </w:rPr>
      </w:pPr>
      <w:r>
        <w:rPr>
          <w:color w:val="auto"/>
        </w:rPr>
        <mc:AlternateContent>
          <mc:Choice Requires="wps">
            <w:drawing>
              <wp:anchor distT="0" distB="0" distL="114300" distR="114300" simplePos="0" relativeHeight="252034048" behindDoc="0" locked="0" layoutInCell="1" allowOverlap="1">
                <wp:simplePos x="0" y="0"/>
                <wp:positionH relativeFrom="column">
                  <wp:posOffset>-114300</wp:posOffset>
                </wp:positionH>
                <wp:positionV relativeFrom="paragraph">
                  <wp:posOffset>234315</wp:posOffset>
                </wp:positionV>
                <wp:extent cx="914400" cy="462915"/>
                <wp:effectExtent l="0" t="0" r="0" b="0"/>
                <wp:wrapNone/>
                <wp:docPr id="292" name="文本框 292"/>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a:effectLst/>
                      </wps:spPr>
                      <wps:txbx>
                        <w:txbxContent>
                          <w:p w14:paraId="303B3C3E">
                            <w:pPr>
                              <w:spacing w:line="240" w:lineRule="exact"/>
                              <w:rPr>
                                <w:rFonts w:ascii="宋体"/>
                                <w:b/>
                                <w:bCs/>
                                <w:sz w:val="18"/>
                                <w:szCs w:val="18"/>
                              </w:rPr>
                            </w:pPr>
                            <w:r>
                              <w:rPr>
                                <w:rFonts w:hint="eastAsia" w:ascii="楷体_GB2312" w:hAnsi="宋体" w:eastAsia="楷体_GB2312"/>
                                <w:b/>
                                <w:bCs/>
                                <w:sz w:val="18"/>
                                <w:szCs w:val="18"/>
                              </w:rPr>
                              <w:t>签发最终清算支付证书限制</w:t>
                            </w:r>
                          </w:p>
                        </w:txbxContent>
                      </wps:txbx>
                      <wps:bodyPr upright="1"/>
                    </wps:wsp>
                  </a:graphicData>
                </a:graphic>
              </wp:anchor>
            </w:drawing>
          </mc:Choice>
          <mc:Fallback>
            <w:pict>
              <v:shape id="_x0000_s1026" o:spid="_x0000_s1026" o:spt="202" type="#_x0000_t202" style="position:absolute;left:0pt;margin-left:-9pt;margin-top:18.45pt;height:36.45pt;width:72pt;z-index:252034048;mso-width-relative:page;mso-height-relative:page;" filled="f" stroked="f" coordsize="21600,21600" o:gfxdata="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c&#10;/e3i2AAAAAoBAAAPAAAAAAAAAAEAIAAAACIAAABkcnMvZG93bnJldi54bWxQSwECFAAUAAAACACH&#10;TuJAiko7ZLIBAABfAwAADgAAAAAAAAABACAAAAAnAQAAZHJzL2Uyb0RvYy54bWxQSwUGAAAAAAYA&#10;BgBZAQAASwUAAAAA&#10;">
                <v:fill on="f" focussize="0,0"/>
                <v:stroke on="f"/>
                <v:imagedata o:title=""/>
                <o:lock v:ext="edit" aspectratio="f"/>
                <v:textbox>
                  <w:txbxContent>
                    <w:p w14:paraId="303B3C3E">
                      <w:pPr>
                        <w:spacing w:line="240" w:lineRule="exact"/>
                        <w:rPr>
                          <w:rFonts w:ascii="宋体"/>
                          <w:b/>
                          <w:bCs/>
                          <w:sz w:val="18"/>
                          <w:szCs w:val="18"/>
                        </w:rPr>
                      </w:pPr>
                      <w:r>
                        <w:rPr>
                          <w:rFonts w:hint="eastAsia" w:ascii="楷体_GB2312" w:hAnsi="宋体" w:eastAsia="楷体_GB2312"/>
                          <w:b/>
                          <w:bCs/>
                          <w:sz w:val="18"/>
                          <w:szCs w:val="18"/>
                        </w:rPr>
                        <w:t>签发最终清算支付证书限制</w:t>
                      </w:r>
                    </w:p>
                  </w:txbxContent>
                </v:textbox>
              </v:shape>
            </w:pict>
          </mc:Fallback>
        </mc:AlternateContent>
      </w:r>
      <w:r>
        <w:rPr>
          <w:rFonts w:hAnsi="宋体"/>
          <w:b/>
          <w:color w:val="auto"/>
          <w:sz w:val="24"/>
          <w:szCs w:val="18"/>
        </w:rPr>
        <w:t xml:space="preserve">85.4 </w:t>
      </w:r>
    </w:p>
    <w:p w14:paraId="0EF704F1">
      <w:pPr>
        <w:pStyle w:val="2"/>
        <w:adjustRightInd w:val="0"/>
        <w:snapToGrid w:val="0"/>
        <w:spacing w:line="360" w:lineRule="auto"/>
        <w:ind w:left="1576" w:leftChars="750" w:hanging="1"/>
        <w:rPr>
          <w:rFonts w:hAnsi="宋体"/>
          <w:color w:val="auto"/>
          <w:sz w:val="24"/>
          <w:szCs w:val="18"/>
        </w:rPr>
      </w:pPr>
      <w:r>
        <w:rPr>
          <w:rFonts w:hint="eastAsia" w:hAnsi="宋体"/>
          <w:color w:val="auto"/>
          <w:sz w:val="24"/>
          <w:szCs w:val="18"/>
        </w:rPr>
        <w:t>如果造价工程师未在第</w:t>
      </w:r>
      <w:r>
        <w:rPr>
          <w:rFonts w:hAnsi="宋体"/>
          <w:color w:val="auto"/>
          <w:sz w:val="24"/>
          <w:szCs w:val="18"/>
        </w:rPr>
        <w:t>85.2</w:t>
      </w:r>
      <w:r>
        <w:rPr>
          <w:rFonts w:hint="eastAsia" w:hAnsi="宋体"/>
          <w:color w:val="auto"/>
          <w:sz w:val="24"/>
          <w:szCs w:val="18"/>
        </w:rPr>
        <w:t>款规定的期限内签发</w:t>
      </w:r>
      <w:r>
        <w:rPr>
          <w:rFonts w:hint="eastAsia" w:hAnsi="宋体"/>
          <w:color w:val="auto"/>
          <w:sz w:val="24"/>
          <w:szCs w:val="24"/>
        </w:rPr>
        <w:t>最终清算支付证书的，</w:t>
      </w:r>
      <w:r>
        <w:rPr>
          <w:rFonts w:hint="eastAsia" w:hAnsi="宋体"/>
          <w:color w:val="auto"/>
          <w:sz w:val="24"/>
          <w:szCs w:val="18"/>
        </w:rPr>
        <w:t>则视为承包人提交的最终清算支付申请已被认可，承包人应及时向发包人发出要求支付最终清算款的通知。发包人应在收到通知后的</w:t>
      </w:r>
      <w:r>
        <w:rPr>
          <w:rFonts w:hAnsi="宋体"/>
          <w:color w:val="auto"/>
          <w:sz w:val="24"/>
          <w:szCs w:val="18"/>
        </w:rPr>
        <w:t>14</w:t>
      </w:r>
      <w:r>
        <w:rPr>
          <w:rFonts w:hint="eastAsia" w:hAnsi="宋体"/>
          <w:color w:val="auto"/>
          <w:sz w:val="24"/>
          <w:szCs w:val="18"/>
        </w:rPr>
        <w:t>天内，按照承包人提交最终清算支付申请列明的金额向承包人支付最终清算款。</w:t>
      </w:r>
    </w:p>
    <w:p w14:paraId="67E55157">
      <w:pPr>
        <w:pStyle w:val="2"/>
        <w:adjustRightInd w:val="0"/>
        <w:snapToGrid w:val="0"/>
        <w:spacing w:line="360" w:lineRule="auto"/>
        <w:rPr>
          <w:rFonts w:hAnsi="宋体"/>
          <w:color w:val="auto"/>
          <w:sz w:val="24"/>
          <w:szCs w:val="18"/>
        </w:rPr>
      </w:pPr>
      <w:r>
        <w:rPr>
          <w:rFonts w:hAnsi="宋体"/>
          <w:b/>
          <w:color w:val="auto"/>
          <w:sz w:val="24"/>
          <w:szCs w:val="18"/>
        </w:rPr>
        <w:t xml:space="preserve">85.5 </w:t>
      </w:r>
    </w:p>
    <w:p w14:paraId="150F151D">
      <w:pPr>
        <w:spacing w:line="360" w:lineRule="auto"/>
        <w:ind w:left="1576" w:leftChars="750" w:hanging="1"/>
        <w:rPr>
          <w:rFonts w:ascii="宋体"/>
          <w:color w:val="auto"/>
          <w:sz w:val="24"/>
        </w:rPr>
      </w:pPr>
      <w:r>
        <w:rPr>
          <w:color w:val="auto"/>
        </w:rPr>
        <mc:AlternateContent>
          <mc:Choice Requires="wps">
            <w:drawing>
              <wp:anchor distT="0" distB="0" distL="114300" distR="114300" simplePos="0" relativeHeight="252035072" behindDoc="0" locked="0" layoutInCell="1" allowOverlap="1">
                <wp:simplePos x="0" y="0"/>
                <wp:positionH relativeFrom="column">
                  <wp:posOffset>-114300</wp:posOffset>
                </wp:positionH>
                <wp:positionV relativeFrom="paragraph">
                  <wp:posOffset>8255</wp:posOffset>
                </wp:positionV>
                <wp:extent cx="1028700" cy="407670"/>
                <wp:effectExtent l="0" t="0" r="0" b="0"/>
                <wp:wrapNone/>
                <wp:docPr id="293" name="文本框 293"/>
                <wp:cNvGraphicFramePr/>
                <a:graphic xmlns:a="http://schemas.openxmlformats.org/drawingml/2006/main">
                  <a:graphicData uri="http://schemas.microsoft.com/office/word/2010/wordprocessingShape">
                    <wps:wsp>
                      <wps:cNvSpPr txBox="1"/>
                      <wps:spPr>
                        <a:xfrm>
                          <a:off x="0" y="0"/>
                          <a:ext cx="1028700" cy="407670"/>
                        </a:xfrm>
                        <a:prstGeom prst="rect">
                          <a:avLst/>
                        </a:prstGeom>
                        <a:noFill/>
                        <a:ln>
                          <a:noFill/>
                        </a:ln>
                        <a:effectLst/>
                      </wps:spPr>
                      <wps:txbx>
                        <w:txbxContent>
                          <w:p w14:paraId="61079132">
                            <w:pPr>
                              <w:spacing w:line="240" w:lineRule="exact"/>
                              <w:rPr>
                                <w:rFonts w:ascii="楷体_GB2312" w:hAnsi="宋体" w:eastAsia="楷体_GB2312"/>
                                <w:b/>
                                <w:bCs/>
                                <w:sz w:val="18"/>
                                <w:szCs w:val="18"/>
                              </w:rPr>
                            </w:pPr>
                            <w:r>
                              <w:rPr>
                                <w:rFonts w:hint="eastAsia" w:ascii="楷体_GB2312" w:hAnsi="宋体" w:eastAsia="楷体_GB2312"/>
                                <w:b/>
                                <w:bCs/>
                                <w:sz w:val="18"/>
                                <w:szCs w:val="18"/>
                              </w:rPr>
                              <w:t>最终清算款支</w:t>
                            </w:r>
                          </w:p>
                          <w:p w14:paraId="2BAEF425">
                            <w:pPr>
                              <w:spacing w:line="240" w:lineRule="exact"/>
                              <w:rPr>
                                <w:rFonts w:ascii="楷体_GB2312" w:hAnsi="宋体" w:eastAsia="楷体_GB2312"/>
                                <w:b/>
                                <w:bCs/>
                                <w:sz w:val="18"/>
                                <w:szCs w:val="18"/>
                              </w:rPr>
                            </w:pPr>
                            <w:r>
                              <w:rPr>
                                <w:rFonts w:hint="eastAsia" w:ascii="楷体_GB2312" w:hAnsi="宋体" w:eastAsia="楷体_GB2312"/>
                                <w:b/>
                                <w:bCs/>
                                <w:sz w:val="18"/>
                                <w:szCs w:val="18"/>
                              </w:rPr>
                              <w:t>付的限制</w:t>
                            </w:r>
                          </w:p>
                        </w:txbxContent>
                      </wps:txbx>
                      <wps:bodyPr upright="1"/>
                    </wps:wsp>
                  </a:graphicData>
                </a:graphic>
              </wp:anchor>
            </w:drawing>
          </mc:Choice>
          <mc:Fallback>
            <w:pict>
              <v:shape id="_x0000_s1026" o:spid="_x0000_s1026" o:spt="202" type="#_x0000_t202" style="position:absolute;left:0pt;margin-left:-9pt;margin-top:0.65pt;height:32.1pt;width:81pt;z-index:252035072;mso-width-relative:page;mso-height-relative:page;" filled="f" stroked="f" coordsize="21600,21600" o:gfxdata="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EQb1&#10;9NUAAAAIAQAADwAAAAAAAAABACAAAAAiAAAAZHJzL2Rvd25yZXYueG1sUEsBAhQAFAAAAAgAh07i&#10;QD0rMEqzAQAAYAMAAA4AAAAAAAAAAQAgAAAAJAEAAGRycy9lMm9Eb2MueG1sUEsFBgAAAAAGAAYA&#10;WQEAAEkFAAAAAA==&#10;">
                <v:fill on="f" focussize="0,0"/>
                <v:stroke on="f"/>
                <v:imagedata o:title=""/>
                <o:lock v:ext="edit" aspectratio="f"/>
                <v:textbox>
                  <w:txbxContent>
                    <w:p w14:paraId="61079132">
                      <w:pPr>
                        <w:spacing w:line="240" w:lineRule="exact"/>
                        <w:rPr>
                          <w:rFonts w:ascii="楷体_GB2312" w:hAnsi="宋体" w:eastAsia="楷体_GB2312"/>
                          <w:b/>
                          <w:bCs/>
                          <w:sz w:val="18"/>
                          <w:szCs w:val="18"/>
                        </w:rPr>
                      </w:pPr>
                      <w:r>
                        <w:rPr>
                          <w:rFonts w:hint="eastAsia" w:ascii="楷体_GB2312" w:hAnsi="宋体" w:eastAsia="楷体_GB2312"/>
                          <w:b/>
                          <w:bCs/>
                          <w:sz w:val="18"/>
                          <w:szCs w:val="18"/>
                        </w:rPr>
                        <w:t>最终清算款支</w:t>
                      </w:r>
                    </w:p>
                    <w:p w14:paraId="2BAEF425">
                      <w:pPr>
                        <w:spacing w:line="240" w:lineRule="exact"/>
                        <w:rPr>
                          <w:rFonts w:ascii="楷体_GB2312" w:hAnsi="宋体" w:eastAsia="楷体_GB2312"/>
                          <w:b/>
                          <w:bCs/>
                          <w:sz w:val="18"/>
                          <w:szCs w:val="18"/>
                        </w:rPr>
                      </w:pPr>
                      <w:r>
                        <w:rPr>
                          <w:rFonts w:hint="eastAsia" w:ascii="楷体_GB2312" w:hAnsi="宋体" w:eastAsia="楷体_GB2312"/>
                          <w:b/>
                          <w:bCs/>
                          <w:sz w:val="18"/>
                          <w:szCs w:val="18"/>
                        </w:rPr>
                        <w:t>付的限制</w:t>
                      </w:r>
                    </w:p>
                  </w:txbxContent>
                </v:textbox>
              </v:shape>
            </w:pict>
          </mc:Fallback>
        </mc:AlternateContent>
      </w:r>
      <w:r>
        <w:rPr>
          <w:rFonts w:hint="eastAsia" w:ascii="宋体" w:hAnsi="宋体"/>
          <w:color w:val="auto"/>
          <w:sz w:val="24"/>
        </w:rPr>
        <w:t>发包人未按照第</w:t>
      </w:r>
      <w:r>
        <w:rPr>
          <w:rFonts w:ascii="宋体" w:hAnsi="宋体"/>
          <w:color w:val="auto"/>
          <w:sz w:val="24"/>
        </w:rPr>
        <w:t>85.3</w:t>
      </w:r>
      <w:r>
        <w:rPr>
          <w:rFonts w:hint="eastAsia" w:ascii="宋体" w:hAnsi="宋体"/>
          <w:color w:val="auto"/>
          <w:sz w:val="24"/>
        </w:rPr>
        <w:t>款和第</w:t>
      </w:r>
      <w:r>
        <w:rPr>
          <w:rFonts w:ascii="宋体" w:hAnsi="宋体"/>
          <w:color w:val="auto"/>
          <w:sz w:val="24"/>
        </w:rPr>
        <w:t>85.4</w:t>
      </w:r>
      <w:r>
        <w:rPr>
          <w:rFonts w:hint="eastAsia" w:ascii="宋体" w:hAnsi="宋体"/>
          <w:color w:val="auto"/>
          <w:sz w:val="24"/>
        </w:rPr>
        <w:t>款规定支付最终清算款的，承包人可催告发包人支付最终清算款，如</w:t>
      </w:r>
      <w:r>
        <w:rPr>
          <w:rFonts w:hint="eastAsia" w:ascii="宋体" w:hAnsi="宋体"/>
          <w:color w:val="auto"/>
          <w:sz w:val="24"/>
          <w:szCs w:val="18"/>
        </w:rPr>
        <w:t>双方</w:t>
      </w:r>
      <w:r>
        <w:rPr>
          <w:rFonts w:hint="eastAsia" w:ascii="宋体" w:hAnsi="宋体"/>
          <w:color w:val="auto"/>
          <w:sz w:val="24"/>
        </w:rPr>
        <w:t>达成延期支付协议，承包人</w:t>
      </w:r>
      <w:r>
        <w:rPr>
          <w:rFonts w:hint="eastAsia" w:ascii="宋体" w:hAnsi="宋体"/>
          <w:color w:val="auto"/>
          <w:sz w:val="24"/>
          <w:szCs w:val="18"/>
        </w:rPr>
        <w:t>有权按照</w:t>
      </w:r>
      <w:r>
        <w:rPr>
          <w:rFonts w:hint="eastAsia" w:ascii="宋体" w:hAnsi="宋体"/>
          <w:color w:val="auto"/>
          <w:sz w:val="24"/>
        </w:rPr>
        <w:t>第</w:t>
      </w:r>
      <w:r>
        <w:rPr>
          <w:rFonts w:ascii="宋体" w:hAnsi="宋体"/>
          <w:color w:val="auto"/>
          <w:sz w:val="24"/>
        </w:rPr>
        <w:t>78.2</w:t>
      </w:r>
      <w:r>
        <w:rPr>
          <w:rFonts w:hint="eastAsia" w:ascii="宋体" w:hAnsi="宋体"/>
          <w:color w:val="auto"/>
          <w:sz w:val="24"/>
        </w:rPr>
        <w:t>款</w:t>
      </w:r>
      <w:r>
        <w:rPr>
          <w:rFonts w:hint="eastAsia" w:ascii="宋体" w:hAnsi="宋体"/>
          <w:color w:val="auto"/>
          <w:sz w:val="24"/>
          <w:szCs w:val="18"/>
        </w:rPr>
        <w:t>规定获得延期支付的利息。若该永久</w:t>
      </w:r>
      <w:r>
        <w:rPr>
          <w:rFonts w:hint="eastAsia" w:ascii="宋体" w:hAnsi="宋体"/>
          <w:color w:val="auto"/>
          <w:sz w:val="24"/>
        </w:rPr>
        <w:t>工程按照第</w:t>
      </w:r>
      <w:r>
        <w:rPr>
          <w:rFonts w:ascii="宋体" w:hAnsi="宋体"/>
          <w:color w:val="auto"/>
          <w:sz w:val="24"/>
        </w:rPr>
        <w:t>83.5</w:t>
      </w:r>
      <w:r>
        <w:rPr>
          <w:rFonts w:hint="eastAsia" w:ascii="宋体" w:hAnsi="宋体"/>
          <w:color w:val="auto"/>
          <w:sz w:val="24"/>
        </w:rPr>
        <w:t>款规定进行折价或依法拍卖的，承包人就该工程折价或拍卖的价款优先受偿。</w:t>
      </w:r>
    </w:p>
    <w:p w14:paraId="474FCDA0">
      <w:pPr>
        <w:pStyle w:val="2"/>
        <w:adjustRightInd w:val="0"/>
        <w:snapToGrid w:val="0"/>
        <w:spacing w:line="360" w:lineRule="auto"/>
        <w:rPr>
          <w:rFonts w:hAnsi="宋体"/>
          <w:color w:val="auto"/>
          <w:sz w:val="24"/>
          <w:szCs w:val="18"/>
        </w:rPr>
      </w:pPr>
      <w:r>
        <w:rPr>
          <w:rFonts w:hAnsi="宋体"/>
          <w:b/>
          <w:color w:val="auto"/>
          <w:sz w:val="24"/>
          <w:szCs w:val="18"/>
        </w:rPr>
        <w:t xml:space="preserve">85.6 </w:t>
      </w:r>
    </w:p>
    <w:p w14:paraId="3ADAF8EE">
      <w:pPr>
        <w:spacing w:line="360" w:lineRule="auto"/>
        <w:ind w:left="1619" w:leftChars="771"/>
        <w:rPr>
          <w:rFonts w:ascii="宋体"/>
          <w:color w:val="auto"/>
          <w:sz w:val="24"/>
          <w:szCs w:val="18"/>
        </w:rPr>
      </w:pPr>
      <w:r>
        <w:rPr>
          <w:color w:val="auto"/>
        </w:rPr>
        <mc:AlternateContent>
          <mc:Choice Requires="wps">
            <w:drawing>
              <wp:anchor distT="0" distB="0" distL="114300" distR="114300" simplePos="0" relativeHeight="252036096"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294" name="文本框 294"/>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a:effectLst/>
                      </wps:spPr>
                      <wps:txbx>
                        <w:txbxContent>
                          <w:p w14:paraId="72B1CCBA">
                            <w:pPr>
                              <w:spacing w:line="240" w:lineRule="exact"/>
                              <w:rPr>
                                <w:rFonts w:ascii="楷体_GB2312" w:hAnsi="宋体" w:eastAsia="楷体_GB2312"/>
                                <w:b/>
                                <w:bCs/>
                                <w:sz w:val="18"/>
                                <w:szCs w:val="18"/>
                              </w:rPr>
                            </w:pPr>
                            <w:r>
                              <w:rPr>
                                <w:rFonts w:hint="eastAsia" w:ascii="楷体_GB2312" w:hAnsi="宋体" w:eastAsia="楷体_GB2312"/>
                                <w:b/>
                                <w:bCs/>
                                <w:sz w:val="18"/>
                                <w:szCs w:val="18"/>
                              </w:rPr>
                              <w:t>最终清算款争议的处理</w:t>
                            </w:r>
                          </w:p>
                        </w:txbxContent>
                      </wps:txbx>
                      <wps:bodyPr upright="1"/>
                    </wps:wsp>
                  </a:graphicData>
                </a:graphic>
              </wp:anchor>
            </w:drawing>
          </mc:Choice>
          <mc:Fallback>
            <w:pict>
              <v:shape id="_x0000_s1026" o:spid="_x0000_s1026" o:spt="202" type="#_x0000_t202" style="position:absolute;left:0pt;margin-left:-9pt;margin-top:3.6pt;height:36.45pt;width:72pt;z-index:252036096;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qldg&#10;VtUAAAAIAQAADwAAAAAAAAABACAAAAAiAAAAZHJzL2Rvd25yZXYueG1sUEsBAhQAFAAAAAgAh07i&#10;QEpXYyyzAQAAXwMAAA4AAAAAAAAAAQAgAAAAJAEAAGRycy9lMm9Eb2MueG1sUEsFBgAAAAAGAAYA&#10;WQEAAEkFAAAAAA==&#10;">
                <v:fill on="f" focussize="0,0"/>
                <v:stroke on="f"/>
                <v:imagedata o:title=""/>
                <o:lock v:ext="edit" aspectratio="f"/>
                <v:textbox>
                  <w:txbxContent>
                    <w:p w14:paraId="72B1CCBA">
                      <w:pPr>
                        <w:spacing w:line="240" w:lineRule="exact"/>
                        <w:rPr>
                          <w:rFonts w:ascii="楷体_GB2312" w:hAnsi="宋体" w:eastAsia="楷体_GB2312"/>
                          <w:b/>
                          <w:bCs/>
                          <w:sz w:val="18"/>
                          <w:szCs w:val="18"/>
                        </w:rPr>
                      </w:pPr>
                      <w:r>
                        <w:rPr>
                          <w:rFonts w:hint="eastAsia" w:ascii="楷体_GB2312" w:hAnsi="宋体" w:eastAsia="楷体_GB2312"/>
                          <w:b/>
                          <w:bCs/>
                          <w:sz w:val="18"/>
                          <w:szCs w:val="18"/>
                        </w:rPr>
                        <w:t>最终清算款争议的处理</w:t>
                      </w:r>
                    </w:p>
                  </w:txbxContent>
                </v:textbox>
              </v:shape>
            </w:pict>
          </mc:Fallback>
        </mc:AlternateContent>
      </w:r>
      <w:r>
        <w:rPr>
          <w:rFonts w:hint="eastAsia" w:ascii="宋体" w:hAnsi="宋体"/>
          <w:color w:val="auto"/>
          <w:sz w:val="24"/>
          <w:szCs w:val="18"/>
        </w:rPr>
        <w:t>承包人对发包人支付的最终清算款有异议的，按照第</w:t>
      </w:r>
      <w:r>
        <w:rPr>
          <w:rFonts w:ascii="宋体" w:hAnsi="宋体"/>
          <w:color w:val="auto"/>
          <w:sz w:val="24"/>
          <w:szCs w:val="18"/>
        </w:rPr>
        <w:t>86</w:t>
      </w:r>
      <w:r>
        <w:rPr>
          <w:rFonts w:hint="eastAsia" w:ascii="宋体" w:hAnsi="宋体"/>
          <w:color w:val="auto"/>
          <w:sz w:val="24"/>
          <w:szCs w:val="18"/>
        </w:rPr>
        <w:t>条约定的争议处理。</w:t>
      </w:r>
    </w:p>
    <w:p w14:paraId="2AFA72C8">
      <w:pPr>
        <w:pStyle w:val="2"/>
        <w:adjustRightInd w:val="0"/>
        <w:snapToGrid w:val="0"/>
        <w:spacing w:line="360" w:lineRule="auto"/>
        <w:rPr>
          <w:rFonts w:hAnsi="宋体"/>
          <w:b/>
          <w:color w:val="auto"/>
          <w:sz w:val="24"/>
          <w:szCs w:val="32"/>
        </w:rPr>
      </w:pPr>
    </w:p>
    <w:p w14:paraId="17AAE5AA">
      <w:pPr>
        <w:pStyle w:val="2"/>
        <w:adjustRightInd w:val="0"/>
        <w:snapToGrid w:val="0"/>
        <w:spacing w:line="360" w:lineRule="auto"/>
        <w:ind w:firstLine="3036" w:firstLineChars="945"/>
        <w:outlineLvl w:val="1"/>
        <w:rPr>
          <w:rFonts w:hAnsi="宋体"/>
          <w:b/>
          <w:color w:val="auto"/>
          <w:sz w:val="32"/>
          <w:szCs w:val="32"/>
        </w:rPr>
      </w:pPr>
      <w:r>
        <w:rPr>
          <w:rFonts w:hint="eastAsia" w:hAnsi="宋体"/>
          <w:b/>
          <w:color w:val="auto"/>
          <w:sz w:val="32"/>
          <w:szCs w:val="32"/>
        </w:rPr>
        <w:t>七、合同争议、解除与终止</w:t>
      </w:r>
    </w:p>
    <w:p w14:paraId="61DE1EAD">
      <w:pPr>
        <w:pStyle w:val="2"/>
        <w:tabs>
          <w:tab w:val="left" w:pos="540"/>
        </w:tabs>
        <w:adjustRightInd w:val="0"/>
        <w:snapToGrid w:val="0"/>
        <w:spacing w:before="240" w:beforeLines="100" w:line="360" w:lineRule="auto"/>
        <w:ind w:right="-238"/>
        <w:rPr>
          <w:rFonts w:hAnsi="宋体"/>
          <w:b/>
          <w:color w:val="auto"/>
          <w:sz w:val="30"/>
          <w:szCs w:val="24"/>
        </w:rPr>
      </w:pPr>
      <w:r>
        <w:rPr>
          <w:rFonts w:hAnsi="宋体"/>
          <w:b/>
          <w:color w:val="auto"/>
          <w:sz w:val="30"/>
          <w:szCs w:val="24"/>
        </w:rPr>
        <w:t xml:space="preserve">86  </w:t>
      </w:r>
      <w:r>
        <w:rPr>
          <w:rFonts w:hint="eastAsia" w:hAnsi="宋体"/>
          <w:b/>
          <w:color w:val="auto"/>
          <w:sz w:val="30"/>
          <w:szCs w:val="24"/>
        </w:rPr>
        <w:t>合同争议</w:t>
      </w:r>
    </w:p>
    <w:p w14:paraId="1320E94A">
      <w:pPr>
        <w:pStyle w:val="2"/>
        <w:adjustRightInd w:val="0"/>
        <w:snapToGrid w:val="0"/>
        <w:spacing w:line="360" w:lineRule="auto"/>
        <w:rPr>
          <w:rFonts w:hAnsi="宋体"/>
          <w:b/>
          <w:color w:val="auto"/>
          <w:sz w:val="24"/>
          <w:szCs w:val="18"/>
        </w:rPr>
      </w:pPr>
      <w:r>
        <w:rPr>
          <w:color w:val="auto"/>
        </w:rPr>
        <mc:AlternateContent>
          <mc:Choice Requires="wps">
            <w:drawing>
              <wp:anchor distT="0" distB="0" distL="114300" distR="114300" simplePos="0" relativeHeight="252037120" behindDoc="0" locked="0" layoutInCell="1" allowOverlap="1">
                <wp:simplePos x="0" y="0"/>
                <wp:positionH relativeFrom="column">
                  <wp:posOffset>-114300</wp:posOffset>
                </wp:positionH>
                <wp:positionV relativeFrom="paragraph">
                  <wp:posOffset>284480</wp:posOffset>
                </wp:positionV>
                <wp:extent cx="914400" cy="469900"/>
                <wp:effectExtent l="0" t="0" r="0" b="0"/>
                <wp:wrapNone/>
                <wp:docPr id="295" name="文本框 295"/>
                <wp:cNvGraphicFramePr/>
                <a:graphic xmlns:a="http://schemas.openxmlformats.org/drawingml/2006/main">
                  <a:graphicData uri="http://schemas.microsoft.com/office/word/2010/wordprocessingShape">
                    <wps:wsp>
                      <wps:cNvSpPr txBox="1"/>
                      <wps:spPr>
                        <a:xfrm>
                          <a:off x="0" y="0"/>
                          <a:ext cx="914400" cy="469900"/>
                        </a:xfrm>
                        <a:prstGeom prst="rect">
                          <a:avLst/>
                        </a:prstGeom>
                        <a:noFill/>
                        <a:ln>
                          <a:noFill/>
                        </a:ln>
                        <a:effectLst/>
                      </wps:spPr>
                      <wps:txbx>
                        <w:txbxContent>
                          <w:p w14:paraId="7E9E7F94">
                            <w:pPr>
                              <w:spacing w:line="240" w:lineRule="exact"/>
                              <w:rPr>
                                <w:rFonts w:ascii="楷体_GB2312" w:hAnsi="宋体" w:eastAsia="楷体_GB2312"/>
                                <w:b/>
                                <w:bCs/>
                                <w:sz w:val="18"/>
                                <w:szCs w:val="18"/>
                              </w:rPr>
                            </w:pPr>
                            <w:r>
                              <w:rPr>
                                <w:rFonts w:hint="eastAsia" w:ascii="楷体_GB2312" w:hAnsi="宋体" w:eastAsia="楷体_GB2312"/>
                                <w:b/>
                                <w:bCs/>
                                <w:sz w:val="18"/>
                                <w:szCs w:val="18"/>
                              </w:rPr>
                              <w:t>认可暂定结果或产生争议</w:t>
                            </w:r>
                          </w:p>
                        </w:txbxContent>
                      </wps:txbx>
                      <wps:bodyPr upright="1"/>
                    </wps:wsp>
                  </a:graphicData>
                </a:graphic>
              </wp:anchor>
            </w:drawing>
          </mc:Choice>
          <mc:Fallback>
            <w:pict>
              <v:shape id="_x0000_s1026" o:spid="_x0000_s1026" o:spt="202" type="#_x0000_t202" style="position:absolute;left:0pt;margin-left:-9pt;margin-top:22.4pt;height:37pt;width:72pt;z-index:252037120;mso-width-relative:page;mso-height-relative:page;" filled="f" stroked="f" coordsize="21600,21600" o:gfxdata="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Cb&#10;DmrXAAAACgEAAA8AAAAAAAAAAQAgAAAAIgAAAGRycy9kb3ducmV2LnhtbFBLAQIUABQAAAAIAIdO&#10;4kC0s7J7sgEAAF8DAAAOAAAAAAAAAAEAIAAAACYBAABkcnMvZTJvRG9jLnhtbFBLBQYAAAAABgAG&#10;AFkBAABKBQAAAAA=&#10;">
                <v:fill on="f" focussize="0,0"/>
                <v:stroke on="f"/>
                <v:imagedata o:title=""/>
                <o:lock v:ext="edit" aspectratio="f"/>
                <v:textbox>
                  <w:txbxContent>
                    <w:p w14:paraId="7E9E7F94">
                      <w:pPr>
                        <w:spacing w:line="240" w:lineRule="exact"/>
                        <w:rPr>
                          <w:rFonts w:ascii="楷体_GB2312" w:hAnsi="宋体" w:eastAsia="楷体_GB2312"/>
                          <w:b/>
                          <w:bCs/>
                          <w:sz w:val="18"/>
                          <w:szCs w:val="18"/>
                        </w:rPr>
                      </w:pPr>
                      <w:r>
                        <w:rPr>
                          <w:rFonts w:hint="eastAsia" w:ascii="楷体_GB2312" w:hAnsi="宋体" w:eastAsia="楷体_GB2312"/>
                          <w:b/>
                          <w:bCs/>
                          <w:sz w:val="18"/>
                          <w:szCs w:val="18"/>
                        </w:rPr>
                        <w:t>认可暂定结果或产生争议</w:t>
                      </w:r>
                    </w:p>
                  </w:txbxContent>
                </v:textbox>
              </v:shape>
            </w:pict>
          </mc:Fallback>
        </mc:AlternateContent>
      </w:r>
      <w:r>
        <w:rPr>
          <w:rFonts w:hAnsi="宋体"/>
          <w:b/>
          <w:color w:val="auto"/>
          <w:sz w:val="24"/>
          <w:szCs w:val="18"/>
        </w:rPr>
        <w:t xml:space="preserve">86.1    </w:t>
      </w:r>
    </w:p>
    <w:p w14:paraId="3B98C7AB">
      <w:pPr>
        <w:pStyle w:val="2"/>
        <w:adjustRightInd w:val="0"/>
        <w:snapToGrid w:val="0"/>
        <w:spacing w:line="360" w:lineRule="auto"/>
        <w:ind w:left="1619" w:leftChars="771"/>
        <w:rPr>
          <w:rFonts w:hAnsi="宋体"/>
          <w:color w:val="auto"/>
          <w:sz w:val="24"/>
          <w:szCs w:val="18"/>
        </w:rPr>
      </w:pPr>
      <w:r>
        <w:rPr>
          <w:rFonts w:hint="eastAsia" w:hAnsi="宋体"/>
          <w:color w:val="auto"/>
          <w:sz w:val="24"/>
          <w:szCs w:val="18"/>
        </w:rPr>
        <w:t>本合同履行期间，合同双方当事人应在收到监理工程师或造价工程师依据合同约定作出暂定结果之后的</w:t>
      </w:r>
      <w:r>
        <w:rPr>
          <w:rFonts w:hAnsi="宋体"/>
          <w:color w:val="auto"/>
          <w:sz w:val="24"/>
          <w:szCs w:val="18"/>
        </w:rPr>
        <w:t>14</w:t>
      </w:r>
      <w:r>
        <w:rPr>
          <w:rFonts w:hint="eastAsia" w:hAnsi="宋体"/>
          <w:color w:val="auto"/>
          <w:sz w:val="24"/>
          <w:szCs w:val="18"/>
        </w:rPr>
        <w:t>天内，对暂定结果予以确认或提出意见。合同双方对暂定结果认可的，应以书面形式予以确认，暂定结果成为最终决定，对合同双方当事人都有约束力；合同双方或一方当事人不同意暂定结果的，应以书面形式向监理工程师或造价工程师提出，说明自己认为正确的结果，同时抄送另一方当事人，此时该暂定结果成为争议。除非本合同已解除，在暂定结果不实质影响合同双方当事人履约的前提下，合同双方当事人应实施该结果，直到其被改变为止。</w:t>
      </w:r>
    </w:p>
    <w:p w14:paraId="6AB19B14">
      <w:pPr>
        <w:pStyle w:val="2"/>
        <w:adjustRightInd w:val="0"/>
        <w:snapToGrid w:val="0"/>
        <w:spacing w:line="360" w:lineRule="auto"/>
        <w:ind w:left="1619" w:leftChars="771"/>
        <w:rPr>
          <w:rFonts w:hAnsi="宋体"/>
          <w:color w:val="auto"/>
          <w:sz w:val="24"/>
          <w:szCs w:val="18"/>
        </w:rPr>
      </w:pPr>
      <w:r>
        <w:rPr>
          <w:rFonts w:hint="eastAsia" w:hAnsi="宋体"/>
          <w:color w:val="auto"/>
          <w:sz w:val="24"/>
          <w:szCs w:val="18"/>
        </w:rPr>
        <w:t>合同双方当事人在收到监理工程师或造价工程师的暂定结果之日起，超过</w:t>
      </w:r>
      <w:r>
        <w:rPr>
          <w:rFonts w:hAnsi="宋体"/>
          <w:color w:val="auto"/>
          <w:sz w:val="24"/>
          <w:szCs w:val="18"/>
        </w:rPr>
        <w:t>14</w:t>
      </w:r>
      <w:r>
        <w:rPr>
          <w:rFonts w:hint="eastAsia" w:hAnsi="宋体"/>
          <w:color w:val="auto"/>
          <w:sz w:val="24"/>
          <w:szCs w:val="18"/>
        </w:rPr>
        <w:t>天，未对暂定结果予以确认也未提出意见的，视为合同双方当事人已认可暂定结果。</w:t>
      </w:r>
    </w:p>
    <w:p w14:paraId="75385A98">
      <w:pPr>
        <w:pStyle w:val="2"/>
        <w:tabs>
          <w:tab w:val="left" w:pos="1320"/>
        </w:tabs>
        <w:adjustRightInd w:val="0"/>
        <w:snapToGrid w:val="0"/>
        <w:spacing w:line="360" w:lineRule="auto"/>
        <w:rPr>
          <w:rFonts w:hAnsi="宋体"/>
          <w:b/>
          <w:color w:val="auto"/>
          <w:sz w:val="24"/>
          <w:szCs w:val="18"/>
        </w:rPr>
      </w:pPr>
      <w:r>
        <w:rPr>
          <w:rFonts w:hAnsi="宋体"/>
          <w:b/>
          <w:color w:val="auto"/>
          <w:sz w:val="24"/>
          <w:szCs w:val="18"/>
        </w:rPr>
        <w:t xml:space="preserve">86.2  </w:t>
      </w:r>
    </w:p>
    <w:p w14:paraId="197767DA">
      <w:pPr>
        <w:pStyle w:val="2"/>
        <w:tabs>
          <w:tab w:val="left" w:pos="1320"/>
        </w:tabs>
        <w:adjustRightInd w:val="0"/>
        <w:snapToGrid w:val="0"/>
        <w:spacing w:line="360" w:lineRule="auto"/>
        <w:ind w:left="1680" w:leftChars="800"/>
        <w:rPr>
          <w:rFonts w:hAnsi="宋体"/>
          <w:b/>
          <w:color w:val="auto"/>
          <w:sz w:val="24"/>
          <w:szCs w:val="18"/>
        </w:rPr>
      </w:pPr>
      <w:r>
        <w:rPr>
          <w:color w:val="auto"/>
        </w:rPr>
        <mc:AlternateContent>
          <mc:Choice Requires="wps">
            <w:drawing>
              <wp:anchor distT="0" distB="0" distL="114300" distR="114300" simplePos="0" relativeHeight="252038144" behindDoc="0" locked="0" layoutInCell="1" allowOverlap="1">
                <wp:simplePos x="0" y="0"/>
                <wp:positionH relativeFrom="column">
                  <wp:posOffset>-114300</wp:posOffset>
                </wp:positionH>
                <wp:positionV relativeFrom="paragraph">
                  <wp:posOffset>26670</wp:posOffset>
                </wp:positionV>
                <wp:extent cx="800100" cy="373380"/>
                <wp:effectExtent l="0" t="0" r="0" b="0"/>
                <wp:wrapNone/>
                <wp:docPr id="296" name="文本框 296"/>
                <wp:cNvGraphicFramePr/>
                <a:graphic xmlns:a="http://schemas.openxmlformats.org/drawingml/2006/main">
                  <a:graphicData uri="http://schemas.microsoft.com/office/word/2010/wordprocessingShape">
                    <wps:wsp>
                      <wps:cNvSpPr txBox="1"/>
                      <wps:spPr>
                        <a:xfrm>
                          <a:off x="0" y="0"/>
                          <a:ext cx="800100" cy="373380"/>
                        </a:xfrm>
                        <a:prstGeom prst="rect">
                          <a:avLst/>
                        </a:prstGeom>
                        <a:noFill/>
                        <a:ln>
                          <a:noFill/>
                        </a:ln>
                        <a:effectLst/>
                      </wps:spPr>
                      <wps:txbx>
                        <w:txbxContent>
                          <w:p w14:paraId="54F9A031">
                            <w:pPr>
                              <w:spacing w:line="240" w:lineRule="exact"/>
                              <w:rPr>
                                <w:rFonts w:ascii="楷体_GB2312" w:hAnsi="宋体" w:eastAsia="楷体_GB2312"/>
                                <w:b/>
                                <w:bCs/>
                                <w:sz w:val="18"/>
                                <w:szCs w:val="18"/>
                              </w:rPr>
                            </w:pPr>
                            <w:r>
                              <w:rPr>
                                <w:rFonts w:hint="eastAsia" w:ascii="楷体_GB2312" w:hAnsi="宋体" w:eastAsia="楷体_GB2312"/>
                                <w:b/>
                                <w:bCs/>
                                <w:sz w:val="18"/>
                                <w:szCs w:val="18"/>
                              </w:rPr>
                              <w:t>双方协商</w:t>
                            </w:r>
                          </w:p>
                        </w:txbxContent>
                      </wps:txbx>
                      <wps:bodyPr upright="1"/>
                    </wps:wsp>
                  </a:graphicData>
                </a:graphic>
              </wp:anchor>
            </w:drawing>
          </mc:Choice>
          <mc:Fallback>
            <w:pict>
              <v:shape id="_x0000_s1026" o:spid="_x0000_s1026" o:spt="202" type="#_x0000_t202" style="position:absolute;left:0pt;margin-left:-9pt;margin-top:2.1pt;height:29.4pt;width:63pt;z-index:252038144;mso-width-relative:page;mso-height-relative:page;" filled="f" stroked="f" coordsize="21600,21600" o:gfxdata="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G/Zlp&#10;1AAAAAgBAAAPAAAAAAAAAAEAIAAAACIAAABkcnMvZG93bnJldi54bWxQSwECFAAUAAAACACHTuJA&#10;bMwIqLMBAABfAwAADgAAAAAAAAABACAAAAAjAQAAZHJzL2Uyb0RvYy54bWxQSwUGAAAAAAYABgBZ&#10;AQAASAUAAAAA&#10;">
                <v:fill on="f" focussize="0,0"/>
                <v:stroke on="f"/>
                <v:imagedata o:title=""/>
                <o:lock v:ext="edit" aspectratio="f"/>
                <v:textbox>
                  <w:txbxContent>
                    <w:p w14:paraId="54F9A031">
                      <w:pPr>
                        <w:spacing w:line="240" w:lineRule="exact"/>
                        <w:rPr>
                          <w:rFonts w:ascii="楷体_GB2312" w:hAnsi="宋体" w:eastAsia="楷体_GB2312"/>
                          <w:b/>
                          <w:bCs/>
                          <w:sz w:val="18"/>
                          <w:szCs w:val="18"/>
                        </w:rPr>
                      </w:pPr>
                      <w:r>
                        <w:rPr>
                          <w:rFonts w:hint="eastAsia" w:ascii="楷体_GB2312" w:hAnsi="宋体" w:eastAsia="楷体_GB2312"/>
                          <w:b/>
                          <w:bCs/>
                          <w:sz w:val="18"/>
                          <w:szCs w:val="18"/>
                        </w:rPr>
                        <w:t>双方协商</w:t>
                      </w:r>
                    </w:p>
                  </w:txbxContent>
                </v:textbox>
              </v:shape>
            </w:pict>
          </mc:Fallback>
        </mc:AlternateContent>
      </w:r>
      <w:r>
        <w:rPr>
          <w:rFonts w:hint="eastAsia" w:hAnsi="宋体"/>
          <w:color w:val="auto"/>
          <w:sz w:val="24"/>
          <w:szCs w:val="18"/>
        </w:rPr>
        <w:t>争议发生后的</w:t>
      </w:r>
      <w:r>
        <w:rPr>
          <w:rFonts w:hAnsi="宋体"/>
          <w:color w:val="auto"/>
          <w:sz w:val="24"/>
          <w:szCs w:val="18"/>
        </w:rPr>
        <w:t>14</w:t>
      </w:r>
      <w:r>
        <w:rPr>
          <w:rFonts w:hint="eastAsia" w:hAnsi="宋体"/>
          <w:color w:val="auto"/>
          <w:sz w:val="24"/>
          <w:szCs w:val="18"/>
        </w:rPr>
        <w:t>天内，合同双方当事人可进一步进行协商。协商达成一致的，合同双方当事人应签订书面协议，并将结果抄送监理工程师或造价工程师；协商仍不能达成一致的，按照第</w:t>
      </w:r>
      <w:r>
        <w:rPr>
          <w:rFonts w:hAnsi="宋体"/>
          <w:color w:val="auto"/>
          <w:sz w:val="24"/>
          <w:szCs w:val="18"/>
        </w:rPr>
        <w:t>86.3</w:t>
      </w:r>
      <w:r>
        <w:rPr>
          <w:rFonts w:hint="eastAsia" w:hAnsi="宋体"/>
          <w:color w:val="auto"/>
          <w:sz w:val="24"/>
          <w:szCs w:val="18"/>
        </w:rPr>
        <w:t>款至第</w:t>
      </w:r>
      <w:r>
        <w:rPr>
          <w:rFonts w:hAnsi="宋体"/>
          <w:color w:val="auto"/>
          <w:sz w:val="24"/>
          <w:szCs w:val="18"/>
        </w:rPr>
        <w:t>86.6</w:t>
      </w:r>
      <w:r>
        <w:rPr>
          <w:rFonts w:hint="eastAsia" w:hAnsi="宋体"/>
          <w:color w:val="auto"/>
          <w:sz w:val="24"/>
          <w:szCs w:val="18"/>
        </w:rPr>
        <w:t>款规定进行调解或认定、仲裁或诉讼。</w:t>
      </w:r>
    </w:p>
    <w:p w14:paraId="18DD4405">
      <w:pPr>
        <w:pStyle w:val="2"/>
        <w:tabs>
          <w:tab w:val="left" w:pos="1320"/>
        </w:tabs>
        <w:adjustRightInd w:val="0"/>
        <w:snapToGrid w:val="0"/>
        <w:spacing w:line="360" w:lineRule="auto"/>
        <w:rPr>
          <w:rFonts w:hAnsi="宋体"/>
          <w:b/>
          <w:color w:val="auto"/>
          <w:sz w:val="24"/>
          <w:szCs w:val="18"/>
        </w:rPr>
      </w:pPr>
      <w:r>
        <w:rPr>
          <w:rFonts w:hAnsi="宋体"/>
          <w:b/>
          <w:color w:val="auto"/>
          <w:sz w:val="24"/>
          <w:szCs w:val="18"/>
        </w:rPr>
        <w:t xml:space="preserve">86.3  </w:t>
      </w:r>
    </w:p>
    <w:p w14:paraId="38BD8A14">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2039168" behindDoc="0" locked="0" layoutInCell="1" allowOverlap="1">
                <wp:simplePos x="0" y="0"/>
                <wp:positionH relativeFrom="column">
                  <wp:posOffset>-114300</wp:posOffset>
                </wp:positionH>
                <wp:positionV relativeFrom="paragraph">
                  <wp:posOffset>11430</wp:posOffset>
                </wp:positionV>
                <wp:extent cx="1028700" cy="325120"/>
                <wp:effectExtent l="0" t="0" r="0" b="0"/>
                <wp:wrapNone/>
                <wp:docPr id="297" name="文本框 297"/>
                <wp:cNvGraphicFramePr/>
                <a:graphic xmlns:a="http://schemas.openxmlformats.org/drawingml/2006/main">
                  <a:graphicData uri="http://schemas.microsoft.com/office/word/2010/wordprocessingShape">
                    <wps:wsp>
                      <wps:cNvSpPr txBox="1"/>
                      <wps:spPr>
                        <a:xfrm>
                          <a:off x="0" y="0"/>
                          <a:ext cx="1028700" cy="325120"/>
                        </a:xfrm>
                        <a:prstGeom prst="rect">
                          <a:avLst/>
                        </a:prstGeom>
                        <a:noFill/>
                        <a:ln>
                          <a:noFill/>
                        </a:ln>
                        <a:effectLst/>
                      </wps:spPr>
                      <wps:txbx>
                        <w:txbxContent>
                          <w:p w14:paraId="65F6F19E">
                            <w:pPr>
                              <w:spacing w:line="240" w:lineRule="exact"/>
                              <w:rPr>
                                <w:rFonts w:ascii="楷体_GB2312" w:hAnsi="宋体" w:eastAsia="楷体_GB2312"/>
                                <w:b/>
                                <w:bCs/>
                                <w:sz w:val="18"/>
                                <w:szCs w:val="18"/>
                              </w:rPr>
                            </w:pPr>
                            <w:r>
                              <w:rPr>
                                <w:rFonts w:hint="eastAsia" w:ascii="楷体_GB2312" w:hAnsi="宋体" w:eastAsia="楷体_GB2312"/>
                                <w:b/>
                                <w:bCs/>
                                <w:sz w:val="18"/>
                                <w:szCs w:val="18"/>
                              </w:rPr>
                              <w:t>解决争议方式</w:t>
                            </w:r>
                          </w:p>
                        </w:txbxContent>
                      </wps:txbx>
                      <wps:bodyPr upright="1"/>
                    </wps:wsp>
                  </a:graphicData>
                </a:graphic>
              </wp:anchor>
            </w:drawing>
          </mc:Choice>
          <mc:Fallback>
            <w:pict>
              <v:shape id="_x0000_s1026" o:spid="_x0000_s1026" o:spt="202" type="#_x0000_t202" style="position:absolute;left:0pt;margin-left:-9pt;margin-top:0.9pt;height:25.6pt;width:81pt;z-index:252039168;mso-width-relative:page;mso-height-relative:page;" filled="f" stroked="f" coordsize="21600,21600" o:gfxdata="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NXgIh&#10;1AAAAAgBAAAPAAAAAAAAAAEAIAAAACIAAABkcnMvZG93bnJldi54bWxQSwECFAAUAAAACACHTuJA&#10;+mValrMBAABgAwAADgAAAAAAAAABACAAAAAjAQAAZHJzL2Uyb0RvYy54bWxQSwUGAAAAAAYABgBZ&#10;AQAASAUAAAAA&#10;">
                <v:fill on="f" focussize="0,0"/>
                <v:stroke on="f"/>
                <v:imagedata o:title=""/>
                <o:lock v:ext="edit" aspectratio="f"/>
                <v:textbox>
                  <w:txbxContent>
                    <w:p w14:paraId="65F6F19E">
                      <w:pPr>
                        <w:spacing w:line="240" w:lineRule="exact"/>
                        <w:rPr>
                          <w:rFonts w:ascii="楷体_GB2312" w:hAnsi="宋体" w:eastAsia="楷体_GB2312"/>
                          <w:b/>
                          <w:bCs/>
                          <w:sz w:val="18"/>
                          <w:szCs w:val="18"/>
                        </w:rPr>
                      </w:pPr>
                      <w:r>
                        <w:rPr>
                          <w:rFonts w:hint="eastAsia" w:ascii="楷体_GB2312" w:hAnsi="宋体" w:eastAsia="楷体_GB2312"/>
                          <w:b/>
                          <w:bCs/>
                          <w:sz w:val="18"/>
                          <w:szCs w:val="18"/>
                        </w:rPr>
                        <w:t>解决争议方式</w:t>
                      </w:r>
                    </w:p>
                  </w:txbxContent>
                </v:textbox>
              </v:shape>
            </w:pict>
          </mc:Fallback>
        </mc:AlternateContent>
      </w:r>
      <w:r>
        <w:rPr>
          <w:rFonts w:hint="eastAsia" w:hAnsi="宋体"/>
          <w:color w:val="auto"/>
          <w:sz w:val="24"/>
          <w:szCs w:val="18"/>
        </w:rPr>
        <w:t>合同双方当事人没有按照第</w:t>
      </w:r>
      <w:r>
        <w:rPr>
          <w:rFonts w:hAnsi="宋体"/>
          <w:color w:val="auto"/>
          <w:sz w:val="24"/>
          <w:szCs w:val="18"/>
        </w:rPr>
        <w:t>86.2</w:t>
      </w:r>
      <w:r>
        <w:rPr>
          <w:rFonts w:hint="eastAsia" w:hAnsi="宋体"/>
          <w:color w:val="auto"/>
          <w:sz w:val="24"/>
          <w:szCs w:val="18"/>
        </w:rPr>
        <w:t>款规定进一步协商的，或虽然协商但未在规定期限内达成一致的，合同双方或一方当事人可在争议发生后的</w:t>
      </w:r>
      <w:r>
        <w:rPr>
          <w:rFonts w:hAnsi="宋体"/>
          <w:color w:val="auto"/>
          <w:sz w:val="24"/>
          <w:szCs w:val="18"/>
        </w:rPr>
        <w:t>28</w:t>
      </w:r>
      <w:r>
        <w:rPr>
          <w:rFonts w:hint="eastAsia" w:hAnsi="宋体"/>
          <w:color w:val="auto"/>
          <w:sz w:val="24"/>
          <w:szCs w:val="18"/>
        </w:rPr>
        <w:t>天内，将争议提交争议调解或认定机构处理，或直接按照专用条款第</w:t>
      </w:r>
      <w:r>
        <w:rPr>
          <w:rFonts w:hAnsi="宋体"/>
          <w:color w:val="auto"/>
          <w:sz w:val="24"/>
          <w:szCs w:val="18"/>
        </w:rPr>
        <w:t>86.6</w:t>
      </w:r>
      <w:r>
        <w:rPr>
          <w:rFonts w:hint="eastAsia" w:hAnsi="宋体"/>
          <w:color w:val="auto"/>
          <w:sz w:val="24"/>
          <w:szCs w:val="18"/>
        </w:rPr>
        <w:t>款规定提请仲裁或诉讼。</w:t>
      </w:r>
    </w:p>
    <w:p w14:paraId="73CF19F3">
      <w:pPr>
        <w:pStyle w:val="2"/>
        <w:tabs>
          <w:tab w:val="left" w:pos="1320"/>
        </w:tabs>
        <w:adjustRightInd w:val="0"/>
        <w:snapToGrid w:val="0"/>
        <w:spacing w:line="360" w:lineRule="auto"/>
        <w:rPr>
          <w:rFonts w:hAnsi="宋体"/>
          <w:color w:val="auto"/>
          <w:sz w:val="24"/>
          <w:szCs w:val="18"/>
        </w:rPr>
      </w:pPr>
      <w:r>
        <w:rPr>
          <w:rFonts w:hAnsi="宋体"/>
          <w:b/>
          <w:color w:val="auto"/>
          <w:sz w:val="24"/>
          <w:szCs w:val="18"/>
        </w:rPr>
        <w:t xml:space="preserve">86.4 </w:t>
      </w:r>
    </w:p>
    <w:p w14:paraId="19AC0135">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2040192" behindDoc="0" locked="0" layoutInCell="1" allowOverlap="1">
                <wp:simplePos x="0" y="0"/>
                <wp:positionH relativeFrom="column">
                  <wp:posOffset>-114300</wp:posOffset>
                </wp:positionH>
                <wp:positionV relativeFrom="paragraph">
                  <wp:posOffset>59690</wp:posOffset>
                </wp:positionV>
                <wp:extent cx="1028700" cy="378460"/>
                <wp:effectExtent l="0" t="0" r="0" b="0"/>
                <wp:wrapNone/>
                <wp:docPr id="298" name="文本框 298"/>
                <wp:cNvGraphicFramePr/>
                <a:graphic xmlns:a="http://schemas.openxmlformats.org/drawingml/2006/main">
                  <a:graphicData uri="http://schemas.microsoft.com/office/word/2010/wordprocessingShape">
                    <wps:wsp>
                      <wps:cNvSpPr txBox="1"/>
                      <wps:spPr>
                        <a:xfrm>
                          <a:off x="0" y="0"/>
                          <a:ext cx="1028700" cy="378460"/>
                        </a:xfrm>
                        <a:prstGeom prst="rect">
                          <a:avLst/>
                        </a:prstGeom>
                        <a:noFill/>
                        <a:ln>
                          <a:noFill/>
                        </a:ln>
                        <a:effectLst/>
                      </wps:spPr>
                      <wps:txbx>
                        <w:txbxContent>
                          <w:p w14:paraId="109FEDFB">
                            <w:pPr>
                              <w:spacing w:line="240" w:lineRule="exact"/>
                              <w:rPr>
                                <w:rFonts w:ascii="楷体_GB2312" w:hAnsi="宋体" w:eastAsia="楷体_GB2312"/>
                                <w:b/>
                                <w:bCs/>
                                <w:sz w:val="18"/>
                                <w:szCs w:val="18"/>
                              </w:rPr>
                            </w:pPr>
                            <w:r>
                              <w:rPr>
                                <w:rFonts w:hint="eastAsia" w:ascii="楷体_GB2312" w:hAnsi="宋体" w:eastAsia="楷体_GB2312"/>
                                <w:b/>
                                <w:bCs/>
                                <w:sz w:val="18"/>
                                <w:szCs w:val="18"/>
                              </w:rPr>
                              <w:t>调解或认定</w:t>
                            </w:r>
                          </w:p>
                        </w:txbxContent>
                      </wps:txbx>
                      <wps:bodyPr upright="1"/>
                    </wps:wsp>
                  </a:graphicData>
                </a:graphic>
              </wp:anchor>
            </w:drawing>
          </mc:Choice>
          <mc:Fallback>
            <w:pict>
              <v:shape id="_x0000_s1026" o:spid="_x0000_s1026" o:spt="202" type="#_x0000_t202" style="position:absolute;left:0pt;margin-left:-9pt;margin-top:4.7pt;height:29.8pt;width:81pt;z-index:252040192;mso-width-relative:page;mso-height-relative:page;" filled="f" stroked="f" coordsize="21600,21600" o:gfxdata="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Vzhf&#10;mdUAAAAIAQAADwAAAAAAAAABACAAAAAiAAAAZHJzL2Rvd25yZXYueG1sUEsBAhQAFAAAAAgAh07i&#10;QKjfZL2zAQAAYAMAAA4AAAAAAAAAAQAgAAAAJAEAAGRycy9lMm9Eb2MueG1sUEsFBgAAAAAGAAYA&#10;WQEAAEkFAAAAAA==&#10;">
                <v:fill on="f" focussize="0,0"/>
                <v:stroke on="f"/>
                <v:imagedata o:title=""/>
                <o:lock v:ext="edit" aspectratio="f"/>
                <v:textbox>
                  <w:txbxContent>
                    <w:p w14:paraId="109FEDFB">
                      <w:pPr>
                        <w:spacing w:line="240" w:lineRule="exact"/>
                        <w:rPr>
                          <w:rFonts w:ascii="楷体_GB2312" w:hAnsi="宋体" w:eastAsia="楷体_GB2312"/>
                          <w:b/>
                          <w:bCs/>
                          <w:sz w:val="18"/>
                          <w:szCs w:val="18"/>
                        </w:rPr>
                      </w:pPr>
                      <w:r>
                        <w:rPr>
                          <w:rFonts w:hint="eastAsia" w:ascii="楷体_GB2312" w:hAnsi="宋体" w:eastAsia="楷体_GB2312"/>
                          <w:b/>
                          <w:bCs/>
                          <w:sz w:val="18"/>
                          <w:szCs w:val="18"/>
                        </w:rPr>
                        <w:t>调解或认定</w:t>
                      </w:r>
                    </w:p>
                  </w:txbxContent>
                </v:textbox>
              </v:shape>
            </w:pict>
          </mc:Fallback>
        </mc:AlternateContent>
      </w:r>
      <w:r>
        <w:rPr>
          <w:rFonts w:hint="eastAsia" w:hAnsi="宋体"/>
          <w:color w:val="auto"/>
          <w:sz w:val="24"/>
          <w:szCs w:val="18"/>
        </w:rPr>
        <w:t>争议调解或认定机构在收到争议调解或认定请求后，可组织调查、勘察、计量等工作，合同双方当事人应为其开展工作提供便利和协助。争议调解或认定机构应就争议做出书面调解或认定结果，并通知合同双方当事人。除合同双方当事人认可并在专用条款约定外，下列机构为争议调解或认定机构：</w:t>
      </w:r>
    </w:p>
    <w:p w14:paraId="750AD1F4">
      <w:pPr>
        <w:pStyle w:val="2"/>
        <w:adjustRightInd w:val="0"/>
        <w:snapToGrid w:val="0"/>
        <w:spacing w:line="360" w:lineRule="auto"/>
        <w:ind w:left="1620"/>
        <w:rPr>
          <w:rFonts w:hAnsi="宋体"/>
          <w:color w:val="auto"/>
          <w:sz w:val="24"/>
          <w:szCs w:val="18"/>
        </w:rPr>
      </w:pPr>
      <w:r>
        <w:rPr>
          <w:rFonts w:hAnsi="宋体"/>
          <w:color w:val="auto"/>
          <w:sz w:val="24"/>
          <w:szCs w:val="18"/>
        </w:rPr>
        <w:t xml:space="preserve">(1) </w:t>
      </w:r>
      <w:r>
        <w:rPr>
          <w:rFonts w:hint="eastAsia" w:hAnsi="宋体"/>
          <w:color w:val="auto"/>
          <w:sz w:val="24"/>
          <w:szCs w:val="18"/>
        </w:rPr>
        <w:t>建设工程安全监督机构，负责有关工程安全方面争议的调解或认定；</w:t>
      </w:r>
    </w:p>
    <w:p w14:paraId="0D7F6BC3">
      <w:pPr>
        <w:pStyle w:val="2"/>
        <w:adjustRightInd w:val="0"/>
        <w:snapToGrid w:val="0"/>
        <w:spacing w:line="360" w:lineRule="auto"/>
        <w:ind w:left="1620"/>
        <w:rPr>
          <w:rFonts w:hAnsi="宋体"/>
          <w:color w:val="auto"/>
          <w:sz w:val="24"/>
          <w:szCs w:val="18"/>
        </w:rPr>
      </w:pPr>
      <w:r>
        <w:rPr>
          <w:rFonts w:hAnsi="宋体"/>
          <w:color w:val="auto"/>
          <w:sz w:val="24"/>
          <w:szCs w:val="18"/>
        </w:rPr>
        <w:t xml:space="preserve">(2) </w:t>
      </w:r>
      <w:r>
        <w:rPr>
          <w:rFonts w:hint="eastAsia" w:hAnsi="宋体"/>
          <w:color w:val="auto"/>
          <w:sz w:val="24"/>
          <w:szCs w:val="18"/>
        </w:rPr>
        <w:t>建设工程质量监督机构，负责有关工程质量方面争议的调解或认定；</w:t>
      </w:r>
    </w:p>
    <w:p w14:paraId="79ECCF86">
      <w:pPr>
        <w:pStyle w:val="2"/>
        <w:adjustRightInd w:val="0"/>
        <w:snapToGrid w:val="0"/>
        <w:spacing w:line="360" w:lineRule="auto"/>
        <w:ind w:left="1620"/>
        <w:rPr>
          <w:rFonts w:hAnsi="宋体"/>
          <w:b/>
          <w:color w:val="auto"/>
          <w:sz w:val="24"/>
          <w:szCs w:val="18"/>
        </w:rPr>
      </w:pPr>
      <w:r>
        <w:rPr>
          <w:rFonts w:hAnsi="宋体"/>
          <w:color w:val="auto"/>
          <w:sz w:val="24"/>
          <w:szCs w:val="18"/>
        </w:rPr>
        <w:t xml:space="preserve">(3) </w:t>
      </w:r>
      <w:r>
        <w:rPr>
          <w:rFonts w:hint="eastAsia" w:hAnsi="宋体"/>
          <w:color w:val="auto"/>
          <w:sz w:val="24"/>
          <w:szCs w:val="18"/>
        </w:rPr>
        <w:t>建设工程造价管理机构，负责有关工程造价方面争议的调解或认定。</w:t>
      </w:r>
    </w:p>
    <w:p w14:paraId="44B383DA">
      <w:pPr>
        <w:pStyle w:val="2"/>
        <w:tabs>
          <w:tab w:val="left" w:pos="1320"/>
        </w:tabs>
        <w:adjustRightInd w:val="0"/>
        <w:snapToGrid w:val="0"/>
        <w:spacing w:line="360" w:lineRule="auto"/>
        <w:rPr>
          <w:rFonts w:hAnsi="宋体"/>
          <w:b/>
          <w:color w:val="auto"/>
          <w:sz w:val="24"/>
          <w:szCs w:val="18"/>
        </w:rPr>
      </w:pPr>
      <w:r>
        <w:rPr>
          <w:rFonts w:hAnsi="宋体"/>
          <w:b/>
          <w:color w:val="auto"/>
          <w:sz w:val="24"/>
          <w:szCs w:val="18"/>
        </w:rPr>
        <w:t xml:space="preserve">86.5  </w:t>
      </w:r>
    </w:p>
    <w:p w14:paraId="5CE98281">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2041216" behindDoc="0" locked="0" layoutInCell="1" allowOverlap="1">
                <wp:simplePos x="0" y="0"/>
                <wp:positionH relativeFrom="column">
                  <wp:posOffset>-114300</wp:posOffset>
                </wp:positionH>
                <wp:positionV relativeFrom="paragraph">
                  <wp:posOffset>32385</wp:posOffset>
                </wp:positionV>
                <wp:extent cx="914400" cy="464820"/>
                <wp:effectExtent l="0" t="0" r="0" b="0"/>
                <wp:wrapNone/>
                <wp:docPr id="299" name="文本框 299"/>
                <wp:cNvGraphicFramePr/>
                <a:graphic xmlns:a="http://schemas.openxmlformats.org/drawingml/2006/main">
                  <a:graphicData uri="http://schemas.microsoft.com/office/word/2010/wordprocessingShape">
                    <wps:wsp>
                      <wps:cNvSpPr txBox="1"/>
                      <wps:spPr>
                        <a:xfrm>
                          <a:off x="0" y="0"/>
                          <a:ext cx="914400" cy="464820"/>
                        </a:xfrm>
                        <a:prstGeom prst="rect">
                          <a:avLst/>
                        </a:prstGeom>
                        <a:noFill/>
                        <a:ln>
                          <a:noFill/>
                        </a:ln>
                        <a:effectLst/>
                      </wps:spPr>
                      <wps:txbx>
                        <w:txbxContent>
                          <w:p w14:paraId="641E391E">
                            <w:pPr>
                              <w:spacing w:line="240" w:lineRule="exact"/>
                              <w:rPr>
                                <w:rFonts w:ascii="楷体_GB2312" w:hAnsi="宋体" w:eastAsia="楷体_GB2312"/>
                                <w:b/>
                                <w:bCs/>
                                <w:sz w:val="18"/>
                                <w:szCs w:val="18"/>
                              </w:rPr>
                            </w:pPr>
                            <w:r>
                              <w:rPr>
                                <w:rFonts w:hint="eastAsia" w:ascii="楷体_GB2312" w:hAnsi="宋体" w:eastAsia="楷体_GB2312"/>
                                <w:b/>
                                <w:bCs/>
                                <w:sz w:val="18"/>
                                <w:szCs w:val="18"/>
                              </w:rPr>
                              <w:t>调解或认定结果的确认</w:t>
                            </w:r>
                          </w:p>
                        </w:txbxContent>
                      </wps:txbx>
                      <wps:bodyPr upright="1"/>
                    </wps:wsp>
                  </a:graphicData>
                </a:graphic>
              </wp:anchor>
            </w:drawing>
          </mc:Choice>
          <mc:Fallback>
            <w:pict>
              <v:shape id="_x0000_s1026" o:spid="_x0000_s1026" o:spt="202" type="#_x0000_t202" style="position:absolute;left:0pt;margin-left:-9pt;margin-top:2.55pt;height:36.6pt;width:72pt;z-index:252041216;mso-width-relative:page;mso-height-relative:page;" filled="f" stroked="f" coordsize="21600,21600" o:gfxdata="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Rltr&#10;TdUAAAAIAQAADwAAAAAAAAABACAAAAAiAAAAZHJzL2Rvd25yZXYueG1sUEsBAhQAFAAAAAgAh07i&#10;QF7lNIezAQAAXwMAAA4AAAAAAAAAAQAgAAAAJAEAAGRycy9lMm9Eb2MueG1sUEsFBgAAAAAGAAYA&#10;WQEAAEkFAAAAAA==&#10;">
                <v:fill on="f" focussize="0,0"/>
                <v:stroke on="f"/>
                <v:imagedata o:title=""/>
                <o:lock v:ext="edit" aspectratio="f"/>
                <v:textbox>
                  <w:txbxContent>
                    <w:p w14:paraId="641E391E">
                      <w:pPr>
                        <w:spacing w:line="240" w:lineRule="exact"/>
                        <w:rPr>
                          <w:rFonts w:ascii="楷体_GB2312" w:hAnsi="宋体" w:eastAsia="楷体_GB2312"/>
                          <w:b/>
                          <w:bCs/>
                          <w:sz w:val="18"/>
                          <w:szCs w:val="18"/>
                        </w:rPr>
                      </w:pPr>
                      <w:r>
                        <w:rPr>
                          <w:rFonts w:hint="eastAsia" w:ascii="楷体_GB2312" w:hAnsi="宋体" w:eastAsia="楷体_GB2312"/>
                          <w:b/>
                          <w:bCs/>
                          <w:sz w:val="18"/>
                          <w:szCs w:val="18"/>
                        </w:rPr>
                        <w:t>调解或认定结果的确认</w:t>
                      </w:r>
                    </w:p>
                  </w:txbxContent>
                </v:textbox>
              </v:shape>
            </w:pict>
          </mc:Fallback>
        </mc:AlternateContent>
      </w:r>
      <w:r>
        <w:rPr>
          <w:rFonts w:hint="eastAsia" w:hAnsi="宋体"/>
          <w:color w:val="auto"/>
          <w:sz w:val="24"/>
          <w:szCs w:val="18"/>
        </w:rPr>
        <w:t>合同双方当事人应在收到争议调解或认定机构书面结果后的</w:t>
      </w:r>
      <w:r>
        <w:rPr>
          <w:rFonts w:hAnsi="宋体"/>
          <w:color w:val="auto"/>
          <w:sz w:val="24"/>
          <w:szCs w:val="18"/>
        </w:rPr>
        <w:t>28</w:t>
      </w:r>
      <w:r>
        <w:rPr>
          <w:rFonts w:hint="eastAsia" w:hAnsi="宋体"/>
          <w:color w:val="auto"/>
          <w:sz w:val="24"/>
          <w:szCs w:val="18"/>
        </w:rPr>
        <w:t>天内，对调解或认定结果以书面形式予以确认。</w:t>
      </w:r>
    </w:p>
    <w:p w14:paraId="764B551F">
      <w:pPr>
        <w:pStyle w:val="2"/>
        <w:tabs>
          <w:tab w:val="left" w:pos="1320"/>
        </w:tabs>
        <w:adjustRightInd w:val="0"/>
        <w:snapToGrid w:val="0"/>
        <w:spacing w:line="360" w:lineRule="auto"/>
        <w:rPr>
          <w:rFonts w:hAnsi="宋体"/>
          <w:b/>
          <w:color w:val="auto"/>
          <w:sz w:val="24"/>
          <w:szCs w:val="18"/>
        </w:rPr>
      </w:pPr>
      <w:r>
        <w:rPr>
          <w:rFonts w:hAnsi="宋体"/>
          <w:b/>
          <w:color w:val="auto"/>
          <w:sz w:val="24"/>
          <w:szCs w:val="18"/>
        </w:rPr>
        <w:t xml:space="preserve">86.6  </w:t>
      </w:r>
    </w:p>
    <w:p w14:paraId="260E67A9">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2042240" behindDoc="0" locked="0" layoutInCell="1" allowOverlap="1">
                <wp:simplePos x="0" y="0"/>
                <wp:positionH relativeFrom="column">
                  <wp:posOffset>-114300</wp:posOffset>
                </wp:positionH>
                <wp:positionV relativeFrom="paragraph">
                  <wp:posOffset>12065</wp:posOffset>
                </wp:positionV>
                <wp:extent cx="1028700" cy="334645"/>
                <wp:effectExtent l="0" t="0" r="0" b="0"/>
                <wp:wrapNone/>
                <wp:docPr id="300" name="文本框 300"/>
                <wp:cNvGraphicFramePr/>
                <a:graphic xmlns:a="http://schemas.openxmlformats.org/drawingml/2006/main">
                  <a:graphicData uri="http://schemas.microsoft.com/office/word/2010/wordprocessingShape">
                    <wps:wsp>
                      <wps:cNvSpPr txBox="1"/>
                      <wps:spPr>
                        <a:xfrm>
                          <a:off x="0" y="0"/>
                          <a:ext cx="1028700" cy="334645"/>
                        </a:xfrm>
                        <a:prstGeom prst="rect">
                          <a:avLst/>
                        </a:prstGeom>
                        <a:noFill/>
                        <a:ln>
                          <a:noFill/>
                        </a:ln>
                        <a:effectLst/>
                      </wps:spPr>
                      <wps:txbx>
                        <w:txbxContent>
                          <w:p w14:paraId="12D6C477">
                            <w:pPr>
                              <w:spacing w:line="240" w:lineRule="exact"/>
                              <w:rPr>
                                <w:rFonts w:ascii="楷体_GB2312" w:hAnsi="宋体" w:eastAsia="楷体_GB2312"/>
                                <w:b/>
                                <w:bCs/>
                                <w:sz w:val="18"/>
                                <w:szCs w:val="18"/>
                              </w:rPr>
                            </w:pPr>
                            <w:r>
                              <w:rPr>
                                <w:rFonts w:hint="eastAsia" w:ascii="楷体_GB2312" w:hAnsi="宋体" w:eastAsia="楷体_GB2312"/>
                                <w:b/>
                                <w:bCs/>
                                <w:sz w:val="18"/>
                                <w:szCs w:val="18"/>
                              </w:rPr>
                              <w:t>仲裁或诉讼</w:t>
                            </w:r>
                          </w:p>
                        </w:txbxContent>
                      </wps:txbx>
                      <wps:bodyPr upright="1"/>
                    </wps:wsp>
                  </a:graphicData>
                </a:graphic>
              </wp:anchor>
            </w:drawing>
          </mc:Choice>
          <mc:Fallback>
            <w:pict>
              <v:shape id="_x0000_s1026" o:spid="_x0000_s1026" o:spt="202" type="#_x0000_t202" style="position:absolute;left:0pt;margin-left:-9pt;margin-top:0.95pt;height:26.35pt;width:81pt;z-index:252042240;mso-width-relative:page;mso-height-relative:page;" filled="f" stroked="f" coordsize="21600,21600" o:gfxdata="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YJ+rI&#10;1QAAAAgBAAAPAAAAAAAAAAEAIAAAACIAAABkcnMvZG93bnJldi54bWxQSwECFAAUAAAACACHTuJA&#10;eVjDPrIBAABgAwAADgAAAAAAAAABACAAAAAkAQAAZHJzL2Uyb0RvYy54bWxQSwUGAAAAAAYABgBZ&#10;AQAASAUAAAAA&#10;">
                <v:fill on="f" focussize="0,0"/>
                <v:stroke on="f"/>
                <v:imagedata o:title=""/>
                <o:lock v:ext="edit" aspectratio="f"/>
                <v:textbox>
                  <w:txbxContent>
                    <w:p w14:paraId="12D6C477">
                      <w:pPr>
                        <w:spacing w:line="240" w:lineRule="exact"/>
                        <w:rPr>
                          <w:rFonts w:ascii="楷体_GB2312" w:hAnsi="宋体" w:eastAsia="楷体_GB2312"/>
                          <w:b/>
                          <w:bCs/>
                          <w:sz w:val="18"/>
                          <w:szCs w:val="18"/>
                        </w:rPr>
                      </w:pPr>
                      <w:r>
                        <w:rPr>
                          <w:rFonts w:hint="eastAsia" w:ascii="楷体_GB2312" w:hAnsi="宋体" w:eastAsia="楷体_GB2312"/>
                          <w:b/>
                          <w:bCs/>
                          <w:sz w:val="18"/>
                          <w:szCs w:val="18"/>
                        </w:rPr>
                        <w:t>仲裁或诉讼</w:t>
                      </w:r>
                    </w:p>
                  </w:txbxContent>
                </v:textbox>
              </v:shape>
            </w:pict>
          </mc:Fallback>
        </mc:AlternateContent>
      </w:r>
      <w:r>
        <w:rPr>
          <w:rFonts w:hint="eastAsia" w:hAnsi="宋体"/>
          <w:color w:val="auto"/>
          <w:sz w:val="24"/>
          <w:szCs w:val="18"/>
        </w:rPr>
        <w:t>若合同双方或一方当事人在收到争议调解或认定机构的书面结果后明确表示不同意，或在</w:t>
      </w:r>
      <w:r>
        <w:rPr>
          <w:rFonts w:hAnsi="宋体"/>
          <w:color w:val="auto"/>
          <w:sz w:val="24"/>
          <w:szCs w:val="18"/>
        </w:rPr>
        <w:t>28</w:t>
      </w:r>
      <w:r>
        <w:rPr>
          <w:rFonts w:hint="eastAsia" w:hAnsi="宋体"/>
          <w:color w:val="auto"/>
          <w:sz w:val="24"/>
          <w:szCs w:val="18"/>
        </w:rPr>
        <w:t>天内没有书面确认，任何一方均可按照专用条款约定的下列任一种方式解决争议：</w:t>
      </w:r>
    </w:p>
    <w:p w14:paraId="7EF2B0D8">
      <w:pPr>
        <w:pStyle w:val="2"/>
        <w:adjustRightInd w:val="0"/>
        <w:snapToGrid w:val="0"/>
        <w:spacing w:line="360" w:lineRule="auto"/>
        <w:ind w:left="1620"/>
        <w:rPr>
          <w:rFonts w:hAnsi="宋体"/>
          <w:color w:val="auto"/>
          <w:sz w:val="24"/>
          <w:szCs w:val="18"/>
        </w:rPr>
      </w:pPr>
      <w:r>
        <w:rPr>
          <w:rFonts w:hAnsi="宋体"/>
          <w:color w:val="auto"/>
          <w:sz w:val="24"/>
          <w:szCs w:val="18"/>
        </w:rPr>
        <w:t xml:space="preserve">(1) </w:t>
      </w:r>
      <w:r>
        <w:rPr>
          <w:rFonts w:hint="eastAsia" w:hAnsi="宋体"/>
          <w:color w:val="auto"/>
          <w:sz w:val="24"/>
          <w:szCs w:val="18"/>
        </w:rPr>
        <w:t>向约定的仲裁委员会申请仲裁；</w:t>
      </w:r>
    </w:p>
    <w:p w14:paraId="580A10F3">
      <w:pPr>
        <w:pStyle w:val="2"/>
        <w:adjustRightInd w:val="0"/>
        <w:snapToGrid w:val="0"/>
        <w:spacing w:line="360" w:lineRule="auto"/>
        <w:ind w:left="1620"/>
        <w:rPr>
          <w:rFonts w:hAnsi="宋体"/>
          <w:color w:val="auto"/>
          <w:sz w:val="24"/>
          <w:szCs w:val="18"/>
        </w:rPr>
      </w:pPr>
      <w:r>
        <w:rPr>
          <w:rFonts w:hAnsi="宋体"/>
          <w:color w:val="auto"/>
          <w:sz w:val="24"/>
          <w:szCs w:val="18"/>
        </w:rPr>
        <w:t xml:space="preserve">(2) </w:t>
      </w:r>
      <w:r>
        <w:rPr>
          <w:rFonts w:hint="eastAsia" w:hAnsi="宋体"/>
          <w:color w:val="auto"/>
          <w:sz w:val="24"/>
          <w:szCs w:val="18"/>
        </w:rPr>
        <w:t>向有管辖权的人民法院提起诉讼。</w:t>
      </w:r>
    </w:p>
    <w:p w14:paraId="2FB3A683">
      <w:pPr>
        <w:pStyle w:val="2"/>
        <w:tabs>
          <w:tab w:val="left" w:pos="1320"/>
        </w:tabs>
        <w:adjustRightInd w:val="0"/>
        <w:snapToGrid w:val="0"/>
        <w:spacing w:line="360" w:lineRule="auto"/>
        <w:rPr>
          <w:rFonts w:hAnsi="宋体"/>
          <w:b/>
          <w:color w:val="auto"/>
          <w:sz w:val="24"/>
          <w:szCs w:val="18"/>
        </w:rPr>
      </w:pPr>
      <w:r>
        <w:rPr>
          <w:rFonts w:hAnsi="宋体"/>
          <w:b/>
          <w:color w:val="auto"/>
          <w:sz w:val="24"/>
          <w:szCs w:val="18"/>
        </w:rPr>
        <w:t xml:space="preserve">86.7  </w:t>
      </w:r>
    </w:p>
    <w:p w14:paraId="6675EF7F">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2043264" behindDoc="0" locked="0" layoutInCell="1" allowOverlap="1">
                <wp:simplePos x="0" y="0"/>
                <wp:positionH relativeFrom="column">
                  <wp:posOffset>-114300</wp:posOffset>
                </wp:positionH>
                <wp:positionV relativeFrom="paragraph">
                  <wp:posOffset>15875</wp:posOffset>
                </wp:positionV>
                <wp:extent cx="914400" cy="460375"/>
                <wp:effectExtent l="0" t="0" r="0" b="0"/>
                <wp:wrapNone/>
                <wp:docPr id="301" name="文本框 301"/>
                <wp:cNvGraphicFramePr/>
                <a:graphic xmlns:a="http://schemas.openxmlformats.org/drawingml/2006/main">
                  <a:graphicData uri="http://schemas.microsoft.com/office/word/2010/wordprocessingShape">
                    <wps:wsp>
                      <wps:cNvSpPr txBox="1"/>
                      <wps:spPr>
                        <a:xfrm>
                          <a:off x="0" y="0"/>
                          <a:ext cx="914400" cy="460375"/>
                        </a:xfrm>
                        <a:prstGeom prst="rect">
                          <a:avLst/>
                        </a:prstGeom>
                        <a:noFill/>
                        <a:ln>
                          <a:noFill/>
                        </a:ln>
                        <a:effectLst/>
                      </wps:spPr>
                      <wps:txbx>
                        <w:txbxContent>
                          <w:p w14:paraId="0D3B1271">
                            <w:pPr>
                              <w:spacing w:line="240" w:lineRule="exact"/>
                              <w:rPr>
                                <w:rFonts w:ascii="楷体_GB2312" w:hAnsi="宋体" w:eastAsia="楷体_GB2312"/>
                                <w:b/>
                                <w:bCs/>
                                <w:sz w:val="18"/>
                                <w:szCs w:val="18"/>
                              </w:rPr>
                            </w:pPr>
                            <w:r>
                              <w:rPr>
                                <w:rFonts w:hint="eastAsia" w:ascii="楷体_GB2312" w:hAnsi="宋体" w:eastAsia="楷体_GB2312"/>
                                <w:b/>
                                <w:bCs/>
                                <w:sz w:val="18"/>
                                <w:szCs w:val="18"/>
                              </w:rPr>
                              <w:t>争议期间继续施工</w:t>
                            </w:r>
                          </w:p>
                        </w:txbxContent>
                      </wps:txbx>
                      <wps:bodyPr upright="1"/>
                    </wps:wsp>
                  </a:graphicData>
                </a:graphic>
              </wp:anchor>
            </w:drawing>
          </mc:Choice>
          <mc:Fallback>
            <w:pict>
              <v:shape id="_x0000_s1026" o:spid="_x0000_s1026" o:spt="202" type="#_x0000_t202" style="position:absolute;left:0pt;margin-left:-9pt;margin-top:1.25pt;height:36.25pt;width:72pt;z-index:252043264;mso-width-relative:page;mso-height-relative:page;" filled="f" stroked="f" coordsize="21600,21600" o:gfxdata="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CuoO&#10;VNUAAAAIAQAADwAAAAAAAAABACAAAAAiAAAAZHJzL2Rvd25yZXYueG1sUEsBAhQAFAAAAAgAh07i&#10;QMBFHOGzAQAAXwMAAA4AAAAAAAAAAQAgAAAAJAEAAGRycy9lMm9Eb2MueG1sUEsFBgAAAAAGAAYA&#10;WQEAAEkFAAAAAA==&#10;">
                <v:fill on="f" focussize="0,0"/>
                <v:stroke on="f"/>
                <v:imagedata o:title=""/>
                <o:lock v:ext="edit" aspectratio="f"/>
                <v:textbox>
                  <w:txbxContent>
                    <w:p w14:paraId="0D3B1271">
                      <w:pPr>
                        <w:spacing w:line="240" w:lineRule="exact"/>
                        <w:rPr>
                          <w:rFonts w:ascii="楷体_GB2312" w:hAnsi="宋体" w:eastAsia="楷体_GB2312"/>
                          <w:b/>
                          <w:bCs/>
                          <w:sz w:val="18"/>
                          <w:szCs w:val="18"/>
                        </w:rPr>
                      </w:pPr>
                      <w:r>
                        <w:rPr>
                          <w:rFonts w:hint="eastAsia" w:ascii="楷体_GB2312" w:hAnsi="宋体" w:eastAsia="楷体_GB2312"/>
                          <w:b/>
                          <w:bCs/>
                          <w:sz w:val="18"/>
                          <w:szCs w:val="18"/>
                        </w:rPr>
                        <w:t>争议期间继续施工</w:t>
                      </w:r>
                    </w:p>
                  </w:txbxContent>
                </v:textbox>
              </v:shape>
            </w:pict>
          </mc:Fallback>
        </mc:AlternateContent>
      </w:r>
      <w:r>
        <w:rPr>
          <w:rFonts w:hint="eastAsia" w:hAnsi="宋体"/>
          <w:color w:val="auto"/>
          <w:sz w:val="24"/>
          <w:szCs w:val="18"/>
        </w:rPr>
        <w:t>争议期间，除下列情况停止施工外，合同双方当事人都应继续履行合同，保持工程连续施工，保护好已完工程：</w:t>
      </w:r>
    </w:p>
    <w:p w14:paraId="473329B9">
      <w:pPr>
        <w:pStyle w:val="2"/>
        <w:adjustRightInd w:val="0"/>
        <w:snapToGrid w:val="0"/>
        <w:spacing w:line="360" w:lineRule="auto"/>
        <w:ind w:left="1620"/>
        <w:rPr>
          <w:rFonts w:hAnsi="宋体"/>
          <w:color w:val="auto"/>
          <w:sz w:val="24"/>
          <w:szCs w:val="18"/>
        </w:rPr>
      </w:pPr>
      <w:r>
        <w:rPr>
          <w:rFonts w:hAnsi="宋体"/>
          <w:color w:val="auto"/>
          <w:sz w:val="24"/>
          <w:szCs w:val="18"/>
        </w:rPr>
        <w:t xml:space="preserve">(1) </w:t>
      </w:r>
      <w:r>
        <w:rPr>
          <w:rFonts w:hint="eastAsia" w:hAnsi="宋体"/>
          <w:color w:val="auto"/>
          <w:sz w:val="24"/>
          <w:szCs w:val="18"/>
        </w:rPr>
        <w:t>合同双方当事人协商同意；</w:t>
      </w:r>
    </w:p>
    <w:p w14:paraId="20FC1B5B">
      <w:pPr>
        <w:pStyle w:val="2"/>
        <w:adjustRightInd w:val="0"/>
        <w:snapToGrid w:val="0"/>
        <w:spacing w:line="360" w:lineRule="auto"/>
        <w:ind w:left="1620"/>
        <w:rPr>
          <w:rFonts w:hAnsi="宋体"/>
          <w:color w:val="auto"/>
          <w:sz w:val="24"/>
          <w:szCs w:val="18"/>
        </w:rPr>
      </w:pPr>
      <w:r>
        <w:rPr>
          <w:rFonts w:hAnsi="宋体"/>
          <w:color w:val="auto"/>
          <w:sz w:val="24"/>
          <w:szCs w:val="18"/>
        </w:rPr>
        <w:t xml:space="preserve">(2) </w:t>
      </w:r>
      <w:r>
        <w:rPr>
          <w:rFonts w:hint="eastAsia" w:hAnsi="宋体"/>
          <w:color w:val="auto"/>
          <w:sz w:val="24"/>
          <w:szCs w:val="18"/>
        </w:rPr>
        <w:t>合同一方当事人违约导致合同无法履行；</w:t>
      </w:r>
    </w:p>
    <w:p w14:paraId="592A6E25">
      <w:pPr>
        <w:pStyle w:val="2"/>
        <w:adjustRightInd w:val="0"/>
        <w:snapToGrid w:val="0"/>
        <w:spacing w:line="360" w:lineRule="auto"/>
        <w:ind w:left="1620"/>
        <w:rPr>
          <w:rFonts w:hAnsi="宋体"/>
          <w:color w:val="auto"/>
          <w:sz w:val="24"/>
          <w:szCs w:val="18"/>
        </w:rPr>
      </w:pPr>
      <w:r>
        <w:rPr>
          <w:rFonts w:hAnsi="宋体"/>
          <w:color w:val="auto"/>
          <w:sz w:val="24"/>
          <w:szCs w:val="18"/>
        </w:rPr>
        <w:t xml:space="preserve">(3) </w:t>
      </w:r>
      <w:r>
        <w:rPr>
          <w:rFonts w:hint="eastAsia" w:hAnsi="宋体"/>
          <w:color w:val="auto"/>
          <w:sz w:val="24"/>
          <w:szCs w:val="18"/>
        </w:rPr>
        <w:t>工程造价管理机构调解需要，</w:t>
      </w:r>
      <w:r>
        <w:rPr>
          <w:rFonts w:hint="eastAsia" w:hAnsi="宋体"/>
          <w:color w:val="auto"/>
          <w:sz w:val="24"/>
          <w:szCs w:val="24"/>
        </w:rPr>
        <w:t>且合同双方当事人</w:t>
      </w:r>
      <w:r>
        <w:rPr>
          <w:rFonts w:hint="eastAsia" w:hAnsi="宋体"/>
          <w:color w:val="auto"/>
          <w:sz w:val="24"/>
          <w:szCs w:val="18"/>
        </w:rPr>
        <w:t>同意；</w:t>
      </w:r>
    </w:p>
    <w:p w14:paraId="2850B385">
      <w:pPr>
        <w:pStyle w:val="2"/>
        <w:adjustRightInd w:val="0"/>
        <w:snapToGrid w:val="0"/>
        <w:spacing w:line="360" w:lineRule="auto"/>
        <w:ind w:left="1620"/>
        <w:rPr>
          <w:rFonts w:hAnsi="宋体"/>
          <w:color w:val="auto"/>
          <w:sz w:val="24"/>
          <w:szCs w:val="18"/>
        </w:rPr>
      </w:pPr>
      <w:r>
        <w:rPr>
          <w:rFonts w:hAnsi="宋体"/>
          <w:color w:val="auto"/>
          <w:sz w:val="24"/>
          <w:szCs w:val="18"/>
        </w:rPr>
        <w:t xml:space="preserve">(4) </w:t>
      </w:r>
      <w:r>
        <w:rPr>
          <w:rFonts w:hint="eastAsia" w:hAnsi="宋体"/>
          <w:color w:val="auto"/>
          <w:sz w:val="24"/>
          <w:szCs w:val="18"/>
        </w:rPr>
        <w:t>仲裁委员会仲裁需要，</w:t>
      </w:r>
      <w:r>
        <w:rPr>
          <w:rFonts w:hint="eastAsia" w:hAnsi="宋体"/>
          <w:color w:val="auto"/>
          <w:sz w:val="24"/>
          <w:szCs w:val="24"/>
        </w:rPr>
        <w:t>且合同双方当事人</w:t>
      </w:r>
      <w:r>
        <w:rPr>
          <w:rFonts w:hint="eastAsia" w:hAnsi="宋体"/>
          <w:color w:val="auto"/>
          <w:sz w:val="24"/>
          <w:szCs w:val="18"/>
        </w:rPr>
        <w:t>同意：</w:t>
      </w:r>
    </w:p>
    <w:p w14:paraId="769BD303">
      <w:pPr>
        <w:pStyle w:val="2"/>
        <w:adjustRightInd w:val="0"/>
        <w:snapToGrid w:val="0"/>
        <w:spacing w:line="360" w:lineRule="auto"/>
        <w:ind w:firstLine="1560" w:firstLineChars="650"/>
        <w:rPr>
          <w:rFonts w:hAnsi="宋体"/>
          <w:color w:val="auto"/>
          <w:sz w:val="24"/>
          <w:szCs w:val="18"/>
        </w:rPr>
      </w:pPr>
      <w:r>
        <w:rPr>
          <w:rFonts w:hAnsi="宋体"/>
          <w:color w:val="auto"/>
          <w:sz w:val="24"/>
          <w:szCs w:val="18"/>
        </w:rPr>
        <w:t xml:space="preserve">(5) </w:t>
      </w:r>
      <w:r>
        <w:rPr>
          <w:rFonts w:hint="eastAsia" w:hAnsi="宋体"/>
          <w:color w:val="auto"/>
          <w:sz w:val="24"/>
          <w:szCs w:val="18"/>
        </w:rPr>
        <w:t>人民法院诉讼需要。</w:t>
      </w:r>
    </w:p>
    <w:p w14:paraId="73954FF8">
      <w:pPr>
        <w:pStyle w:val="2"/>
        <w:tabs>
          <w:tab w:val="left" w:pos="1620"/>
        </w:tabs>
        <w:adjustRightInd w:val="0"/>
        <w:snapToGrid w:val="0"/>
        <w:spacing w:line="360" w:lineRule="auto"/>
        <w:ind w:right="-240"/>
        <w:rPr>
          <w:rFonts w:hAnsi="宋体"/>
          <w:color w:val="auto"/>
          <w:sz w:val="24"/>
          <w:szCs w:val="18"/>
        </w:rPr>
      </w:pPr>
    </w:p>
    <w:p w14:paraId="77AE2DCE">
      <w:pPr>
        <w:pStyle w:val="2"/>
        <w:tabs>
          <w:tab w:val="left" w:pos="540"/>
        </w:tabs>
        <w:adjustRightInd w:val="0"/>
        <w:snapToGrid w:val="0"/>
        <w:spacing w:before="240" w:beforeLines="100" w:line="360" w:lineRule="auto"/>
        <w:ind w:right="-238"/>
        <w:rPr>
          <w:rFonts w:hAnsi="宋体"/>
          <w:b/>
          <w:color w:val="auto"/>
          <w:sz w:val="30"/>
          <w:szCs w:val="24"/>
        </w:rPr>
      </w:pPr>
      <w:r>
        <w:rPr>
          <w:rFonts w:hAnsi="宋体"/>
          <w:b/>
          <w:color w:val="auto"/>
          <w:sz w:val="30"/>
          <w:szCs w:val="24"/>
        </w:rPr>
        <w:t xml:space="preserve">87  </w:t>
      </w:r>
      <w:r>
        <w:rPr>
          <w:rFonts w:hint="eastAsia" w:hAnsi="宋体"/>
          <w:b/>
          <w:color w:val="auto"/>
          <w:sz w:val="30"/>
          <w:szCs w:val="24"/>
        </w:rPr>
        <w:t>合同解除</w:t>
      </w:r>
    </w:p>
    <w:p w14:paraId="536716DD">
      <w:pPr>
        <w:pStyle w:val="2"/>
        <w:adjustRightInd w:val="0"/>
        <w:snapToGrid w:val="0"/>
        <w:spacing w:line="360" w:lineRule="auto"/>
        <w:rPr>
          <w:rFonts w:hAnsi="宋体"/>
          <w:b/>
          <w:color w:val="auto"/>
          <w:sz w:val="24"/>
          <w:szCs w:val="18"/>
        </w:rPr>
      </w:pPr>
      <w:r>
        <w:rPr>
          <w:rFonts w:hAnsi="宋体"/>
          <w:b/>
          <w:color w:val="auto"/>
          <w:sz w:val="24"/>
          <w:szCs w:val="18"/>
        </w:rPr>
        <w:t xml:space="preserve">87.1   </w:t>
      </w:r>
    </w:p>
    <w:p w14:paraId="4CB37A93">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2044288" behindDoc="0" locked="0" layoutInCell="1" allowOverlap="1">
                <wp:simplePos x="0" y="0"/>
                <wp:positionH relativeFrom="column">
                  <wp:posOffset>-114300</wp:posOffset>
                </wp:positionH>
                <wp:positionV relativeFrom="paragraph">
                  <wp:posOffset>-3810</wp:posOffset>
                </wp:positionV>
                <wp:extent cx="1028700" cy="263525"/>
                <wp:effectExtent l="0" t="0" r="0" b="0"/>
                <wp:wrapNone/>
                <wp:docPr id="302" name="文本框 302"/>
                <wp:cNvGraphicFramePr/>
                <a:graphic xmlns:a="http://schemas.openxmlformats.org/drawingml/2006/main">
                  <a:graphicData uri="http://schemas.microsoft.com/office/word/2010/wordprocessingShape">
                    <wps:wsp>
                      <wps:cNvSpPr txBox="1"/>
                      <wps:spPr>
                        <a:xfrm>
                          <a:off x="0" y="0"/>
                          <a:ext cx="1028700" cy="263525"/>
                        </a:xfrm>
                        <a:prstGeom prst="rect">
                          <a:avLst/>
                        </a:prstGeom>
                        <a:noFill/>
                        <a:ln>
                          <a:noFill/>
                        </a:ln>
                        <a:effectLst/>
                      </wps:spPr>
                      <wps:txbx>
                        <w:txbxContent>
                          <w:p w14:paraId="1C0C144B">
                            <w:pPr>
                              <w:spacing w:line="240" w:lineRule="exact"/>
                              <w:rPr>
                                <w:rFonts w:ascii="楷体_GB2312" w:hAnsi="宋体" w:eastAsia="楷体_GB2312"/>
                                <w:b/>
                                <w:bCs/>
                                <w:sz w:val="18"/>
                                <w:szCs w:val="18"/>
                              </w:rPr>
                            </w:pPr>
                            <w:r>
                              <w:rPr>
                                <w:rFonts w:hint="eastAsia" w:ascii="楷体_GB2312" w:hAnsi="宋体" w:eastAsia="楷体_GB2312"/>
                                <w:b/>
                                <w:bCs/>
                                <w:sz w:val="18"/>
                                <w:szCs w:val="18"/>
                              </w:rPr>
                              <w:t>协商一致解除</w:t>
                            </w:r>
                          </w:p>
                        </w:txbxContent>
                      </wps:txbx>
                      <wps:bodyPr upright="1"/>
                    </wps:wsp>
                  </a:graphicData>
                </a:graphic>
              </wp:anchor>
            </w:drawing>
          </mc:Choice>
          <mc:Fallback>
            <w:pict>
              <v:shape id="_x0000_s1026" o:spid="_x0000_s1026" o:spt="202" type="#_x0000_t202" style="position:absolute;left:0pt;margin-left:-9pt;margin-top:-0.3pt;height:20.75pt;width:81pt;z-index:252044288;mso-width-relative:page;mso-height-relative:page;" filled="f" stroked="f" coordsize="21600,21600" o:gfxdata="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uybptQA&#10;AAAIAQAADwAAAAAAAAABACAAAAAiAAAAZHJzL2Rvd25yZXYueG1sUEsBAhQAFAAAAAgAh07iQFgZ&#10;vw6xAQAAYAMAAA4AAAAAAAAAAQAgAAAAIwEAAGRycy9lMm9Eb2MueG1sUEsFBgAAAAAGAAYAWQEA&#10;AEYFAAAAAA==&#10;">
                <v:fill on="f" focussize="0,0"/>
                <v:stroke on="f"/>
                <v:imagedata o:title=""/>
                <o:lock v:ext="edit" aspectratio="f"/>
                <v:textbox>
                  <w:txbxContent>
                    <w:p w14:paraId="1C0C144B">
                      <w:pPr>
                        <w:spacing w:line="240" w:lineRule="exact"/>
                        <w:rPr>
                          <w:rFonts w:ascii="楷体_GB2312" w:hAnsi="宋体" w:eastAsia="楷体_GB2312"/>
                          <w:b/>
                          <w:bCs/>
                          <w:sz w:val="18"/>
                          <w:szCs w:val="18"/>
                        </w:rPr>
                      </w:pPr>
                      <w:r>
                        <w:rPr>
                          <w:rFonts w:hint="eastAsia" w:ascii="楷体_GB2312" w:hAnsi="宋体" w:eastAsia="楷体_GB2312"/>
                          <w:b/>
                          <w:bCs/>
                          <w:sz w:val="18"/>
                          <w:szCs w:val="18"/>
                        </w:rPr>
                        <w:t>协商一致解除</w:t>
                      </w:r>
                    </w:p>
                  </w:txbxContent>
                </v:textbox>
              </v:shape>
            </w:pict>
          </mc:Fallback>
        </mc:AlternateContent>
      </w:r>
      <w:r>
        <w:rPr>
          <w:rFonts w:hint="eastAsia" w:hAnsi="宋体"/>
          <w:color w:val="auto"/>
          <w:sz w:val="24"/>
          <w:szCs w:val="18"/>
        </w:rPr>
        <w:t>合同双方当事人协商一致，可以解除合同。</w:t>
      </w:r>
    </w:p>
    <w:p w14:paraId="1CFCFB0C">
      <w:pPr>
        <w:pStyle w:val="2"/>
        <w:tabs>
          <w:tab w:val="left" w:pos="1320"/>
        </w:tabs>
        <w:adjustRightInd w:val="0"/>
        <w:snapToGrid w:val="0"/>
        <w:spacing w:line="360" w:lineRule="auto"/>
        <w:rPr>
          <w:rFonts w:hAnsi="宋体"/>
          <w:color w:val="auto"/>
          <w:sz w:val="24"/>
          <w:szCs w:val="18"/>
        </w:rPr>
      </w:pPr>
      <w:r>
        <w:rPr>
          <w:color w:val="auto"/>
        </w:rPr>
        <mc:AlternateContent>
          <mc:Choice Requires="wps">
            <w:drawing>
              <wp:anchor distT="0" distB="0" distL="114300" distR="114300" simplePos="0" relativeHeight="252045312" behindDoc="0" locked="0" layoutInCell="1" allowOverlap="1">
                <wp:simplePos x="0" y="0"/>
                <wp:positionH relativeFrom="column">
                  <wp:posOffset>-114300</wp:posOffset>
                </wp:positionH>
                <wp:positionV relativeFrom="paragraph">
                  <wp:posOffset>160020</wp:posOffset>
                </wp:positionV>
                <wp:extent cx="914400" cy="471170"/>
                <wp:effectExtent l="0" t="0" r="0" b="0"/>
                <wp:wrapNone/>
                <wp:docPr id="303" name="文本框 303"/>
                <wp:cNvGraphicFramePr/>
                <a:graphic xmlns:a="http://schemas.openxmlformats.org/drawingml/2006/main">
                  <a:graphicData uri="http://schemas.microsoft.com/office/word/2010/wordprocessingShape">
                    <wps:wsp>
                      <wps:cNvSpPr txBox="1"/>
                      <wps:spPr>
                        <a:xfrm>
                          <a:off x="0" y="0"/>
                          <a:ext cx="914400" cy="471170"/>
                        </a:xfrm>
                        <a:prstGeom prst="rect">
                          <a:avLst/>
                        </a:prstGeom>
                        <a:noFill/>
                        <a:ln>
                          <a:noFill/>
                        </a:ln>
                        <a:effectLst/>
                      </wps:spPr>
                      <wps:txbx>
                        <w:txbxContent>
                          <w:p w14:paraId="0DD64B09">
                            <w:pPr>
                              <w:spacing w:line="240" w:lineRule="exact"/>
                              <w:rPr>
                                <w:rFonts w:ascii="楷体_GB2312" w:hAnsi="宋体" w:eastAsia="楷体_GB2312"/>
                                <w:b/>
                                <w:bCs/>
                                <w:sz w:val="18"/>
                                <w:szCs w:val="18"/>
                              </w:rPr>
                            </w:pPr>
                            <w:r>
                              <w:rPr>
                                <w:rFonts w:hint="eastAsia" w:ascii="楷体_GB2312" w:hAnsi="宋体" w:eastAsia="楷体_GB2312"/>
                                <w:b/>
                                <w:bCs/>
                                <w:sz w:val="18"/>
                                <w:szCs w:val="18"/>
                              </w:rPr>
                              <w:t>不可抗力导致解除</w:t>
                            </w:r>
                          </w:p>
                        </w:txbxContent>
                      </wps:txbx>
                      <wps:bodyPr upright="1"/>
                    </wps:wsp>
                  </a:graphicData>
                </a:graphic>
              </wp:anchor>
            </w:drawing>
          </mc:Choice>
          <mc:Fallback>
            <w:pict>
              <v:shape id="_x0000_s1026" o:spid="_x0000_s1026" o:spt="202" type="#_x0000_t202" style="position:absolute;left:0pt;margin-left:-9pt;margin-top:12.6pt;height:37.1pt;width:72pt;z-index:252045312;mso-width-relative:page;mso-height-relative:page;" filled="f" stroked="f" coordsize="21600,21600" o:gfxdata="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vg9cAAAAJAQAADwAAAAAAAAABACAAAAAiAAAAZHJzL2Rvd25yZXYueG1sUEsBAhQAFAAAAAgA&#10;h07iQKfjCV+0AQAAXwMAAA4AAAAAAAAAAQAgAAAAJgEAAGRycy9lMm9Eb2MueG1sUEsFBgAAAAAG&#10;AAYAWQEAAEwFAAAAAA==&#10;">
                <v:fill on="f" focussize="0,0"/>
                <v:stroke on="f"/>
                <v:imagedata o:title=""/>
                <o:lock v:ext="edit" aspectratio="f"/>
                <v:textbox>
                  <w:txbxContent>
                    <w:p w14:paraId="0DD64B09">
                      <w:pPr>
                        <w:spacing w:line="240" w:lineRule="exact"/>
                        <w:rPr>
                          <w:rFonts w:ascii="楷体_GB2312" w:hAnsi="宋体" w:eastAsia="楷体_GB2312"/>
                          <w:b/>
                          <w:bCs/>
                          <w:sz w:val="18"/>
                          <w:szCs w:val="18"/>
                        </w:rPr>
                      </w:pPr>
                      <w:r>
                        <w:rPr>
                          <w:rFonts w:hint="eastAsia" w:ascii="楷体_GB2312" w:hAnsi="宋体" w:eastAsia="楷体_GB2312"/>
                          <w:b/>
                          <w:bCs/>
                          <w:sz w:val="18"/>
                          <w:szCs w:val="18"/>
                        </w:rPr>
                        <w:t>不可抗力导致解除</w:t>
                      </w:r>
                    </w:p>
                  </w:txbxContent>
                </v:textbox>
              </v:shape>
            </w:pict>
          </mc:Fallback>
        </mc:AlternateContent>
      </w:r>
      <w:r>
        <w:rPr>
          <w:rFonts w:hAnsi="宋体"/>
          <w:b/>
          <w:color w:val="auto"/>
          <w:sz w:val="24"/>
          <w:szCs w:val="18"/>
        </w:rPr>
        <w:t xml:space="preserve">87.2  </w:t>
      </w:r>
    </w:p>
    <w:p w14:paraId="53F636E7">
      <w:pPr>
        <w:pStyle w:val="2"/>
        <w:adjustRightInd w:val="0"/>
        <w:snapToGrid w:val="0"/>
        <w:spacing w:line="360" w:lineRule="auto"/>
        <w:ind w:left="1619" w:leftChars="771"/>
        <w:rPr>
          <w:rFonts w:hAnsi="宋体"/>
          <w:color w:val="auto"/>
          <w:sz w:val="24"/>
          <w:szCs w:val="18"/>
        </w:rPr>
      </w:pPr>
      <w:r>
        <w:rPr>
          <w:rFonts w:hint="eastAsia" w:hAnsi="宋体"/>
          <w:color w:val="auto"/>
          <w:sz w:val="24"/>
          <w:szCs w:val="18"/>
        </w:rPr>
        <w:t>因不可抗力事件致使合同无法继续履行的，合同双方当事人可以解除合同。</w:t>
      </w:r>
    </w:p>
    <w:p w14:paraId="5AAFC2F5">
      <w:pPr>
        <w:pStyle w:val="2"/>
        <w:tabs>
          <w:tab w:val="left" w:pos="1320"/>
        </w:tabs>
        <w:adjustRightInd w:val="0"/>
        <w:snapToGrid w:val="0"/>
        <w:spacing w:line="360" w:lineRule="auto"/>
        <w:rPr>
          <w:rFonts w:hAnsi="宋体"/>
          <w:color w:val="auto"/>
          <w:sz w:val="24"/>
          <w:szCs w:val="18"/>
        </w:rPr>
      </w:pPr>
      <w:r>
        <w:rPr>
          <w:rFonts w:hAnsi="宋体"/>
          <w:b/>
          <w:color w:val="auto"/>
          <w:sz w:val="24"/>
          <w:szCs w:val="18"/>
        </w:rPr>
        <w:t xml:space="preserve">87.3 </w:t>
      </w:r>
    </w:p>
    <w:p w14:paraId="62A96130">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2046336" behindDoc="0" locked="0" layoutInCell="1" allowOverlap="1">
                <wp:simplePos x="0" y="0"/>
                <wp:positionH relativeFrom="column">
                  <wp:posOffset>-114300</wp:posOffset>
                </wp:positionH>
                <wp:positionV relativeFrom="paragraph">
                  <wp:posOffset>37465</wp:posOffset>
                </wp:positionV>
                <wp:extent cx="914400" cy="404495"/>
                <wp:effectExtent l="0" t="0" r="0" b="0"/>
                <wp:wrapNone/>
                <wp:docPr id="304" name="文本框 304"/>
                <wp:cNvGraphicFramePr/>
                <a:graphic xmlns:a="http://schemas.openxmlformats.org/drawingml/2006/main">
                  <a:graphicData uri="http://schemas.microsoft.com/office/word/2010/wordprocessingShape">
                    <wps:wsp>
                      <wps:cNvSpPr txBox="1"/>
                      <wps:spPr>
                        <a:xfrm>
                          <a:off x="0" y="0"/>
                          <a:ext cx="914400" cy="404495"/>
                        </a:xfrm>
                        <a:prstGeom prst="rect">
                          <a:avLst/>
                        </a:prstGeom>
                        <a:noFill/>
                        <a:ln>
                          <a:noFill/>
                        </a:ln>
                        <a:effectLst/>
                      </wps:spPr>
                      <wps:txbx>
                        <w:txbxContent>
                          <w:p w14:paraId="770546CF">
                            <w:pPr>
                              <w:spacing w:line="240" w:lineRule="exact"/>
                              <w:rPr>
                                <w:rFonts w:ascii="楷体_GB2312" w:hAnsi="宋体" w:eastAsia="楷体_GB2312"/>
                                <w:b/>
                                <w:bCs/>
                                <w:sz w:val="18"/>
                                <w:szCs w:val="18"/>
                              </w:rPr>
                            </w:pPr>
                            <w:r>
                              <w:rPr>
                                <w:rFonts w:hint="eastAsia" w:ascii="楷体_GB2312" w:hAnsi="宋体" w:eastAsia="楷体_GB2312"/>
                                <w:b/>
                                <w:bCs/>
                                <w:sz w:val="18"/>
                                <w:szCs w:val="18"/>
                              </w:rPr>
                              <w:t>因承包人的原因解除</w:t>
                            </w:r>
                          </w:p>
                        </w:txbxContent>
                      </wps:txbx>
                      <wps:bodyPr upright="1"/>
                    </wps:wsp>
                  </a:graphicData>
                </a:graphic>
              </wp:anchor>
            </w:drawing>
          </mc:Choice>
          <mc:Fallback>
            <w:pict>
              <v:shape id="_x0000_s1026" o:spid="_x0000_s1026" o:spt="202" type="#_x0000_t202" style="position:absolute;left:0pt;margin-left:-9pt;margin-top:2.95pt;height:31.85pt;width:72pt;z-index:252046336;mso-width-relative:page;mso-height-relative:page;" filled="f" stroked="f" coordsize="21600,21600" o:gfxdata="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K3/z5&#10;1QAAAAgBAAAPAAAAAAAAAAEAIAAAACIAAABkcnMvZG93bnJldi54bWxQSwECFAAUAAAACACHTuJA&#10;AZgFq7IBAABfAwAADgAAAAAAAAABACAAAAAkAQAAZHJzL2Uyb0RvYy54bWxQSwUGAAAAAAYABgBZ&#10;AQAASAUAAAAA&#10;">
                <v:fill on="f" focussize="0,0"/>
                <v:stroke on="f"/>
                <v:imagedata o:title=""/>
                <o:lock v:ext="edit" aspectratio="f"/>
                <v:textbox>
                  <w:txbxContent>
                    <w:p w14:paraId="770546CF">
                      <w:pPr>
                        <w:spacing w:line="240" w:lineRule="exact"/>
                        <w:rPr>
                          <w:rFonts w:ascii="楷体_GB2312" w:hAnsi="宋体" w:eastAsia="楷体_GB2312"/>
                          <w:b/>
                          <w:bCs/>
                          <w:sz w:val="18"/>
                          <w:szCs w:val="18"/>
                        </w:rPr>
                      </w:pPr>
                      <w:r>
                        <w:rPr>
                          <w:rFonts w:hint="eastAsia" w:ascii="楷体_GB2312" w:hAnsi="宋体" w:eastAsia="楷体_GB2312"/>
                          <w:b/>
                          <w:bCs/>
                          <w:sz w:val="18"/>
                          <w:szCs w:val="18"/>
                        </w:rPr>
                        <w:t>因承包人的原因解除</w:t>
                      </w:r>
                    </w:p>
                  </w:txbxContent>
                </v:textbox>
              </v:shape>
            </w:pict>
          </mc:Fallback>
        </mc:AlternateContent>
      </w:r>
      <w:r>
        <w:rPr>
          <w:rFonts w:hint="eastAsia" w:hAnsi="宋体"/>
          <w:color w:val="auto"/>
          <w:sz w:val="24"/>
          <w:szCs w:val="18"/>
        </w:rPr>
        <w:t>承包人有下列情形之一者，发包人可以解除合同：</w:t>
      </w:r>
    </w:p>
    <w:p w14:paraId="65556551">
      <w:pPr>
        <w:pStyle w:val="2"/>
        <w:numPr>
          <w:ilvl w:val="0"/>
          <w:numId w:val="28"/>
        </w:numPr>
        <w:adjustRightInd w:val="0"/>
        <w:snapToGrid w:val="0"/>
        <w:spacing w:line="360" w:lineRule="auto"/>
        <w:ind w:left="1618" w:leftChars="770" w:hanging="1"/>
        <w:rPr>
          <w:rFonts w:hAnsi="宋体"/>
          <w:color w:val="auto"/>
          <w:sz w:val="24"/>
          <w:szCs w:val="18"/>
        </w:rPr>
      </w:pPr>
      <w:r>
        <w:rPr>
          <w:rFonts w:hint="eastAsia" w:hAnsi="宋体"/>
          <w:color w:val="auto"/>
          <w:sz w:val="24"/>
          <w:szCs w:val="18"/>
        </w:rPr>
        <w:t>承包人未能按照第</w:t>
      </w:r>
      <w:r>
        <w:rPr>
          <w:rFonts w:hAnsi="宋体"/>
          <w:color w:val="auto"/>
          <w:sz w:val="24"/>
          <w:szCs w:val="18"/>
        </w:rPr>
        <w:t>34.2</w:t>
      </w:r>
      <w:r>
        <w:rPr>
          <w:rFonts w:hint="eastAsia" w:hAnsi="宋体"/>
          <w:color w:val="auto"/>
          <w:sz w:val="24"/>
          <w:szCs w:val="18"/>
        </w:rPr>
        <w:t>款规定的开工期限内开工，经监理工程师催告后的</w:t>
      </w:r>
      <w:r>
        <w:rPr>
          <w:rFonts w:hAnsi="宋体"/>
          <w:color w:val="auto"/>
          <w:sz w:val="24"/>
          <w:szCs w:val="18"/>
        </w:rPr>
        <w:t>28</w:t>
      </w:r>
      <w:r>
        <w:rPr>
          <w:rFonts w:hint="eastAsia" w:hAnsi="宋体"/>
          <w:color w:val="auto"/>
          <w:sz w:val="24"/>
          <w:szCs w:val="18"/>
        </w:rPr>
        <w:t>天内仍未开工的；</w:t>
      </w:r>
    </w:p>
    <w:p w14:paraId="143D030E">
      <w:pPr>
        <w:pStyle w:val="2"/>
        <w:numPr>
          <w:ilvl w:val="0"/>
          <w:numId w:val="28"/>
        </w:numPr>
        <w:adjustRightInd w:val="0"/>
        <w:snapToGrid w:val="0"/>
        <w:spacing w:line="360" w:lineRule="auto"/>
        <w:ind w:left="1621" w:leftChars="771" w:hanging="2"/>
        <w:rPr>
          <w:rFonts w:hAnsi="宋体"/>
          <w:color w:val="auto"/>
          <w:sz w:val="24"/>
          <w:szCs w:val="18"/>
        </w:rPr>
      </w:pPr>
      <w:r>
        <w:rPr>
          <w:rFonts w:hint="eastAsia" w:hAnsi="宋体"/>
          <w:color w:val="auto"/>
          <w:sz w:val="24"/>
          <w:szCs w:val="18"/>
        </w:rPr>
        <w:t>按照第</w:t>
      </w:r>
      <w:r>
        <w:rPr>
          <w:rFonts w:hAnsi="宋体"/>
          <w:color w:val="auto"/>
          <w:sz w:val="24"/>
          <w:szCs w:val="18"/>
        </w:rPr>
        <w:t>33</w:t>
      </w:r>
      <w:r>
        <w:rPr>
          <w:rFonts w:hint="eastAsia" w:hAnsi="宋体"/>
          <w:color w:val="auto"/>
          <w:sz w:val="24"/>
          <w:szCs w:val="18"/>
        </w:rPr>
        <w:t>条规定的进度计划未表明有停工且监理工程师也未按照第</w:t>
      </w:r>
      <w:r>
        <w:rPr>
          <w:rFonts w:hAnsi="宋体"/>
          <w:color w:val="auto"/>
          <w:sz w:val="24"/>
          <w:szCs w:val="18"/>
        </w:rPr>
        <w:t>35.1</w:t>
      </w:r>
      <w:r>
        <w:rPr>
          <w:rFonts w:hint="eastAsia" w:hAnsi="宋体"/>
          <w:color w:val="auto"/>
          <w:sz w:val="24"/>
          <w:szCs w:val="18"/>
        </w:rPr>
        <w:t>款规定发出暂停施工令，但承包人停止施工时间持续达</w:t>
      </w:r>
      <w:r>
        <w:rPr>
          <w:rFonts w:hAnsi="宋体"/>
          <w:color w:val="auto"/>
          <w:sz w:val="24"/>
          <w:szCs w:val="18"/>
        </w:rPr>
        <w:t>56</w:t>
      </w:r>
      <w:r>
        <w:rPr>
          <w:rFonts w:hint="eastAsia" w:hAnsi="宋体"/>
          <w:color w:val="auto"/>
          <w:sz w:val="24"/>
          <w:szCs w:val="18"/>
        </w:rPr>
        <w:t>天或累计停止施工时间达</w:t>
      </w:r>
      <w:r>
        <w:rPr>
          <w:rFonts w:hAnsi="宋体"/>
          <w:color w:val="auto"/>
          <w:sz w:val="24"/>
          <w:szCs w:val="18"/>
        </w:rPr>
        <w:t>70</w:t>
      </w:r>
      <w:r>
        <w:rPr>
          <w:rFonts w:hint="eastAsia" w:hAnsi="宋体"/>
          <w:color w:val="auto"/>
          <w:sz w:val="24"/>
          <w:szCs w:val="18"/>
        </w:rPr>
        <w:t>天的；</w:t>
      </w:r>
    </w:p>
    <w:p w14:paraId="1EBE3BFA">
      <w:pPr>
        <w:pStyle w:val="2"/>
        <w:numPr>
          <w:ilvl w:val="0"/>
          <w:numId w:val="28"/>
        </w:numPr>
        <w:tabs>
          <w:tab w:val="left" w:pos="1680"/>
        </w:tabs>
        <w:adjustRightInd w:val="0"/>
        <w:snapToGrid w:val="0"/>
        <w:spacing w:line="360" w:lineRule="auto"/>
        <w:ind w:left="1659" w:leftChars="770" w:hanging="42"/>
        <w:rPr>
          <w:rFonts w:hAnsi="宋体"/>
          <w:color w:val="auto"/>
          <w:sz w:val="24"/>
          <w:szCs w:val="18"/>
        </w:rPr>
      </w:pPr>
      <w:r>
        <w:rPr>
          <w:rFonts w:hint="eastAsia" w:hAnsi="宋体"/>
          <w:color w:val="auto"/>
          <w:sz w:val="24"/>
          <w:szCs w:val="18"/>
        </w:rPr>
        <w:t>承包人违反第</w:t>
      </w:r>
      <w:r>
        <w:rPr>
          <w:rFonts w:hAnsi="宋体"/>
          <w:color w:val="auto"/>
          <w:sz w:val="24"/>
          <w:szCs w:val="18"/>
        </w:rPr>
        <w:t>18.1</w:t>
      </w:r>
      <w:r>
        <w:rPr>
          <w:rFonts w:hint="eastAsia" w:hAnsi="宋体"/>
          <w:color w:val="auto"/>
          <w:sz w:val="24"/>
          <w:szCs w:val="18"/>
        </w:rPr>
        <w:t>款或第</w:t>
      </w:r>
      <w:r>
        <w:rPr>
          <w:rFonts w:hAnsi="宋体"/>
          <w:color w:val="auto"/>
          <w:sz w:val="24"/>
          <w:szCs w:val="18"/>
        </w:rPr>
        <w:t>51.4</w:t>
      </w:r>
      <w:r>
        <w:rPr>
          <w:rFonts w:hint="eastAsia" w:hAnsi="宋体"/>
          <w:color w:val="auto"/>
          <w:sz w:val="24"/>
          <w:szCs w:val="18"/>
        </w:rPr>
        <w:t>款规定未经监理工程师批准，私自将已按照合同约定进入施工现场的施工设备、临时设施或材料运出施工现场的；</w:t>
      </w:r>
    </w:p>
    <w:p w14:paraId="5D94B01E">
      <w:pPr>
        <w:pStyle w:val="2"/>
        <w:numPr>
          <w:ilvl w:val="0"/>
          <w:numId w:val="28"/>
        </w:numPr>
        <w:adjustRightInd w:val="0"/>
        <w:snapToGrid w:val="0"/>
        <w:spacing w:line="360" w:lineRule="auto"/>
        <w:ind w:left="1678" w:leftChars="799" w:firstLine="2"/>
        <w:rPr>
          <w:rFonts w:hAnsi="宋体"/>
          <w:color w:val="auto"/>
          <w:sz w:val="24"/>
          <w:szCs w:val="18"/>
        </w:rPr>
      </w:pPr>
      <w:r>
        <w:rPr>
          <w:rFonts w:hint="eastAsia" w:hAnsi="宋体"/>
          <w:color w:val="auto"/>
          <w:sz w:val="24"/>
          <w:szCs w:val="18"/>
        </w:rPr>
        <w:t>承包人拖延完工且能偿付的误期赔偿费已达到专用条款约定最高限额的；</w:t>
      </w:r>
    </w:p>
    <w:p w14:paraId="7EC73823">
      <w:pPr>
        <w:pStyle w:val="2"/>
        <w:numPr>
          <w:ilvl w:val="0"/>
          <w:numId w:val="28"/>
        </w:numPr>
        <w:adjustRightInd w:val="0"/>
        <w:snapToGrid w:val="0"/>
        <w:spacing w:line="360" w:lineRule="auto"/>
        <w:ind w:left="2096" w:leftChars="771" w:hanging="477" w:hangingChars="199"/>
        <w:rPr>
          <w:rFonts w:hAnsi="宋体"/>
          <w:color w:val="auto"/>
          <w:sz w:val="24"/>
          <w:szCs w:val="18"/>
        </w:rPr>
      </w:pPr>
      <w:r>
        <w:rPr>
          <w:rFonts w:hint="eastAsia" w:hAnsi="宋体"/>
          <w:color w:val="auto"/>
          <w:sz w:val="24"/>
          <w:szCs w:val="18"/>
        </w:rPr>
        <w:t>承包人转包工程、违法分包或未经许可擅自分包工程的；</w:t>
      </w:r>
    </w:p>
    <w:p w14:paraId="53E4DA67">
      <w:pPr>
        <w:pStyle w:val="2"/>
        <w:numPr>
          <w:ilvl w:val="0"/>
          <w:numId w:val="28"/>
        </w:numPr>
        <w:adjustRightInd w:val="0"/>
        <w:snapToGrid w:val="0"/>
        <w:spacing w:line="360" w:lineRule="auto"/>
        <w:ind w:left="1617" w:leftChars="770" w:firstLine="2"/>
        <w:rPr>
          <w:rFonts w:hAnsi="宋体"/>
          <w:color w:val="auto"/>
          <w:sz w:val="24"/>
          <w:szCs w:val="18"/>
        </w:rPr>
      </w:pPr>
      <w:r>
        <w:rPr>
          <w:rFonts w:hint="eastAsia" w:hAnsi="宋体"/>
          <w:color w:val="auto"/>
          <w:sz w:val="24"/>
          <w:szCs w:val="18"/>
        </w:rPr>
        <w:t>承包人未按照合同约定或监理工程师的指令，经监理工程师书面指出后仍未按要求改正的；</w:t>
      </w:r>
    </w:p>
    <w:p w14:paraId="78327D5E">
      <w:pPr>
        <w:pStyle w:val="2"/>
        <w:numPr>
          <w:ilvl w:val="0"/>
          <w:numId w:val="28"/>
        </w:numPr>
        <w:adjustRightInd w:val="0"/>
        <w:snapToGrid w:val="0"/>
        <w:spacing w:line="360" w:lineRule="auto"/>
        <w:ind w:left="2096" w:leftChars="771" w:hanging="477" w:hangingChars="199"/>
        <w:rPr>
          <w:rFonts w:hAnsi="宋体"/>
          <w:color w:val="auto"/>
          <w:sz w:val="24"/>
          <w:szCs w:val="18"/>
        </w:rPr>
      </w:pPr>
      <w:r>
        <w:rPr>
          <w:rFonts w:hint="eastAsia" w:hAnsi="宋体"/>
          <w:color w:val="auto"/>
          <w:sz w:val="24"/>
          <w:szCs w:val="18"/>
        </w:rPr>
        <w:t>承包人履行合同期间有欺诈行为的；</w:t>
      </w:r>
    </w:p>
    <w:p w14:paraId="63FFB6E3">
      <w:pPr>
        <w:pStyle w:val="2"/>
        <w:numPr>
          <w:ilvl w:val="0"/>
          <w:numId w:val="28"/>
        </w:numPr>
        <w:adjustRightInd w:val="0"/>
        <w:snapToGrid w:val="0"/>
        <w:spacing w:line="360" w:lineRule="auto"/>
        <w:ind w:left="1618" w:leftChars="770" w:hanging="1"/>
        <w:rPr>
          <w:rFonts w:hAnsi="宋体"/>
          <w:color w:val="auto"/>
          <w:sz w:val="24"/>
          <w:szCs w:val="18"/>
        </w:rPr>
      </w:pPr>
      <w:r>
        <w:rPr>
          <w:rFonts w:hint="eastAsia" w:hAnsi="宋体"/>
          <w:color w:val="auto"/>
          <w:sz w:val="24"/>
          <w:szCs w:val="18"/>
        </w:rPr>
        <w:t>承包人向任何人付给或企图付给任何贿赂、礼品、赏金、回扣或其他贵重物品，以引诱或报偿他人，但付给承包人相关人员的奖励则属例外；</w:t>
      </w:r>
    </w:p>
    <w:p w14:paraId="7CA0447C">
      <w:pPr>
        <w:pStyle w:val="2"/>
        <w:adjustRightInd w:val="0"/>
        <w:snapToGrid w:val="0"/>
        <w:spacing w:line="360" w:lineRule="auto"/>
        <w:ind w:left="1617"/>
        <w:rPr>
          <w:rFonts w:hAnsi="宋体"/>
          <w:color w:val="auto"/>
          <w:sz w:val="24"/>
          <w:szCs w:val="18"/>
        </w:rPr>
      </w:pPr>
      <w:r>
        <w:rPr>
          <w:rFonts w:hAnsi="宋体"/>
          <w:color w:val="auto"/>
          <w:sz w:val="24"/>
          <w:szCs w:val="18"/>
        </w:rPr>
        <w:t>(9)</w:t>
      </w:r>
      <w:r>
        <w:rPr>
          <w:rFonts w:hint="eastAsia" w:hAnsi="宋体"/>
          <w:color w:val="auto"/>
          <w:sz w:val="24"/>
          <w:szCs w:val="18"/>
        </w:rPr>
        <w:t>承包人在缺陷责任期内未能对发生的缺陷进行修复，且又拒绝按照监理工程师指令再进行修补的；</w:t>
      </w:r>
    </w:p>
    <w:p w14:paraId="61C4D4A1">
      <w:pPr>
        <w:pStyle w:val="2"/>
        <w:adjustRightInd w:val="0"/>
        <w:snapToGrid w:val="0"/>
        <w:spacing w:line="360" w:lineRule="auto"/>
        <w:ind w:left="1680" w:leftChars="800"/>
        <w:rPr>
          <w:rFonts w:hAnsi="宋体"/>
          <w:color w:val="auto"/>
          <w:sz w:val="24"/>
          <w:szCs w:val="18"/>
        </w:rPr>
      </w:pPr>
      <w:r>
        <w:rPr>
          <w:rFonts w:hAnsi="宋体"/>
          <w:color w:val="auto"/>
          <w:sz w:val="24"/>
          <w:szCs w:val="18"/>
        </w:rPr>
        <w:t>(10)</w:t>
      </w:r>
      <w:r>
        <w:rPr>
          <w:rFonts w:hint="eastAsia" w:hAnsi="宋体"/>
          <w:color w:val="auto"/>
          <w:sz w:val="24"/>
          <w:szCs w:val="18"/>
        </w:rPr>
        <w:t>承包人无法继续履行、明确表示或以行为表明不履行合同约定主要义务的；</w:t>
      </w:r>
    </w:p>
    <w:p w14:paraId="00FD87E1">
      <w:pPr>
        <w:pStyle w:val="2"/>
        <w:adjustRightInd w:val="0"/>
        <w:snapToGrid w:val="0"/>
        <w:spacing w:line="360" w:lineRule="auto"/>
        <w:ind w:left="1680"/>
        <w:rPr>
          <w:rFonts w:hAnsi="宋体"/>
          <w:color w:val="auto"/>
          <w:sz w:val="24"/>
          <w:szCs w:val="18"/>
        </w:rPr>
      </w:pPr>
      <w:r>
        <w:rPr>
          <w:rFonts w:hAnsi="宋体"/>
          <w:color w:val="auto"/>
          <w:sz w:val="24"/>
          <w:szCs w:val="18"/>
        </w:rPr>
        <w:t>(11)</w:t>
      </w:r>
      <w:r>
        <w:rPr>
          <w:rFonts w:hint="eastAsia" w:hAnsi="宋体"/>
          <w:color w:val="auto"/>
          <w:sz w:val="24"/>
          <w:szCs w:val="18"/>
        </w:rPr>
        <w:t>承包人延迟履行合同约定主要义务，经催告后在合理期限内仍未履行的；</w:t>
      </w:r>
    </w:p>
    <w:p w14:paraId="36A351F3">
      <w:pPr>
        <w:pStyle w:val="2"/>
        <w:adjustRightInd w:val="0"/>
        <w:snapToGrid w:val="0"/>
        <w:spacing w:line="360" w:lineRule="auto"/>
        <w:ind w:left="1619"/>
        <w:rPr>
          <w:rFonts w:hAnsi="宋体"/>
          <w:color w:val="auto"/>
          <w:sz w:val="24"/>
          <w:szCs w:val="18"/>
        </w:rPr>
      </w:pPr>
      <w:r>
        <w:rPr>
          <w:rFonts w:hAnsi="宋体"/>
          <w:color w:val="auto"/>
          <w:sz w:val="24"/>
          <w:szCs w:val="18"/>
        </w:rPr>
        <w:t>(12)</w:t>
      </w:r>
      <w:r>
        <w:rPr>
          <w:rFonts w:hint="eastAsia" w:hAnsi="宋体"/>
          <w:color w:val="auto"/>
          <w:sz w:val="24"/>
          <w:szCs w:val="18"/>
        </w:rPr>
        <w:t>承包人破产或清偿的，但以机构重组或联合为目的的除外；</w:t>
      </w:r>
    </w:p>
    <w:p w14:paraId="2A789D9B">
      <w:pPr>
        <w:pStyle w:val="2"/>
        <w:adjustRightInd w:val="0"/>
        <w:snapToGrid w:val="0"/>
        <w:spacing w:line="360" w:lineRule="auto"/>
        <w:ind w:left="1619"/>
        <w:rPr>
          <w:rFonts w:hAnsi="宋体"/>
          <w:color w:val="auto"/>
          <w:sz w:val="24"/>
          <w:szCs w:val="18"/>
        </w:rPr>
      </w:pPr>
      <w:r>
        <w:rPr>
          <w:rFonts w:hAnsi="宋体"/>
          <w:color w:val="auto"/>
          <w:sz w:val="24"/>
          <w:szCs w:val="18"/>
        </w:rPr>
        <w:t>(13)</w:t>
      </w:r>
      <w:r>
        <w:rPr>
          <w:rFonts w:hint="eastAsia" w:hAnsi="宋体"/>
          <w:color w:val="auto"/>
          <w:sz w:val="24"/>
          <w:szCs w:val="18"/>
        </w:rPr>
        <w:t>承包人被认为是严重违反合同的其他违约行为。</w:t>
      </w:r>
    </w:p>
    <w:p w14:paraId="5B8B658A">
      <w:pPr>
        <w:pStyle w:val="2"/>
        <w:adjustRightInd w:val="0"/>
        <w:snapToGrid w:val="0"/>
        <w:spacing w:line="360" w:lineRule="auto"/>
        <w:ind w:left="1619" w:leftChars="771"/>
        <w:rPr>
          <w:rFonts w:hAnsi="宋体"/>
          <w:b/>
          <w:color w:val="auto"/>
          <w:sz w:val="24"/>
          <w:szCs w:val="18"/>
        </w:rPr>
      </w:pPr>
      <w:r>
        <w:rPr>
          <w:rFonts w:hint="eastAsia" w:hAnsi="宋体"/>
          <w:color w:val="auto"/>
          <w:sz w:val="24"/>
          <w:szCs w:val="18"/>
        </w:rPr>
        <w:t>在这种情况下，发包人可自行或委托第三方实施、完成合同工程或其任何部分，并可使用根据第</w:t>
      </w:r>
      <w:r>
        <w:rPr>
          <w:rFonts w:hAnsi="宋体"/>
          <w:color w:val="auto"/>
          <w:sz w:val="24"/>
          <w:szCs w:val="18"/>
        </w:rPr>
        <w:t>18.2</w:t>
      </w:r>
      <w:r>
        <w:rPr>
          <w:rFonts w:hint="eastAsia" w:hAnsi="宋体"/>
          <w:color w:val="auto"/>
          <w:sz w:val="24"/>
          <w:szCs w:val="18"/>
        </w:rPr>
        <w:t>款留下的承包人施工设备、周转性材料和临时工程，直至永久工程完工为止。</w:t>
      </w:r>
    </w:p>
    <w:p w14:paraId="7ADB5091">
      <w:pPr>
        <w:pStyle w:val="2"/>
        <w:tabs>
          <w:tab w:val="left" w:pos="1320"/>
        </w:tabs>
        <w:adjustRightInd w:val="0"/>
        <w:snapToGrid w:val="0"/>
        <w:spacing w:line="360" w:lineRule="auto"/>
        <w:rPr>
          <w:rFonts w:hAnsi="宋体"/>
          <w:b/>
          <w:color w:val="auto"/>
          <w:sz w:val="24"/>
          <w:szCs w:val="18"/>
        </w:rPr>
      </w:pPr>
      <w:r>
        <w:rPr>
          <w:rFonts w:hAnsi="宋体"/>
          <w:b/>
          <w:color w:val="auto"/>
          <w:sz w:val="24"/>
          <w:szCs w:val="18"/>
        </w:rPr>
        <w:t xml:space="preserve">87.4  </w:t>
      </w:r>
    </w:p>
    <w:p w14:paraId="228BCAD8">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2047360" behindDoc="0" locked="0" layoutInCell="1" allowOverlap="1">
                <wp:simplePos x="0" y="0"/>
                <wp:positionH relativeFrom="column">
                  <wp:posOffset>-114300</wp:posOffset>
                </wp:positionH>
                <wp:positionV relativeFrom="paragraph">
                  <wp:posOffset>29845</wp:posOffset>
                </wp:positionV>
                <wp:extent cx="914400" cy="503555"/>
                <wp:effectExtent l="0" t="0" r="0" b="0"/>
                <wp:wrapNone/>
                <wp:docPr id="305" name="文本框 305"/>
                <wp:cNvGraphicFramePr/>
                <a:graphic xmlns:a="http://schemas.openxmlformats.org/drawingml/2006/main">
                  <a:graphicData uri="http://schemas.microsoft.com/office/word/2010/wordprocessingShape">
                    <wps:wsp>
                      <wps:cNvSpPr txBox="1"/>
                      <wps:spPr>
                        <a:xfrm>
                          <a:off x="0" y="0"/>
                          <a:ext cx="914400" cy="503555"/>
                        </a:xfrm>
                        <a:prstGeom prst="rect">
                          <a:avLst/>
                        </a:prstGeom>
                        <a:noFill/>
                        <a:ln>
                          <a:noFill/>
                        </a:ln>
                        <a:effectLst/>
                      </wps:spPr>
                      <wps:txbx>
                        <w:txbxContent>
                          <w:p w14:paraId="4546BE61">
                            <w:pPr>
                              <w:spacing w:line="240" w:lineRule="exact"/>
                              <w:rPr>
                                <w:rFonts w:ascii="楷体_GB2312" w:hAnsi="宋体" w:eastAsia="楷体_GB2312"/>
                                <w:b/>
                                <w:bCs/>
                                <w:sz w:val="18"/>
                                <w:szCs w:val="18"/>
                              </w:rPr>
                            </w:pPr>
                            <w:r>
                              <w:rPr>
                                <w:rFonts w:hint="eastAsia" w:ascii="楷体_GB2312" w:hAnsi="宋体" w:eastAsia="楷体_GB2312"/>
                                <w:b/>
                                <w:bCs/>
                                <w:sz w:val="18"/>
                                <w:szCs w:val="18"/>
                              </w:rPr>
                              <w:t>因发包人的原因解除</w:t>
                            </w:r>
                          </w:p>
                        </w:txbxContent>
                      </wps:txbx>
                      <wps:bodyPr upright="1"/>
                    </wps:wsp>
                  </a:graphicData>
                </a:graphic>
              </wp:anchor>
            </w:drawing>
          </mc:Choice>
          <mc:Fallback>
            <w:pict>
              <v:shape id="_x0000_s1026" o:spid="_x0000_s1026" o:spt="202" type="#_x0000_t202" style="position:absolute;left:0pt;margin-left:-9pt;margin-top:2.35pt;height:39.65pt;width:72pt;z-index:252047360;mso-width-relative:page;mso-height-relative:page;" filled="f" stroked="f" coordsize="21600,21600" o:gfxdata="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yY8u&#10;ONUAAAAIAQAADwAAAAAAAAABACAAAAAiAAAAZHJzL2Rvd25yZXYueG1sUEsBAhQAFAAAAAgAh07i&#10;QLqj1yqzAQAAXwMAAA4AAAAAAAAAAQAgAAAAJAEAAGRycy9lMm9Eb2MueG1sUEsFBgAAAAAGAAYA&#10;WQEAAEkFAAAAAA==&#10;">
                <v:fill on="f" focussize="0,0"/>
                <v:stroke on="f"/>
                <v:imagedata o:title=""/>
                <o:lock v:ext="edit" aspectratio="f"/>
                <v:textbox>
                  <w:txbxContent>
                    <w:p w14:paraId="4546BE61">
                      <w:pPr>
                        <w:spacing w:line="240" w:lineRule="exact"/>
                        <w:rPr>
                          <w:rFonts w:ascii="楷体_GB2312" w:hAnsi="宋体" w:eastAsia="楷体_GB2312"/>
                          <w:b/>
                          <w:bCs/>
                          <w:sz w:val="18"/>
                          <w:szCs w:val="18"/>
                        </w:rPr>
                      </w:pPr>
                      <w:r>
                        <w:rPr>
                          <w:rFonts w:hint="eastAsia" w:ascii="楷体_GB2312" w:hAnsi="宋体" w:eastAsia="楷体_GB2312"/>
                          <w:b/>
                          <w:bCs/>
                          <w:sz w:val="18"/>
                          <w:szCs w:val="18"/>
                        </w:rPr>
                        <w:t>因发包人的原因解除</w:t>
                      </w:r>
                    </w:p>
                  </w:txbxContent>
                </v:textbox>
              </v:shape>
            </w:pict>
          </mc:Fallback>
        </mc:AlternateContent>
      </w:r>
      <w:r>
        <w:rPr>
          <w:rFonts w:hint="eastAsia" w:hAnsi="宋体"/>
          <w:color w:val="auto"/>
          <w:sz w:val="24"/>
          <w:szCs w:val="18"/>
        </w:rPr>
        <w:t>发包人有下列情形之一者，承包人可以解除合同：</w:t>
      </w:r>
    </w:p>
    <w:p w14:paraId="29F99CA0">
      <w:pPr>
        <w:pStyle w:val="2"/>
        <w:numPr>
          <w:ilvl w:val="0"/>
          <w:numId w:val="29"/>
        </w:numPr>
        <w:tabs>
          <w:tab w:val="left" w:pos="2160"/>
        </w:tabs>
        <w:adjustRightInd w:val="0"/>
        <w:snapToGrid w:val="0"/>
        <w:spacing w:line="360" w:lineRule="auto"/>
        <w:ind w:left="1619" w:leftChars="771" w:firstLine="1"/>
        <w:rPr>
          <w:rFonts w:hAnsi="宋体"/>
          <w:color w:val="auto"/>
          <w:sz w:val="24"/>
          <w:szCs w:val="18"/>
        </w:rPr>
      </w:pPr>
      <w:r>
        <w:rPr>
          <w:rFonts w:hint="eastAsia" w:hAnsi="宋体"/>
          <w:color w:val="auto"/>
          <w:sz w:val="24"/>
          <w:szCs w:val="18"/>
        </w:rPr>
        <w:t>非承包人原因未按照第</w:t>
      </w:r>
      <w:r>
        <w:rPr>
          <w:rFonts w:hAnsi="宋体"/>
          <w:color w:val="auto"/>
          <w:sz w:val="24"/>
          <w:szCs w:val="18"/>
        </w:rPr>
        <w:t>34.2</w:t>
      </w:r>
      <w:r>
        <w:rPr>
          <w:rFonts w:hint="eastAsia" w:hAnsi="宋体"/>
          <w:color w:val="auto"/>
          <w:sz w:val="24"/>
          <w:szCs w:val="18"/>
        </w:rPr>
        <w:t>款规定期限内发出开工令，经承包人催告后</w:t>
      </w:r>
      <w:r>
        <w:rPr>
          <w:rFonts w:hAnsi="宋体"/>
          <w:color w:val="auto"/>
          <w:sz w:val="24"/>
          <w:szCs w:val="18"/>
        </w:rPr>
        <w:t>28</w:t>
      </w:r>
      <w:r>
        <w:rPr>
          <w:rFonts w:hint="eastAsia" w:hAnsi="宋体"/>
          <w:color w:val="auto"/>
          <w:sz w:val="24"/>
          <w:szCs w:val="18"/>
        </w:rPr>
        <w:t>天内仍未发出开工令的；</w:t>
      </w:r>
    </w:p>
    <w:p w14:paraId="7842A97E">
      <w:pPr>
        <w:pStyle w:val="2"/>
        <w:numPr>
          <w:ilvl w:val="0"/>
          <w:numId w:val="29"/>
        </w:numPr>
        <w:tabs>
          <w:tab w:val="left" w:pos="2160"/>
        </w:tabs>
        <w:adjustRightInd w:val="0"/>
        <w:snapToGrid w:val="0"/>
        <w:spacing w:line="360" w:lineRule="auto"/>
        <w:ind w:left="1620" w:leftChars="771" w:hanging="1"/>
        <w:rPr>
          <w:rFonts w:hAnsi="宋体"/>
          <w:color w:val="auto"/>
          <w:sz w:val="24"/>
          <w:szCs w:val="18"/>
        </w:rPr>
      </w:pPr>
      <w:r>
        <w:rPr>
          <w:rFonts w:hint="eastAsia" w:hAnsi="宋体"/>
          <w:color w:val="auto"/>
          <w:sz w:val="24"/>
          <w:szCs w:val="18"/>
        </w:rPr>
        <w:t>按照第</w:t>
      </w:r>
      <w:r>
        <w:rPr>
          <w:rFonts w:hAnsi="宋体"/>
          <w:color w:val="auto"/>
          <w:sz w:val="24"/>
          <w:szCs w:val="18"/>
        </w:rPr>
        <w:t>35.3</w:t>
      </w:r>
      <w:r>
        <w:rPr>
          <w:rFonts w:hint="eastAsia" w:hAnsi="宋体"/>
          <w:color w:val="auto"/>
          <w:sz w:val="24"/>
          <w:szCs w:val="18"/>
        </w:rPr>
        <w:t>款规定非承包人原因造成暂停施工持续</w:t>
      </w:r>
      <w:r>
        <w:rPr>
          <w:rFonts w:hAnsi="宋体"/>
          <w:color w:val="auto"/>
          <w:sz w:val="24"/>
          <w:szCs w:val="18"/>
        </w:rPr>
        <w:t>56</w:t>
      </w:r>
      <w:r>
        <w:rPr>
          <w:rFonts w:hint="eastAsia" w:hAnsi="宋体"/>
          <w:color w:val="auto"/>
          <w:sz w:val="24"/>
          <w:szCs w:val="18"/>
        </w:rPr>
        <w:t>天以上或累计停工时间超过了</w:t>
      </w:r>
      <w:r>
        <w:rPr>
          <w:rFonts w:hAnsi="宋体"/>
          <w:color w:val="auto"/>
          <w:sz w:val="24"/>
          <w:szCs w:val="18"/>
        </w:rPr>
        <w:t>70</w:t>
      </w:r>
      <w:r>
        <w:rPr>
          <w:rFonts w:hint="eastAsia" w:hAnsi="宋体"/>
          <w:color w:val="auto"/>
          <w:sz w:val="24"/>
          <w:szCs w:val="18"/>
        </w:rPr>
        <w:t>天的；</w:t>
      </w:r>
    </w:p>
    <w:p w14:paraId="67D2A31F">
      <w:pPr>
        <w:pStyle w:val="2"/>
        <w:numPr>
          <w:ilvl w:val="0"/>
          <w:numId w:val="29"/>
        </w:numPr>
        <w:tabs>
          <w:tab w:val="left" w:pos="1800"/>
        </w:tabs>
        <w:adjustRightInd w:val="0"/>
        <w:snapToGrid w:val="0"/>
        <w:spacing w:line="360" w:lineRule="auto"/>
        <w:ind w:left="1620" w:leftChars="771" w:hanging="1"/>
        <w:rPr>
          <w:rFonts w:hAnsi="宋体"/>
          <w:color w:val="auto"/>
          <w:sz w:val="24"/>
          <w:szCs w:val="18"/>
        </w:rPr>
      </w:pPr>
      <w:r>
        <w:rPr>
          <w:rFonts w:hint="eastAsia" w:hAnsi="宋体"/>
          <w:color w:val="auto"/>
          <w:sz w:val="24"/>
          <w:szCs w:val="18"/>
        </w:rPr>
        <w:t>发包人按照第</w:t>
      </w:r>
      <w:r>
        <w:rPr>
          <w:rFonts w:hAnsi="宋体"/>
          <w:color w:val="auto"/>
          <w:sz w:val="24"/>
          <w:szCs w:val="18"/>
        </w:rPr>
        <w:t>5</w:t>
      </w:r>
      <w:r>
        <w:rPr>
          <w:rFonts w:hint="eastAsia" w:hAnsi="宋体"/>
          <w:color w:val="auto"/>
          <w:sz w:val="24"/>
          <w:szCs w:val="18"/>
        </w:rPr>
        <w:t>条规定提供的施工设计图纸存在缺陷或按照第</w:t>
      </w:r>
      <w:r>
        <w:rPr>
          <w:rFonts w:hAnsi="宋体"/>
          <w:color w:val="auto"/>
          <w:sz w:val="24"/>
          <w:szCs w:val="18"/>
        </w:rPr>
        <w:t>48</w:t>
      </w:r>
      <w:r>
        <w:rPr>
          <w:rFonts w:hint="eastAsia" w:hAnsi="宋体"/>
          <w:color w:val="auto"/>
          <w:sz w:val="24"/>
          <w:szCs w:val="18"/>
        </w:rPr>
        <w:t>条规定供应的材料和工程设备不符合强制性标准，致使承包人无法施工，经承包人催告后</w:t>
      </w:r>
      <w:r>
        <w:rPr>
          <w:rFonts w:hAnsi="宋体"/>
          <w:color w:val="auto"/>
          <w:sz w:val="24"/>
          <w:szCs w:val="18"/>
        </w:rPr>
        <w:t>28</w:t>
      </w:r>
      <w:r>
        <w:rPr>
          <w:rFonts w:hint="eastAsia" w:hAnsi="宋体"/>
          <w:color w:val="auto"/>
          <w:sz w:val="24"/>
          <w:szCs w:val="18"/>
        </w:rPr>
        <w:t>天内仍未修正或更换的；</w:t>
      </w:r>
    </w:p>
    <w:p w14:paraId="29B73846">
      <w:pPr>
        <w:pStyle w:val="2"/>
        <w:numPr>
          <w:ilvl w:val="0"/>
          <w:numId w:val="29"/>
        </w:numPr>
        <w:tabs>
          <w:tab w:val="left" w:pos="2160"/>
        </w:tabs>
        <w:adjustRightInd w:val="0"/>
        <w:snapToGrid w:val="0"/>
        <w:spacing w:line="360" w:lineRule="auto"/>
        <w:ind w:left="1620" w:leftChars="771" w:hanging="1"/>
        <w:rPr>
          <w:rFonts w:hAnsi="宋体"/>
          <w:color w:val="auto"/>
          <w:sz w:val="24"/>
          <w:szCs w:val="18"/>
        </w:rPr>
      </w:pPr>
      <w:r>
        <w:rPr>
          <w:rFonts w:hint="eastAsia" w:hAnsi="宋体"/>
          <w:color w:val="auto"/>
          <w:sz w:val="24"/>
          <w:szCs w:val="18"/>
        </w:rPr>
        <w:t>监理工程师未按照合同约定及时发出工作指令，导致承包人无法继续施工的；</w:t>
      </w:r>
    </w:p>
    <w:p w14:paraId="08CD34B2">
      <w:pPr>
        <w:pStyle w:val="2"/>
        <w:numPr>
          <w:ilvl w:val="0"/>
          <w:numId w:val="29"/>
        </w:numPr>
        <w:tabs>
          <w:tab w:val="left" w:pos="2160"/>
        </w:tabs>
        <w:adjustRightInd w:val="0"/>
        <w:snapToGrid w:val="0"/>
        <w:spacing w:line="360" w:lineRule="auto"/>
        <w:ind w:left="1620" w:leftChars="771" w:hanging="1"/>
        <w:rPr>
          <w:rFonts w:hAnsi="宋体"/>
          <w:color w:val="auto"/>
          <w:sz w:val="24"/>
          <w:szCs w:val="18"/>
        </w:rPr>
      </w:pPr>
      <w:r>
        <w:rPr>
          <w:rFonts w:hint="eastAsia" w:hAnsi="宋体"/>
          <w:color w:val="auto"/>
          <w:sz w:val="24"/>
          <w:szCs w:val="18"/>
        </w:rPr>
        <w:t>发包人未按照第</w:t>
      </w:r>
      <w:r>
        <w:rPr>
          <w:rFonts w:hAnsi="宋体"/>
          <w:color w:val="auto"/>
          <w:sz w:val="24"/>
          <w:szCs w:val="18"/>
        </w:rPr>
        <w:t>78.1</w:t>
      </w:r>
      <w:r>
        <w:rPr>
          <w:rFonts w:hint="eastAsia" w:hAnsi="宋体"/>
          <w:color w:val="auto"/>
          <w:sz w:val="24"/>
          <w:szCs w:val="18"/>
        </w:rPr>
        <w:t>款规定向承包人支付工程款，经承包人催告后</w:t>
      </w:r>
      <w:r>
        <w:rPr>
          <w:rFonts w:hAnsi="宋体"/>
          <w:color w:val="auto"/>
          <w:sz w:val="24"/>
          <w:szCs w:val="18"/>
        </w:rPr>
        <w:t>28</w:t>
      </w:r>
      <w:r>
        <w:rPr>
          <w:rFonts w:hint="eastAsia" w:hAnsi="宋体"/>
          <w:color w:val="auto"/>
          <w:sz w:val="24"/>
          <w:szCs w:val="18"/>
        </w:rPr>
        <w:t>天内仍未支付的；</w:t>
      </w:r>
    </w:p>
    <w:p w14:paraId="4950CBB0">
      <w:pPr>
        <w:pStyle w:val="2"/>
        <w:numPr>
          <w:ilvl w:val="0"/>
          <w:numId w:val="29"/>
        </w:numPr>
        <w:tabs>
          <w:tab w:val="left" w:pos="2160"/>
        </w:tabs>
        <w:adjustRightInd w:val="0"/>
        <w:snapToGrid w:val="0"/>
        <w:spacing w:line="360" w:lineRule="auto"/>
        <w:ind w:left="1620" w:leftChars="771" w:hanging="1"/>
        <w:rPr>
          <w:rFonts w:hAnsi="宋体"/>
          <w:color w:val="auto"/>
          <w:sz w:val="24"/>
          <w:szCs w:val="18"/>
        </w:rPr>
      </w:pPr>
      <w:r>
        <w:rPr>
          <w:rFonts w:hint="eastAsia" w:hAnsi="宋体"/>
          <w:color w:val="auto"/>
          <w:sz w:val="24"/>
          <w:szCs w:val="18"/>
        </w:rPr>
        <w:t>发包人无法继续履行、明确表示或以行为表明不履行合同约定主要义务的；</w:t>
      </w:r>
    </w:p>
    <w:p w14:paraId="4A3A6F64">
      <w:pPr>
        <w:pStyle w:val="2"/>
        <w:tabs>
          <w:tab w:val="left" w:pos="2160"/>
        </w:tabs>
        <w:adjustRightInd w:val="0"/>
        <w:snapToGrid w:val="0"/>
        <w:spacing w:line="360" w:lineRule="auto"/>
        <w:ind w:left="1619"/>
        <w:rPr>
          <w:rFonts w:hAnsi="宋体"/>
          <w:color w:val="auto"/>
          <w:sz w:val="24"/>
          <w:szCs w:val="18"/>
        </w:rPr>
      </w:pPr>
      <w:r>
        <w:rPr>
          <w:rFonts w:hAnsi="宋体"/>
          <w:color w:val="auto"/>
          <w:sz w:val="24"/>
          <w:szCs w:val="18"/>
        </w:rPr>
        <w:t>(7)</w:t>
      </w:r>
      <w:r>
        <w:rPr>
          <w:rFonts w:hint="eastAsia" w:hAnsi="宋体"/>
          <w:color w:val="auto"/>
          <w:sz w:val="24"/>
          <w:szCs w:val="18"/>
        </w:rPr>
        <w:t>发包人延迟履行合同约定主要义务，经催告后在合理期限内仍未履行的；</w:t>
      </w:r>
    </w:p>
    <w:p w14:paraId="074556AA">
      <w:pPr>
        <w:pStyle w:val="2"/>
        <w:tabs>
          <w:tab w:val="left" w:pos="2160"/>
        </w:tabs>
        <w:adjustRightInd w:val="0"/>
        <w:snapToGrid w:val="0"/>
        <w:spacing w:line="360" w:lineRule="auto"/>
        <w:ind w:left="1619"/>
        <w:rPr>
          <w:rFonts w:hAnsi="宋体"/>
          <w:color w:val="auto"/>
          <w:sz w:val="24"/>
          <w:szCs w:val="18"/>
        </w:rPr>
      </w:pPr>
      <w:r>
        <w:rPr>
          <w:rFonts w:hAnsi="宋体"/>
          <w:color w:val="auto"/>
          <w:sz w:val="24"/>
          <w:szCs w:val="18"/>
        </w:rPr>
        <w:t>(8)</w:t>
      </w:r>
      <w:r>
        <w:rPr>
          <w:rFonts w:hint="eastAsia" w:hAnsi="宋体"/>
          <w:color w:val="auto"/>
          <w:sz w:val="24"/>
          <w:szCs w:val="18"/>
        </w:rPr>
        <w:t>发包人破产或清偿的，但以机构重组或联合为目的的除外；</w:t>
      </w:r>
    </w:p>
    <w:p w14:paraId="7F56F783">
      <w:pPr>
        <w:pStyle w:val="2"/>
        <w:tabs>
          <w:tab w:val="left" w:pos="2160"/>
        </w:tabs>
        <w:adjustRightInd w:val="0"/>
        <w:snapToGrid w:val="0"/>
        <w:spacing w:line="360" w:lineRule="auto"/>
        <w:ind w:left="1619"/>
        <w:rPr>
          <w:rFonts w:hAnsi="宋体"/>
          <w:color w:val="auto"/>
          <w:sz w:val="24"/>
          <w:szCs w:val="18"/>
        </w:rPr>
      </w:pPr>
      <w:r>
        <w:rPr>
          <w:rFonts w:hAnsi="宋体"/>
          <w:color w:val="auto"/>
          <w:sz w:val="24"/>
          <w:szCs w:val="18"/>
        </w:rPr>
        <w:t>(9)</w:t>
      </w:r>
      <w:r>
        <w:rPr>
          <w:rFonts w:hint="eastAsia" w:hAnsi="宋体"/>
          <w:color w:val="auto"/>
          <w:sz w:val="24"/>
          <w:szCs w:val="18"/>
        </w:rPr>
        <w:t>发包人被认为是严重违反合同的其他违约行为。</w:t>
      </w:r>
    </w:p>
    <w:p w14:paraId="77B6CCCA">
      <w:pPr>
        <w:pStyle w:val="2"/>
        <w:tabs>
          <w:tab w:val="left" w:pos="1320"/>
        </w:tabs>
        <w:adjustRightInd w:val="0"/>
        <w:snapToGrid w:val="0"/>
        <w:spacing w:line="360" w:lineRule="auto"/>
        <w:rPr>
          <w:rFonts w:hAnsi="宋体"/>
          <w:b/>
          <w:color w:val="auto"/>
          <w:sz w:val="24"/>
          <w:szCs w:val="18"/>
        </w:rPr>
      </w:pPr>
      <w:r>
        <w:rPr>
          <w:color w:val="auto"/>
        </w:rPr>
        <mc:AlternateContent>
          <mc:Choice Requires="wps">
            <w:drawing>
              <wp:anchor distT="0" distB="0" distL="114300" distR="114300" simplePos="0" relativeHeight="252048384" behindDoc="0" locked="0" layoutInCell="1" allowOverlap="1">
                <wp:simplePos x="0" y="0"/>
                <wp:positionH relativeFrom="column">
                  <wp:posOffset>-114300</wp:posOffset>
                </wp:positionH>
                <wp:positionV relativeFrom="paragraph">
                  <wp:posOffset>202565</wp:posOffset>
                </wp:positionV>
                <wp:extent cx="914400" cy="396240"/>
                <wp:effectExtent l="0" t="0" r="0" b="0"/>
                <wp:wrapNone/>
                <wp:docPr id="306" name="文本框 306"/>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59CB1501">
                            <w:pPr>
                              <w:spacing w:line="240" w:lineRule="exact"/>
                              <w:rPr>
                                <w:rFonts w:ascii="楷体_GB2312" w:hAnsi="宋体" w:eastAsia="楷体_GB2312"/>
                                <w:b/>
                                <w:bCs/>
                                <w:sz w:val="18"/>
                                <w:szCs w:val="18"/>
                              </w:rPr>
                            </w:pPr>
                            <w:r>
                              <w:rPr>
                                <w:rFonts w:hint="eastAsia" w:ascii="楷体_GB2312" w:hAnsi="宋体" w:eastAsia="楷体_GB2312"/>
                                <w:b/>
                                <w:bCs/>
                                <w:sz w:val="18"/>
                                <w:szCs w:val="18"/>
                              </w:rPr>
                              <w:t>书面通知合同解除</w:t>
                            </w:r>
                          </w:p>
                        </w:txbxContent>
                      </wps:txbx>
                      <wps:bodyPr upright="1"/>
                    </wps:wsp>
                  </a:graphicData>
                </a:graphic>
              </wp:anchor>
            </w:drawing>
          </mc:Choice>
          <mc:Fallback>
            <w:pict>
              <v:shape id="_x0000_s1026" o:spid="_x0000_s1026" o:spt="202" type="#_x0000_t202" style="position:absolute;left:0pt;margin-left:-9pt;margin-top:15.95pt;height:31.2pt;width:72pt;z-index:252048384;mso-width-relative:page;mso-height-relative:page;" filled="f" stroked="f" coordsize="21600,21600" o:gfxdata="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lkNbiNcAAAAJAQAADwAAAAAAAAABACAAAAAiAAAAZHJzL2Rvd25yZXYueG1sUEsBAhQAFAAAAAgA&#10;h07iQB5ROCu0AQAAXwMAAA4AAAAAAAAAAQAgAAAAJgEAAGRycy9lMm9Eb2MueG1sUEsFBgAAAAAG&#10;AAYAWQEAAEwFAAAAAA==&#10;">
                <v:fill on="f" focussize="0,0"/>
                <v:stroke on="f"/>
                <v:imagedata o:title=""/>
                <o:lock v:ext="edit" aspectratio="f"/>
                <v:textbox>
                  <w:txbxContent>
                    <w:p w14:paraId="59CB1501">
                      <w:pPr>
                        <w:spacing w:line="240" w:lineRule="exact"/>
                        <w:rPr>
                          <w:rFonts w:ascii="楷体_GB2312" w:hAnsi="宋体" w:eastAsia="楷体_GB2312"/>
                          <w:b/>
                          <w:bCs/>
                          <w:sz w:val="18"/>
                          <w:szCs w:val="18"/>
                        </w:rPr>
                      </w:pPr>
                      <w:r>
                        <w:rPr>
                          <w:rFonts w:hint="eastAsia" w:ascii="楷体_GB2312" w:hAnsi="宋体" w:eastAsia="楷体_GB2312"/>
                          <w:b/>
                          <w:bCs/>
                          <w:sz w:val="18"/>
                          <w:szCs w:val="18"/>
                        </w:rPr>
                        <w:t>书面通知合同解除</w:t>
                      </w:r>
                    </w:p>
                  </w:txbxContent>
                </v:textbox>
              </v:shape>
            </w:pict>
          </mc:Fallback>
        </mc:AlternateContent>
      </w:r>
      <w:r>
        <w:rPr>
          <w:rFonts w:hAnsi="宋体"/>
          <w:b/>
          <w:color w:val="auto"/>
          <w:sz w:val="24"/>
          <w:szCs w:val="18"/>
        </w:rPr>
        <w:t xml:space="preserve">87.5  </w:t>
      </w:r>
    </w:p>
    <w:p w14:paraId="71B578E4">
      <w:pPr>
        <w:pStyle w:val="2"/>
        <w:adjustRightInd w:val="0"/>
        <w:snapToGrid w:val="0"/>
        <w:spacing w:line="360" w:lineRule="auto"/>
        <w:ind w:left="1619" w:leftChars="771"/>
        <w:rPr>
          <w:rFonts w:hAnsi="宋体"/>
          <w:color w:val="auto"/>
          <w:sz w:val="24"/>
          <w:szCs w:val="18"/>
        </w:rPr>
      </w:pPr>
      <w:r>
        <w:rPr>
          <w:rFonts w:hint="eastAsia" w:hAnsi="宋体"/>
          <w:color w:val="auto"/>
          <w:sz w:val="24"/>
          <w:szCs w:val="18"/>
        </w:rPr>
        <w:t>根据第</w:t>
      </w:r>
      <w:r>
        <w:rPr>
          <w:rFonts w:hAnsi="宋体"/>
          <w:color w:val="auto"/>
          <w:sz w:val="24"/>
          <w:szCs w:val="18"/>
        </w:rPr>
        <w:t>87.2</w:t>
      </w:r>
      <w:r>
        <w:rPr>
          <w:rFonts w:hint="eastAsia" w:hAnsi="宋体"/>
          <w:color w:val="auto"/>
          <w:sz w:val="24"/>
          <w:szCs w:val="18"/>
        </w:rPr>
        <w:t>款至第</w:t>
      </w:r>
      <w:r>
        <w:rPr>
          <w:rFonts w:hAnsi="宋体"/>
          <w:color w:val="auto"/>
          <w:sz w:val="24"/>
          <w:szCs w:val="18"/>
        </w:rPr>
        <w:t>87.4</w:t>
      </w:r>
      <w:r>
        <w:rPr>
          <w:rFonts w:hint="eastAsia" w:hAnsi="宋体"/>
          <w:color w:val="auto"/>
          <w:sz w:val="24"/>
          <w:szCs w:val="18"/>
        </w:rPr>
        <w:t>款规定要求解除合同的，解除方应以书面形式向另一方当事人发出解除合同的通知，另一方当事人收到通知时合同即告解除。对解除合同有争议的，应按照第</w:t>
      </w:r>
      <w:r>
        <w:rPr>
          <w:rFonts w:hAnsi="宋体"/>
          <w:color w:val="auto"/>
          <w:sz w:val="24"/>
          <w:szCs w:val="18"/>
        </w:rPr>
        <w:t>86</w:t>
      </w:r>
      <w:r>
        <w:rPr>
          <w:rFonts w:hint="eastAsia" w:hAnsi="宋体"/>
          <w:color w:val="auto"/>
          <w:sz w:val="24"/>
          <w:szCs w:val="18"/>
        </w:rPr>
        <w:t>条规定处理。</w:t>
      </w:r>
    </w:p>
    <w:p w14:paraId="0F8E0686">
      <w:pPr>
        <w:pStyle w:val="2"/>
        <w:tabs>
          <w:tab w:val="left" w:pos="1320"/>
        </w:tabs>
        <w:adjustRightInd w:val="0"/>
        <w:snapToGrid w:val="0"/>
        <w:spacing w:line="360" w:lineRule="auto"/>
        <w:rPr>
          <w:rFonts w:hAnsi="宋体"/>
          <w:b/>
          <w:color w:val="auto"/>
          <w:sz w:val="24"/>
          <w:szCs w:val="18"/>
        </w:rPr>
      </w:pPr>
      <w:r>
        <w:rPr>
          <w:rFonts w:hAnsi="宋体"/>
          <w:b/>
          <w:color w:val="auto"/>
          <w:sz w:val="24"/>
          <w:szCs w:val="18"/>
        </w:rPr>
        <w:t xml:space="preserve">87.6  </w:t>
      </w:r>
    </w:p>
    <w:p w14:paraId="246E849B">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2049408" behindDoc="0" locked="0" layoutInCell="1" allowOverlap="1">
                <wp:simplePos x="0" y="0"/>
                <wp:positionH relativeFrom="column">
                  <wp:posOffset>-114300</wp:posOffset>
                </wp:positionH>
                <wp:positionV relativeFrom="paragraph">
                  <wp:posOffset>6985</wp:posOffset>
                </wp:positionV>
                <wp:extent cx="914400" cy="594360"/>
                <wp:effectExtent l="0" t="0" r="0" b="0"/>
                <wp:wrapNone/>
                <wp:docPr id="307" name="文本框 307"/>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a:effectLst/>
                      </wps:spPr>
                      <wps:txbx>
                        <w:txbxContent>
                          <w:p w14:paraId="450FFD79">
                            <w:pPr>
                              <w:spacing w:line="240" w:lineRule="exact"/>
                              <w:rPr>
                                <w:rFonts w:ascii="楷体_GB2312" w:hAnsi="宋体" w:eastAsia="楷体_GB2312"/>
                                <w:b/>
                                <w:bCs/>
                                <w:sz w:val="18"/>
                                <w:szCs w:val="18"/>
                              </w:rPr>
                            </w:pPr>
                            <w:r>
                              <w:rPr>
                                <w:rFonts w:hint="eastAsia" w:ascii="楷体_GB2312" w:hAnsi="宋体" w:eastAsia="楷体_GB2312"/>
                                <w:b/>
                                <w:bCs/>
                                <w:sz w:val="18"/>
                                <w:szCs w:val="18"/>
                              </w:rPr>
                              <w:t>合同解除后双方的责任和义务</w:t>
                            </w:r>
                          </w:p>
                        </w:txbxContent>
                      </wps:txbx>
                      <wps:bodyPr upright="1"/>
                    </wps:wsp>
                  </a:graphicData>
                </a:graphic>
              </wp:anchor>
            </w:drawing>
          </mc:Choice>
          <mc:Fallback>
            <w:pict>
              <v:shape id="_x0000_s1026" o:spid="_x0000_s1026" o:spt="202" type="#_x0000_t202" style="position:absolute;left:0pt;margin-left:-9pt;margin-top:0.55pt;height:46.8pt;width:72pt;z-index:252049408;mso-width-relative:page;mso-height-relative:page;" filled="f" stroked="f" coordsize="21600,21600" o:gfxdata="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QDGp&#10;ytQAAAAIAQAADwAAAAAAAAABACAAAAAiAAAAZHJzL2Rvd25yZXYueG1sUEsBAhQAFAAAAAgAh07i&#10;QPevv3G0AQAAXwMAAA4AAAAAAAAAAQAgAAAAIwEAAGRycy9lMm9Eb2MueG1sUEsFBgAAAAAGAAYA&#10;WQEAAEkFAAAAAA==&#10;">
                <v:fill on="f" focussize="0,0"/>
                <v:stroke on="f"/>
                <v:imagedata o:title=""/>
                <o:lock v:ext="edit" aspectratio="f"/>
                <v:textbox>
                  <w:txbxContent>
                    <w:p w14:paraId="450FFD79">
                      <w:pPr>
                        <w:spacing w:line="240" w:lineRule="exact"/>
                        <w:rPr>
                          <w:rFonts w:ascii="楷体_GB2312" w:hAnsi="宋体" w:eastAsia="楷体_GB2312"/>
                          <w:b/>
                          <w:bCs/>
                          <w:sz w:val="18"/>
                          <w:szCs w:val="18"/>
                        </w:rPr>
                      </w:pPr>
                      <w:r>
                        <w:rPr>
                          <w:rFonts w:hint="eastAsia" w:ascii="楷体_GB2312" w:hAnsi="宋体" w:eastAsia="楷体_GB2312"/>
                          <w:b/>
                          <w:bCs/>
                          <w:sz w:val="18"/>
                          <w:szCs w:val="18"/>
                        </w:rPr>
                        <w:t>合同解除后双方的责任和义务</w:t>
                      </w:r>
                    </w:p>
                  </w:txbxContent>
                </v:textbox>
              </v:shape>
            </w:pict>
          </mc:Fallback>
        </mc:AlternateContent>
      </w:r>
      <w:r>
        <w:rPr>
          <w:rFonts w:hint="eastAsia" w:hAnsi="宋体"/>
          <w:color w:val="auto"/>
          <w:sz w:val="24"/>
          <w:szCs w:val="18"/>
        </w:rPr>
        <w:t>合同一旦解除，承包人应立即停止施工，保证现场安全，保护已完工程和已购材料、工程设备，尽快撤离现场，并将所有与本合同有关的施工文件、设计文件移交给监理工程师。发包人应为承包人的撤离提供便利和协助。</w:t>
      </w:r>
    </w:p>
    <w:p w14:paraId="5B85ACFA">
      <w:pPr>
        <w:pStyle w:val="2"/>
        <w:adjustRightInd w:val="0"/>
        <w:snapToGrid w:val="0"/>
        <w:spacing w:line="360" w:lineRule="auto"/>
        <w:ind w:firstLine="482"/>
        <w:rPr>
          <w:rFonts w:hAnsi="宋体"/>
          <w:color w:val="auto"/>
          <w:sz w:val="30"/>
          <w:szCs w:val="24"/>
        </w:rPr>
      </w:pPr>
    </w:p>
    <w:p w14:paraId="59F1BFDA">
      <w:pPr>
        <w:pStyle w:val="2"/>
        <w:tabs>
          <w:tab w:val="left" w:pos="540"/>
        </w:tabs>
        <w:adjustRightInd w:val="0"/>
        <w:snapToGrid w:val="0"/>
        <w:spacing w:before="240" w:beforeLines="100" w:line="360" w:lineRule="auto"/>
        <w:ind w:right="-238"/>
        <w:rPr>
          <w:rFonts w:hAnsi="宋体"/>
          <w:b/>
          <w:color w:val="auto"/>
          <w:sz w:val="30"/>
          <w:szCs w:val="24"/>
        </w:rPr>
      </w:pPr>
      <w:r>
        <w:rPr>
          <w:rFonts w:hAnsi="宋体"/>
          <w:b/>
          <w:color w:val="auto"/>
          <w:sz w:val="30"/>
          <w:szCs w:val="24"/>
        </w:rPr>
        <w:t xml:space="preserve">88  </w:t>
      </w:r>
      <w:r>
        <w:rPr>
          <w:rFonts w:hint="eastAsia" w:hAnsi="宋体"/>
          <w:b/>
          <w:color w:val="auto"/>
          <w:sz w:val="30"/>
          <w:szCs w:val="24"/>
        </w:rPr>
        <w:t>合同解除的支付</w:t>
      </w:r>
    </w:p>
    <w:p w14:paraId="0412508C">
      <w:pPr>
        <w:pStyle w:val="2"/>
        <w:adjustRightInd w:val="0"/>
        <w:snapToGrid w:val="0"/>
        <w:spacing w:line="360" w:lineRule="auto"/>
        <w:rPr>
          <w:rFonts w:hAnsi="宋体"/>
          <w:b/>
          <w:color w:val="auto"/>
          <w:sz w:val="24"/>
          <w:szCs w:val="18"/>
        </w:rPr>
      </w:pPr>
      <w:r>
        <w:rPr>
          <w:color w:val="auto"/>
        </w:rPr>
        <mc:AlternateContent>
          <mc:Choice Requires="wps">
            <w:drawing>
              <wp:anchor distT="0" distB="0" distL="114300" distR="114300" simplePos="0" relativeHeight="252050432" behindDoc="0" locked="0" layoutInCell="1" allowOverlap="1">
                <wp:simplePos x="0" y="0"/>
                <wp:positionH relativeFrom="column">
                  <wp:posOffset>-66675</wp:posOffset>
                </wp:positionH>
                <wp:positionV relativeFrom="paragraph">
                  <wp:posOffset>188595</wp:posOffset>
                </wp:positionV>
                <wp:extent cx="914400" cy="396240"/>
                <wp:effectExtent l="0" t="0" r="0" b="0"/>
                <wp:wrapNone/>
                <wp:docPr id="308" name="文本框 308"/>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7F89F274">
                            <w:pPr>
                              <w:spacing w:line="240" w:lineRule="exact"/>
                              <w:rPr>
                                <w:rFonts w:ascii="楷体_GB2312" w:hAnsi="宋体" w:eastAsia="楷体_GB2312"/>
                                <w:b/>
                                <w:bCs/>
                                <w:sz w:val="18"/>
                                <w:szCs w:val="18"/>
                              </w:rPr>
                            </w:pPr>
                            <w:r>
                              <w:rPr>
                                <w:rFonts w:hint="eastAsia" w:ascii="楷体_GB2312" w:hAnsi="宋体" w:eastAsia="楷体_GB2312"/>
                                <w:b/>
                                <w:bCs/>
                                <w:sz w:val="18"/>
                                <w:szCs w:val="18"/>
                              </w:rPr>
                              <w:t>协商一致解除的支付</w:t>
                            </w:r>
                          </w:p>
                        </w:txbxContent>
                      </wps:txbx>
                      <wps:bodyPr upright="1"/>
                    </wps:wsp>
                  </a:graphicData>
                </a:graphic>
              </wp:anchor>
            </w:drawing>
          </mc:Choice>
          <mc:Fallback>
            <w:pict>
              <v:shape id="_x0000_s1026" o:spid="_x0000_s1026" o:spt="202" type="#_x0000_t202" style="position:absolute;left:0pt;margin-left:-5.25pt;margin-top:14.85pt;height:31.2pt;width:72pt;z-index:252050432;mso-width-relative:page;mso-height-relative:page;" filled="f" stroked="f" coordsize="21600,21600" o:gfxdata="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jm&#10;RGXWAAAACQEAAA8AAAAAAAAAAQAgAAAAIgAAAGRycy9kb3ducmV2LnhtbFBLAQIUABQAAAAIAIdO&#10;4kDhY281swEAAF8DAAAOAAAAAAAAAAEAIAAAACUBAABkcnMvZTJvRG9jLnhtbFBLBQYAAAAABgAG&#10;AFkBAABKBQAAAAA=&#10;">
                <v:fill on="f" focussize="0,0"/>
                <v:stroke on="f"/>
                <v:imagedata o:title=""/>
                <o:lock v:ext="edit" aspectratio="f"/>
                <v:textbox>
                  <w:txbxContent>
                    <w:p w14:paraId="7F89F274">
                      <w:pPr>
                        <w:spacing w:line="240" w:lineRule="exact"/>
                        <w:rPr>
                          <w:rFonts w:ascii="楷体_GB2312" w:hAnsi="宋体" w:eastAsia="楷体_GB2312"/>
                          <w:b/>
                          <w:bCs/>
                          <w:sz w:val="18"/>
                          <w:szCs w:val="18"/>
                        </w:rPr>
                      </w:pPr>
                      <w:r>
                        <w:rPr>
                          <w:rFonts w:hint="eastAsia" w:ascii="楷体_GB2312" w:hAnsi="宋体" w:eastAsia="楷体_GB2312"/>
                          <w:b/>
                          <w:bCs/>
                          <w:sz w:val="18"/>
                          <w:szCs w:val="18"/>
                        </w:rPr>
                        <w:t>协商一致解除的支付</w:t>
                      </w:r>
                    </w:p>
                  </w:txbxContent>
                </v:textbox>
              </v:shape>
            </w:pict>
          </mc:Fallback>
        </mc:AlternateContent>
      </w:r>
      <w:r>
        <w:rPr>
          <w:rFonts w:hAnsi="宋体"/>
          <w:b/>
          <w:color w:val="auto"/>
          <w:sz w:val="24"/>
          <w:szCs w:val="18"/>
        </w:rPr>
        <w:t xml:space="preserve">88.1     </w:t>
      </w:r>
    </w:p>
    <w:p w14:paraId="58FAE6C7">
      <w:pPr>
        <w:pStyle w:val="2"/>
        <w:adjustRightInd w:val="0"/>
        <w:snapToGrid w:val="0"/>
        <w:spacing w:line="360" w:lineRule="auto"/>
        <w:ind w:firstLine="1680" w:firstLineChars="700"/>
        <w:rPr>
          <w:rFonts w:hAnsi="宋体"/>
          <w:color w:val="auto"/>
          <w:sz w:val="24"/>
          <w:szCs w:val="18"/>
        </w:rPr>
      </w:pPr>
      <w:r>
        <w:rPr>
          <w:rFonts w:hint="eastAsia" w:hAnsi="宋体"/>
          <w:color w:val="auto"/>
          <w:sz w:val="24"/>
          <w:szCs w:val="18"/>
        </w:rPr>
        <w:t>根据第</w:t>
      </w:r>
      <w:r>
        <w:rPr>
          <w:rFonts w:hAnsi="宋体"/>
          <w:color w:val="auto"/>
          <w:sz w:val="24"/>
          <w:szCs w:val="18"/>
        </w:rPr>
        <w:t>87.1</w:t>
      </w:r>
      <w:r>
        <w:rPr>
          <w:rFonts w:hint="eastAsia" w:hAnsi="宋体"/>
          <w:color w:val="auto"/>
          <w:sz w:val="24"/>
          <w:szCs w:val="18"/>
        </w:rPr>
        <w:t>款规定解除合同的，按照达成的协议办理结算和支付工程款。</w:t>
      </w:r>
    </w:p>
    <w:p w14:paraId="3D0F0B9F">
      <w:pPr>
        <w:pStyle w:val="2"/>
        <w:adjustRightInd w:val="0"/>
        <w:snapToGrid w:val="0"/>
        <w:spacing w:line="360" w:lineRule="auto"/>
        <w:rPr>
          <w:rFonts w:hAnsi="宋体"/>
          <w:b/>
          <w:color w:val="auto"/>
          <w:sz w:val="24"/>
          <w:szCs w:val="18"/>
        </w:rPr>
      </w:pPr>
      <w:r>
        <w:rPr>
          <w:rFonts w:hAnsi="宋体"/>
          <w:b/>
          <w:color w:val="auto"/>
          <w:sz w:val="24"/>
          <w:szCs w:val="18"/>
        </w:rPr>
        <w:t xml:space="preserve">88.2  </w:t>
      </w:r>
    </w:p>
    <w:p w14:paraId="7D79AE7E">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2051456" behindDoc="0" locked="0" layoutInCell="1" allowOverlap="1">
                <wp:simplePos x="0" y="0"/>
                <wp:positionH relativeFrom="column">
                  <wp:posOffset>-114300</wp:posOffset>
                </wp:positionH>
                <wp:positionV relativeFrom="paragraph">
                  <wp:posOffset>15875</wp:posOffset>
                </wp:positionV>
                <wp:extent cx="914400" cy="693420"/>
                <wp:effectExtent l="0" t="0" r="0" b="0"/>
                <wp:wrapNone/>
                <wp:docPr id="309" name="文本框 309"/>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a:effectLst/>
                      </wps:spPr>
                      <wps:txbx>
                        <w:txbxContent>
                          <w:p w14:paraId="1C111547">
                            <w:pPr>
                              <w:spacing w:line="240" w:lineRule="exact"/>
                              <w:rPr>
                                <w:rFonts w:ascii="楷体_GB2312" w:hAnsi="宋体" w:eastAsia="楷体_GB2312"/>
                                <w:b/>
                                <w:bCs/>
                                <w:sz w:val="18"/>
                                <w:szCs w:val="18"/>
                              </w:rPr>
                            </w:pPr>
                            <w:r>
                              <w:rPr>
                                <w:rFonts w:hint="eastAsia" w:ascii="楷体_GB2312" w:hAnsi="宋体" w:eastAsia="楷体_GB2312"/>
                                <w:b/>
                                <w:bCs/>
                                <w:sz w:val="18"/>
                                <w:szCs w:val="18"/>
                              </w:rPr>
                              <w:t>不可抗力解除的支付</w:t>
                            </w:r>
                          </w:p>
                        </w:txbxContent>
                      </wps:txbx>
                      <wps:bodyPr upright="1"/>
                    </wps:wsp>
                  </a:graphicData>
                </a:graphic>
              </wp:anchor>
            </w:drawing>
          </mc:Choice>
          <mc:Fallback>
            <w:pict>
              <v:shape id="_x0000_s1026" o:spid="_x0000_s1026" o:spt="202" type="#_x0000_t202" style="position:absolute;left:0pt;margin-left:-9pt;margin-top:1.25pt;height:54.6pt;width:72pt;z-index:252051456;mso-width-relative:page;mso-height-relative:page;" filled="f" stroked="f" coordsize="21600,21600" o:gfxdata="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A&#10;+4+31gAAAAkBAAAPAAAAAAAAAAEAIAAAACIAAABkcnMvZG93bnJldi54bWxQSwECFAAUAAAACACH&#10;TuJAlkR7YLQBAABfAwAADgAAAAAAAAABACAAAAAlAQAAZHJzL2Uyb0RvYy54bWxQSwUGAAAAAAYA&#10;BgBZAQAASwUAAAAA&#10;">
                <v:fill on="f" focussize="0,0"/>
                <v:stroke on="f"/>
                <v:imagedata o:title=""/>
                <o:lock v:ext="edit" aspectratio="f"/>
                <v:textbox>
                  <w:txbxContent>
                    <w:p w14:paraId="1C111547">
                      <w:pPr>
                        <w:spacing w:line="240" w:lineRule="exact"/>
                        <w:rPr>
                          <w:rFonts w:ascii="楷体_GB2312" w:hAnsi="宋体" w:eastAsia="楷体_GB2312"/>
                          <w:b/>
                          <w:bCs/>
                          <w:sz w:val="18"/>
                          <w:szCs w:val="18"/>
                        </w:rPr>
                      </w:pPr>
                      <w:r>
                        <w:rPr>
                          <w:rFonts w:hint="eastAsia" w:ascii="楷体_GB2312" w:hAnsi="宋体" w:eastAsia="楷体_GB2312"/>
                          <w:b/>
                          <w:bCs/>
                          <w:sz w:val="18"/>
                          <w:szCs w:val="18"/>
                        </w:rPr>
                        <w:t>不可抗力解除的支付</w:t>
                      </w:r>
                    </w:p>
                  </w:txbxContent>
                </v:textbox>
              </v:shape>
            </w:pict>
          </mc:Fallback>
        </mc:AlternateContent>
      </w:r>
      <w:r>
        <w:rPr>
          <w:rFonts w:hint="eastAsia" w:hAnsi="宋体"/>
          <w:color w:val="auto"/>
          <w:sz w:val="24"/>
          <w:szCs w:val="18"/>
        </w:rPr>
        <w:t>根据第</w:t>
      </w:r>
      <w:r>
        <w:rPr>
          <w:rFonts w:hAnsi="宋体"/>
          <w:color w:val="auto"/>
          <w:sz w:val="24"/>
          <w:szCs w:val="18"/>
        </w:rPr>
        <w:t>87.2</w:t>
      </w:r>
      <w:r>
        <w:rPr>
          <w:rFonts w:hint="eastAsia" w:hAnsi="宋体"/>
          <w:color w:val="auto"/>
          <w:sz w:val="24"/>
          <w:szCs w:val="18"/>
        </w:rPr>
        <w:t>款规定解除合同的，发包人应向承包人支付合同解除之日前已完成工程但尚未支付的工程款。此外，发包人还应支付下列款项：</w:t>
      </w:r>
    </w:p>
    <w:p w14:paraId="350FA500">
      <w:pPr>
        <w:pStyle w:val="2"/>
        <w:numPr>
          <w:ilvl w:val="0"/>
          <w:numId w:val="30"/>
        </w:numPr>
        <w:adjustRightInd w:val="0"/>
        <w:snapToGrid w:val="0"/>
        <w:spacing w:line="360" w:lineRule="auto"/>
        <w:ind w:left="2096" w:leftChars="771" w:hanging="477" w:hangingChars="199"/>
        <w:rPr>
          <w:rFonts w:hAnsi="宋体"/>
          <w:color w:val="auto"/>
          <w:sz w:val="24"/>
          <w:szCs w:val="18"/>
        </w:rPr>
      </w:pPr>
      <w:r>
        <w:rPr>
          <w:rFonts w:hint="eastAsia" w:hAnsi="宋体"/>
          <w:color w:val="auto"/>
          <w:sz w:val="24"/>
          <w:szCs w:val="18"/>
        </w:rPr>
        <w:t>已实施或部分实施的措施项目应付款项；</w:t>
      </w:r>
    </w:p>
    <w:p w14:paraId="02BEFF8F">
      <w:pPr>
        <w:pStyle w:val="2"/>
        <w:numPr>
          <w:ilvl w:val="0"/>
          <w:numId w:val="30"/>
        </w:numPr>
        <w:adjustRightInd w:val="0"/>
        <w:snapToGrid w:val="0"/>
        <w:spacing w:line="360" w:lineRule="auto"/>
        <w:ind w:left="1618" w:leftChars="770" w:hanging="1"/>
        <w:rPr>
          <w:rFonts w:hAnsi="宋体"/>
          <w:color w:val="auto"/>
          <w:sz w:val="24"/>
          <w:szCs w:val="18"/>
        </w:rPr>
      </w:pPr>
      <w:r>
        <w:rPr>
          <w:rFonts w:hint="eastAsia" w:hAnsi="宋体"/>
          <w:color w:val="auto"/>
          <w:sz w:val="24"/>
          <w:szCs w:val="18"/>
        </w:rPr>
        <w:t>承包人为合同工程合理订购且已交付的材料和工程设备货款。发包人一经支付此项货款，该材料和工程设备即成为发包人的财产；</w:t>
      </w:r>
    </w:p>
    <w:p w14:paraId="53764390">
      <w:pPr>
        <w:pStyle w:val="2"/>
        <w:numPr>
          <w:ilvl w:val="0"/>
          <w:numId w:val="30"/>
        </w:numPr>
        <w:adjustRightInd w:val="0"/>
        <w:snapToGrid w:val="0"/>
        <w:spacing w:line="360" w:lineRule="auto"/>
        <w:ind w:left="1618" w:leftChars="770" w:hanging="1"/>
        <w:rPr>
          <w:rFonts w:hAnsi="宋体"/>
          <w:color w:val="auto"/>
          <w:sz w:val="24"/>
          <w:szCs w:val="18"/>
        </w:rPr>
      </w:pPr>
      <w:r>
        <w:rPr>
          <w:rFonts w:hint="eastAsia" w:hAnsi="宋体"/>
          <w:color w:val="auto"/>
          <w:sz w:val="24"/>
          <w:szCs w:val="18"/>
        </w:rPr>
        <w:t>承包人为完成合同工程而预期开支的任何合理款项，且该项款项未包括在本款其他各项支付之内；</w:t>
      </w:r>
    </w:p>
    <w:p w14:paraId="4F79CB71">
      <w:pPr>
        <w:pStyle w:val="2"/>
        <w:numPr>
          <w:ilvl w:val="0"/>
          <w:numId w:val="30"/>
        </w:numPr>
        <w:adjustRightInd w:val="0"/>
        <w:snapToGrid w:val="0"/>
        <w:spacing w:line="360" w:lineRule="auto"/>
        <w:ind w:left="2096" w:leftChars="771" w:hanging="477" w:hangingChars="199"/>
        <w:rPr>
          <w:rFonts w:hAnsi="宋体"/>
          <w:color w:val="auto"/>
          <w:sz w:val="24"/>
          <w:szCs w:val="18"/>
        </w:rPr>
      </w:pPr>
      <w:r>
        <w:rPr>
          <w:rFonts w:hint="eastAsia" w:hAnsi="宋体"/>
          <w:color w:val="auto"/>
          <w:sz w:val="24"/>
          <w:szCs w:val="18"/>
        </w:rPr>
        <w:t>根据第</w:t>
      </w:r>
      <w:r>
        <w:rPr>
          <w:rFonts w:hAnsi="宋体"/>
          <w:color w:val="auto"/>
          <w:sz w:val="24"/>
          <w:szCs w:val="18"/>
        </w:rPr>
        <w:t>31.3</w:t>
      </w:r>
      <w:r>
        <w:rPr>
          <w:rFonts w:hint="eastAsia" w:hAnsi="宋体"/>
          <w:color w:val="auto"/>
          <w:sz w:val="24"/>
          <w:szCs w:val="18"/>
        </w:rPr>
        <w:t>款规定的任何工作应支付的款项；</w:t>
      </w:r>
    </w:p>
    <w:p w14:paraId="2D9B7E22">
      <w:pPr>
        <w:pStyle w:val="2"/>
        <w:numPr>
          <w:ilvl w:val="0"/>
          <w:numId w:val="30"/>
        </w:numPr>
        <w:tabs>
          <w:tab w:val="left" w:pos="1980"/>
        </w:tabs>
        <w:adjustRightInd w:val="0"/>
        <w:snapToGrid w:val="0"/>
        <w:spacing w:line="360" w:lineRule="auto"/>
        <w:ind w:left="1618" w:leftChars="770" w:hanging="1"/>
        <w:rPr>
          <w:rFonts w:hAnsi="宋体"/>
          <w:color w:val="auto"/>
          <w:sz w:val="24"/>
          <w:szCs w:val="18"/>
        </w:rPr>
      </w:pPr>
      <w:r>
        <w:rPr>
          <w:rFonts w:hint="eastAsia" w:hAnsi="宋体"/>
          <w:color w:val="auto"/>
          <w:sz w:val="24"/>
          <w:szCs w:val="18"/>
        </w:rPr>
        <w:t>根据第</w:t>
      </w:r>
      <w:r>
        <w:rPr>
          <w:rFonts w:hAnsi="宋体"/>
          <w:color w:val="auto"/>
          <w:sz w:val="24"/>
          <w:szCs w:val="18"/>
        </w:rPr>
        <w:t>87.6</w:t>
      </w:r>
      <w:r>
        <w:rPr>
          <w:rFonts w:hint="eastAsia" w:hAnsi="宋体"/>
          <w:color w:val="auto"/>
          <w:sz w:val="24"/>
          <w:szCs w:val="18"/>
        </w:rPr>
        <w:t>款规定承包人撤离现场所需的合理款项，包括雇员遣送费和临时工程拆除、施工设备运离现场的款项。</w:t>
      </w:r>
    </w:p>
    <w:p w14:paraId="6A7D7B23">
      <w:pPr>
        <w:pStyle w:val="2"/>
        <w:adjustRightInd w:val="0"/>
        <w:snapToGrid w:val="0"/>
        <w:spacing w:line="360" w:lineRule="auto"/>
        <w:ind w:left="1619" w:leftChars="771"/>
        <w:rPr>
          <w:rFonts w:hAnsi="宋体"/>
          <w:color w:val="auto"/>
          <w:sz w:val="24"/>
          <w:szCs w:val="18"/>
        </w:rPr>
      </w:pPr>
      <w:r>
        <w:rPr>
          <w:rFonts w:hint="eastAsia" w:hAnsi="宋体"/>
          <w:color w:val="auto"/>
          <w:sz w:val="24"/>
          <w:szCs w:val="18"/>
        </w:rPr>
        <w:t>合同双方当事人按照第</w:t>
      </w:r>
      <w:r>
        <w:rPr>
          <w:rFonts w:hAnsi="宋体"/>
          <w:color w:val="auto"/>
          <w:sz w:val="24"/>
          <w:szCs w:val="18"/>
        </w:rPr>
        <w:t>82</w:t>
      </w:r>
      <w:r>
        <w:rPr>
          <w:rFonts w:hint="eastAsia" w:hAnsi="宋体"/>
          <w:color w:val="auto"/>
          <w:sz w:val="24"/>
          <w:szCs w:val="18"/>
        </w:rPr>
        <w:t>条、第</w:t>
      </w:r>
      <w:r>
        <w:rPr>
          <w:rFonts w:hAnsi="宋体"/>
          <w:color w:val="auto"/>
          <w:sz w:val="24"/>
          <w:szCs w:val="18"/>
        </w:rPr>
        <w:t>83</w:t>
      </w:r>
      <w:r>
        <w:rPr>
          <w:rFonts w:hint="eastAsia" w:hAnsi="宋体"/>
          <w:color w:val="auto"/>
          <w:sz w:val="24"/>
          <w:szCs w:val="18"/>
        </w:rPr>
        <w:t>条规定办理结算工程款，但应扣除合同解除之日前发包人向承包人收回的任何款项。如果发包人应扣除的款项超过了应支付的款项，则承包人应在合同解除后的</w:t>
      </w:r>
      <w:r>
        <w:rPr>
          <w:rFonts w:hAnsi="宋体"/>
          <w:color w:val="auto"/>
          <w:sz w:val="24"/>
          <w:szCs w:val="18"/>
        </w:rPr>
        <w:t>56</w:t>
      </w:r>
      <w:r>
        <w:rPr>
          <w:rFonts w:hint="eastAsia" w:hAnsi="宋体"/>
          <w:color w:val="auto"/>
          <w:sz w:val="24"/>
          <w:szCs w:val="18"/>
        </w:rPr>
        <w:t>天内将其差额退还给发包人。</w:t>
      </w:r>
    </w:p>
    <w:p w14:paraId="6FDABF68">
      <w:pPr>
        <w:pStyle w:val="2"/>
        <w:adjustRightInd w:val="0"/>
        <w:snapToGrid w:val="0"/>
        <w:spacing w:line="360" w:lineRule="auto"/>
        <w:rPr>
          <w:rFonts w:hAnsi="宋体"/>
          <w:b/>
          <w:color w:val="auto"/>
          <w:sz w:val="24"/>
          <w:szCs w:val="18"/>
        </w:rPr>
      </w:pPr>
      <w:r>
        <w:rPr>
          <w:rFonts w:hAnsi="宋体"/>
          <w:b/>
          <w:color w:val="auto"/>
          <w:sz w:val="24"/>
          <w:szCs w:val="18"/>
        </w:rPr>
        <w:t xml:space="preserve">88.3  </w:t>
      </w:r>
    </w:p>
    <w:p w14:paraId="01DCFE45">
      <w:pPr>
        <w:pStyle w:val="2"/>
        <w:adjustRightInd w:val="0"/>
        <w:snapToGrid w:val="0"/>
        <w:spacing w:line="360" w:lineRule="auto"/>
        <w:ind w:left="1619" w:leftChars="771"/>
        <w:rPr>
          <w:rFonts w:hAnsi="宋体"/>
          <w:b/>
          <w:color w:val="auto"/>
          <w:sz w:val="24"/>
          <w:szCs w:val="18"/>
        </w:rPr>
      </w:pPr>
      <w:r>
        <w:rPr>
          <w:color w:val="auto"/>
        </w:rPr>
        <mc:AlternateContent>
          <mc:Choice Requires="wps">
            <w:drawing>
              <wp:anchor distT="0" distB="0" distL="114300" distR="114300" simplePos="0" relativeHeight="252052480" behindDoc="0" locked="0" layoutInCell="1" allowOverlap="1">
                <wp:simplePos x="0" y="0"/>
                <wp:positionH relativeFrom="column">
                  <wp:posOffset>-114300</wp:posOffset>
                </wp:positionH>
                <wp:positionV relativeFrom="paragraph">
                  <wp:posOffset>49530</wp:posOffset>
                </wp:positionV>
                <wp:extent cx="914400" cy="693420"/>
                <wp:effectExtent l="0" t="0" r="0" b="0"/>
                <wp:wrapNone/>
                <wp:docPr id="310" name="文本框 310"/>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a:effectLst/>
                      </wps:spPr>
                      <wps:txbx>
                        <w:txbxContent>
                          <w:p w14:paraId="32D299F4">
                            <w:pPr>
                              <w:spacing w:line="240" w:lineRule="exact"/>
                              <w:rPr>
                                <w:rFonts w:ascii="楷体_GB2312" w:hAnsi="宋体" w:eastAsia="楷体_GB2312"/>
                                <w:b/>
                                <w:bCs/>
                                <w:sz w:val="18"/>
                                <w:szCs w:val="18"/>
                              </w:rPr>
                            </w:pPr>
                            <w:r>
                              <w:rPr>
                                <w:rFonts w:hint="eastAsia" w:ascii="楷体_GB2312" w:hAnsi="宋体" w:eastAsia="楷体_GB2312"/>
                                <w:b/>
                                <w:bCs/>
                                <w:sz w:val="18"/>
                                <w:szCs w:val="18"/>
                              </w:rPr>
                              <w:t>因承包人的原因解除的支付</w:t>
                            </w:r>
                          </w:p>
                        </w:txbxContent>
                      </wps:txbx>
                      <wps:bodyPr upright="1"/>
                    </wps:wsp>
                  </a:graphicData>
                </a:graphic>
              </wp:anchor>
            </w:drawing>
          </mc:Choice>
          <mc:Fallback>
            <w:pict>
              <v:shape id="_x0000_s1026" o:spid="_x0000_s1026" o:spt="202" type="#_x0000_t202" style="position:absolute;left:0pt;margin-left:-9pt;margin-top:3.9pt;height:54.6pt;width:72pt;z-index:252052480;mso-width-relative:page;mso-height-relative:page;" filled="f" stroked="f" coordsize="21600,21600" o:gfxdata="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KkB&#10;r53WAAAACQEAAA8AAAAAAAAAAQAgAAAAIgAAAGRycy9kb3ducmV2LnhtbFBLAQIUABQAAAAIAIdO&#10;4kDkKaX8swEAAF8DAAAOAAAAAAAAAAEAIAAAACUBAABkcnMvZTJvRG9jLnhtbFBLBQYAAAAABgAG&#10;AFkBAABKBQAAAAA=&#10;">
                <v:fill on="f" focussize="0,0"/>
                <v:stroke on="f"/>
                <v:imagedata o:title=""/>
                <o:lock v:ext="edit" aspectratio="f"/>
                <v:textbox>
                  <w:txbxContent>
                    <w:p w14:paraId="32D299F4">
                      <w:pPr>
                        <w:spacing w:line="240" w:lineRule="exact"/>
                        <w:rPr>
                          <w:rFonts w:ascii="楷体_GB2312" w:hAnsi="宋体" w:eastAsia="楷体_GB2312"/>
                          <w:b/>
                          <w:bCs/>
                          <w:sz w:val="18"/>
                          <w:szCs w:val="18"/>
                        </w:rPr>
                      </w:pPr>
                      <w:r>
                        <w:rPr>
                          <w:rFonts w:hint="eastAsia" w:ascii="楷体_GB2312" w:hAnsi="宋体" w:eastAsia="楷体_GB2312"/>
                          <w:b/>
                          <w:bCs/>
                          <w:sz w:val="18"/>
                          <w:szCs w:val="18"/>
                        </w:rPr>
                        <w:t>因承包人的原因解除的支付</w:t>
                      </w:r>
                    </w:p>
                  </w:txbxContent>
                </v:textbox>
              </v:shape>
            </w:pict>
          </mc:Fallback>
        </mc:AlternateContent>
      </w:r>
      <w:r>
        <w:rPr>
          <w:rFonts w:hint="eastAsia" w:hAnsi="宋体"/>
          <w:color w:val="auto"/>
          <w:sz w:val="24"/>
          <w:szCs w:val="18"/>
        </w:rPr>
        <w:t>根据第</w:t>
      </w:r>
      <w:r>
        <w:rPr>
          <w:rFonts w:hAnsi="宋体"/>
          <w:color w:val="auto"/>
          <w:sz w:val="24"/>
          <w:szCs w:val="18"/>
        </w:rPr>
        <w:t>87.3</w:t>
      </w:r>
      <w:r>
        <w:rPr>
          <w:rFonts w:hint="eastAsia" w:hAnsi="宋体"/>
          <w:color w:val="auto"/>
          <w:sz w:val="24"/>
          <w:szCs w:val="18"/>
        </w:rPr>
        <w:t>款规定解除合同的，发包人暂停向承包人支付任何款项，造价工程师应在合同解除后</w:t>
      </w:r>
      <w:r>
        <w:rPr>
          <w:rFonts w:hAnsi="宋体"/>
          <w:color w:val="auto"/>
          <w:sz w:val="24"/>
          <w:szCs w:val="18"/>
        </w:rPr>
        <w:t>28</w:t>
      </w:r>
      <w:r>
        <w:rPr>
          <w:rFonts w:hint="eastAsia" w:hAnsi="宋体"/>
          <w:color w:val="auto"/>
          <w:sz w:val="24"/>
          <w:szCs w:val="18"/>
        </w:rPr>
        <w:t>天内核实合同解除时承包人已完成的全部工程款以及已运至现场的材料和工程设备货款，并扣除误期赔偿费（如有）和发包人已支付给承包人的各项款项，同时将结果通知承包人并抄报发包人。合同双方当事人应在收到核实结果后的</w:t>
      </w:r>
      <w:r>
        <w:rPr>
          <w:rFonts w:hAnsi="宋体"/>
          <w:color w:val="auto"/>
          <w:sz w:val="24"/>
          <w:szCs w:val="18"/>
        </w:rPr>
        <w:t>28</w:t>
      </w:r>
      <w:r>
        <w:rPr>
          <w:rFonts w:hint="eastAsia" w:hAnsi="宋体"/>
          <w:color w:val="auto"/>
          <w:sz w:val="24"/>
          <w:szCs w:val="18"/>
        </w:rPr>
        <w:t>天内予以确认或提出意见，并按照第</w:t>
      </w:r>
      <w:r>
        <w:rPr>
          <w:rFonts w:hAnsi="宋体"/>
          <w:color w:val="auto"/>
          <w:sz w:val="24"/>
          <w:szCs w:val="18"/>
        </w:rPr>
        <w:t>82.4</w:t>
      </w:r>
      <w:r>
        <w:rPr>
          <w:rFonts w:hint="eastAsia" w:hAnsi="宋体"/>
          <w:color w:val="auto"/>
          <w:sz w:val="24"/>
          <w:szCs w:val="18"/>
        </w:rPr>
        <w:t>款规定办理结算工程款。如果发包人应扣除的款项超过了应支付的款项，则承包人应在合同解除后的</w:t>
      </w:r>
      <w:r>
        <w:rPr>
          <w:rFonts w:hAnsi="宋体"/>
          <w:color w:val="auto"/>
          <w:sz w:val="24"/>
          <w:szCs w:val="18"/>
        </w:rPr>
        <w:t>56</w:t>
      </w:r>
      <w:r>
        <w:rPr>
          <w:rFonts w:hint="eastAsia" w:hAnsi="宋体"/>
          <w:color w:val="auto"/>
          <w:sz w:val="24"/>
          <w:szCs w:val="18"/>
        </w:rPr>
        <w:t>天内将其差额退还给发包人。</w:t>
      </w:r>
    </w:p>
    <w:p w14:paraId="30BCB1E5">
      <w:pPr>
        <w:pStyle w:val="2"/>
        <w:adjustRightInd w:val="0"/>
        <w:snapToGrid w:val="0"/>
        <w:spacing w:line="360" w:lineRule="auto"/>
        <w:rPr>
          <w:rFonts w:hAnsi="宋体"/>
          <w:b/>
          <w:color w:val="auto"/>
          <w:sz w:val="24"/>
          <w:szCs w:val="18"/>
        </w:rPr>
      </w:pPr>
      <w:r>
        <w:rPr>
          <w:rFonts w:hAnsi="宋体"/>
          <w:b/>
          <w:color w:val="auto"/>
          <w:sz w:val="24"/>
          <w:szCs w:val="18"/>
        </w:rPr>
        <w:t xml:space="preserve">88.4  </w:t>
      </w:r>
    </w:p>
    <w:p w14:paraId="48B520AD">
      <w:pPr>
        <w:pStyle w:val="2"/>
        <w:adjustRightInd w:val="0"/>
        <w:snapToGrid w:val="0"/>
        <w:spacing w:line="360" w:lineRule="auto"/>
        <w:ind w:left="1619" w:leftChars="771"/>
        <w:jc w:val="left"/>
        <w:rPr>
          <w:rFonts w:hAnsi="宋体"/>
          <w:color w:val="auto"/>
          <w:sz w:val="24"/>
          <w:szCs w:val="18"/>
        </w:rPr>
      </w:pPr>
      <w:r>
        <w:rPr>
          <w:color w:val="auto"/>
        </w:rPr>
        <mc:AlternateContent>
          <mc:Choice Requires="wps">
            <w:drawing>
              <wp:anchor distT="0" distB="0" distL="114300" distR="114300" simplePos="0" relativeHeight="252053504" behindDoc="0" locked="0" layoutInCell="1" allowOverlap="1">
                <wp:simplePos x="0" y="0"/>
                <wp:positionH relativeFrom="column">
                  <wp:posOffset>-114300</wp:posOffset>
                </wp:positionH>
                <wp:positionV relativeFrom="paragraph">
                  <wp:posOffset>45720</wp:posOffset>
                </wp:positionV>
                <wp:extent cx="914400" cy="463550"/>
                <wp:effectExtent l="0" t="0" r="0" b="0"/>
                <wp:wrapNone/>
                <wp:docPr id="311" name="文本框 311"/>
                <wp:cNvGraphicFramePr/>
                <a:graphic xmlns:a="http://schemas.openxmlformats.org/drawingml/2006/main">
                  <a:graphicData uri="http://schemas.microsoft.com/office/word/2010/wordprocessingShape">
                    <wps:wsp>
                      <wps:cNvSpPr txBox="1"/>
                      <wps:spPr>
                        <a:xfrm>
                          <a:off x="0" y="0"/>
                          <a:ext cx="914400" cy="463550"/>
                        </a:xfrm>
                        <a:prstGeom prst="rect">
                          <a:avLst/>
                        </a:prstGeom>
                        <a:noFill/>
                        <a:ln>
                          <a:noFill/>
                        </a:ln>
                        <a:effectLst/>
                      </wps:spPr>
                      <wps:txbx>
                        <w:txbxContent>
                          <w:p w14:paraId="2B63E9BB">
                            <w:pPr>
                              <w:spacing w:line="240" w:lineRule="exact"/>
                              <w:rPr>
                                <w:rFonts w:ascii="楷体_GB2312" w:hAnsi="宋体" w:eastAsia="楷体_GB2312"/>
                                <w:b/>
                                <w:bCs/>
                                <w:sz w:val="18"/>
                                <w:szCs w:val="18"/>
                              </w:rPr>
                            </w:pPr>
                            <w:r>
                              <w:rPr>
                                <w:rFonts w:hint="eastAsia" w:ascii="楷体_GB2312" w:hAnsi="宋体" w:eastAsia="楷体_GB2312"/>
                                <w:b/>
                                <w:bCs/>
                                <w:sz w:val="18"/>
                                <w:szCs w:val="18"/>
                              </w:rPr>
                              <w:t>因发包人的原因解除的支付</w:t>
                            </w:r>
                          </w:p>
                        </w:txbxContent>
                      </wps:txbx>
                      <wps:bodyPr upright="1"/>
                    </wps:wsp>
                  </a:graphicData>
                </a:graphic>
              </wp:anchor>
            </w:drawing>
          </mc:Choice>
          <mc:Fallback>
            <w:pict>
              <v:shape id="_x0000_s1026" o:spid="_x0000_s1026" o:spt="202" type="#_x0000_t202" style="position:absolute;left:0pt;margin-left:-9pt;margin-top:3.6pt;height:36.5pt;width:72pt;z-index:252053504;mso-width-relative:page;mso-height-relative:page;" filled="f" stroked="f" coordsize="21600,21600" o:gfxdata="UEsDBAoAAAAAAIdO4kAAAAAAAAAAAAAAAAAEAAAAZHJzL1BLAwQUAAAACACHTuJAA9E29d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APR&#10;NvXVAAAACAEAAA8AAAAAAAAAAQAgAAAAIgAAAGRycy9kb3ducmV2LnhtbFBLAQIUABQAAAAIAIdO&#10;4kChvgw9tAEAAF8DAAAOAAAAAAAAAAEAIAAAACQBAABkcnMvZTJvRG9jLnhtbFBLBQYAAAAABgAG&#10;AFkBAABKBQAAAAA=&#10;">
                <v:fill on="f" focussize="0,0"/>
                <v:stroke on="f"/>
                <v:imagedata o:title=""/>
                <o:lock v:ext="edit" aspectratio="f"/>
                <v:textbox>
                  <w:txbxContent>
                    <w:p w14:paraId="2B63E9BB">
                      <w:pPr>
                        <w:spacing w:line="240" w:lineRule="exact"/>
                        <w:rPr>
                          <w:rFonts w:ascii="楷体_GB2312" w:hAnsi="宋体" w:eastAsia="楷体_GB2312"/>
                          <w:b/>
                          <w:bCs/>
                          <w:sz w:val="18"/>
                          <w:szCs w:val="18"/>
                        </w:rPr>
                      </w:pPr>
                      <w:r>
                        <w:rPr>
                          <w:rFonts w:hint="eastAsia" w:ascii="楷体_GB2312" w:hAnsi="宋体" w:eastAsia="楷体_GB2312"/>
                          <w:b/>
                          <w:bCs/>
                          <w:sz w:val="18"/>
                          <w:szCs w:val="18"/>
                        </w:rPr>
                        <w:t>因发包人的原因解除的支付</w:t>
                      </w:r>
                    </w:p>
                  </w:txbxContent>
                </v:textbox>
              </v:shape>
            </w:pict>
          </mc:Fallback>
        </mc:AlternateContent>
      </w:r>
      <w:r>
        <w:rPr>
          <w:rFonts w:hint="eastAsia" w:hAnsi="宋体"/>
          <w:color w:val="auto"/>
          <w:sz w:val="24"/>
          <w:szCs w:val="18"/>
        </w:rPr>
        <w:t>根据第</w:t>
      </w:r>
      <w:r>
        <w:rPr>
          <w:rFonts w:hAnsi="宋体"/>
          <w:color w:val="auto"/>
          <w:sz w:val="24"/>
          <w:szCs w:val="18"/>
        </w:rPr>
        <w:t>87.4</w:t>
      </w:r>
      <w:r>
        <w:rPr>
          <w:rFonts w:hint="eastAsia" w:hAnsi="宋体"/>
          <w:color w:val="auto"/>
          <w:sz w:val="24"/>
          <w:szCs w:val="18"/>
        </w:rPr>
        <w:t>款规定解除合同的，发包人除应按照第</w:t>
      </w:r>
      <w:r>
        <w:rPr>
          <w:rFonts w:hAnsi="宋体"/>
          <w:color w:val="auto"/>
          <w:sz w:val="24"/>
          <w:szCs w:val="18"/>
        </w:rPr>
        <w:t>88.2</w:t>
      </w:r>
      <w:r>
        <w:rPr>
          <w:rFonts w:hint="eastAsia" w:hAnsi="宋体"/>
          <w:color w:val="auto"/>
          <w:sz w:val="24"/>
          <w:szCs w:val="18"/>
        </w:rPr>
        <w:t>款规定向承包人支付各项款项外，还应支付给承包人由于解除合同而引起的损失或损害的款项。该笔款项由承包人提出，造价工程师核实后与合同双方当事人协商确定，并在确定后的</w:t>
      </w:r>
      <w:r>
        <w:rPr>
          <w:rFonts w:hAnsi="宋体"/>
          <w:color w:val="auto"/>
          <w:sz w:val="24"/>
          <w:szCs w:val="18"/>
        </w:rPr>
        <w:t>7</w:t>
      </w:r>
      <w:r>
        <w:rPr>
          <w:rFonts w:hint="eastAsia" w:hAnsi="宋体"/>
          <w:color w:val="auto"/>
          <w:sz w:val="24"/>
          <w:szCs w:val="18"/>
        </w:rPr>
        <w:t>天内由造价工程师向发包人签发支付证书，抄送承包人。协商不能达成一致的，按照第</w:t>
      </w:r>
      <w:r>
        <w:rPr>
          <w:rFonts w:hAnsi="宋体"/>
          <w:color w:val="auto"/>
          <w:sz w:val="24"/>
          <w:szCs w:val="18"/>
        </w:rPr>
        <w:t>86</w:t>
      </w:r>
      <w:r>
        <w:rPr>
          <w:rFonts w:hint="eastAsia" w:hAnsi="宋体"/>
          <w:color w:val="auto"/>
          <w:sz w:val="24"/>
          <w:szCs w:val="18"/>
        </w:rPr>
        <w:t>条规定处理。</w:t>
      </w:r>
    </w:p>
    <w:p w14:paraId="6565D02D">
      <w:pPr>
        <w:pStyle w:val="2"/>
        <w:adjustRightInd w:val="0"/>
        <w:snapToGrid w:val="0"/>
        <w:spacing w:line="360" w:lineRule="auto"/>
        <w:jc w:val="left"/>
        <w:rPr>
          <w:rFonts w:hAnsi="宋体"/>
          <w:b/>
          <w:color w:val="auto"/>
          <w:sz w:val="30"/>
          <w:szCs w:val="24"/>
        </w:rPr>
      </w:pPr>
    </w:p>
    <w:p w14:paraId="786CB027">
      <w:pPr>
        <w:pStyle w:val="2"/>
        <w:adjustRightInd w:val="0"/>
        <w:snapToGrid w:val="0"/>
        <w:spacing w:line="360" w:lineRule="auto"/>
        <w:jc w:val="left"/>
        <w:rPr>
          <w:rFonts w:hAnsi="宋体"/>
          <w:b/>
          <w:color w:val="auto"/>
          <w:sz w:val="30"/>
          <w:szCs w:val="24"/>
        </w:rPr>
      </w:pPr>
      <w:r>
        <w:rPr>
          <w:rFonts w:hAnsi="宋体"/>
          <w:b/>
          <w:color w:val="auto"/>
          <w:sz w:val="30"/>
          <w:szCs w:val="24"/>
        </w:rPr>
        <w:t xml:space="preserve">89  </w:t>
      </w:r>
      <w:r>
        <w:rPr>
          <w:rFonts w:hint="eastAsia" w:hAnsi="宋体"/>
          <w:b/>
          <w:color w:val="auto"/>
          <w:sz w:val="30"/>
          <w:szCs w:val="24"/>
        </w:rPr>
        <w:t>合同终止</w:t>
      </w:r>
    </w:p>
    <w:p w14:paraId="27E635EB">
      <w:pPr>
        <w:pStyle w:val="2"/>
        <w:adjustRightInd w:val="0"/>
        <w:snapToGrid w:val="0"/>
        <w:spacing w:line="360" w:lineRule="auto"/>
        <w:rPr>
          <w:rFonts w:hAnsi="宋体"/>
          <w:b/>
          <w:color w:val="auto"/>
          <w:sz w:val="24"/>
          <w:szCs w:val="18"/>
        </w:rPr>
      </w:pPr>
      <w:r>
        <w:rPr>
          <w:rFonts w:hAnsi="宋体"/>
          <w:b/>
          <w:color w:val="auto"/>
          <w:sz w:val="24"/>
          <w:szCs w:val="18"/>
        </w:rPr>
        <w:t xml:space="preserve">89.1    </w:t>
      </w:r>
    </w:p>
    <w:p w14:paraId="5F887FDD">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2054528"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312" name="文本框 312"/>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6D0B5ABB">
                            <w:pPr>
                              <w:spacing w:line="240" w:lineRule="exact"/>
                              <w:rPr>
                                <w:rFonts w:ascii="楷体_GB2312" w:hAnsi="宋体" w:eastAsia="楷体_GB2312"/>
                                <w:b/>
                                <w:bCs/>
                                <w:sz w:val="18"/>
                                <w:szCs w:val="18"/>
                              </w:rPr>
                            </w:pPr>
                            <w:r>
                              <w:rPr>
                                <w:rFonts w:hint="eastAsia" w:ascii="楷体_GB2312" w:hAnsi="宋体" w:eastAsia="楷体_GB2312"/>
                                <w:b/>
                                <w:bCs/>
                                <w:sz w:val="18"/>
                                <w:szCs w:val="18"/>
                              </w:rPr>
                              <w:t>合同解除后的终止</w:t>
                            </w:r>
                          </w:p>
                        </w:txbxContent>
                      </wps:txbx>
                      <wps:bodyPr upright="1"/>
                    </wps:wsp>
                  </a:graphicData>
                </a:graphic>
              </wp:anchor>
            </w:drawing>
          </mc:Choice>
          <mc:Fallback>
            <w:pict>
              <v:shape id="_x0000_s1026" o:spid="_x0000_s1026" o:spt="202" type="#_x0000_t202" style="position:absolute;left:0pt;margin-left:-9pt;margin-top:1.25pt;height:31.2pt;width:72pt;z-index:252054528;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D8/w&#10;cNUAAAAIAQAADwAAAAAAAAABACAAAAAiAAAAZHJzL2Rvd25yZXYueG1sUEsBAhQAFAAAAAgAh07i&#10;QHMAnY2zAQAAXwMAAA4AAAAAAAAAAQAgAAAAJAEAAGRycy9lMm9Eb2MueG1sUEsFBgAAAAAGAAYA&#10;WQEAAEkFAAAAAA==&#10;">
                <v:fill on="f" focussize="0,0"/>
                <v:stroke on="f"/>
                <v:imagedata o:title=""/>
                <o:lock v:ext="edit" aspectratio="f"/>
                <v:textbox>
                  <w:txbxContent>
                    <w:p w14:paraId="6D0B5ABB">
                      <w:pPr>
                        <w:spacing w:line="240" w:lineRule="exact"/>
                        <w:rPr>
                          <w:rFonts w:ascii="楷体_GB2312" w:hAnsi="宋体" w:eastAsia="楷体_GB2312"/>
                          <w:b/>
                          <w:bCs/>
                          <w:sz w:val="18"/>
                          <w:szCs w:val="18"/>
                        </w:rPr>
                      </w:pPr>
                      <w:r>
                        <w:rPr>
                          <w:rFonts w:hint="eastAsia" w:ascii="楷体_GB2312" w:hAnsi="宋体" w:eastAsia="楷体_GB2312"/>
                          <w:b/>
                          <w:bCs/>
                          <w:sz w:val="18"/>
                          <w:szCs w:val="18"/>
                        </w:rPr>
                        <w:t>合同解除后的终止</w:t>
                      </w:r>
                    </w:p>
                  </w:txbxContent>
                </v:textbox>
              </v:shape>
            </w:pict>
          </mc:Fallback>
        </mc:AlternateContent>
      </w:r>
      <w:r>
        <w:rPr>
          <w:rFonts w:hint="eastAsia" w:hAnsi="宋体"/>
          <w:color w:val="auto"/>
          <w:sz w:val="24"/>
          <w:szCs w:val="18"/>
        </w:rPr>
        <w:t>合同解除后，除合同双方当事人享有第</w:t>
      </w:r>
      <w:r>
        <w:rPr>
          <w:rFonts w:hAnsi="宋体"/>
          <w:color w:val="auto"/>
          <w:sz w:val="24"/>
          <w:szCs w:val="18"/>
        </w:rPr>
        <w:t>86</w:t>
      </w:r>
      <w:r>
        <w:rPr>
          <w:rFonts w:hint="eastAsia" w:hAnsi="宋体"/>
          <w:color w:val="auto"/>
          <w:sz w:val="24"/>
          <w:szCs w:val="18"/>
        </w:rPr>
        <w:t>条至第</w:t>
      </w:r>
      <w:r>
        <w:rPr>
          <w:rFonts w:hAnsi="宋体"/>
          <w:color w:val="auto"/>
          <w:sz w:val="24"/>
          <w:szCs w:val="18"/>
        </w:rPr>
        <w:t>88</w:t>
      </w:r>
      <w:r>
        <w:rPr>
          <w:rFonts w:hint="eastAsia" w:hAnsi="宋体"/>
          <w:color w:val="auto"/>
          <w:sz w:val="24"/>
          <w:szCs w:val="18"/>
        </w:rPr>
        <w:t>条规定的权利外，本合同即告终止，但不因一方当事人在此以前的任何违约而损害另一方当事人应享有的权利，也不影响合同双方当事人履行本合同结算和清算条款的效力。</w:t>
      </w:r>
    </w:p>
    <w:p w14:paraId="45CB13E8">
      <w:pPr>
        <w:pStyle w:val="2"/>
        <w:tabs>
          <w:tab w:val="left" w:pos="1320"/>
        </w:tabs>
        <w:adjustRightInd w:val="0"/>
        <w:snapToGrid w:val="0"/>
        <w:spacing w:line="360" w:lineRule="auto"/>
        <w:rPr>
          <w:rFonts w:hAnsi="宋体"/>
          <w:b/>
          <w:color w:val="auto"/>
          <w:sz w:val="24"/>
          <w:szCs w:val="18"/>
        </w:rPr>
      </w:pPr>
      <w:r>
        <w:rPr>
          <w:rFonts w:hAnsi="宋体"/>
          <w:b/>
          <w:color w:val="auto"/>
          <w:sz w:val="24"/>
          <w:szCs w:val="18"/>
        </w:rPr>
        <w:t xml:space="preserve">89.2  </w:t>
      </w:r>
    </w:p>
    <w:p w14:paraId="14B02F64">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2055552" behindDoc="0" locked="0" layoutInCell="1" allowOverlap="1">
                <wp:simplePos x="0" y="0"/>
                <wp:positionH relativeFrom="column">
                  <wp:posOffset>-114300</wp:posOffset>
                </wp:positionH>
                <wp:positionV relativeFrom="paragraph">
                  <wp:posOffset>635</wp:posOffset>
                </wp:positionV>
                <wp:extent cx="914400" cy="851535"/>
                <wp:effectExtent l="0" t="0" r="0" b="0"/>
                <wp:wrapNone/>
                <wp:docPr id="313" name="文本框 313"/>
                <wp:cNvGraphicFramePr/>
                <a:graphic xmlns:a="http://schemas.openxmlformats.org/drawingml/2006/main">
                  <a:graphicData uri="http://schemas.microsoft.com/office/word/2010/wordprocessingShape">
                    <wps:wsp>
                      <wps:cNvSpPr txBox="1"/>
                      <wps:spPr>
                        <a:xfrm>
                          <a:off x="0" y="0"/>
                          <a:ext cx="914400" cy="851535"/>
                        </a:xfrm>
                        <a:prstGeom prst="rect">
                          <a:avLst/>
                        </a:prstGeom>
                        <a:noFill/>
                        <a:ln>
                          <a:noFill/>
                        </a:ln>
                        <a:effectLst/>
                      </wps:spPr>
                      <wps:txbx>
                        <w:txbxContent>
                          <w:p w14:paraId="704D048D">
                            <w:pPr>
                              <w:spacing w:line="240" w:lineRule="exact"/>
                              <w:rPr>
                                <w:rFonts w:ascii="楷体_GB2312" w:hAnsi="宋体" w:eastAsia="楷体_GB2312"/>
                                <w:b/>
                                <w:bCs/>
                                <w:sz w:val="18"/>
                                <w:szCs w:val="18"/>
                              </w:rPr>
                            </w:pPr>
                            <w:r>
                              <w:rPr>
                                <w:rFonts w:hint="eastAsia" w:ascii="楷体_GB2312" w:hAnsi="宋体" w:eastAsia="楷体_GB2312"/>
                                <w:b/>
                                <w:bCs/>
                                <w:sz w:val="18"/>
                                <w:szCs w:val="18"/>
                              </w:rPr>
                              <w:t>双方履行完全部义务后的终止</w:t>
                            </w:r>
                          </w:p>
                        </w:txbxContent>
                      </wps:txbx>
                      <wps:bodyPr upright="1"/>
                    </wps:wsp>
                  </a:graphicData>
                </a:graphic>
              </wp:anchor>
            </w:drawing>
          </mc:Choice>
          <mc:Fallback>
            <w:pict>
              <v:shape id="_x0000_s1026" o:spid="_x0000_s1026" o:spt="202" type="#_x0000_t202" style="position:absolute;left:0pt;margin-left:-9pt;margin-top:0.05pt;height:67.05pt;width:72pt;z-index:252055552;mso-width-relative:page;mso-height-relative:page;" filled="f" stroked="f" coordsize="21600,21600" o:gfxdata="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38Kq&#10;ftUAAAAIAQAADwAAAAAAAAABACAAAAAiAAAAZHJzL2Rvd25yZXYueG1sUEsBAhQAFAAAAAgAh07i&#10;QO/rewqzAQAAXwMAAA4AAAAAAAAAAQAgAAAAJAEAAGRycy9lMm9Eb2MueG1sUEsFBgAAAAAGAAYA&#10;WQEAAEkFAAAAAA==&#10;">
                <v:fill on="f" focussize="0,0"/>
                <v:stroke on="f"/>
                <v:imagedata o:title=""/>
                <o:lock v:ext="edit" aspectratio="f"/>
                <v:textbox>
                  <w:txbxContent>
                    <w:p w14:paraId="704D048D">
                      <w:pPr>
                        <w:spacing w:line="240" w:lineRule="exact"/>
                        <w:rPr>
                          <w:rFonts w:ascii="楷体_GB2312" w:hAnsi="宋体" w:eastAsia="楷体_GB2312"/>
                          <w:b/>
                          <w:bCs/>
                          <w:sz w:val="18"/>
                          <w:szCs w:val="18"/>
                        </w:rPr>
                      </w:pPr>
                      <w:r>
                        <w:rPr>
                          <w:rFonts w:hint="eastAsia" w:ascii="楷体_GB2312" w:hAnsi="宋体" w:eastAsia="楷体_GB2312"/>
                          <w:b/>
                          <w:bCs/>
                          <w:sz w:val="18"/>
                          <w:szCs w:val="18"/>
                        </w:rPr>
                        <w:t>双方履行完全部义务后的终止</w:t>
                      </w:r>
                    </w:p>
                  </w:txbxContent>
                </v:textbox>
              </v:shape>
            </w:pict>
          </mc:Fallback>
        </mc:AlternateContent>
      </w:r>
      <w:r>
        <w:rPr>
          <w:rFonts w:hint="eastAsia" w:hAnsi="宋体"/>
          <w:color w:val="auto"/>
          <w:sz w:val="24"/>
          <w:szCs w:val="18"/>
        </w:rPr>
        <w:t>除第</w:t>
      </w:r>
      <w:r>
        <w:rPr>
          <w:rFonts w:hAnsi="宋体"/>
          <w:color w:val="auto"/>
          <w:sz w:val="24"/>
          <w:szCs w:val="18"/>
        </w:rPr>
        <w:t>59</w:t>
      </w:r>
      <w:r>
        <w:rPr>
          <w:rFonts w:hint="eastAsia" w:hAnsi="宋体"/>
          <w:color w:val="auto"/>
          <w:sz w:val="24"/>
          <w:szCs w:val="18"/>
        </w:rPr>
        <w:t>条和第</w:t>
      </w:r>
      <w:r>
        <w:rPr>
          <w:rFonts w:hAnsi="宋体"/>
          <w:color w:val="auto"/>
          <w:sz w:val="24"/>
          <w:szCs w:val="18"/>
        </w:rPr>
        <w:t>84</w:t>
      </w:r>
      <w:r>
        <w:rPr>
          <w:rFonts w:hint="eastAsia" w:hAnsi="宋体"/>
          <w:color w:val="auto"/>
          <w:sz w:val="24"/>
          <w:szCs w:val="18"/>
        </w:rPr>
        <w:t>条规定的质量保修条款外，合同双方当事人履行完本合同全部义务，发包人向承包人支付完竣工结算款，承包人向发包人交付竣工工程后，本合同即告终止。</w:t>
      </w:r>
    </w:p>
    <w:p w14:paraId="0C525497">
      <w:pPr>
        <w:pStyle w:val="2"/>
        <w:tabs>
          <w:tab w:val="left" w:pos="1320"/>
        </w:tabs>
        <w:adjustRightInd w:val="0"/>
        <w:snapToGrid w:val="0"/>
        <w:spacing w:line="360" w:lineRule="auto"/>
        <w:rPr>
          <w:rFonts w:hAnsi="宋体"/>
          <w:b/>
          <w:color w:val="auto"/>
          <w:sz w:val="24"/>
          <w:szCs w:val="18"/>
        </w:rPr>
      </w:pPr>
      <w:r>
        <w:rPr>
          <w:rFonts w:hAnsi="宋体"/>
          <w:b/>
          <w:color w:val="auto"/>
          <w:sz w:val="24"/>
          <w:szCs w:val="18"/>
        </w:rPr>
        <w:t xml:space="preserve">89.3  </w:t>
      </w:r>
    </w:p>
    <w:p w14:paraId="395A5591">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2056576" behindDoc="0" locked="0" layoutInCell="1" allowOverlap="1">
                <wp:simplePos x="0" y="0"/>
                <wp:positionH relativeFrom="column">
                  <wp:posOffset>-114300</wp:posOffset>
                </wp:positionH>
                <wp:positionV relativeFrom="paragraph">
                  <wp:posOffset>13335</wp:posOffset>
                </wp:positionV>
                <wp:extent cx="914400" cy="415925"/>
                <wp:effectExtent l="0" t="0" r="0" b="0"/>
                <wp:wrapNone/>
                <wp:docPr id="314" name="文本框 314"/>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a:effectLst/>
                      </wps:spPr>
                      <wps:txbx>
                        <w:txbxContent>
                          <w:p w14:paraId="0597C531">
                            <w:pPr>
                              <w:spacing w:line="240" w:lineRule="exact"/>
                              <w:rPr>
                                <w:rFonts w:ascii="楷体_GB2312" w:hAnsi="宋体" w:eastAsia="楷体_GB2312"/>
                                <w:b/>
                                <w:bCs/>
                                <w:sz w:val="18"/>
                                <w:szCs w:val="18"/>
                              </w:rPr>
                            </w:pPr>
                            <w:r>
                              <w:rPr>
                                <w:rFonts w:hint="eastAsia" w:ascii="楷体_GB2312" w:hAnsi="宋体" w:eastAsia="楷体_GB2312"/>
                                <w:b/>
                                <w:bCs/>
                                <w:sz w:val="18"/>
                                <w:szCs w:val="18"/>
                              </w:rPr>
                              <w:t>合同终止后双方的义务</w:t>
                            </w:r>
                          </w:p>
                        </w:txbxContent>
                      </wps:txbx>
                      <wps:bodyPr upright="1"/>
                    </wps:wsp>
                  </a:graphicData>
                </a:graphic>
              </wp:anchor>
            </w:drawing>
          </mc:Choice>
          <mc:Fallback>
            <w:pict>
              <v:shape id="_x0000_s1026" o:spid="_x0000_s1026" o:spt="202" type="#_x0000_t202" style="position:absolute;left:0pt;margin-left:-9pt;margin-top:1.05pt;height:32.75pt;width:72pt;z-index:252056576;mso-width-relative:page;mso-height-relative:page;" filled="f" stroked="f" coordsize="21600,216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cTJak&#10;1QAAAAgBAAAPAAAAAAAAAAEAIAAAACIAAABkcnMvZG93bnJldi54bWxQSwECFAAUAAAACACHTuJA&#10;kDtSa7IBAABfAwAADgAAAAAAAAABACAAAAAkAQAAZHJzL2Uyb0RvYy54bWxQSwUGAAAAAAYABgBZ&#10;AQAASAUAAAAA&#10;">
                <v:fill on="f" focussize="0,0"/>
                <v:stroke on="f"/>
                <v:imagedata o:title=""/>
                <o:lock v:ext="edit" aspectratio="f"/>
                <v:textbox>
                  <w:txbxContent>
                    <w:p w14:paraId="0597C531">
                      <w:pPr>
                        <w:spacing w:line="240" w:lineRule="exact"/>
                        <w:rPr>
                          <w:rFonts w:ascii="楷体_GB2312" w:hAnsi="宋体" w:eastAsia="楷体_GB2312"/>
                          <w:b/>
                          <w:bCs/>
                          <w:sz w:val="18"/>
                          <w:szCs w:val="18"/>
                        </w:rPr>
                      </w:pPr>
                      <w:r>
                        <w:rPr>
                          <w:rFonts w:hint="eastAsia" w:ascii="楷体_GB2312" w:hAnsi="宋体" w:eastAsia="楷体_GB2312"/>
                          <w:b/>
                          <w:bCs/>
                          <w:sz w:val="18"/>
                          <w:szCs w:val="18"/>
                        </w:rPr>
                        <w:t>合同终止后双方的义务</w:t>
                      </w:r>
                    </w:p>
                  </w:txbxContent>
                </v:textbox>
              </v:shape>
            </w:pict>
          </mc:Fallback>
        </mc:AlternateContent>
      </w:r>
      <w:r>
        <w:rPr>
          <w:rFonts w:hint="eastAsia" w:hAnsi="宋体"/>
          <w:color w:val="auto"/>
          <w:sz w:val="24"/>
          <w:szCs w:val="18"/>
        </w:rPr>
        <w:t>本合同的权利义务终止后，合同双方当事人仍应遵循诚实信用原则，继续履行合同约定的通知、协助、保密等义务。</w:t>
      </w:r>
    </w:p>
    <w:p w14:paraId="16F4609D">
      <w:pPr>
        <w:pStyle w:val="2"/>
        <w:adjustRightInd w:val="0"/>
        <w:snapToGrid w:val="0"/>
        <w:spacing w:line="360" w:lineRule="auto"/>
        <w:ind w:right="-238"/>
        <w:rPr>
          <w:rFonts w:hAnsi="宋体"/>
          <w:bCs/>
          <w:color w:val="auto"/>
          <w:sz w:val="24"/>
          <w:szCs w:val="18"/>
          <w:u w:val="single"/>
        </w:rPr>
      </w:pPr>
    </w:p>
    <w:p w14:paraId="4986AF32">
      <w:pPr>
        <w:pStyle w:val="2"/>
        <w:adjustRightInd w:val="0"/>
        <w:snapToGrid w:val="0"/>
        <w:spacing w:line="360" w:lineRule="auto"/>
        <w:ind w:firstLine="4006" w:firstLineChars="1247"/>
        <w:outlineLvl w:val="1"/>
        <w:rPr>
          <w:rFonts w:hAnsi="宋体"/>
          <w:b/>
          <w:bCs/>
          <w:color w:val="auto"/>
          <w:sz w:val="32"/>
          <w:szCs w:val="28"/>
        </w:rPr>
      </w:pPr>
      <w:r>
        <w:rPr>
          <w:rFonts w:hint="eastAsia" w:hAnsi="宋体"/>
          <w:b/>
          <w:bCs/>
          <w:color w:val="auto"/>
          <w:sz w:val="32"/>
          <w:szCs w:val="28"/>
        </w:rPr>
        <w:t>八、其他</w:t>
      </w:r>
    </w:p>
    <w:p w14:paraId="47E37CA1">
      <w:pPr>
        <w:pStyle w:val="2"/>
        <w:tabs>
          <w:tab w:val="left" w:pos="540"/>
        </w:tabs>
        <w:adjustRightInd w:val="0"/>
        <w:snapToGrid w:val="0"/>
        <w:spacing w:before="240" w:beforeLines="100" w:line="360" w:lineRule="auto"/>
        <w:ind w:right="-238"/>
        <w:rPr>
          <w:rFonts w:hAnsi="宋体"/>
          <w:b/>
          <w:color w:val="auto"/>
          <w:sz w:val="30"/>
          <w:szCs w:val="24"/>
        </w:rPr>
      </w:pPr>
      <w:r>
        <w:rPr>
          <w:rFonts w:hAnsi="宋体"/>
          <w:b/>
          <w:color w:val="auto"/>
          <w:sz w:val="30"/>
          <w:szCs w:val="24"/>
        </w:rPr>
        <w:t xml:space="preserve">90  </w:t>
      </w:r>
      <w:r>
        <w:rPr>
          <w:rFonts w:hint="eastAsia" w:hAnsi="宋体"/>
          <w:b/>
          <w:color w:val="auto"/>
          <w:sz w:val="30"/>
          <w:szCs w:val="24"/>
        </w:rPr>
        <w:t>缴纳税费</w:t>
      </w:r>
    </w:p>
    <w:p w14:paraId="2C8C11A8">
      <w:pPr>
        <w:pStyle w:val="2"/>
        <w:tabs>
          <w:tab w:val="left" w:pos="1320"/>
        </w:tabs>
        <w:adjustRightInd w:val="0"/>
        <w:snapToGrid w:val="0"/>
        <w:spacing w:line="360" w:lineRule="auto"/>
        <w:rPr>
          <w:rFonts w:hAnsi="宋体"/>
          <w:b/>
          <w:color w:val="auto"/>
          <w:sz w:val="24"/>
          <w:szCs w:val="18"/>
        </w:rPr>
      </w:pPr>
      <w:r>
        <w:rPr>
          <w:rFonts w:hAnsi="宋体"/>
          <w:b/>
          <w:color w:val="auto"/>
          <w:sz w:val="24"/>
          <w:szCs w:val="18"/>
        </w:rPr>
        <w:t xml:space="preserve">90.1      </w:t>
      </w:r>
    </w:p>
    <w:p w14:paraId="28DD198B">
      <w:pPr>
        <w:pStyle w:val="2"/>
        <w:adjustRightInd w:val="0"/>
        <w:snapToGrid w:val="0"/>
        <w:spacing w:line="360" w:lineRule="auto"/>
        <w:ind w:left="1619" w:leftChars="771"/>
        <w:rPr>
          <w:rFonts w:hAnsi="宋体"/>
          <w:color w:val="auto"/>
          <w:sz w:val="24"/>
          <w:szCs w:val="18"/>
        </w:rPr>
      </w:pPr>
      <w:r>
        <w:rPr>
          <w:rFonts w:hint="eastAsia" w:hAnsi="宋体"/>
          <w:color w:val="auto"/>
          <w:sz w:val="24"/>
          <w:szCs w:val="18"/>
        </w:rPr>
        <w:t>合同双方当事人</w:t>
      </w:r>
      <w:r>
        <w:rPr>
          <w:color w:val="auto"/>
        </w:rPr>
        <mc:AlternateContent>
          <mc:Choice Requires="wps">
            <w:drawing>
              <wp:anchor distT="0" distB="0" distL="114300" distR="114300" simplePos="0" relativeHeight="252057600" behindDoc="0" locked="0" layoutInCell="1" allowOverlap="1">
                <wp:simplePos x="0" y="0"/>
                <wp:positionH relativeFrom="column">
                  <wp:posOffset>-114300</wp:posOffset>
                </wp:positionH>
                <wp:positionV relativeFrom="paragraph">
                  <wp:posOffset>635</wp:posOffset>
                </wp:positionV>
                <wp:extent cx="914400" cy="484505"/>
                <wp:effectExtent l="0" t="0" r="0" b="0"/>
                <wp:wrapNone/>
                <wp:docPr id="315" name="文本框 315"/>
                <wp:cNvGraphicFramePr/>
                <a:graphic xmlns:a="http://schemas.openxmlformats.org/drawingml/2006/main">
                  <a:graphicData uri="http://schemas.microsoft.com/office/word/2010/wordprocessingShape">
                    <wps:wsp>
                      <wps:cNvSpPr txBox="1"/>
                      <wps:spPr>
                        <a:xfrm>
                          <a:off x="0" y="0"/>
                          <a:ext cx="914400" cy="484505"/>
                        </a:xfrm>
                        <a:prstGeom prst="rect">
                          <a:avLst/>
                        </a:prstGeom>
                        <a:noFill/>
                        <a:ln>
                          <a:noFill/>
                        </a:ln>
                        <a:effectLst/>
                      </wps:spPr>
                      <wps:txbx>
                        <w:txbxContent>
                          <w:p w14:paraId="7FA67807">
                            <w:pPr>
                              <w:spacing w:line="240" w:lineRule="exact"/>
                              <w:rPr>
                                <w:rFonts w:ascii="楷体_GB2312" w:hAnsi="宋体" w:eastAsia="楷体_GB2312"/>
                                <w:b/>
                                <w:bCs/>
                                <w:sz w:val="18"/>
                                <w:szCs w:val="18"/>
                              </w:rPr>
                            </w:pPr>
                            <w:r>
                              <w:rPr>
                                <w:rFonts w:hint="eastAsia" w:ascii="楷体_GB2312" w:hAnsi="宋体" w:eastAsia="楷体_GB2312"/>
                                <w:b/>
                                <w:bCs/>
                                <w:sz w:val="18"/>
                                <w:szCs w:val="18"/>
                              </w:rPr>
                              <w:t>约定缴纳一切税费</w:t>
                            </w:r>
                          </w:p>
                        </w:txbxContent>
                      </wps:txbx>
                      <wps:bodyPr upright="1"/>
                    </wps:wsp>
                  </a:graphicData>
                </a:graphic>
              </wp:anchor>
            </w:drawing>
          </mc:Choice>
          <mc:Fallback>
            <w:pict>
              <v:shape id="_x0000_s1026" o:spid="_x0000_s1026" o:spt="202" type="#_x0000_t202" style="position:absolute;left:0pt;margin-left:-9pt;margin-top:0.05pt;height:38.15pt;width:72pt;z-index:252057600;mso-width-relative:page;mso-height-relative:page;" filled="f" stroked="f" coordsize="21600,21600" o:gfxdata="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gClo&#10;K9QAAAAHAQAADwAAAAAAAAABACAAAAAiAAAAZHJzL2Rvd25yZXYueG1sUEsBAhQAFAAAAAgAh07i&#10;QJNYqMy0AQAAXwMAAA4AAAAAAAAAAQAgAAAAIwEAAGRycy9lMm9Eb2MueG1sUEsFBgAAAAAGAAYA&#10;WQEAAEkFAAAAAA==&#10;">
                <v:fill on="f" focussize="0,0"/>
                <v:stroke on="f"/>
                <v:imagedata o:title=""/>
                <o:lock v:ext="edit" aspectratio="f"/>
                <v:textbox>
                  <w:txbxContent>
                    <w:p w14:paraId="7FA67807">
                      <w:pPr>
                        <w:spacing w:line="240" w:lineRule="exact"/>
                        <w:rPr>
                          <w:rFonts w:ascii="楷体_GB2312" w:hAnsi="宋体" w:eastAsia="楷体_GB2312"/>
                          <w:b/>
                          <w:bCs/>
                          <w:sz w:val="18"/>
                          <w:szCs w:val="18"/>
                        </w:rPr>
                      </w:pPr>
                      <w:r>
                        <w:rPr>
                          <w:rFonts w:hint="eastAsia" w:ascii="楷体_GB2312" w:hAnsi="宋体" w:eastAsia="楷体_GB2312"/>
                          <w:b/>
                          <w:bCs/>
                          <w:sz w:val="18"/>
                          <w:szCs w:val="18"/>
                        </w:rPr>
                        <w:t>约定缴纳一切税费</w:t>
                      </w:r>
                    </w:p>
                  </w:txbxContent>
                </v:textbox>
              </v:shape>
            </w:pict>
          </mc:Fallback>
        </mc:AlternateContent>
      </w:r>
      <w:r>
        <w:rPr>
          <w:rFonts w:hint="eastAsia" w:hAnsi="宋体"/>
          <w:color w:val="auto"/>
          <w:sz w:val="24"/>
          <w:szCs w:val="18"/>
        </w:rPr>
        <w:t>应按照国家现行税法和有关部门现行规定缴纳合同工程需缴的一切税费。</w:t>
      </w:r>
    </w:p>
    <w:p w14:paraId="64D9AFEA">
      <w:pPr>
        <w:pStyle w:val="2"/>
        <w:tabs>
          <w:tab w:val="left" w:pos="1320"/>
        </w:tabs>
        <w:adjustRightInd w:val="0"/>
        <w:snapToGrid w:val="0"/>
        <w:spacing w:line="360" w:lineRule="auto"/>
        <w:rPr>
          <w:rFonts w:hAnsi="宋体"/>
          <w:b/>
          <w:color w:val="auto"/>
          <w:sz w:val="24"/>
          <w:szCs w:val="18"/>
        </w:rPr>
      </w:pPr>
      <w:r>
        <w:rPr>
          <w:rFonts w:hAnsi="宋体"/>
          <w:b/>
          <w:color w:val="auto"/>
          <w:sz w:val="24"/>
          <w:szCs w:val="18"/>
        </w:rPr>
        <w:t xml:space="preserve">90.2  </w:t>
      </w:r>
    </w:p>
    <w:p w14:paraId="678948D7">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2058624" behindDoc="0" locked="0" layoutInCell="1" allowOverlap="1">
                <wp:simplePos x="0" y="0"/>
                <wp:positionH relativeFrom="column">
                  <wp:posOffset>-114300</wp:posOffset>
                </wp:positionH>
                <wp:positionV relativeFrom="paragraph">
                  <wp:posOffset>32385</wp:posOffset>
                </wp:positionV>
                <wp:extent cx="914400" cy="396240"/>
                <wp:effectExtent l="0" t="0" r="0" b="0"/>
                <wp:wrapNone/>
                <wp:docPr id="316" name="文本框 316"/>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095DCEF1">
                            <w:pPr>
                              <w:spacing w:line="240" w:lineRule="exact"/>
                              <w:rPr>
                                <w:rFonts w:ascii="楷体_GB2312" w:hAnsi="宋体" w:eastAsia="楷体_GB2312"/>
                                <w:b/>
                                <w:bCs/>
                                <w:sz w:val="18"/>
                                <w:szCs w:val="18"/>
                              </w:rPr>
                            </w:pPr>
                            <w:r>
                              <w:rPr>
                                <w:rFonts w:hint="eastAsia" w:ascii="楷体_GB2312" w:hAnsi="宋体" w:eastAsia="楷体_GB2312"/>
                                <w:b/>
                                <w:bCs/>
                                <w:sz w:val="18"/>
                                <w:szCs w:val="18"/>
                              </w:rPr>
                              <w:t>没交或少交税费的责任</w:t>
                            </w:r>
                          </w:p>
                        </w:txbxContent>
                      </wps:txbx>
                      <wps:bodyPr upright="1"/>
                    </wps:wsp>
                  </a:graphicData>
                </a:graphic>
              </wp:anchor>
            </w:drawing>
          </mc:Choice>
          <mc:Fallback>
            <w:pict>
              <v:shape id="_x0000_s1026" o:spid="_x0000_s1026" o:spt="202" type="#_x0000_t202" style="position:absolute;left:0pt;margin-left:-9pt;margin-top:2.55pt;height:31.2pt;width:72pt;z-index:252058624;mso-width-relative:page;mso-height-relative:page;" filled="f" stroked="f" coordsize="21600,21600" o:gfxdata="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qj&#10;8jPVAAAACAEAAA8AAAAAAAAAAQAgAAAAIgAAAGRycy9kb3ducmV2LnhtbFBLAQIUABQAAAAIAIdO&#10;4kDMFCJLtAEAAF8DAAAOAAAAAAAAAAEAIAAAACQBAABkcnMvZTJvRG9jLnhtbFBLBQYAAAAABgAG&#10;AFkBAABKBQAAAAA=&#10;">
                <v:fill on="f" focussize="0,0"/>
                <v:stroke on="f"/>
                <v:imagedata o:title=""/>
                <o:lock v:ext="edit" aspectratio="f"/>
                <v:textbox>
                  <w:txbxContent>
                    <w:p w14:paraId="095DCEF1">
                      <w:pPr>
                        <w:spacing w:line="240" w:lineRule="exact"/>
                        <w:rPr>
                          <w:rFonts w:ascii="楷体_GB2312" w:hAnsi="宋体" w:eastAsia="楷体_GB2312"/>
                          <w:b/>
                          <w:bCs/>
                          <w:sz w:val="18"/>
                          <w:szCs w:val="18"/>
                        </w:rPr>
                      </w:pPr>
                      <w:r>
                        <w:rPr>
                          <w:rFonts w:hint="eastAsia" w:ascii="楷体_GB2312" w:hAnsi="宋体" w:eastAsia="楷体_GB2312"/>
                          <w:b/>
                          <w:bCs/>
                          <w:sz w:val="18"/>
                          <w:szCs w:val="18"/>
                        </w:rPr>
                        <w:t>没交或少交税费的责任</w:t>
                      </w:r>
                    </w:p>
                  </w:txbxContent>
                </v:textbox>
              </v:shape>
            </w:pict>
          </mc:Fallback>
        </mc:AlternateContent>
      </w:r>
      <w:r>
        <w:rPr>
          <w:rFonts w:hint="eastAsia" w:hAnsi="宋体"/>
          <w:color w:val="auto"/>
          <w:sz w:val="24"/>
          <w:szCs w:val="18"/>
        </w:rPr>
        <w:t>合同任何一方当事人没交或少交合同工程需缴税费的，违法方应足额补交，并承担相应的法律责任；给另一方当事人造成损失的，违法方应赔偿损失。</w:t>
      </w:r>
    </w:p>
    <w:p w14:paraId="789B0B3D">
      <w:pPr>
        <w:pStyle w:val="2"/>
        <w:adjustRightInd w:val="0"/>
        <w:snapToGrid w:val="0"/>
        <w:spacing w:line="360" w:lineRule="auto"/>
        <w:rPr>
          <w:color w:val="auto"/>
        </w:rPr>
      </w:pPr>
    </w:p>
    <w:p w14:paraId="2D36AF86">
      <w:pPr>
        <w:pStyle w:val="2"/>
        <w:tabs>
          <w:tab w:val="left" w:pos="540"/>
        </w:tabs>
        <w:adjustRightInd w:val="0"/>
        <w:snapToGrid w:val="0"/>
        <w:spacing w:before="240" w:beforeLines="100" w:line="360" w:lineRule="auto"/>
        <w:ind w:right="-238"/>
        <w:rPr>
          <w:rFonts w:hAnsi="宋体"/>
          <w:b/>
          <w:color w:val="auto"/>
          <w:sz w:val="30"/>
          <w:szCs w:val="24"/>
        </w:rPr>
      </w:pPr>
      <w:r>
        <w:rPr>
          <w:rFonts w:hAnsi="宋体"/>
          <w:b/>
          <w:color w:val="auto"/>
          <w:sz w:val="30"/>
          <w:szCs w:val="24"/>
        </w:rPr>
        <w:t xml:space="preserve">91  </w:t>
      </w:r>
      <w:r>
        <w:rPr>
          <w:rFonts w:hint="eastAsia" w:hAnsi="宋体"/>
          <w:b/>
          <w:color w:val="auto"/>
          <w:sz w:val="30"/>
          <w:szCs w:val="24"/>
        </w:rPr>
        <w:t>保密要求</w:t>
      </w:r>
    </w:p>
    <w:p w14:paraId="5B26D596">
      <w:pPr>
        <w:pStyle w:val="2"/>
        <w:adjustRightInd w:val="0"/>
        <w:snapToGrid w:val="0"/>
        <w:spacing w:line="360" w:lineRule="auto"/>
        <w:rPr>
          <w:rFonts w:hAnsi="宋体"/>
          <w:b/>
          <w:color w:val="auto"/>
          <w:sz w:val="24"/>
          <w:szCs w:val="18"/>
        </w:rPr>
      </w:pPr>
      <w:r>
        <w:rPr>
          <w:rFonts w:hAnsi="宋体"/>
          <w:b/>
          <w:color w:val="auto"/>
          <w:sz w:val="24"/>
          <w:szCs w:val="18"/>
        </w:rPr>
        <w:t xml:space="preserve">91.1    </w:t>
      </w:r>
    </w:p>
    <w:p w14:paraId="7836674C">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2059648" behindDoc="0" locked="0" layoutInCell="1" allowOverlap="1">
                <wp:simplePos x="0" y="0"/>
                <wp:positionH relativeFrom="column">
                  <wp:posOffset>-114300</wp:posOffset>
                </wp:positionH>
                <wp:positionV relativeFrom="paragraph">
                  <wp:posOffset>34290</wp:posOffset>
                </wp:positionV>
                <wp:extent cx="914400" cy="594360"/>
                <wp:effectExtent l="0" t="0" r="0" b="0"/>
                <wp:wrapNone/>
                <wp:docPr id="317" name="文本框 317"/>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a:effectLst/>
                      </wps:spPr>
                      <wps:txbx>
                        <w:txbxContent>
                          <w:p w14:paraId="6D901370">
                            <w:pPr>
                              <w:spacing w:line="240" w:lineRule="exact"/>
                              <w:rPr>
                                <w:rFonts w:ascii="楷体_GB2312" w:hAnsi="宋体" w:eastAsia="楷体_GB2312"/>
                                <w:b/>
                                <w:bCs/>
                                <w:sz w:val="18"/>
                                <w:szCs w:val="18"/>
                              </w:rPr>
                            </w:pPr>
                            <w:r>
                              <w:rPr>
                                <w:rFonts w:hint="eastAsia" w:ascii="楷体_GB2312" w:hAnsi="宋体" w:eastAsia="楷体_GB2312"/>
                                <w:b/>
                                <w:bCs/>
                                <w:sz w:val="18"/>
                                <w:szCs w:val="18"/>
                              </w:rPr>
                              <w:t>提供保密信息和履行保密义务</w:t>
                            </w:r>
                          </w:p>
                        </w:txbxContent>
                      </wps:txbx>
                      <wps:bodyPr upright="1"/>
                    </wps:wsp>
                  </a:graphicData>
                </a:graphic>
              </wp:anchor>
            </w:drawing>
          </mc:Choice>
          <mc:Fallback>
            <w:pict>
              <v:shape id="_x0000_s1026" o:spid="_x0000_s1026" o:spt="202" type="#_x0000_t202" style="position:absolute;left:0pt;margin-left:-9pt;margin-top:2.7pt;height:46.8pt;width:72pt;z-index:252059648;mso-width-relative:page;mso-height-relative:page;" filled="f" stroked="f" coordsize="21600,21600" o:gfxdata="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Btm&#10;tfXVAAAACAEAAA8AAAAAAAAAAQAgAAAAIgAAAGRycy9kb3ducmV2LnhtbFBLAQIUABQAAAAIAIdO&#10;4kAl6qURtAEAAF8DAAAOAAAAAAAAAAEAIAAAACQBAABkcnMvZTJvRG9jLnhtbFBLBQYAAAAABgAG&#10;AFkBAABKBQAAAAA=&#10;">
                <v:fill on="f" focussize="0,0"/>
                <v:stroke on="f"/>
                <v:imagedata o:title=""/>
                <o:lock v:ext="edit" aspectratio="f"/>
                <v:textbox>
                  <w:txbxContent>
                    <w:p w14:paraId="6D901370">
                      <w:pPr>
                        <w:spacing w:line="240" w:lineRule="exact"/>
                        <w:rPr>
                          <w:rFonts w:ascii="楷体_GB2312" w:hAnsi="宋体" w:eastAsia="楷体_GB2312"/>
                          <w:b/>
                          <w:bCs/>
                          <w:sz w:val="18"/>
                          <w:szCs w:val="18"/>
                        </w:rPr>
                      </w:pPr>
                      <w:r>
                        <w:rPr>
                          <w:rFonts w:hint="eastAsia" w:ascii="楷体_GB2312" w:hAnsi="宋体" w:eastAsia="楷体_GB2312"/>
                          <w:b/>
                          <w:bCs/>
                          <w:sz w:val="18"/>
                          <w:szCs w:val="18"/>
                        </w:rPr>
                        <w:t>提供保密信息和履行保密义务</w:t>
                      </w:r>
                    </w:p>
                  </w:txbxContent>
                </v:textbox>
              </v:shape>
            </w:pict>
          </mc:Fallback>
        </mc:AlternateContent>
      </w:r>
      <w:r>
        <w:rPr>
          <w:rFonts w:hint="eastAsia" w:hAnsi="宋体"/>
          <w:color w:val="auto"/>
          <w:sz w:val="24"/>
          <w:szCs w:val="18"/>
        </w:rPr>
        <w:t>合同双方当事人应在专用条款约定期限内提供保密信息。自收到对方当事人提供的保密信息之日起，合同双方当事人应履行保密义务。合同双方当事人履行保密义务，并不因本合同终止而结束。</w:t>
      </w:r>
    </w:p>
    <w:p w14:paraId="24AE9CC8">
      <w:pPr>
        <w:pStyle w:val="2"/>
        <w:adjustRightInd w:val="0"/>
        <w:snapToGrid w:val="0"/>
        <w:spacing w:line="360" w:lineRule="auto"/>
        <w:rPr>
          <w:rFonts w:hAnsi="宋体"/>
          <w:b/>
          <w:color w:val="auto"/>
          <w:sz w:val="24"/>
          <w:szCs w:val="18"/>
        </w:rPr>
      </w:pPr>
      <w:r>
        <w:rPr>
          <w:rFonts w:hAnsi="宋体"/>
          <w:b/>
          <w:color w:val="auto"/>
          <w:sz w:val="24"/>
          <w:szCs w:val="18"/>
        </w:rPr>
        <w:t xml:space="preserve">91.2  </w:t>
      </w:r>
    </w:p>
    <w:p w14:paraId="7DB37A4D">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2060672" behindDoc="0" locked="0" layoutInCell="1" allowOverlap="1">
                <wp:simplePos x="0" y="0"/>
                <wp:positionH relativeFrom="column">
                  <wp:posOffset>-114300</wp:posOffset>
                </wp:positionH>
                <wp:positionV relativeFrom="paragraph">
                  <wp:posOffset>68580</wp:posOffset>
                </wp:positionV>
                <wp:extent cx="914400" cy="495300"/>
                <wp:effectExtent l="0" t="0" r="0" b="0"/>
                <wp:wrapNone/>
                <wp:docPr id="318" name="文本框 318"/>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a:effectLst/>
                      </wps:spPr>
                      <wps:txbx>
                        <w:txbxContent>
                          <w:p w14:paraId="62DCDB82">
                            <w:pPr>
                              <w:spacing w:line="240" w:lineRule="exact"/>
                              <w:rPr>
                                <w:rFonts w:ascii="楷体_GB2312" w:hAnsi="宋体" w:eastAsia="楷体_GB2312"/>
                                <w:b/>
                                <w:bCs/>
                                <w:sz w:val="18"/>
                                <w:szCs w:val="18"/>
                              </w:rPr>
                            </w:pPr>
                            <w:r>
                              <w:rPr>
                                <w:rFonts w:hint="eastAsia" w:ascii="楷体_GB2312" w:hAnsi="宋体" w:eastAsia="楷体_GB2312"/>
                                <w:b/>
                                <w:bCs/>
                                <w:sz w:val="18"/>
                                <w:szCs w:val="18"/>
                              </w:rPr>
                              <w:t>保密信息知悉权限</w:t>
                            </w:r>
                          </w:p>
                        </w:txbxContent>
                      </wps:txbx>
                      <wps:bodyPr upright="1"/>
                    </wps:wsp>
                  </a:graphicData>
                </a:graphic>
              </wp:anchor>
            </w:drawing>
          </mc:Choice>
          <mc:Fallback>
            <w:pict>
              <v:shape id="_x0000_s1026" o:spid="_x0000_s1026" o:spt="202" type="#_x0000_t202" style="position:absolute;left:0pt;margin-left:-9pt;margin-top:5.4pt;height:39pt;width:72pt;z-index:252060672;mso-width-relative:page;mso-height-relative:page;" filled="f" stroked="f" coordsize="21600,21600" o:gfxdata="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AWKC7&#10;1QAAAAkBAAAPAAAAAAAAAAEAIAAAACIAAABkcnMvZG93bnJldi54bWxQSwECFAAUAAAACACHTuJA&#10;CuVx/7IBAABfAwAADgAAAAAAAAABACAAAAAkAQAAZHJzL2Uyb0RvYy54bWxQSwUGAAAAAAYABgBZ&#10;AQAASAUAAAAA&#10;">
                <v:fill on="f" focussize="0,0"/>
                <v:stroke on="f"/>
                <v:imagedata o:title=""/>
                <o:lock v:ext="edit" aspectratio="f"/>
                <v:textbox>
                  <w:txbxContent>
                    <w:p w14:paraId="62DCDB82">
                      <w:pPr>
                        <w:spacing w:line="240" w:lineRule="exact"/>
                        <w:rPr>
                          <w:rFonts w:ascii="楷体_GB2312" w:hAnsi="宋体" w:eastAsia="楷体_GB2312"/>
                          <w:b/>
                          <w:bCs/>
                          <w:sz w:val="18"/>
                          <w:szCs w:val="18"/>
                        </w:rPr>
                      </w:pPr>
                      <w:r>
                        <w:rPr>
                          <w:rFonts w:hint="eastAsia" w:ascii="楷体_GB2312" w:hAnsi="宋体" w:eastAsia="楷体_GB2312"/>
                          <w:b/>
                          <w:bCs/>
                          <w:sz w:val="18"/>
                          <w:szCs w:val="18"/>
                        </w:rPr>
                        <w:t>保密信息知悉权限</w:t>
                      </w:r>
                    </w:p>
                  </w:txbxContent>
                </v:textbox>
              </v:shape>
            </w:pict>
          </mc:Fallback>
        </mc:AlternateContent>
      </w:r>
      <w:r>
        <w:rPr>
          <w:rFonts w:hint="eastAsia" w:hAnsi="宋体"/>
          <w:color w:val="auto"/>
          <w:sz w:val="24"/>
          <w:szCs w:val="18"/>
        </w:rPr>
        <w:t>合同双方当事人仅允许因履行本合同而使用另一方当事人提供的保密信息。除合同双方当事人书面委派履行本合同应知悉保密信息的人员外，合同任何一方当事人不得将另一方当事人相关的或属于另一方当事人所有的保密信息泄露或提供给第三方，也不得超出允许范围从另一方当事人复制、摘录或转移任何保密信息。任何保密信息的公布，均应事先征得提供方的书面同意。</w:t>
      </w:r>
    </w:p>
    <w:p w14:paraId="787CB09A">
      <w:pPr>
        <w:pStyle w:val="2"/>
        <w:adjustRightInd w:val="0"/>
        <w:snapToGrid w:val="0"/>
        <w:spacing w:line="360" w:lineRule="auto"/>
        <w:rPr>
          <w:rFonts w:hAnsi="宋体"/>
          <w:b/>
          <w:color w:val="auto"/>
          <w:sz w:val="24"/>
          <w:szCs w:val="18"/>
        </w:rPr>
      </w:pPr>
      <w:r>
        <w:rPr>
          <w:rFonts w:hAnsi="宋体"/>
          <w:b/>
          <w:color w:val="auto"/>
          <w:sz w:val="24"/>
          <w:szCs w:val="18"/>
        </w:rPr>
        <w:t xml:space="preserve">91.3  </w:t>
      </w:r>
    </w:p>
    <w:p w14:paraId="17FEB538">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2061696" behindDoc="0" locked="0" layoutInCell="1" allowOverlap="1">
                <wp:simplePos x="0" y="0"/>
                <wp:positionH relativeFrom="column">
                  <wp:posOffset>-114300</wp:posOffset>
                </wp:positionH>
                <wp:positionV relativeFrom="paragraph">
                  <wp:posOffset>3175</wp:posOffset>
                </wp:positionV>
                <wp:extent cx="1028700" cy="300990"/>
                <wp:effectExtent l="0" t="0" r="0" b="0"/>
                <wp:wrapNone/>
                <wp:docPr id="319" name="文本框 319"/>
                <wp:cNvGraphicFramePr/>
                <a:graphic xmlns:a="http://schemas.openxmlformats.org/drawingml/2006/main">
                  <a:graphicData uri="http://schemas.microsoft.com/office/word/2010/wordprocessingShape">
                    <wps:wsp>
                      <wps:cNvSpPr txBox="1"/>
                      <wps:spPr>
                        <a:xfrm>
                          <a:off x="0" y="0"/>
                          <a:ext cx="1028700" cy="300990"/>
                        </a:xfrm>
                        <a:prstGeom prst="rect">
                          <a:avLst/>
                        </a:prstGeom>
                        <a:noFill/>
                        <a:ln>
                          <a:noFill/>
                        </a:ln>
                        <a:effectLst/>
                      </wps:spPr>
                      <wps:txbx>
                        <w:txbxContent>
                          <w:p w14:paraId="5755896E">
                            <w:pPr>
                              <w:spacing w:line="240" w:lineRule="exact"/>
                              <w:rPr>
                                <w:rFonts w:ascii="楷体_GB2312" w:hAnsi="宋体" w:eastAsia="楷体_GB2312"/>
                                <w:b/>
                                <w:bCs/>
                                <w:sz w:val="18"/>
                                <w:szCs w:val="18"/>
                              </w:rPr>
                            </w:pPr>
                            <w:r>
                              <w:rPr>
                                <w:rFonts w:hint="eastAsia" w:ascii="楷体_GB2312" w:hAnsi="宋体" w:eastAsia="楷体_GB2312"/>
                                <w:b/>
                                <w:bCs/>
                                <w:sz w:val="18"/>
                                <w:szCs w:val="18"/>
                              </w:rPr>
                              <w:t>签订保密协议</w:t>
                            </w:r>
                          </w:p>
                        </w:txbxContent>
                      </wps:txbx>
                      <wps:bodyPr upright="1"/>
                    </wps:wsp>
                  </a:graphicData>
                </a:graphic>
              </wp:anchor>
            </w:drawing>
          </mc:Choice>
          <mc:Fallback>
            <w:pict>
              <v:shape id="_x0000_s1026" o:spid="_x0000_s1026" o:spt="202" type="#_x0000_t202" style="position:absolute;left:0pt;margin-left:-9pt;margin-top:0.25pt;height:23.7pt;width:81pt;z-index:252061696;mso-width-relative:page;mso-height-relative:page;" filled="f" stroked="f" coordsize="21600,21600" o:gfxdata="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ucmCo&#10;1AAAAAcBAAAPAAAAAAAAAAEAIAAAACIAAABkcnMvZG93bnJldi54bWxQSwECFAAUAAAACACHTuJA&#10;V2wd87MBAABgAwAADgAAAAAAAAABACAAAAAjAQAAZHJzL2Uyb0RvYy54bWxQSwUGAAAAAAYABgBZ&#10;AQAASAUAAAAA&#10;">
                <v:fill on="f" focussize="0,0"/>
                <v:stroke on="f"/>
                <v:imagedata o:title=""/>
                <o:lock v:ext="edit" aspectratio="f"/>
                <v:textbox>
                  <w:txbxContent>
                    <w:p w14:paraId="5755896E">
                      <w:pPr>
                        <w:spacing w:line="240" w:lineRule="exact"/>
                        <w:rPr>
                          <w:rFonts w:ascii="楷体_GB2312" w:hAnsi="宋体" w:eastAsia="楷体_GB2312"/>
                          <w:b/>
                          <w:bCs/>
                          <w:sz w:val="18"/>
                          <w:szCs w:val="18"/>
                        </w:rPr>
                      </w:pPr>
                      <w:r>
                        <w:rPr>
                          <w:rFonts w:hint="eastAsia" w:ascii="楷体_GB2312" w:hAnsi="宋体" w:eastAsia="楷体_GB2312"/>
                          <w:b/>
                          <w:bCs/>
                          <w:sz w:val="18"/>
                          <w:szCs w:val="18"/>
                        </w:rPr>
                        <w:t>签订保密协议</w:t>
                      </w:r>
                    </w:p>
                  </w:txbxContent>
                </v:textbox>
              </v:shape>
            </w:pict>
          </mc:Fallback>
        </mc:AlternateContent>
      </w:r>
      <w:r>
        <w:rPr>
          <w:rFonts w:hint="eastAsia" w:hAnsi="宋体"/>
          <w:color w:val="auto"/>
          <w:sz w:val="24"/>
          <w:szCs w:val="18"/>
        </w:rPr>
        <w:t>合同双方当事人应与履行本合同知悉保密信息的人员签订保密协议，并将其中一份及时提交给另一方当事人。合同双方当事人应以保护自身秘密的谨慎态度采取有效措施保护另一方当事人的保密信息，避免保密信息被不当公开或使用。合同任何一方当事人发现有第三方盗用或滥用另一方当事人保密信息的，应及时通知另一方当事人。</w:t>
      </w:r>
    </w:p>
    <w:p w14:paraId="0C99CB10">
      <w:pPr>
        <w:pStyle w:val="2"/>
        <w:adjustRightInd w:val="0"/>
        <w:snapToGrid w:val="0"/>
        <w:spacing w:line="360" w:lineRule="auto"/>
        <w:rPr>
          <w:rFonts w:hAnsi="宋体"/>
          <w:b/>
          <w:color w:val="auto"/>
          <w:sz w:val="24"/>
          <w:szCs w:val="18"/>
        </w:rPr>
      </w:pPr>
      <w:r>
        <w:rPr>
          <w:rFonts w:hAnsi="宋体"/>
          <w:b/>
          <w:color w:val="auto"/>
          <w:sz w:val="24"/>
          <w:szCs w:val="18"/>
        </w:rPr>
        <w:t xml:space="preserve">91.4  </w:t>
      </w:r>
    </w:p>
    <w:p w14:paraId="7A2522E0">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2062720" behindDoc="0" locked="0" layoutInCell="1" allowOverlap="1">
                <wp:simplePos x="0" y="0"/>
                <wp:positionH relativeFrom="column">
                  <wp:posOffset>-114300</wp:posOffset>
                </wp:positionH>
                <wp:positionV relativeFrom="paragraph">
                  <wp:posOffset>65405</wp:posOffset>
                </wp:positionV>
                <wp:extent cx="914400" cy="727710"/>
                <wp:effectExtent l="0" t="0" r="0" b="0"/>
                <wp:wrapNone/>
                <wp:docPr id="320" name="文本框 320"/>
                <wp:cNvGraphicFramePr/>
                <a:graphic xmlns:a="http://schemas.openxmlformats.org/drawingml/2006/main">
                  <a:graphicData uri="http://schemas.microsoft.com/office/word/2010/wordprocessingShape">
                    <wps:wsp>
                      <wps:cNvSpPr txBox="1"/>
                      <wps:spPr>
                        <a:xfrm>
                          <a:off x="0" y="0"/>
                          <a:ext cx="914400" cy="727710"/>
                        </a:xfrm>
                        <a:prstGeom prst="rect">
                          <a:avLst/>
                        </a:prstGeom>
                        <a:noFill/>
                        <a:ln>
                          <a:noFill/>
                        </a:ln>
                        <a:effectLst/>
                      </wps:spPr>
                      <wps:txbx>
                        <w:txbxContent>
                          <w:p w14:paraId="6B655A5B">
                            <w:pPr>
                              <w:spacing w:line="240" w:lineRule="exact"/>
                              <w:rPr>
                                <w:rFonts w:ascii="楷体_GB2312" w:hAnsi="宋体" w:eastAsia="楷体_GB2312"/>
                                <w:b/>
                                <w:bCs/>
                                <w:sz w:val="18"/>
                                <w:szCs w:val="18"/>
                              </w:rPr>
                            </w:pPr>
                            <w:r>
                              <w:rPr>
                                <w:rFonts w:hint="eastAsia" w:ascii="楷体_GB2312" w:hAnsi="宋体" w:eastAsia="楷体_GB2312"/>
                                <w:b/>
                                <w:bCs/>
                                <w:sz w:val="18"/>
                                <w:szCs w:val="18"/>
                              </w:rPr>
                              <w:t>配合政府要求并做好保密工作</w:t>
                            </w:r>
                          </w:p>
                        </w:txbxContent>
                      </wps:txbx>
                      <wps:bodyPr upright="1"/>
                    </wps:wsp>
                  </a:graphicData>
                </a:graphic>
              </wp:anchor>
            </w:drawing>
          </mc:Choice>
          <mc:Fallback>
            <w:pict>
              <v:shape id="_x0000_s1026" o:spid="_x0000_s1026" o:spt="202" type="#_x0000_t202" style="position:absolute;left:0pt;margin-left:-9pt;margin-top:5.15pt;height:57.3pt;width:72pt;z-index:252062720;mso-width-relative:page;mso-height-relative:page;" filled="f" stroked="f" coordsize="21600,21600" o:gfxdata="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Ino&#10;b2fWAAAACgEAAA8AAAAAAAAAAQAgAAAAIgAAAGRycy9kb3ducmV2LnhtbFBLAQIUABQAAAAIAIdO&#10;4kDZlZJEswEAAF8DAAAOAAAAAAAAAAEAIAAAACUBAABkcnMvZTJvRG9jLnhtbFBLBQYAAAAABgAG&#10;AFkBAABKBQAAAAA=&#10;">
                <v:fill on="f" focussize="0,0"/>
                <v:stroke on="f"/>
                <v:imagedata o:title=""/>
                <o:lock v:ext="edit" aspectratio="f"/>
                <v:textbox>
                  <w:txbxContent>
                    <w:p w14:paraId="6B655A5B">
                      <w:pPr>
                        <w:spacing w:line="240" w:lineRule="exact"/>
                        <w:rPr>
                          <w:rFonts w:ascii="楷体_GB2312" w:hAnsi="宋体" w:eastAsia="楷体_GB2312"/>
                          <w:b/>
                          <w:bCs/>
                          <w:sz w:val="18"/>
                          <w:szCs w:val="18"/>
                        </w:rPr>
                      </w:pPr>
                      <w:r>
                        <w:rPr>
                          <w:rFonts w:hint="eastAsia" w:ascii="楷体_GB2312" w:hAnsi="宋体" w:eastAsia="楷体_GB2312"/>
                          <w:b/>
                          <w:bCs/>
                          <w:sz w:val="18"/>
                          <w:szCs w:val="18"/>
                        </w:rPr>
                        <w:t>配合政府要求并做好保密工作</w:t>
                      </w:r>
                    </w:p>
                  </w:txbxContent>
                </v:textbox>
              </v:shape>
            </w:pict>
          </mc:Fallback>
        </mc:AlternateContent>
      </w:r>
      <w:r>
        <w:rPr>
          <w:rFonts w:hint="eastAsia" w:hAnsi="宋体"/>
          <w:color w:val="auto"/>
          <w:sz w:val="24"/>
          <w:szCs w:val="18"/>
        </w:rPr>
        <w:t>如果法律或政府执法、监督管理等有要求，合同双方当事人应予配合和支持，并提供需要的保密信息。需提供另一方当事人保密信息的，应立即书面通知另一方当事人，以便另一方当事人及时履行义务。若另一方当事人未能及时作出回应的，除依法应提供另一方当事人信息外，应积极维护另一方当事人合法权益。</w:t>
      </w:r>
    </w:p>
    <w:p w14:paraId="40AD9841">
      <w:pPr>
        <w:pStyle w:val="2"/>
        <w:adjustRightInd w:val="0"/>
        <w:snapToGrid w:val="0"/>
        <w:spacing w:line="360" w:lineRule="auto"/>
        <w:rPr>
          <w:rFonts w:hAnsi="宋体"/>
          <w:b/>
          <w:color w:val="auto"/>
          <w:sz w:val="24"/>
          <w:szCs w:val="18"/>
        </w:rPr>
      </w:pPr>
      <w:r>
        <w:rPr>
          <w:rFonts w:hAnsi="宋体"/>
          <w:b/>
          <w:color w:val="auto"/>
          <w:sz w:val="24"/>
          <w:szCs w:val="18"/>
        </w:rPr>
        <w:t xml:space="preserve">91.5  </w:t>
      </w:r>
    </w:p>
    <w:p w14:paraId="75B81014">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2063744" behindDoc="0" locked="0" layoutInCell="1" allowOverlap="1">
                <wp:simplePos x="0" y="0"/>
                <wp:positionH relativeFrom="column">
                  <wp:posOffset>-114300</wp:posOffset>
                </wp:positionH>
                <wp:positionV relativeFrom="paragraph">
                  <wp:posOffset>22225</wp:posOffset>
                </wp:positionV>
                <wp:extent cx="914400" cy="495300"/>
                <wp:effectExtent l="0" t="0" r="0" b="0"/>
                <wp:wrapNone/>
                <wp:docPr id="321" name="文本框 321"/>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a:effectLst/>
                      </wps:spPr>
                      <wps:txbx>
                        <w:txbxContent>
                          <w:p w14:paraId="3C169C46">
                            <w:pPr>
                              <w:spacing w:line="240" w:lineRule="exact"/>
                              <w:rPr>
                                <w:rFonts w:ascii="楷体_GB2312" w:hAnsi="宋体" w:eastAsia="楷体_GB2312"/>
                                <w:b/>
                                <w:bCs/>
                                <w:sz w:val="18"/>
                                <w:szCs w:val="18"/>
                              </w:rPr>
                            </w:pPr>
                            <w:r>
                              <w:rPr>
                                <w:rFonts w:hint="eastAsia" w:ascii="楷体_GB2312" w:hAnsi="宋体" w:eastAsia="楷体_GB2312"/>
                                <w:b/>
                                <w:bCs/>
                                <w:sz w:val="18"/>
                                <w:szCs w:val="18"/>
                              </w:rPr>
                              <w:t>书面说明保密程度</w:t>
                            </w:r>
                          </w:p>
                        </w:txbxContent>
                      </wps:txbx>
                      <wps:bodyPr upright="1"/>
                    </wps:wsp>
                  </a:graphicData>
                </a:graphic>
              </wp:anchor>
            </w:drawing>
          </mc:Choice>
          <mc:Fallback>
            <w:pict>
              <v:shape id="_x0000_s1026" o:spid="_x0000_s1026" o:spt="202" type="#_x0000_t202" style="position:absolute;left:0pt;margin-left:-9pt;margin-top:1.75pt;height:39pt;width:72pt;z-index:252063744;mso-width-relative:page;mso-height-relative:page;" filled="f" stroked="f" coordsize="21600,21600" o:gfxdata="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2BSM&#10;6NUAAAAIAQAADwAAAAAAAAABACAAAAAiAAAAZHJzL2Rvd25yZXYueG1sUEsBAhQAFAAAAAgAh07i&#10;QNwDm6OzAQAAXwMAAA4AAAAAAAAAAQAgAAAAJAEAAGRycy9lMm9Eb2MueG1sUEsFBgAAAAAGAAYA&#10;WQEAAEkFAAAAAA==&#10;">
                <v:fill on="f" focussize="0,0"/>
                <v:stroke on="f"/>
                <v:imagedata o:title=""/>
                <o:lock v:ext="edit" aspectratio="f"/>
                <v:textbox>
                  <w:txbxContent>
                    <w:p w14:paraId="3C169C46">
                      <w:pPr>
                        <w:spacing w:line="240" w:lineRule="exact"/>
                        <w:rPr>
                          <w:rFonts w:ascii="楷体_GB2312" w:hAnsi="宋体" w:eastAsia="楷体_GB2312"/>
                          <w:b/>
                          <w:bCs/>
                          <w:sz w:val="18"/>
                          <w:szCs w:val="18"/>
                        </w:rPr>
                      </w:pPr>
                      <w:r>
                        <w:rPr>
                          <w:rFonts w:hint="eastAsia" w:ascii="楷体_GB2312" w:hAnsi="宋体" w:eastAsia="楷体_GB2312"/>
                          <w:b/>
                          <w:bCs/>
                          <w:sz w:val="18"/>
                          <w:szCs w:val="18"/>
                        </w:rPr>
                        <w:t>书面说明保密程度</w:t>
                      </w:r>
                    </w:p>
                  </w:txbxContent>
                </v:textbox>
              </v:shape>
            </w:pict>
          </mc:Fallback>
        </mc:AlternateContent>
      </w:r>
      <w:r>
        <w:rPr>
          <w:rFonts w:hint="eastAsia" w:hAnsi="宋体"/>
          <w:color w:val="auto"/>
          <w:sz w:val="24"/>
          <w:szCs w:val="18"/>
        </w:rPr>
        <w:t>保密信息应由提供方以书面形式说明保密程度；以口头形式提供的，则提供方应在提供后</w:t>
      </w:r>
      <w:r>
        <w:rPr>
          <w:rFonts w:hAnsi="宋体"/>
          <w:color w:val="auto"/>
          <w:sz w:val="24"/>
          <w:szCs w:val="18"/>
        </w:rPr>
        <w:t>28</w:t>
      </w:r>
      <w:r>
        <w:rPr>
          <w:rFonts w:hint="eastAsia" w:hAnsi="宋体"/>
          <w:color w:val="auto"/>
          <w:sz w:val="24"/>
          <w:szCs w:val="18"/>
        </w:rPr>
        <w:t>天内以书面形式予以确认。保密信息不但包括合同双方当事人确认的信息，还包括与材料和工程设备产品、价格、工程设计、图纸、技术、工艺和财务等相关信息。但不包括下述信息：</w:t>
      </w:r>
    </w:p>
    <w:p w14:paraId="13BDE60E">
      <w:pPr>
        <w:pStyle w:val="2"/>
        <w:numPr>
          <w:ilvl w:val="1"/>
          <w:numId w:val="29"/>
        </w:numPr>
        <w:tabs>
          <w:tab w:val="left" w:pos="1320"/>
          <w:tab w:val="left" w:pos="1620"/>
          <w:tab w:val="left" w:pos="2340"/>
          <w:tab w:val="left" w:pos="2700"/>
        </w:tabs>
        <w:adjustRightInd w:val="0"/>
        <w:snapToGrid w:val="0"/>
        <w:spacing w:line="360" w:lineRule="auto"/>
        <w:ind w:left="771" w:firstLine="849"/>
        <w:rPr>
          <w:rFonts w:hAnsi="宋体"/>
          <w:color w:val="auto"/>
          <w:sz w:val="24"/>
          <w:szCs w:val="18"/>
        </w:rPr>
      </w:pPr>
      <w:r>
        <w:rPr>
          <w:rFonts w:hint="eastAsia" w:hAnsi="宋体"/>
          <w:color w:val="auto"/>
          <w:sz w:val="24"/>
          <w:szCs w:val="18"/>
        </w:rPr>
        <w:t>提供前已由合同双方当事人所持有的；</w:t>
      </w:r>
    </w:p>
    <w:p w14:paraId="7BBB9958">
      <w:pPr>
        <w:pStyle w:val="2"/>
        <w:numPr>
          <w:ilvl w:val="1"/>
          <w:numId w:val="29"/>
        </w:numPr>
        <w:tabs>
          <w:tab w:val="left" w:pos="1320"/>
          <w:tab w:val="left" w:pos="1620"/>
          <w:tab w:val="left" w:pos="2340"/>
          <w:tab w:val="left" w:pos="2700"/>
        </w:tabs>
        <w:adjustRightInd w:val="0"/>
        <w:snapToGrid w:val="0"/>
        <w:spacing w:line="360" w:lineRule="auto"/>
        <w:ind w:left="771" w:firstLine="849"/>
        <w:rPr>
          <w:rFonts w:hAnsi="宋体"/>
          <w:color w:val="auto"/>
          <w:sz w:val="24"/>
          <w:szCs w:val="18"/>
        </w:rPr>
      </w:pPr>
      <w:r>
        <w:rPr>
          <w:rFonts w:hint="eastAsia" w:hAnsi="宋体"/>
          <w:color w:val="auto"/>
          <w:sz w:val="24"/>
          <w:szCs w:val="18"/>
        </w:rPr>
        <w:t>已公开发表或非对方当事人原因向公众公开的；</w:t>
      </w:r>
    </w:p>
    <w:p w14:paraId="13AEC327">
      <w:pPr>
        <w:pStyle w:val="2"/>
        <w:numPr>
          <w:ilvl w:val="1"/>
          <w:numId w:val="29"/>
        </w:numPr>
        <w:tabs>
          <w:tab w:val="left" w:pos="1320"/>
          <w:tab w:val="left" w:pos="1620"/>
          <w:tab w:val="left" w:pos="2340"/>
          <w:tab w:val="left" w:pos="2700"/>
        </w:tabs>
        <w:adjustRightInd w:val="0"/>
        <w:snapToGrid w:val="0"/>
        <w:spacing w:line="360" w:lineRule="auto"/>
        <w:ind w:left="771" w:firstLine="849"/>
        <w:rPr>
          <w:rFonts w:hAnsi="宋体"/>
          <w:color w:val="auto"/>
          <w:sz w:val="24"/>
          <w:szCs w:val="18"/>
        </w:rPr>
      </w:pPr>
      <w:r>
        <w:rPr>
          <w:rFonts w:hint="eastAsia" w:hAnsi="宋体"/>
          <w:color w:val="auto"/>
          <w:sz w:val="24"/>
          <w:szCs w:val="18"/>
        </w:rPr>
        <w:t>已由各相关方书面同意其公开的；</w:t>
      </w:r>
    </w:p>
    <w:p w14:paraId="254A216C">
      <w:pPr>
        <w:pStyle w:val="2"/>
        <w:numPr>
          <w:ilvl w:val="1"/>
          <w:numId w:val="29"/>
        </w:numPr>
        <w:tabs>
          <w:tab w:val="left" w:pos="1320"/>
          <w:tab w:val="left" w:pos="1620"/>
          <w:tab w:val="left" w:pos="2340"/>
          <w:tab w:val="left" w:pos="2700"/>
        </w:tabs>
        <w:adjustRightInd w:val="0"/>
        <w:snapToGrid w:val="0"/>
        <w:spacing w:line="360" w:lineRule="auto"/>
        <w:ind w:left="771" w:firstLine="849"/>
        <w:rPr>
          <w:rFonts w:hAnsi="宋体"/>
          <w:color w:val="auto"/>
          <w:sz w:val="24"/>
          <w:szCs w:val="18"/>
        </w:rPr>
      </w:pPr>
      <w:r>
        <w:rPr>
          <w:rFonts w:hint="eastAsia" w:hAnsi="宋体"/>
          <w:color w:val="auto"/>
          <w:sz w:val="24"/>
          <w:szCs w:val="18"/>
        </w:rPr>
        <w:t>在未获取保密信息前由对方当事人独立开发的；</w:t>
      </w:r>
    </w:p>
    <w:p w14:paraId="779711D4">
      <w:pPr>
        <w:pStyle w:val="2"/>
        <w:numPr>
          <w:ilvl w:val="1"/>
          <w:numId w:val="29"/>
        </w:numPr>
        <w:tabs>
          <w:tab w:val="left" w:pos="1320"/>
          <w:tab w:val="left" w:pos="1620"/>
          <w:tab w:val="left" w:pos="2340"/>
          <w:tab w:val="left" w:pos="2700"/>
        </w:tabs>
        <w:adjustRightInd w:val="0"/>
        <w:snapToGrid w:val="0"/>
        <w:spacing w:line="360" w:lineRule="auto"/>
        <w:ind w:left="771" w:firstLine="849"/>
        <w:rPr>
          <w:rFonts w:hAnsi="宋体"/>
          <w:color w:val="auto"/>
          <w:sz w:val="24"/>
          <w:szCs w:val="18"/>
        </w:rPr>
      </w:pPr>
      <w:r>
        <w:rPr>
          <w:rFonts w:hint="eastAsia" w:hAnsi="宋体"/>
          <w:color w:val="auto"/>
          <w:sz w:val="24"/>
          <w:szCs w:val="18"/>
        </w:rPr>
        <w:t>对方当事人从对保密信息不承担保密义务的第三方处合法获得的。</w:t>
      </w:r>
    </w:p>
    <w:p w14:paraId="72502417">
      <w:pPr>
        <w:pStyle w:val="2"/>
        <w:tabs>
          <w:tab w:val="left" w:pos="1620"/>
        </w:tabs>
        <w:adjustRightInd w:val="0"/>
        <w:snapToGrid w:val="0"/>
        <w:spacing w:line="360" w:lineRule="auto"/>
        <w:rPr>
          <w:rFonts w:hAnsi="宋体"/>
          <w:b/>
          <w:color w:val="auto"/>
          <w:sz w:val="30"/>
          <w:szCs w:val="24"/>
        </w:rPr>
      </w:pPr>
    </w:p>
    <w:p w14:paraId="43CD8E7C">
      <w:pPr>
        <w:pStyle w:val="2"/>
        <w:tabs>
          <w:tab w:val="left" w:pos="540"/>
        </w:tabs>
        <w:adjustRightInd w:val="0"/>
        <w:snapToGrid w:val="0"/>
        <w:spacing w:before="240" w:beforeLines="100" w:line="360" w:lineRule="auto"/>
        <w:ind w:right="-238"/>
        <w:rPr>
          <w:rFonts w:hAnsi="宋体"/>
          <w:b/>
          <w:color w:val="auto"/>
          <w:sz w:val="30"/>
          <w:szCs w:val="24"/>
        </w:rPr>
      </w:pPr>
      <w:r>
        <w:rPr>
          <w:rFonts w:hAnsi="宋体"/>
          <w:b/>
          <w:color w:val="auto"/>
          <w:sz w:val="30"/>
          <w:szCs w:val="24"/>
        </w:rPr>
        <w:t xml:space="preserve">92  </w:t>
      </w:r>
      <w:r>
        <w:rPr>
          <w:rFonts w:hint="eastAsia" w:hAnsi="宋体"/>
          <w:b/>
          <w:color w:val="auto"/>
          <w:sz w:val="30"/>
          <w:szCs w:val="24"/>
        </w:rPr>
        <w:t>廉政建设</w:t>
      </w:r>
    </w:p>
    <w:p w14:paraId="46F2CE97">
      <w:pPr>
        <w:pStyle w:val="2"/>
        <w:adjustRightInd w:val="0"/>
        <w:snapToGrid w:val="0"/>
        <w:spacing w:line="360" w:lineRule="auto"/>
        <w:rPr>
          <w:rFonts w:hAnsi="宋体"/>
          <w:b/>
          <w:color w:val="auto"/>
          <w:sz w:val="24"/>
          <w:szCs w:val="18"/>
        </w:rPr>
      </w:pPr>
      <w:r>
        <w:rPr>
          <w:rFonts w:hAnsi="宋体"/>
          <w:b/>
          <w:color w:val="auto"/>
          <w:sz w:val="24"/>
          <w:szCs w:val="18"/>
        </w:rPr>
        <w:t xml:space="preserve">92.1     </w:t>
      </w:r>
    </w:p>
    <w:p w14:paraId="5503EA80">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2064768" behindDoc="0" locked="0" layoutInCell="1" allowOverlap="1">
                <wp:simplePos x="0" y="0"/>
                <wp:positionH relativeFrom="column">
                  <wp:posOffset>-114300</wp:posOffset>
                </wp:positionH>
                <wp:positionV relativeFrom="paragraph">
                  <wp:posOffset>15875</wp:posOffset>
                </wp:positionV>
                <wp:extent cx="800100" cy="297180"/>
                <wp:effectExtent l="0" t="0" r="0" b="0"/>
                <wp:wrapNone/>
                <wp:docPr id="322" name="文本框 322"/>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a:effectLst/>
                      </wps:spPr>
                      <wps:txbx>
                        <w:txbxContent>
                          <w:p w14:paraId="09025D67">
                            <w:pPr>
                              <w:spacing w:line="240" w:lineRule="exact"/>
                              <w:rPr>
                                <w:rFonts w:ascii="楷体_GB2312" w:hAnsi="宋体" w:eastAsia="楷体_GB2312"/>
                                <w:b/>
                                <w:bCs/>
                                <w:sz w:val="18"/>
                                <w:szCs w:val="18"/>
                              </w:rPr>
                            </w:pPr>
                            <w:r>
                              <w:rPr>
                                <w:rFonts w:hint="eastAsia" w:ascii="楷体_GB2312" w:hAnsi="宋体" w:eastAsia="楷体_GB2312"/>
                                <w:b/>
                                <w:bCs/>
                                <w:sz w:val="18"/>
                                <w:szCs w:val="18"/>
                              </w:rPr>
                              <w:t>廉政建设</w:t>
                            </w:r>
                          </w:p>
                        </w:txbxContent>
                      </wps:txbx>
                      <wps:bodyPr upright="1"/>
                    </wps:wsp>
                  </a:graphicData>
                </a:graphic>
              </wp:anchor>
            </w:drawing>
          </mc:Choice>
          <mc:Fallback>
            <w:pict>
              <v:shape id="_x0000_s1026" o:spid="_x0000_s1026" o:spt="202" type="#_x0000_t202" style="position:absolute;left:0pt;margin-left:-9pt;margin-top:1.25pt;height:23.4pt;width:63pt;z-index:252064768;mso-width-relative:page;mso-height-relative:page;" filled="f" stroked="f" coordsize="21600,21600" o:gfxdata="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Fh2yR&#10;1QAAAAgBAAAPAAAAAAAAAAEAIAAAACIAAABkcnMvZG93bnJldi54bWxQSwECFAAUAAAACACHTuJA&#10;ZqqhBLIBAABfAwAADgAAAAAAAAABACAAAAAkAQAAZHJzL2Uyb0RvYy54bWxQSwUGAAAAAAYABgBZ&#10;AQAASAUAAAAA&#10;">
                <v:fill on="f" focussize="0,0"/>
                <v:stroke on="f"/>
                <v:imagedata o:title=""/>
                <o:lock v:ext="edit" aspectratio="f"/>
                <v:textbox>
                  <w:txbxContent>
                    <w:p w14:paraId="09025D67">
                      <w:pPr>
                        <w:spacing w:line="240" w:lineRule="exact"/>
                        <w:rPr>
                          <w:rFonts w:ascii="楷体_GB2312" w:hAnsi="宋体" w:eastAsia="楷体_GB2312"/>
                          <w:b/>
                          <w:bCs/>
                          <w:sz w:val="18"/>
                          <w:szCs w:val="18"/>
                        </w:rPr>
                      </w:pPr>
                      <w:r>
                        <w:rPr>
                          <w:rFonts w:hint="eastAsia" w:ascii="楷体_GB2312" w:hAnsi="宋体" w:eastAsia="楷体_GB2312"/>
                          <w:b/>
                          <w:bCs/>
                          <w:sz w:val="18"/>
                          <w:szCs w:val="18"/>
                        </w:rPr>
                        <w:t>廉政建设</w:t>
                      </w:r>
                    </w:p>
                  </w:txbxContent>
                </v:textbox>
              </v:shape>
            </w:pict>
          </mc:Fallback>
        </mc:AlternateContent>
      </w:r>
      <w:r>
        <w:rPr>
          <w:rFonts w:hint="eastAsia" w:hAnsi="宋体"/>
          <w:color w:val="auto"/>
          <w:sz w:val="24"/>
          <w:szCs w:val="18"/>
        </w:rPr>
        <w:t>合同双方当事人在签订本合同时，应同时签订廉政合同，作为本合同的附件。合同双方当事人在合同履行期间应遵守国家和政府有关廉政方面的规定和要求，禁止任何腐败行为。</w:t>
      </w:r>
    </w:p>
    <w:p w14:paraId="3E2AB7F6">
      <w:pPr>
        <w:pStyle w:val="2"/>
        <w:adjustRightInd w:val="0"/>
        <w:snapToGrid w:val="0"/>
        <w:spacing w:line="360" w:lineRule="auto"/>
        <w:rPr>
          <w:rFonts w:hAnsi="宋体"/>
          <w:b/>
          <w:color w:val="auto"/>
          <w:sz w:val="24"/>
          <w:szCs w:val="18"/>
          <w:u w:val="dotted"/>
        </w:rPr>
      </w:pPr>
      <w:r>
        <w:rPr>
          <w:rFonts w:hAnsi="宋体"/>
          <w:b/>
          <w:color w:val="auto"/>
          <w:sz w:val="24"/>
          <w:szCs w:val="18"/>
        </w:rPr>
        <w:t xml:space="preserve">92.2  </w:t>
      </w:r>
    </w:p>
    <w:p w14:paraId="2F8F1FA1">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2065792" behindDoc="0" locked="0" layoutInCell="1" allowOverlap="1">
                <wp:simplePos x="0" y="0"/>
                <wp:positionH relativeFrom="column">
                  <wp:posOffset>-114300</wp:posOffset>
                </wp:positionH>
                <wp:positionV relativeFrom="paragraph">
                  <wp:posOffset>53975</wp:posOffset>
                </wp:positionV>
                <wp:extent cx="800100" cy="316865"/>
                <wp:effectExtent l="0" t="0" r="0" b="0"/>
                <wp:wrapNone/>
                <wp:docPr id="323" name="文本框 323"/>
                <wp:cNvGraphicFramePr/>
                <a:graphic xmlns:a="http://schemas.openxmlformats.org/drawingml/2006/main">
                  <a:graphicData uri="http://schemas.microsoft.com/office/word/2010/wordprocessingShape">
                    <wps:wsp>
                      <wps:cNvSpPr txBox="1"/>
                      <wps:spPr>
                        <a:xfrm>
                          <a:off x="0" y="0"/>
                          <a:ext cx="800100" cy="316865"/>
                        </a:xfrm>
                        <a:prstGeom prst="rect">
                          <a:avLst/>
                        </a:prstGeom>
                        <a:noFill/>
                        <a:ln>
                          <a:noFill/>
                        </a:ln>
                        <a:effectLst/>
                      </wps:spPr>
                      <wps:txbx>
                        <w:txbxContent>
                          <w:p w14:paraId="7C214549">
                            <w:pPr>
                              <w:spacing w:line="240" w:lineRule="exact"/>
                              <w:rPr>
                                <w:rFonts w:ascii="楷体_GB2312" w:hAnsi="宋体" w:eastAsia="楷体_GB2312"/>
                                <w:b/>
                                <w:bCs/>
                                <w:sz w:val="18"/>
                                <w:szCs w:val="18"/>
                              </w:rPr>
                            </w:pPr>
                            <w:r>
                              <w:rPr>
                                <w:rFonts w:hint="eastAsia" w:ascii="楷体_GB2312" w:hAnsi="宋体" w:eastAsia="楷体_GB2312"/>
                                <w:b/>
                                <w:bCs/>
                                <w:sz w:val="18"/>
                                <w:szCs w:val="18"/>
                              </w:rPr>
                              <w:t>违反责任</w:t>
                            </w:r>
                          </w:p>
                        </w:txbxContent>
                      </wps:txbx>
                      <wps:bodyPr upright="1"/>
                    </wps:wsp>
                  </a:graphicData>
                </a:graphic>
              </wp:anchor>
            </w:drawing>
          </mc:Choice>
          <mc:Fallback>
            <w:pict>
              <v:shape id="_x0000_s1026" o:spid="_x0000_s1026" o:spt="202" type="#_x0000_t202" style="position:absolute;left:0pt;margin-left:-9pt;margin-top:4.25pt;height:24.95pt;width:63pt;z-index:252065792;mso-width-relative:page;mso-height-relative:page;" filled="f" stroked="f" coordsize="21600,21600" o:gfxdata="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1zHYJ9QA&#10;AAAIAQAADwAAAAAAAAABACAAAAAiAAAAZHJzL2Rvd25yZXYueG1sUEsBAhQAFAAAAAgAh07iQPN5&#10;uWyxAQAAXwMAAA4AAAAAAAAAAQAgAAAAIwEAAGRycy9lMm9Eb2MueG1sUEsFBgAAAAAGAAYAWQEA&#10;AEYFAAAAAA==&#10;">
                <v:fill on="f" focussize="0,0"/>
                <v:stroke on="f"/>
                <v:imagedata o:title=""/>
                <o:lock v:ext="edit" aspectratio="f"/>
                <v:textbox>
                  <w:txbxContent>
                    <w:p w14:paraId="7C214549">
                      <w:pPr>
                        <w:spacing w:line="240" w:lineRule="exact"/>
                        <w:rPr>
                          <w:rFonts w:ascii="楷体_GB2312" w:hAnsi="宋体" w:eastAsia="楷体_GB2312"/>
                          <w:b/>
                          <w:bCs/>
                          <w:sz w:val="18"/>
                          <w:szCs w:val="18"/>
                        </w:rPr>
                      </w:pPr>
                      <w:r>
                        <w:rPr>
                          <w:rFonts w:hint="eastAsia" w:ascii="楷体_GB2312" w:hAnsi="宋体" w:eastAsia="楷体_GB2312"/>
                          <w:b/>
                          <w:bCs/>
                          <w:sz w:val="18"/>
                          <w:szCs w:val="18"/>
                        </w:rPr>
                        <w:t>违反责任</w:t>
                      </w:r>
                    </w:p>
                  </w:txbxContent>
                </v:textbox>
              </v:shape>
            </w:pict>
          </mc:Fallback>
        </mc:AlternateContent>
      </w:r>
      <w:r>
        <w:rPr>
          <w:rFonts w:hint="eastAsia" w:hAnsi="宋体"/>
          <w:color w:val="auto"/>
          <w:sz w:val="24"/>
          <w:szCs w:val="18"/>
        </w:rPr>
        <w:t>如果承包人违反廉政建设有关规定，采用不正当手段，贿赂或变相贿赂了包括监理工程师、造价工程师在内的发包人工作人员，以求获得或已获得不当利益的，则发包人除保留追究其工作人员责任外，因承包人上述行为造成发包人损失或工程损害的，承包人应予赔偿，并承担相应的法律责任。发包人有权按照第</w:t>
      </w:r>
      <w:r>
        <w:rPr>
          <w:rFonts w:hAnsi="宋体"/>
          <w:color w:val="auto"/>
          <w:sz w:val="24"/>
          <w:szCs w:val="18"/>
        </w:rPr>
        <w:t>87.3</w:t>
      </w:r>
      <w:r>
        <w:rPr>
          <w:rFonts w:hint="eastAsia" w:hAnsi="宋体"/>
          <w:color w:val="auto"/>
          <w:sz w:val="24"/>
          <w:szCs w:val="18"/>
        </w:rPr>
        <w:t>款规定解除合同，并按照第</w:t>
      </w:r>
      <w:r>
        <w:rPr>
          <w:rFonts w:hAnsi="宋体"/>
          <w:color w:val="auto"/>
          <w:sz w:val="24"/>
          <w:szCs w:val="18"/>
        </w:rPr>
        <w:t>88.3</w:t>
      </w:r>
      <w:r>
        <w:rPr>
          <w:rFonts w:hint="eastAsia" w:hAnsi="宋体"/>
          <w:color w:val="auto"/>
          <w:sz w:val="24"/>
          <w:szCs w:val="18"/>
        </w:rPr>
        <w:t>款规定办理合同解除的支付。</w:t>
      </w:r>
    </w:p>
    <w:p w14:paraId="3E95E9E4">
      <w:pPr>
        <w:pStyle w:val="2"/>
        <w:adjustRightInd w:val="0"/>
        <w:snapToGrid w:val="0"/>
        <w:spacing w:line="360" w:lineRule="auto"/>
        <w:rPr>
          <w:rFonts w:hAnsi="宋体"/>
          <w:b/>
          <w:color w:val="auto"/>
          <w:sz w:val="24"/>
          <w:szCs w:val="18"/>
          <w:u w:val="single"/>
        </w:rPr>
      </w:pPr>
    </w:p>
    <w:p w14:paraId="6B589761">
      <w:pPr>
        <w:pStyle w:val="2"/>
        <w:tabs>
          <w:tab w:val="left" w:pos="540"/>
        </w:tabs>
        <w:adjustRightInd w:val="0"/>
        <w:snapToGrid w:val="0"/>
        <w:spacing w:before="240" w:beforeLines="100" w:line="360" w:lineRule="auto"/>
        <w:ind w:right="-238"/>
        <w:rPr>
          <w:rFonts w:hAnsi="宋体"/>
          <w:b/>
          <w:color w:val="auto"/>
          <w:sz w:val="30"/>
          <w:szCs w:val="24"/>
        </w:rPr>
      </w:pPr>
      <w:r>
        <w:rPr>
          <w:rFonts w:hAnsi="宋体"/>
          <w:b/>
          <w:color w:val="auto"/>
          <w:sz w:val="30"/>
          <w:szCs w:val="24"/>
        </w:rPr>
        <w:t xml:space="preserve">93  </w:t>
      </w:r>
      <w:r>
        <w:rPr>
          <w:rFonts w:hint="eastAsia" w:hAnsi="宋体"/>
          <w:b/>
          <w:color w:val="auto"/>
          <w:sz w:val="30"/>
          <w:szCs w:val="24"/>
        </w:rPr>
        <w:t>禁止转让</w:t>
      </w:r>
    </w:p>
    <w:p w14:paraId="0B757647">
      <w:pPr>
        <w:pStyle w:val="2"/>
        <w:adjustRightInd w:val="0"/>
        <w:snapToGrid w:val="0"/>
        <w:spacing w:line="360" w:lineRule="auto"/>
        <w:rPr>
          <w:rFonts w:hAnsi="宋体"/>
          <w:b/>
          <w:color w:val="auto"/>
          <w:sz w:val="24"/>
          <w:szCs w:val="18"/>
        </w:rPr>
      </w:pPr>
      <w:r>
        <w:rPr>
          <w:rFonts w:hAnsi="宋体"/>
          <w:b/>
          <w:color w:val="auto"/>
          <w:sz w:val="24"/>
          <w:szCs w:val="18"/>
        </w:rPr>
        <w:t xml:space="preserve">93.1     </w:t>
      </w:r>
    </w:p>
    <w:p w14:paraId="3BFEE742">
      <w:pPr>
        <w:spacing w:line="360" w:lineRule="auto"/>
        <w:ind w:left="1619" w:leftChars="771"/>
        <w:rPr>
          <w:rFonts w:ascii="宋体"/>
          <w:color w:val="auto"/>
        </w:rPr>
      </w:pPr>
      <w:r>
        <w:rPr>
          <w:color w:val="auto"/>
        </w:rPr>
        <mc:AlternateContent>
          <mc:Choice Requires="wps">
            <w:drawing>
              <wp:anchor distT="0" distB="0" distL="114300" distR="114300" simplePos="0" relativeHeight="252066816" behindDoc="0" locked="0" layoutInCell="1" allowOverlap="1">
                <wp:simplePos x="0" y="0"/>
                <wp:positionH relativeFrom="column">
                  <wp:posOffset>-114300</wp:posOffset>
                </wp:positionH>
                <wp:positionV relativeFrom="paragraph">
                  <wp:posOffset>15875</wp:posOffset>
                </wp:positionV>
                <wp:extent cx="800100" cy="297180"/>
                <wp:effectExtent l="0" t="0" r="0" b="0"/>
                <wp:wrapNone/>
                <wp:docPr id="324" name="文本框 324"/>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a:effectLst/>
                      </wps:spPr>
                      <wps:txbx>
                        <w:txbxContent>
                          <w:p w14:paraId="4DDD9DFC">
                            <w:pPr>
                              <w:spacing w:line="240" w:lineRule="exact"/>
                              <w:rPr>
                                <w:rFonts w:ascii="宋体"/>
                                <w:b/>
                                <w:bCs/>
                                <w:sz w:val="18"/>
                                <w:szCs w:val="18"/>
                              </w:rPr>
                            </w:pPr>
                            <w:r>
                              <w:rPr>
                                <w:rFonts w:hint="eastAsia" w:ascii="楷体_GB2312" w:hAnsi="宋体" w:eastAsia="楷体_GB2312"/>
                                <w:b/>
                                <w:bCs/>
                                <w:sz w:val="18"/>
                                <w:szCs w:val="18"/>
                              </w:rPr>
                              <w:t>履行合同</w:t>
                            </w:r>
                          </w:p>
                        </w:txbxContent>
                      </wps:txbx>
                      <wps:bodyPr upright="1"/>
                    </wps:wsp>
                  </a:graphicData>
                </a:graphic>
              </wp:anchor>
            </w:drawing>
          </mc:Choice>
          <mc:Fallback>
            <w:pict>
              <v:shape id="_x0000_s1026" o:spid="_x0000_s1026" o:spt="202" type="#_x0000_t202" style="position:absolute;left:0pt;margin-left:-9pt;margin-top:1.25pt;height:23.4pt;width:63pt;z-index:252066816;mso-width-relative:page;mso-height-relative:page;" filled="f" stroked="f" coordsize="21600,21600" o:gfxdata="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RYds&#10;kdUAAAAIAQAADwAAAAAAAAABACAAAAAiAAAAZHJzL2Rvd25yZXYueG1sUEsBAhQAFAAAAAgAh07i&#10;QKa3+UyzAQAAXwMAAA4AAAAAAAAAAQAgAAAAJAEAAGRycy9lMm9Eb2MueG1sUEsFBgAAAAAGAAYA&#10;WQEAAEkFAAAAAA==&#10;">
                <v:fill on="f" focussize="0,0"/>
                <v:stroke on="f"/>
                <v:imagedata o:title=""/>
                <o:lock v:ext="edit" aspectratio="f"/>
                <v:textbox>
                  <w:txbxContent>
                    <w:p w14:paraId="4DDD9DFC">
                      <w:pPr>
                        <w:spacing w:line="240" w:lineRule="exact"/>
                        <w:rPr>
                          <w:rFonts w:ascii="宋体"/>
                          <w:b/>
                          <w:bCs/>
                          <w:sz w:val="18"/>
                          <w:szCs w:val="18"/>
                        </w:rPr>
                      </w:pPr>
                      <w:r>
                        <w:rPr>
                          <w:rFonts w:hint="eastAsia" w:ascii="楷体_GB2312" w:hAnsi="宋体" w:eastAsia="楷体_GB2312"/>
                          <w:b/>
                          <w:bCs/>
                          <w:sz w:val="18"/>
                          <w:szCs w:val="18"/>
                        </w:rPr>
                        <w:t>履行合同</w:t>
                      </w:r>
                    </w:p>
                  </w:txbxContent>
                </v:textbox>
              </v:shape>
            </w:pict>
          </mc:Fallback>
        </mc:AlternateContent>
      </w:r>
      <w:r>
        <w:rPr>
          <w:rFonts w:hint="eastAsia" w:ascii="宋体" w:hAnsi="宋体"/>
          <w:color w:val="auto"/>
          <w:sz w:val="24"/>
          <w:szCs w:val="18"/>
        </w:rPr>
        <w:t>本合同一经签署，合同双方当事人均应按照本合同规定行使各自的权利、履行各自的义务。</w:t>
      </w:r>
    </w:p>
    <w:p w14:paraId="3D366923">
      <w:pPr>
        <w:pStyle w:val="2"/>
        <w:adjustRightInd w:val="0"/>
        <w:snapToGrid w:val="0"/>
        <w:spacing w:line="360" w:lineRule="auto"/>
        <w:rPr>
          <w:rFonts w:hAnsi="宋体"/>
          <w:b/>
          <w:color w:val="auto"/>
          <w:sz w:val="24"/>
          <w:szCs w:val="18"/>
          <w:u w:val="dotted"/>
        </w:rPr>
      </w:pPr>
      <w:r>
        <w:rPr>
          <w:rFonts w:hAnsi="宋体"/>
          <w:b/>
          <w:color w:val="auto"/>
          <w:sz w:val="24"/>
          <w:szCs w:val="18"/>
        </w:rPr>
        <w:t xml:space="preserve">93.2  </w:t>
      </w:r>
    </w:p>
    <w:p w14:paraId="545CBFBA">
      <w:pPr>
        <w:spacing w:line="360" w:lineRule="auto"/>
        <w:ind w:left="1619" w:leftChars="771"/>
        <w:rPr>
          <w:rFonts w:ascii="宋体"/>
          <w:color w:val="auto"/>
          <w:sz w:val="24"/>
          <w:szCs w:val="18"/>
        </w:rPr>
      </w:pPr>
      <w:r>
        <w:rPr>
          <w:color w:val="auto"/>
        </w:rPr>
        <mc:AlternateContent>
          <mc:Choice Requires="wps">
            <w:drawing>
              <wp:anchor distT="0" distB="0" distL="114300" distR="114300" simplePos="0" relativeHeight="252067840" behindDoc="0" locked="0" layoutInCell="1" allowOverlap="1">
                <wp:simplePos x="0" y="0"/>
                <wp:positionH relativeFrom="column">
                  <wp:posOffset>-114300</wp:posOffset>
                </wp:positionH>
                <wp:positionV relativeFrom="paragraph">
                  <wp:posOffset>98425</wp:posOffset>
                </wp:positionV>
                <wp:extent cx="800100" cy="297180"/>
                <wp:effectExtent l="0" t="0" r="0" b="0"/>
                <wp:wrapNone/>
                <wp:docPr id="325" name="文本框 325"/>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a:effectLst/>
                      </wps:spPr>
                      <wps:txbx>
                        <w:txbxContent>
                          <w:p w14:paraId="0DDCBDE2">
                            <w:pPr>
                              <w:spacing w:line="240" w:lineRule="exact"/>
                              <w:rPr>
                                <w:rFonts w:ascii="楷体_GB2312" w:hAnsi="宋体" w:eastAsia="楷体_GB2312"/>
                                <w:b/>
                                <w:bCs/>
                                <w:sz w:val="18"/>
                                <w:szCs w:val="18"/>
                              </w:rPr>
                            </w:pPr>
                            <w:r>
                              <w:rPr>
                                <w:rFonts w:hint="eastAsia" w:ascii="楷体_GB2312" w:hAnsi="宋体" w:eastAsia="楷体_GB2312"/>
                                <w:b/>
                                <w:bCs/>
                                <w:sz w:val="18"/>
                                <w:szCs w:val="18"/>
                              </w:rPr>
                              <w:t>不得转让</w:t>
                            </w:r>
                          </w:p>
                        </w:txbxContent>
                      </wps:txbx>
                      <wps:bodyPr upright="1"/>
                    </wps:wsp>
                  </a:graphicData>
                </a:graphic>
              </wp:anchor>
            </w:drawing>
          </mc:Choice>
          <mc:Fallback>
            <w:pict>
              <v:shape id="_x0000_s1026" o:spid="_x0000_s1026" o:spt="202" type="#_x0000_t202" style="position:absolute;left:0pt;margin-left:-9pt;margin-top:7.75pt;height:23.4pt;width:63pt;z-index:252067840;mso-width-relative:page;mso-height-relative:page;" filled="f" stroked="f" coordsize="21600,21600" o:gfxdata="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ABH&#10;smjWAAAACQEAAA8AAAAAAAAAAQAgAAAAIgAAAGRycy9kb3ducmV2LnhtbFBLAQIUABQAAAAIAIdO&#10;4kA5sDLmswEAAF8DAAAOAAAAAAAAAAEAIAAAACUBAABkcnMvZTJvRG9jLnhtbFBLBQYAAAAABgAG&#10;AFkBAABKBQAAAAA=&#10;">
                <v:fill on="f" focussize="0,0"/>
                <v:stroke on="f"/>
                <v:imagedata o:title=""/>
                <o:lock v:ext="edit" aspectratio="f"/>
                <v:textbox>
                  <w:txbxContent>
                    <w:p w14:paraId="0DDCBDE2">
                      <w:pPr>
                        <w:spacing w:line="240" w:lineRule="exact"/>
                        <w:rPr>
                          <w:rFonts w:ascii="楷体_GB2312" w:hAnsi="宋体" w:eastAsia="楷体_GB2312"/>
                          <w:b/>
                          <w:bCs/>
                          <w:sz w:val="18"/>
                          <w:szCs w:val="18"/>
                        </w:rPr>
                      </w:pPr>
                      <w:r>
                        <w:rPr>
                          <w:rFonts w:hint="eastAsia" w:ascii="楷体_GB2312" w:hAnsi="宋体" w:eastAsia="楷体_GB2312"/>
                          <w:b/>
                          <w:bCs/>
                          <w:sz w:val="18"/>
                          <w:szCs w:val="18"/>
                        </w:rPr>
                        <w:t>不得转让</w:t>
                      </w:r>
                    </w:p>
                  </w:txbxContent>
                </v:textbox>
              </v:shape>
            </w:pict>
          </mc:Fallback>
        </mc:AlternateContent>
      </w:r>
      <w:r>
        <w:rPr>
          <w:rFonts w:hint="eastAsia" w:ascii="宋体" w:hAnsi="宋体"/>
          <w:color w:val="auto"/>
          <w:sz w:val="24"/>
          <w:szCs w:val="18"/>
        </w:rPr>
        <w:t>除合同另有约定外，未经另一方当事人同意，合同一方当事人不得将本合同的全部或部分权利、义务转让给第三方。</w:t>
      </w:r>
    </w:p>
    <w:p w14:paraId="173B8417">
      <w:pPr>
        <w:pStyle w:val="2"/>
        <w:tabs>
          <w:tab w:val="left" w:pos="540"/>
        </w:tabs>
        <w:adjustRightInd w:val="0"/>
        <w:snapToGrid w:val="0"/>
        <w:spacing w:before="240" w:beforeLines="100" w:line="360" w:lineRule="auto"/>
        <w:ind w:right="-238"/>
        <w:rPr>
          <w:rFonts w:hAnsi="宋体"/>
          <w:b/>
          <w:color w:val="auto"/>
          <w:sz w:val="30"/>
          <w:szCs w:val="24"/>
        </w:rPr>
      </w:pPr>
      <w:r>
        <w:rPr>
          <w:rFonts w:hAnsi="宋体"/>
          <w:b/>
          <w:color w:val="auto"/>
          <w:sz w:val="30"/>
          <w:szCs w:val="24"/>
        </w:rPr>
        <w:t xml:space="preserve">94  </w:t>
      </w:r>
      <w:r>
        <w:rPr>
          <w:rFonts w:hint="eastAsia" w:hAnsi="宋体"/>
          <w:b/>
          <w:color w:val="auto"/>
          <w:sz w:val="30"/>
          <w:szCs w:val="24"/>
        </w:rPr>
        <w:t>合同份数</w:t>
      </w:r>
    </w:p>
    <w:p w14:paraId="1E5D8D63">
      <w:pPr>
        <w:pStyle w:val="2"/>
        <w:adjustRightInd w:val="0"/>
        <w:snapToGrid w:val="0"/>
        <w:spacing w:line="360" w:lineRule="auto"/>
        <w:ind w:left="1581" w:hanging="1581" w:hangingChars="656"/>
        <w:rPr>
          <w:rFonts w:hAnsi="宋体"/>
          <w:b/>
          <w:color w:val="auto"/>
          <w:sz w:val="24"/>
          <w:szCs w:val="18"/>
        </w:rPr>
      </w:pPr>
      <w:r>
        <w:rPr>
          <w:rFonts w:hAnsi="宋体"/>
          <w:b/>
          <w:color w:val="auto"/>
          <w:sz w:val="24"/>
          <w:szCs w:val="18"/>
        </w:rPr>
        <w:t xml:space="preserve">94.1        </w:t>
      </w:r>
    </w:p>
    <w:p w14:paraId="236CE022">
      <w:pPr>
        <w:pStyle w:val="2"/>
        <w:adjustRightInd w:val="0"/>
        <w:snapToGrid w:val="0"/>
        <w:spacing w:line="360" w:lineRule="auto"/>
        <w:ind w:left="1682" w:leftChars="800" w:hanging="2"/>
        <w:rPr>
          <w:rFonts w:hAnsi="宋体"/>
          <w:color w:val="auto"/>
          <w:sz w:val="24"/>
          <w:szCs w:val="18"/>
        </w:rPr>
      </w:pPr>
      <w:r>
        <w:rPr>
          <w:color w:val="auto"/>
        </w:rPr>
        <mc:AlternateContent>
          <mc:Choice Requires="wps">
            <w:drawing>
              <wp:anchor distT="0" distB="0" distL="114300" distR="114300" simplePos="0" relativeHeight="252068864" behindDoc="0" locked="0" layoutInCell="1" allowOverlap="1">
                <wp:simplePos x="0" y="0"/>
                <wp:positionH relativeFrom="column">
                  <wp:posOffset>-66675</wp:posOffset>
                </wp:positionH>
                <wp:positionV relativeFrom="paragraph">
                  <wp:posOffset>10160</wp:posOffset>
                </wp:positionV>
                <wp:extent cx="914400" cy="396240"/>
                <wp:effectExtent l="0" t="0" r="0" b="0"/>
                <wp:wrapNone/>
                <wp:docPr id="326" name="文本框 326"/>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a:effectLst/>
                      </wps:spPr>
                      <wps:txbx>
                        <w:txbxContent>
                          <w:p w14:paraId="0374DB59">
                            <w:pPr>
                              <w:spacing w:line="240" w:lineRule="exact"/>
                              <w:rPr>
                                <w:rFonts w:ascii="楷体_GB2312" w:hAnsi="宋体" w:eastAsia="楷体_GB2312"/>
                                <w:b/>
                                <w:bCs/>
                                <w:sz w:val="18"/>
                                <w:szCs w:val="18"/>
                              </w:rPr>
                            </w:pPr>
                            <w:r>
                              <w:rPr>
                                <w:rFonts w:hint="eastAsia" w:ascii="楷体_GB2312" w:hAnsi="宋体" w:eastAsia="楷体_GB2312"/>
                                <w:b/>
                                <w:bCs/>
                                <w:sz w:val="18"/>
                                <w:szCs w:val="18"/>
                              </w:rPr>
                              <w:t>约定提供合同文本</w:t>
                            </w:r>
                          </w:p>
                        </w:txbxContent>
                      </wps:txbx>
                      <wps:bodyPr upright="1"/>
                    </wps:wsp>
                  </a:graphicData>
                </a:graphic>
              </wp:anchor>
            </w:drawing>
          </mc:Choice>
          <mc:Fallback>
            <w:pict>
              <v:shape id="_x0000_s1026" o:spid="_x0000_s1026" o:spt="202" type="#_x0000_t202" style="position:absolute;left:0pt;margin-left:-5.25pt;margin-top:0.8pt;height:31.2pt;width:72pt;z-index:252068864;mso-width-relative:page;mso-height-relative:page;" filled="f" stroked="f" coordsize="21600,21600" o:gfxdata="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AliH&#10;8dQAAAAIAQAADwAAAAAAAAABACAAAAAiAAAAZHJzL2Rvd25yZXYueG1sUEsBAhQAFAAAAAgAh07i&#10;QLraDOu0AQAAXwMAAA4AAAAAAAAAAQAgAAAAIwEAAGRycy9lMm9Eb2MueG1sUEsFBgAAAAAGAAYA&#10;WQEAAEkFAAAAAA==&#10;">
                <v:fill on="f" focussize="0,0"/>
                <v:stroke on="f"/>
                <v:imagedata o:title=""/>
                <o:lock v:ext="edit" aspectratio="f"/>
                <v:textbox>
                  <w:txbxContent>
                    <w:p w14:paraId="0374DB59">
                      <w:pPr>
                        <w:spacing w:line="240" w:lineRule="exact"/>
                        <w:rPr>
                          <w:rFonts w:ascii="楷体_GB2312" w:hAnsi="宋体" w:eastAsia="楷体_GB2312"/>
                          <w:b/>
                          <w:bCs/>
                          <w:sz w:val="18"/>
                          <w:szCs w:val="18"/>
                        </w:rPr>
                      </w:pPr>
                      <w:r>
                        <w:rPr>
                          <w:rFonts w:hint="eastAsia" w:ascii="楷体_GB2312" w:hAnsi="宋体" w:eastAsia="楷体_GB2312"/>
                          <w:b/>
                          <w:bCs/>
                          <w:sz w:val="18"/>
                          <w:szCs w:val="18"/>
                        </w:rPr>
                        <w:t>约定提供合同文本</w:t>
                      </w:r>
                    </w:p>
                  </w:txbxContent>
                </v:textbox>
              </v:shape>
            </w:pict>
          </mc:Fallback>
        </mc:AlternateContent>
      </w:r>
      <w:r>
        <w:rPr>
          <w:rFonts w:hint="eastAsia" w:hAnsi="宋体"/>
          <w:color w:val="auto"/>
          <w:sz w:val="24"/>
          <w:szCs w:val="18"/>
        </w:rPr>
        <w:t>除专用条款另有约定外，发包人应按照第</w:t>
      </w:r>
      <w:r>
        <w:rPr>
          <w:rFonts w:hAnsi="宋体"/>
          <w:color w:val="auto"/>
          <w:sz w:val="24"/>
          <w:szCs w:val="18"/>
        </w:rPr>
        <w:t>94.2</w:t>
      </w:r>
      <w:r>
        <w:rPr>
          <w:rFonts w:hint="eastAsia" w:hAnsi="宋体"/>
          <w:color w:val="auto"/>
          <w:sz w:val="24"/>
          <w:szCs w:val="18"/>
        </w:rPr>
        <w:t>款规定的份数免费为承包人提供合同文本。</w:t>
      </w:r>
    </w:p>
    <w:p w14:paraId="551548E2">
      <w:pPr>
        <w:pStyle w:val="2"/>
        <w:adjustRightInd w:val="0"/>
        <w:snapToGrid w:val="0"/>
        <w:spacing w:line="360" w:lineRule="auto"/>
        <w:rPr>
          <w:rFonts w:hAnsi="宋体"/>
          <w:color w:val="auto"/>
          <w:sz w:val="24"/>
          <w:szCs w:val="18"/>
        </w:rPr>
      </w:pPr>
      <w:r>
        <w:rPr>
          <w:rFonts w:hAnsi="宋体"/>
          <w:b/>
          <w:color w:val="auto"/>
          <w:sz w:val="24"/>
          <w:szCs w:val="18"/>
        </w:rPr>
        <w:t xml:space="preserve">94.2  </w:t>
      </w:r>
    </w:p>
    <w:p w14:paraId="79225C56">
      <w:pPr>
        <w:pStyle w:val="2"/>
        <w:adjustRightInd w:val="0"/>
        <w:snapToGrid w:val="0"/>
        <w:spacing w:line="360" w:lineRule="auto"/>
        <w:ind w:left="1619" w:leftChars="771"/>
        <w:rPr>
          <w:rFonts w:hAnsi="宋体"/>
          <w:color w:val="auto"/>
          <w:sz w:val="24"/>
          <w:szCs w:val="18"/>
        </w:rPr>
      </w:pPr>
      <w:r>
        <w:rPr>
          <w:color w:val="auto"/>
        </w:rPr>
        <mc:AlternateContent>
          <mc:Choice Requires="wps">
            <w:drawing>
              <wp:anchor distT="0" distB="0" distL="114300" distR="114300" simplePos="0" relativeHeight="252069888" behindDoc="0" locked="0" layoutInCell="1" allowOverlap="1">
                <wp:simplePos x="0" y="0"/>
                <wp:positionH relativeFrom="column">
                  <wp:posOffset>-114300</wp:posOffset>
                </wp:positionH>
                <wp:positionV relativeFrom="paragraph">
                  <wp:posOffset>8255</wp:posOffset>
                </wp:positionV>
                <wp:extent cx="800100" cy="299720"/>
                <wp:effectExtent l="0" t="0" r="0" b="0"/>
                <wp:wrapNone/>
                <wp:docPr id="327" name="文本框 327"/>
                <wp:cNvGraphicFramePr/>
                <a:graphic xmlns:a="http://schemas.openxmlformats.org/drawingml/2006/main">
                  <a:graphicData uri="http://schemas.microsoft.com/office/word/2010/wordprocessingShape">
                    <wps:wsp>
                      <wps:cNvSpPr txBox="1"/>
                      <wps:spPr>
                        <a:xfrm>
                          <a:off x="0" y="0"/>
                          <a:ext cx="800100" cy="299720"/>
                        </a:xfrm>
                        <a:prstGeom prst="rect">
                          <a:avLst/>
                        </a:prstGeom>
                        <a:noFill/>
                        <a:ln>
                          <a:noFill/>
                        </a:ln>
                        <a:effectLst/>
                      </wps:spPr>
                      <wps:txbx>
                        <w:txbxContent>
                          <w:p w14:paraId="58E4417E">
                            <w:pPr>
                              <w:spacing w:line="240" w:lineRule="exact"/>
                              <w:rPr>
                                <w:rFonts w:ascii="楷体_GB2312" w:hAnsi="宋体" w:eastAsia="楷体_GB2312"/>
                                <w:b/>
                                <w:bCs/>
                                <w:sz w:val="18"/>
                                <w:szCs w:val="18"/>
                              </w:rPr>
                            </w:pPr>
                            <w:r>
                              <w:rPr>
                                <w:rFonts w:hint="eastAsia" w:ascii="楷体_GB2312" w:hAnsi="宋体" w:eastAsia="楷体_GB2312"/>
                                <w:b/>
                                <w:bCs/>
                                <w:sz w:val="18"/>
                                <w:szCs w:val="18"/>
                              </w:rPr>
                              <w:t>正副本效力</w:t>
                            </w:r>
                          </w:p>
                        </w:txbxContent>
                      </wps:txbx>
                      <wps:bodyPr upright="1"/>
                    </wps:wsp>
                  </a:graphicData>
                </a:graphic>
              </wp:anchor>
            </w:drawing>
          </mc:Choice>
          <mc:Fallback>
            <w:pict>
              <v:shape id="_x0000_s1026" o:spid="_x0000_s1026" o:spt="202" type="#_x0000_t202" style="position:absolute;left:0pt;margin-left:-9pt;margin-top:0.65pt;height:23.6pt;width:63pt;z-index:252069888;mso-width-relative:page;mso-height-relative:page;" filled="f" stroked="f" coordsize="21600,21600" o:gfxdata="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x/dvrU&#10;AAAACAEAAA8AAAAAAAAAAQAgAAAAIgAAAGRycy9kb3ducmV2LnhtbFBLAQIUABQAAAAIAIdO4kCh&#10;0o3wsgEAAF8DAAAOAAAAAAAAAAEAIAAAACMBAABkcnMvZTJvRG9jLnhtbFBLBQYAAAAABgAGAFkB&#10;AABHBQAAAAA=&#10;">
                <v:fill on="f" focussize="0,0"/>
                <v:stroke on="f"/>
                <v:imagedata o:title=""/>
                <o:lock v:ext="edit" aspectratio="f"/>
                <v:textbox>
                  <w:txbxContent>
                    <w:p w14:paraId="58E4417E">
                      <w:pPr>
                        <w:spacing w:line="240" w:lineRule="exact"/>
                        <w:rPr>
                          <w:rFonts w:ascii="楷体_GB2312" w:hAnsi="宋体" w:eastAsia="楷体_GB2312"/>
                          <w:b/>
                          <w:bCs/>
                          <w:sz w:val="18"/>
                          <w:szCs w:val="18"/>
                        </w:rPr>
                      </w:pPr>
                      <w:r>
                        <w:rPr>
                          <w:rFonts w:hint="eastAsia" w:ascii="楷体_GB2312" w:hAnsi="宋体" w:eastAsia="楷体_GB2312"/>
                          <w:b/>
                          <w:bCs/>
                          <w:sz w:val="18"/>
                          <w:szCs w:val="18"/>
                        </w:rPr>
                        <w:t>正副本效力</w:t>
                      </w:r>
                    </w:p>
                  </w:txbxContent>
                </v:textbox>
              </v:shape>
            </w:pict>
          </mc:Fallback>
        </mc:AlternateContent>
      </w:r>
      <w:r>
        <w:rPr>
          <w:rFonts w:hint="eastAsia" w:hAnsi="宋体"/>
          <w:color w:val="auto"/>
          <w:sz w:val="24"/>
          <w:szCs w:val="18"/>
        </w:rPr>
        <w:t>本合同正、副本份数，由合同双方当事人根据需要在专用条款中约定。正本与副本具有同等效力，当正本与副本不一致时，以正本为准。</w:t>
      </w:r>
    </w:p>
    <w:p w14:paraId="30443399">
      <w:pPr>
        <w:pStyle w:val="2"/>
        <w:adjustRightInd w:val="0"/>
        <w:snapToGrid w:val="0"/>
        <w:spacing w:line="360" w:lineRule="auto"/>
        <w:rPr>
          <w:rFonts w:hAnsi="宋体"/>
          <w:b/>
          <w:color w:val="auto"/>
          <w:sz w:val="30"/>
          <w:szCs w:val="30"/>
        </w:rPr>
      </w:pPr>
    </w:p>
    <w:p w14:paraId="0D624F0B">
      <w:pPr>
        <w:pStyle w:val="2"/>
        <w:adjustRightInd w:val="0"/>
        <w:snapToGrid w:val="0"/>
        <w:spacing w:line="360" w:lineRule="auto"/>
        <w:rPr>
          <w:rFonts w:hAnsi="宋体"/>
          <w:b/>
          <w:color w:val="auto"/>
          <w:sz w:val="30"/>
          <w:szCs w:val="30"/>
        </w:rPr>
      </w:pPr>
      <w:r>
        <w:rPr>
          <w:rFonts w:hAnsi="宋体"/>
          <w:b/>
          <w:color w:val="auto"/>
          <w:sz w:val="30"/>
          <w:szCs w:val="30"/>
        </w:rPr>
        <w:t xml:space="preserve">95  </w:t>
      </w:r>
      <w:r>
        <w:rPr>
          <w:rFonts w:hint="eastAsia" w:hAnsi="宋体"/>
          <w:b/>
          <w:color w:val="auto"/>
          <w:sz w:val="30"/>
          <w:szCs w:val="30"/>
        </w:rPr>
        <w:t>合同备案</w:t>
      </w:r>
    </w:p>
    <w:p w14:paraId="4BE9D14B">
      <w:pPr>
        <w:pStyle w:val="2"/>
        <w:adjustRightInd w:val="0"/>
        <w:snapToGrid w:val="0"/>
        <w:spacing w:line="360" w:lineRule="auto"/>
        <w:rPr>
          <w:rFonts w:hAnsi="宋体"/>
          <w:b/>
          <w:color w:val="auto"/>
          <w:sz w:val="24"/>
          <w:szCs w:val="18"/>
        </w:rPr>
      </w:pPr>
      <w:r>
        <w:rPr>
          <w:color w:val="auto"/>
        </w:rPr>
        <mc:AlternateContent>
          <mc:Choice Requires="wps">
            <w:drawing>
              <wp:anchor distT="0" distB="0" distL="114300" distR="114300" simplePos="0" relativeHeight="252070912" behindDoc="0" locked="0" layoutInCell="1" allowOverlap="1">
                <wp:simplePos x="0" y="0"/>
                <wp:positionH relativeFrom="column">
                  <wp:posOffset>-114300</wp:posOffset>
                </wp:positionH>
                <wp:positionV relativeFrom="paragraph">
                  <wp:posOffset>208915</wp:posOffset>
                </wp:positionV>
                <wp:extent cx="1039495" cy="529590"/>
                <wp:effectExtent l="0" t="0" r="0" b="0"/>
                <wp:wrapNone/>
                <wp:docPr id="328" name="文本框 328"/>
                <wp:cNvGraphicFramePr/>
                <a:graphic xmlns:a="http://schemas.openxmlformats.org/drawingml/2006/main">
                  <a:graphicData uri="http://schemas.microsoft.com/office/word/2010/wordprocessingShape">
                    <wps:wsp>
                      <wps:cNvSpPr txBox="1"/>
                      <wps:spPr>
                        <a:xfrm>
                          <a:off x="0" y="0"/>
                          <a:ext cx="1039495" cy="529590"/>
                        </a:xfrm>
                        <a:prstGeom prst="rect">
                          <a:avLst/>
                        </a:prstGeom>
                        <a:noFill/>
                        <a:ln>
                          <a:noFill/>
                        </a:ln>
                        <a:effectLst/>
                      </wps:spPr>
                      <wps:txbx>
                        <w:txbxContent>
                          <w:p w14:paraId="6201E4FB">
                            <w:pPr>
                              <w:spacing w:line="240" w:lineRule="exact"/>
                              <w:rPr>
                                <w:rFonts w:ascii="楷体_GB2312" w:hAnsi="宋体" w:eastAsia="楷体_GB2312"/>
                                <w:b/>
                                <w:bCs/>
                                <w:sz w:val="18"/>
                                <w:szCs w:val="18"/>
                              </w:rPr>
                            </w:pPr>
                            <w:r>
                              <w:rPr>
                                <w:rFonts w:hint="eastAsia" w:ascii="楷体_GB2312" w:hAnsi="宋体" w:eastAsia="楷体_GB2312"/>
                                <w:b/>
                                <w:bCs/>
                                <w:sz w:val="18"/>
                                <w:szCs w:val="18"/>
                              </w:rPr>
                              <w:t>合同备案及限</w:t>
                            </w:r>
                          </w:p>
                          <w:p w14:paraId="4A35FFC8">
                            <w:pPr>
                              <w:spacing w:line="240" w:lineRule="exact"/>
                              <w:rPr>
                                <w:rFonts w:ascii="楷体_GB2312" w:hAnsi="宋体" w:eastAsia="楷体_GB2312"/>
                                <w:b/>
                                <w:bCs/>
                                <w:sz w:val="18"/>
                                <w:szCs w:val="18"/>
                              </w:rPr>
                            </w:pPr>
                            <w:r>
                              <w:rPr>
                                <w:rFonts w:hint="eastAsia" w:ascii="楷体_GB2312" w:hAnsi="宋体" w:eastAsia="楷体_GB2312"/>
                                <w:b/>
                                <w:bCs/>
                                <w:sz w:val="18"/>
                                <w:szCs w:val="18"/>
                              </w:rPr>
                              <w:t>制</w:t>
                            </w:r>
                          </w:p>
                        </w:txbxContent>
                      </wps:txbx>
                      <wps:bodyPr upright="1"/>
                    </wps:wsp>
                  </a:graphicData>
                </a:graphic>
              </wp:anchor>
            </w:drawing>
          </mc:Choice>
          <mc:Fallback>
            <w:pict>
              <v:shape id="_x0000_s1026" o:spid="_x0000_s1026" o:spt="202" type="#_x0000_t202" style="position:absolute;left:0pt;margin-left:-9pt;margin-top:16.45pt;height:41.7pt;width:81.85pt;z-index:252070912;mso-width-relative:page;mso-height-relative:page;" filled="f" stroked="f" coordsize="21600,21600" o:gfxdata="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LuqzY2AAAAAoBAAAPAAAAAAAAAAEAIAAAACIAAABkcnMvZG93bnJldi54bWxQSwECFAAUAAAA&#10;CACHTuJAClaXQ7UBAABgAwAADgAAAAAAAAABACAAAAAnAQAAZHJzL2Uyb0RvYy54bWxQSwUGAAAA&#10;AAYABgBZAQAATgUAAAAA&#10;">
                <v:fill on="f" focussize="0,0"/>
                <v:stroke on="f"/>
                <v:imagedata o:title=""/>
                <o:lock v:ext="edit" aspectratio="f"/>
                <v:textbox>
                  <w:txbxContent>
                    <w:p w14:paraId="6201E4FB">
                      <w:pPr>
                        <w:spacing w:line="240" w:lineRule="exact"/>
                        <w:rPr>
                          <w:rFonts w:ascii="楷体_GB2312" w:hAnsi="宋体" w:eastAsia="楷体_GB2312"/>
                          <w:b/>
                          <w:bCs/>
                          <w:sz w:val="18"/>
                          <w:szCs w:val="18"/>
                        </w:rPr>
                      </w:pPr>
                      <w:r>
                        <w:rPr>
                          <w:rFonts w:hint="eastAsia" w:ascii="楷体_GB2312" w:hAnsi="宋体" w:eastAsia="楷体_GB2312"/>
                          <w:b/>
                          <w:bCs/>
                          <w:sz w:val="18"/>
                          <w:szCs w:val="18"/>
                        </w:rPr>
                        <w:t>合同备案及限</w:t>
                      </w:r>
                    </w:p>
                    <w:p w14:paraId="4A35FFC8">
                      <w:pPr>
                        <w:spacing w:line="240" w:lineRule="exact"/>
                        <w:rPr>
                          <w:rFonts w:ascii="楷体_GB2312" w:hAnsi="宋体" w:eastAsia="楷体_GB2312"/>
                          <w:b/>
                          <w:bCs/>
                          <w:sz w:val="18"/>
                          <w:szCs w:val="18"/>
                        </w:rPr>
                      </w:pPr>
                      <w:r>
                        <w:rPr>
                          <w:rFonts w:hint="eastAsia" w:ascii="楷体_GB2312" w:hAnsi="宋体" w:eastAsia="楷体_GB2312"/>
                          <w:b/>
                          <w:bCs/>
                          <w:sz w:val="18"/>
                          <w:szCs w:val="18"/>
                        </w:rPr>
                        <w:t>制</w:t>
                      </w:r>
                    </w:p>
                  </w:txbxContent>
                </v:textbox>
              </v:shape>
            </w:pict>
          </mc:Fallback>
        </mc:AlternateContent>
      </w:r>
      <w:r>
        <w:rPr>
          <w:rFonts w:hAnsi="宋体"/>
          <w:b/>
          <w:color w:val="auto"/>
          <w:sz w:val="24"/>
          <w:szCs w:val="18"/>
        </w:rPr>
        <w:t xml:space="preserve">95.1  </w:t>
      </w:r>
    </w:p>
    <w:p w14:paraId="3BE34C39">
      <w:pPr>
        <w:pStyle w:val="2"/>
        <w:adjustRightInd w:val="0"/>
        <w:snapToGrid w:val="0"/>
        <w:spacing w:line="360" w:lineRule="auto"/>
        <w:ind w:left="1619" w:leftChars="771"/>
        <w:rPr>
          <w:rFonts w:hAnsi="宋体"/>
          <w:color w:val="auto"/>
          <w:sz w:val="24"/>
          <w:szCs w:val="18"/>
        </w:rPr>
      </w:pPr>
      <w:r>
        <w:rPr>
          <w:rFonts w:hint="eastAsia" w:hAnsi="宋体"/>
          <w:color w:val="auto"/>
          <w:sz w:val="24"/>
          <w:szCs w:val="18"/>
        </w:rPr>
        <w:t>本合同签署后，发包人应在办理施工许可证前，将本合同一式两份报送工程所在地建设行政主管部门备案（其中一份报送工程造价管理机构备案）。除合同双方当事人同意修改外，未按照本合同所有条款规定的合同，不予备案。</w:t>
      </w:r>
    </w:p>
    <w:p w14:paraId="1541028A">
      <w:pPr>
        <w:pStyle w:val="2"/>
        <w:adjustRightInd w:val="0"/>
        <w:snapToGrid w:val="0"/>
        <w:spacing w:line="360" w:lineRule="auto"/>
        <w:rPr>
          <w:rFonts w:hAnsi="宋体"/>
          <w:b/>
          <w:color w:val="auto"/>
          <w:sz w:val="24"/>
          <w:szCs w:val="18"/>
        </w:rPr>
      </w:pPr>
      <w:r>
        <w:rPr>
          <w:rFonts w:hAnsi="宋体"/>
          <w:b/>
          <w:color w:val="auto"/>
          <w:sz w:val="24"/>
          <w:szCs w:val="18"/>
        </w:rPr>
        <w:t xml:space="preserve">95.2  </w:t>
      </w:r>
    </w:p>
    <w:p w14:paraId="0368E2EF">
      <w:pPr>
        <w:spacing w:line="360" w:lineRule="auto"/>
        <w:ind w:left="1578" w:hanging="1578" w:hangingChars="873"/>
        <w:rPr>
          <w:rFonts w:ascii="宋体"/>
          <w:color w:val="auto"/>
          <w:sz w:val="24"/>
        </w:rPr>
      </w:pPr>
      <w:r>
        <w:rPr>
          <w:rFonts w:hint="eastAsia" w:ascii="宋体" w:hAnsi="宋体"/>
          <w:b/>
          <w:bCs/>
          <w:color w:val="auto"/>
          <w:sz w:val="18"/>
          <w:szCs w:val="18"/>
        </w:rPr>
        <w:t>合同管理</w:t>
      </w:r>
      <w:r>
        <w:rPr>
          <w:rFonts w:hint="eastAsia" w:ascii="宋体" w:hAnsi="宋体"/>
          <w:color w:val="auto"/>
          <w:sz w:val="24"/>
        </w:rPr>
        <w:t>合同双方当事人应按照第</w:t>
      </w:r>
      <w:r>
        <w:rPr>
          <w:rFonts w:ascii="宋体" w:hAnsi="宋体"/>
          <w:color w:val="auto"/>
          <w:sz w:val="24"/>
        </w:rPr>
        <w:t>22</w:t>
      </w:r>
      <w:r>
        <w:rPr>
          <w:rFonts w:hint="eastAsia" w:ascii="宋体" w:hAnsi="宋体"/>
          <w:color w:val="auto"/>
          <w:sz w:val="24"/>
        </w:rPr>
        <w:t>条至第</w:t>
      </w:r>
      <w:r>
        <w:rPr>
          <w:rFonts w:ascii="宋体" w:hAnsi="宋体"/>
          <w:color w:val="auto"/>
          <w:sz w:val="24"/>
        </w:rPr>
        <w:t>25</w:t>
      </w:r>
      <w:r>
        <w:rPr>
          <w:rFonts w:hint="eastAsia" w:ascii="宋体" w:hAnsi="宋体"/>
          <w:color w:val="auto"/>
          <w:sz w:val="24"/>
        </w:rPr>
        <w:t>条的职责划分，督促各自人员认真履行合同管理职责，加强合同管理。</w:t>
      </w:r>
    </w:p>
    <w:p w14:paraId="665E3D40">
      <w:pPr>
        <w:spacing w:line="360" w:lineRule="auto"/>
        <w:ind w:left="1592" w:leftChars="758"/>
        <w:rPr>
          <w:rFonts w:ascii="宋体"/>
          <w:color w:val="auto"/>
          <w:sz w:val="24"/>
        </w:rPr>
      </w:pPr>
      <w:r>
        <w:rPr>
          <w:rFonts w:hint="eastAsia" w:ascii="宋体" w:hAnsi="宋体"/>
          <w:color w:val="auto"/>
          <w:sz w:val="24"/>
        </w:rPr>
        <w:t>经备案的本合同，作为处理合同纠纷、结算工程款的依据。涉及国有资金投资的工程，建设行政主管部门、工程造价管理机构应依据备案的本合同实施合同监督管理；合同双方当事人应随时接受执法人员对本合同的监督管理，并为监督管理活动提供配合和协助。</w:t>
      </w:r>
    </w:p>
    <w:p w14:paraId="62E0FB88">
      <w:pPr>
        <w:pStyle w:val="2"/>
        <w:adjustRightInd w:val="0"/>
        <w:snapToGrid w:val="0"/>
        <w:spacing w:line="360" w:lineRule="auto"/>
        <w:jc w:val="left"/>
        <w:rPr>
          <w:rFonts w:hAnsi="宋体"/>
          <w:b/>
          <w:color w:val="auto"/>
          <w:sz w:val="36"/>
          <w:szCs w:val="36"/>
        </w:rPr>
      </w:pPr>
    </w:p>
    <w:p w14:paraId="30C3907F">
      <w:pPr>
        <w:spacing w:line="360" w:lineRule="auto"/>
        <w:jc w:val="center"/>
        <w:rPr>
          <w:rFonts w:ascii="宋体"/>
          <w:b/>
          <w:color w:val="auto"/>
          <w:kern w:val="0"/>
          <w:sz w:val="36"/>
          <w:szCs w:val="36"/>
        </w:rPr>
      </w:pPr>
    </w:p>
    <w:p w14:paraId="356FF485">
      <w:pPr>
        <w:spacing w:line="360" w:lineRule="auto"/>
        <w:jc w:val="center"/>
        <w:rPr>
          <w:rFonts w:ascii="宋体"/>
          <w:b/>
          <w:color w:val="auto"/>
          <w:kern w:val="0"/>
          <w:sz w:val="36"/>
          <w:szCs w:val="36"/>
        </w:rPr>
      </w:pPr>
      <w:r>
        <w:rPr>
          <w:rFonts w:hint="eastAsia" w:ascii="宋体" w:hAnsi="宋体"/>
          <w:b/>
          <w:color w:val="auto"/>
          <w:kern w:val="0"/>
          <w:sz w:val="36"/>
          <w:szCs w:val="36"/>
        </w:rPr>
        <w:br w:type="page"/>
      </w:r>
      <w:r>
        <w:rPr>
          <w:rFonts w:hint="eastAsia" w:ascii="宋体" w:hAnsi="宋体"/>
          <w:b/>
          <w:color w:val="auto"/>
          <w:kern w:val="0"/>
          <w:sz w:val="36"/>
          <w:szCs w:val="36"/>
        </w:rPr>
        <w:t>第三部分专用条款</w:t>
      </w:r>
    </w:p>
    <w:p w14:paraId="56B07E8A">
      <w:pPr>
        <w:spacing w:line="360" w:lineRule="auto"/>
        <w:jc w:val="center"/>
        <w:rPr>
          <w:rFonts w:ascii="宋体"/>
          <w:b/>
          <w:color w:val="auto"/>
          <w:kern w:val="0"/>
          <w:sz w:val="36"/>
          <w:szCs w:val="36"/>
        </w:rPr>
      </w:pPr>
      <w:r>
        <w:rPr>
          <w:rFonts w:ascii="宋体" w:hAnsi="宋体"/>
          <w:b/>
          <w:color w:val="auto"/>
          <w:kern w:val="0"/>
          <w:sz w:val="36"/>
          <w:szCs w:val="36"/>
        </w:rPr>
        <w:t>(</w:t>
      </w:r>
      <w:r>
        <w:rPr>
          <w:rFonts w:hint="eastAsia" w:ascii="宋体" w:hAnsi="宋体"/>
          <w:b/>
          <w:color w:val="auto"/>
          <w:kern w:val="0"/>
          <w:sz w:val="36"/>
          <w:szCs w:val="36"/>
        </w:rPr>
        <w:t>一</w:t>
      </w:r>
      <w:r>
        <w:rPr>
          <w:rFonts w:ascii="宋体" w:hAnsi="宋体"/>
          <w:b/>
          <w:color w:val="auto"/>
          <w:kern w:val="0"/>
          <w:sz w:val="36"/>
          <w:szCs w:val="36"/>
        </w:rPr>
        <w:t>)</w:t>
      </w:r>
      <w:r>
        <w:rPr>
          <w:rFonts w:hint="eastAsia" w:ascii="宋体" w:hAnsi="宋体"/>
          <w:b/>
          <w:color w:val="auto"/>
          <w:kern w:val="0"/>
          <w:sz w:val="36"/>
          <w:szCs w:val="36"/>
        </w:rPr>
        <w:t>设计部分</w:t>
      </w:r>
    </w:p>
    <w:p w14:paraId="6AD89E9B">
      <w:pPr>
        <w:spacing w:line="360" w:lineRule="auto"/>
        <w:rPr>
          <w:b/>
          <w:color w:val="auto"/>
          <w:sz w:val="24"/>
        </w:rPr>
      </w:pPr>
      <w:r>
        <w:rPr>
          <w:rFonts w:hint="eastAsia"/>
          <w:b/>
          <w:color w:val="auto"/>
          <w:sz w:val="24"/>
        </w:rPr>
        <w:t xml:space="preserve">第一条  </w:t>
      </w:r>
      <w:r>
        <w:rPr>
          <w:rFonts w:hint="eastAsia"/>
          <w:bCs/>
          <w:color w:val="auto"/>
          <w:sz w:val="24"/>
        </w:rPr>
        <w:t>本合同依据下列文件签订：</w:t>
      </w:r>
    </w:p>
    <w:p w14:paraId="76CDA242">
      <w:pPr>
        <w:spacing w:line="360" w:lineRule="auto"/>
        <w:ind w:firstLine="482" w:firstLineChars="200"/>
        <w:rPr>
          <w:color w:val="auto"/>
          <w:sz w:val="24"/>
        </w:rPr>
      </w:pPr>
      <w:r>
        <w:rPr>
          <w:b/>
          <w:color w:val="auto"/>
          <w:sz w:val="24"/>
        </w:rPr>
        <w:t>1.1</w:t>
      </w:r>
      <w:r>
        <w:rPr>
          <w:rFonts w:hint="eastAsia"/>
          <w:color w:val="auto"/>
          <w:sz w:val="24"/>
        </w:rPr>
        <w:t>《中华人民共和国民法典》《中华人民共和国建筑法》《建设工程勘察设计市场管理规定》。</w:t>
      </w:r>
    </w:p>
    <w:p w14:paraId="0F8D3267">
      <w:pPr>
        <w:spacing w:line="360" w:lineRule="auto"/>
        <w:ind w:firstLine="482" w:firstLineChars="200"/>
        <w:rPr>
          <w:color w:val="auto"/>
          <w:sz w:val="28"/>
        </w:rPr>
      </w:pPr>
      <w:r>
        <w:rPr>
          <w:b/>
          <w:color w:val="auto"/>
          <w:sz w:val="24"/>
        </w:rPr>
        <w:t>1.2</w:t>
      </w:r>
      <w:r>
        <w:rPr>
          <w:rFonts w:hint="eastAsia"/>
          <w:color w:val="auto"/>
          <w:sz w:val="24"/>
        </w:rPr>
        <w:t>国家及地方有关建设工程勘察设计管理法规和规章。</w:t>
      </w:r>
    </w:p>
    <w:p w14:paraId="2D7C2363">
      <w:pPr>
        <w:spacing w:line="360" w:lineRule="auto"/>
        <w:ind w:firstLine="482" w:firstLineChars="200"/>
        <w:rPr>
          <w:rFonts w:ascii="宋体" w:hAnsi="宋体" w:cs="宋体"/>
          <w:color w:val="auto"/>
          <w:kern w:val="0"/>
          <w:sz w:val="24"/>
        </w:rPr>
      </w:pPr>
      <w:r>
        <w:rPr>
          <w:b/>
          <w:color w:val="auto"/>
          <w:sz w:val="24"/>
        </w:rPr>
        <w:t xml:space="preserve">1.3 </w:t>
      </w:r>
      <w:r>
        <w:rPr>
          <w:rFonts w:hint="eastAsia" w:ascii="宋体" w:hAnsi="宋体" w:cs="宋体"/>
          <w:color w:val="auto"/>
          <w:kern w:val="0"/>
          <w:sz w:val="24"/>
        </w:rPr>
        <w:t>建设工程批准文件。</w:t>
      </w:r>
    </w:p>
    <w:p w14:paraId="2352526D">
      <w:pPr>
        <w:spacing w:line="360" w:lineRule="auto"/>
        <w:rPr>
          <w:rFonts w:ascii="宋体" w:hAnsi="宋体" w:cs="宋体"/>
          <w:color w:val="auto"/>
          <w:kern w:val="0"/>
          <w:sz w:val="24"/>
        </w:rPr>
      </w:pPr>
      <w:r>
        <w:rPr>
          <w:rFonts w:hint="eastAsia" w:ascii="宋体" w:hAnsi="宋体" w:cs="宋体"/>
          <w:b/>
          <w:bCs/>
          <w:color w:val="auto"/>
          <w:kern w:val="0"/>
          <w:sz w:val="24"/>
        </w:rPr>
        <w:t xml:space="preserve">第二条 </w:t>
      </w:r>
      <w:r>
        <w:rPr>
          <w:rFonts w:hint="eastAsia" w:ascii="宋体" w:hAnsi="宋体" w:cs="宋体"/>
          <w:color w:val="auto"/>
          <w:kern w:val="0"/>
          <w:sz w:val="24"/>
        </w:rPr>
        <w:t>完成本项目的设计工作（包括但不限于工程方案及初步设计深化、投资概算、施工图设计、竣工图编制等后续所有设计和现场服务工作）。</w:t>
      </w:r>
    </w:p>
    <w:p w14:paraId="7D0AC1CC">
      <w:pPr>
        <w:spacing w:line="360" w:lineRule="auto"/>
        <w:rPr>
          <w:color w:val="auto"/>
          <w:sz w:val="24"/>
        </w:rPr>
      </w:pPr>
      <w:r>
        <w:rPr>
          <w:rFonts w:hint="eastAsia"/>
          <w:color w:val="auto"/>
          <w:sz w:val="24"/>
        </w:rPr>
        <w:t>设计项目的内容、阶段、投资及设计费等见下表：</w:t>
      </w:r>
    </w:p>
    <w:tbl>
      <w:tblPr>
        <w:tblStyle w:val="16"/>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
      <w:tblGrid>
        <w:gridCol w:w="892"/>
        <w:gridCol w:w="1556"/>
        <w:gridCol w:w="720"/>
        <w:gridCol w:w="1099"/>
        <w:gridCol w:w="673"/>
        <w:gridCol w:w="1118"/>
        <w:gridCol w:w="970"/>
        <w:gridCol w:w="1180"/>
        <w:gridCol w:w="1620"/>
      </w:tblGrid>
      <w:tr w14:paraId="1C8D4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444" w:hRule="atLeast"/>
          <w:jc w:val="center"/>
        </w:trPr>
        <w:tc>
          <w:tcPr>
            <w:tcW w:w="892" w:type="dxa"/>
            <w:vMerge w:val="restart"/>
            <w:vAlign w:val="center"/>
          </w:tcPr>
          <w:p w14:paraId="237FF48C">
            <w:pPr>
              <w:jc w:val="center"/>
              <w:rPr>
                <w:rFonts w:hAnsi="宋体"/>
                <w:color w:val="auto"/>
                <w:sz w:val="24"/>
              </w:rPr>
            </w:pPr>
            <w:r>
              <w:rPr>
                <w:rFonts w:hint="eastAsia" w:hAnsi="宋体"/>
                <w:color w:val="auto"/>
                <w:sz w:val="24"/>
              </w:rPr>
              <w:t>序号</w:t>
            </w:r>
          </w:p>
        </w:tc>
        <w:tc>
          <w:tcPr>
            <w:tcW w:w="1556" w:type="dxa"/>
            <w:vMerge w:val="restart"/>
            <w:vAlign w:val="center"/>
          </w:tcPr>
          <w:p w14:paraId="177F71C1">
            <w:pPr>
              <w:jc w:val="center"/>
              <w:rPr>
                <w:rFonts w:hAnsi="宋体"/>
                <w:color w:val="auto"/>
                <w:sz w:val="24"/>
              </w:rPr>
            </w:pPr>
            <w:r>
              <w:rPr>
                <w:rFonts w:hint="eastAsia" w:hAnsi="宋体"/>
                <w:color w:val="auto"/>
                <w:sz w:val="24"/>
              </w:rPr>
              <w:t>分项目名称</w:t>
            </w:r>
          </w:p>
        </w:tc>
        <w:tc>
          <w:tcPr>
            <w:tcW w:w="1819" w:type="dxa"/>
            <w:gridSpan w:val="2"/>
            <w:vAlign w:val="center"/>
          </w:tcPr>
          <w:p w14:paraId="2890BDB6">
            <w:pPr>
              <w:jc w:val="center"/>
              <w:rPr>
                <w:rFonts w:hAnsi="宋体"/>
                <w:color w:val="auto"/>
                <w:szCs w:val="21"/>
              </w:rPr>
            </w:pPr>
            <w:r>
              <w:rPr>
                <w:rFonts w:hint="eastAsia" w:hAnsi="宋体"/>
                <w:color w:val="auto"/>
                <w:szCs w:val="21"/>
              </w:rPr>
              <w:t>建设规模</w:t>
            </w:r>
          </w:p>
        </w:tc>
        <w:tc>
          <w:tcPr>
            <w:tcW w:w="2761" w:type="dxa"/>
            <w:gridSpan w:val="3"/>
            <w:vAlign w:val="center"/>
          </w:tcPr>
          <w:p w14:paraId="34EB3DF7">
            <w:pPr>
              <w:jc w:val="center"/>
              <w:rPr>
                <w:rFonts w:hAnsi="宋体"/>
                <w:color w:val="auto"/>
                <w:szCs w:val="21"/>
              </w:rPr>
            </w:pPr>
            <w:r>
              <w:rPr>
                <w:rFonts w:hint="eastAsia" w:hAnsi="宋体"/>
                <w:color w:val="auto"/>
                <w:szCs w:val="21"/>
              </w:rPr>
              <w:t>设计阶段及内容</w:t>
            </w:r>
          </w:p>
        </w:tc>
        <w:tc>
          <w:tcPr>
            <w:tcW w:w="1180" w:type="dxa"/>
            <w:vMerge w:val="restart"/>
            <w:vAlign w:val="center"/>
          </w:tcPr>
          <w:p w14:paraId="03A8BEDC">
            <w:pPr>
              <w:jc w:val="center"/>
              <w:rPr>
                <w:rFonts w:hAnsi="宋体"/>
                <w:color w:val="auto"/>
                <w:szCs w:val="21"/>
              </w:rPr>
            </w:pPr>
            <w:r>
              <w:rPr>
                <w:rFonts w:hint="eastAsia" w:hAnsi="宋体"/>
                <w:color w:val="auto"/>
                <w:szCs w:val="21"/>
              </w:rPr>
              <w:t>总投资</w:t>
            </w:r>
          </w:p>
          <w:p w14:paraId="6F63E3D9">
            <w:pPr>
              <w:jc w:val="center"/>
              <w:rPr>
                <w:rFonts w:hAnsi="宋体"/>
                <w:color w:val="auto"/>
                <w:szCs w:val="21"/>
              </w:rPr>
            </w:pPr>
            <w:r>
              <w:rPr>
                <w:rFonts w:hint="eastAsia" w:hAnsi="宋体"/>
                <w:color w:val="auto"/>
                <w:szCs w:val="21"/>
              </w:rPr>
              <w:t>（万元）</w:t>
            </w:r>
          </w:p>
        </w:tc>
        <w:tc>
          <w:tcPr>
            <w:tcW w:w="1620" w:type="dxa"/>
            <w:vMerge w:val="restart"/>
            <w:vAlign w:val="center"/>
          </w:tcPr>
          <w:p w14:paraId="47E862F6">
            <w:pPr>
              <w:jc w:val="center"/>
              <w:rPr>
                <w:rFonts w:hAnsi="宋体"/>
                <w:color w:val="auto"/>
                <w:szCs w:val="21"/>
              </w:rPr>
            </w:pPr>
            <w:r>
              <w:rPr>
                <w:rFonts w:hint="eastAsia" w:hAnsi="宋体"/>
                <w:color w:val="auto"/>
                <w:szCs w:val="21"/>
              </w:rPr>
              <w:t>设计费</w:t>
            </w:r>
          </w:p>
          <w:p w14:paraId="225AD038">
            <w:pPr>
              <w:jc w:val="center"/>
              <w:rPr>
                <w:rFonts w:hAnsi="宋体"/>
                <w:color w:val="auto"/>
                <w:szCs w:val="21"/>
              </w:rPr>
            </w:pPr>
            <w:r>
              <w:rPr>
                <w:rFonts w:hint="eastAsia" w:hAnsi="宋体"/>
                <w:color w:val="auto"/>
                <w:szCs w:val="21"/>
              </w:rPr>
              <w:t>（万元）</w:t>
            </w:r>
          </w:p>
        </w:tc>
      </w:tr>
      <w:tr w14:paraId="054C0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574" w:hRule="atLeast"/>
          <w:jc w:val="center"/>
        </w:trPr>
        <w:tc>
          <w:tcPr>
            <w:tcW w:w="892" w:type="dxa"/>
            <w:vMerge w:val="continue"/>
            <w:vAlign w:val="center"/>
          </w:tcPr>
          <w:p w14:paraId="00378969">
            <w:pPr>
              <w:jc w:val="center"/>
              <w:rPr>
                <w:rFonts w:hAnsi="宋体"/>
                <w:color w:val="auto"/>
                <w:sz w:val="24"/>
              </w:rPr>
            </w:pPr>
          </w:p>
        </w:tc>
        <w:tc>
          <w:tcPr>
            <w:tcW w:w="1556" w:type="dxa"/>
            <w:vMerge w:val="continue"/>
            <w:vAlign w:val="center"/>
          </w:tcPr>
          <w:p w14:paraId="42105028">
            <w:pPr>
              <w:jc w:val="center"/>
              <w:rPr>
                <w:rFonts w:hAnsi="宋体"/>
                <w:color w:val="auto"/>
                <w:sz w:val="24"/>
              </w:rPr>
            </w:pPr>
          </w:p>
        </w:tc>
        <w:tc>
          <w:tcPr>
            <w:tcW w:w="720" w:type="dxa"/>
            <w:vAlign w:val="center"/>
          </w:tcPr>
          <w:p w14:paraId="500A86D2">
            <w:pPr>
              <w:jc w:val="center"/>
              <w:rPr>
                <w:rFonts w:hAnsi="宋体"/>
                <w:color w:val="auto"/>
                <w:szCs w:val="21"/>
              </w:rPr>
            </w:pPr>
            <w:r>
              <w:rPr>
                <w:rFonts w:hint="eastAsia" w:hAnsi="宋体"/>
                <w:color w:val="auto"/>
                <w:szCs w:val="21"/>
              </w:rPr>
              <w:t>层数</w:t>
            </w:r>
          </w:p>
        </w:tc>
        <w:tc>
          <w:tcPr>
            <w:tcW w:w="1099" w:type="dxa"/>
            <w:vAlign w:val="center"/>
          </w:tcPr>
          <w:p w14:paraId="385DB808">
            <w:pPr>
              <w:jc w:val="center"/>
              <w:rPr>
                <w:rFonts w:hAnsi="宋体"/>
                <w:color w:val="auto"/>
                <w:szCs w:val="21"/>
              </w:rPr>
            </w:pPr>
            <w:r>
              <w:rPr>
                <w:rFonts w:hint="eastAsia" w:hAnsi="宋体"/>
                <w:color w:val="auto"/>
                <w:szCs w:val="21"/>
              </w:rPr>
              <w:t>建筑面积（㎡）</w:t>
            </w:r>
          </w:p>
        </w:tc>
        <w:tc>
          <w:tcPr>
            <w:tcW w:w="673" w:type="dxa"/>
            <w:vAlign w:val="center"/>
          </w:tcPr>
          <w:p w14:paraId="6A77E85D">
            <w:pPr>
              <w:jc w:val="center"/>
              <w:rPr>
                <w:rFonts w:hAnsi="宋体"/>
                <w:color w:val="auto"/>
                <w:szCs w:val="21"/>
              </w:rPr>
            </w:pPr>
            <w:r>
              <w:rPr>
                <w:rFonts w:hint="eastAsia" w:hAnsi="宋体"/>
                <w:color w:val="auto"/>
                <w:szCs w:val="21"/>
              </w:rPr>
              <w:t>方案</w:t>
            </w:r>
          </w:p>
        </w:tc>
        <w:tc>
          <w:tcPr>
            <w:tcW w:w="1118" w:type="dxa"/>
            <w:vAlign w:val="center"/>
          </w:tcPr>
          <w:p w14:paraId="3862917B">
            <w:pPr>
              <w:jc w:val="center"/>
              <w:rPr>
                <w:rFonts w:hAnsi="宋体"/>
                <w:color w:val="auto"/>
                <w:szCs w:val="21"/>
              </w:rPr>
            </w:pPr>
            <w:r>
              <w:rPr>
                <w:rFonts w:hint="eastAsia" w:hAnsi="宋体"/>
                <w:color w:val="auto"/>
                <w:szCs w:val="21"/>
              </w:rPr>
              <w:t>初步设计</w:t>
            </w:r>
          </w:p>
        </w:tc>
        <w:tc>
          <w:tcPr>
            <w:tcW w:w="970" w:type="dxa"/>
            <w:vAlign w:val="center"/>
          </w:tcPr>
          <w:p w14:paraId="288CF786">
            <w:pPr>
              <w:jc w:val="center"/>
              <w:rPr>
                <w:rFonts w:hAnsi="宋体"/>
                <w:color w:val="auto"/>
                <w:szCs w:val="21"/>
              </w:rPr>
            </w:pPr>
            <w:r>
              <w:rPr>
                <w:rFonts w:hint="eastAsia" w:hAnsi="宋体"/>
                <w:color w:val="auto"/>
                <w:szCs w:val="21"/>
              </w:rPr>
              <w:t>施工图</w:t>
            </w:r>
          </w:p>
        </w:tc>
        <w:tc>
          <w:tcPr>
            <w:tcW w:w="1180" w:type="dxa"/>
            <w:vMerge w:val="continue"/>
            <w:vAlign w:val="center"/>
          </w:tcPr>
          <w:p w14:paraId="08E93DC9">
            <w:pPr>
              <w:jc w:val="center"/>
              <w:rPr>
                <w:rFonts w:hAnsi="宋体"/>
                <w:color w:val="auto"/>
                <w:sz w:val="24"/>
              </w:rPr>
            </w:pPr>
          </w:p>
        </w:tc>
        <w:tc>
          <w:tcPr>
            <w:tcW w:w="1620" w:type="dxa"/>
            <w:vMerge w:val="continue"/>
            <w:vAlign w:val="center"/>
          </w:tcPr>
          <w:p w14:paraId="03AF0FF6">
            <w:pPr>
              <w:jc w:val="center"/>
              <w:rPr>
                <w:rFonts w:hAnsi="宋体"/>
                <w:color w:val="auto"/>
                <w:sz w:val="24"/>
              </w:rPr>
            </w:pPr>
          </w:p>
        </w:tc>
      </w:tr>
      <w:tr w14:paraId="2192A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520" w:hRule="atLeast"/>
          <w:jc w:val="center"/>
        </w:trPr>
        <w:tc>
          <w:tcPr>
            <w:tcW w:w="892" w:type="dxa"/>
            <w:vAlign w:val="center"/>
          </w:tcPr>
          <w:p w14:paraId="406FA224">
            <w:pPr>
              <w:jc w:val="center"/>
              <w:rPr>
                <w:rFonts w:hAnsi="宋体"/>
                <w:color w:val="auto"/>
                <w:sz w:val="24"/>
              </w:rPr>
            </w:pPr>
            <w:r>
              <w:rPr>
                <w:rFonts w:hAnsi="宋体"/>
                <w:color w:val="auto"/>
                <w:sz w:val="24"/>
              </w:rPr>
              <w:t>1</w:t>
            </w:r>
          </w:p>
        </w:tc>
        <w:tc>
          <w:tcPr>
            <w:tcW w:w="1556" w:type="dxa"/>
            <w:vAlign w:val="center"/>
          </w:tcPr>
          <w:p w14:paraId="1841F272">
            <w:pPr>
              <w:jc w:val="center"/>
              <w:rPr>
                <w:rFonts w:hAnsi="宋体"/>
                <w:color w:val="auto"/>
                <w:sz w:val="24"/>
              </w:rPr>
            </w:pPr>
            <w:r>
              <w:rPr>
                <w:rFonts w:hint="eastAsia"/>
                <w:color w:val="auto"/>
              </w:rPr>
              <w:t>项目工程设计</w:t>
            </w:r>
          </w:p>
        </w:tc>
        <w:tc>
          <w:tcPr>
            <w:tcW w:w="720" w:type="dxa"/>
            <w:vAlign w:val="center"/>
          </w:tcPr>
          <w:p w14:paraId="111E3C56">
            <w:pPr>
              <w:jc w:val="center"/>
              <w:rPr>
                <w:rFonts w:hAnsi="宋体"/>
                <w:color w:val="auto"/>
                <w:sz w:val="24"/>
              </w:rPr>
            </w:pPr>
            <w:r>
              <w:rPr>
                <w:color w:val="auto"/>
                <w:sz w:val="24"/>
              </w:rPr>
              <w:t>——</w:t>
            </w:r>
          </w:p>
        </w:tc>
        <w:tc>
          <w:tcPr>
            <w:tcW w:w="1099" w:type="dxa"/>
            <w:vAlign w:val="center"/>
          </w:tcPr>
          <w:p w14:paraId="7CFC5F59">
            <w:pPr>
              <w:jc w:val="center"/>
              <w:rPr>
                <w:rFonts w:hAnsi="宋体"/>
                <w:color w:val="auto"/>
                <w:sz w:val="24"/>
              </w:rPr>
            </w:pPr>
            <w:r>
              <w:rPr>
                <w:color w:val="auto"/>
                <w:sz w:val="24"/>
              </w:rPr>
              <w:t>——</w:t>
            </w:r>
          </w:p>
        </w:tc>
        <w:tc>
          <w:tcPr>
            <w:tcW w:w="673" w:type="dxa"/>
            <w:vAlign w:val="center"/>
          </w:tcPr>
          <w:p w14:paraId="19CDBAF1">
            <w:pPr>
              <w:jc w:val="center"/>
              <w:rPr>
                <w:rFonts w:hAnsi="宋体"/>
                <w:color w:val="auto"/>
                <w:szCs w:val="21"/>
              </w:rPr>
            </w:pPr>
            <w:r>
              <w:rPr>
                <w:rFonts w:hint="eastAsia" w:ascii="宋体"/>
                <w:color w:val="auto"/>
                <w:szCs w:val="21"/>
              </w:rPr>
              <w:t>√</w:t>
            </w:r>
          </w:p>
        </w:tc>
        <w:tc>
          <w:tcPr>
            <w:tcW w:w="1118" w:type="dxa"/>
            <w:vAlign w:val="center"/>
          </w:tcPr>
          <w:p w14:paraId="2D106C5E">
            <w:pPr>
              <w:jc w:val="center"/>
              <w:rPr>
                <w:rFonts w:hAnsi="宋体"/>
                <w:color w:val="auto"/>
                <w:szCs w:val="21"/>
              </w:rPr>
            </w:pPr>
            <w:r>
              <w:rPr>
                <w:rFonts w:hint="eastAsia" w:ascii="宋体"/>
                <w:color w:val="auto"/>
                <w:szCs w:val="21"/>
              </w:rPr>
              <w:t>√</w:t>
            </w:r>
          </w:p>
        </w:tc>
        <w:tc>
          <w:tcPr>
            <w:tcW w:w="970" w:type="dxa"/>
            <w:vAlign w:val="center"/>
          </w:tcPr>
          <w:p w14:paraId="1B25D3A7">
            <w:pPr>
              <w:jc w:val="center"/>
              <w:rPr>
                <w:rFonts w:hAnsi="宋体"/>
                <w:color w:val="auto"/>
                <w:szCs w:val="21"/>
              </w:rPr>
            </w:pPr>
            <w:r>
              <w:rPr>
                <w:rFonts w:hint="eastAsia" w:ascii="宋体"/>
                <w:color w:val="auto"/>
                <w:szCs w:val="21"/>
              </w:rPr>
              <w:t>√</w:t>
            </w:r>
          </w:p>
        </w:tc>
        <w:tc>
          <w:tcPr>
            <w:tcW w:w="1180" w:type="dxa"/>
            <w:vAlign w:val="center"/>
          </w:tcPr>
          <w:p w14:paraId="1B342676">
            <w:pPr>
              <w:jc w:val="center"/>
              <w:rPr>
                <w:rFonts w:hAnsi="宋体"/>
                <w:color w:val="auto"/>
                <w:szCs w:val="21"/>
              </w:rPr>
            </w:pPr>
            <w:r>
              <w:rPr>
                <w:rFonts w:hint="eastAsia" w:hAnsi="宋体"/>
                <w:color w:val="auto"/>
                <w:szCs w:val="21"/>
              </w:rPr>
              <w:t>详见说明</w:t>
            </w:r>
          </w:p>
        </w:tc>
        <w:tc>
          <w:tcPr>
            <w:tcW w:w="1620" w:type="dxa"/>
            <w:vAlign w:val="center"/>
          </w:tcPr>
          <w:p w14:paraId="293F26E6">
            <w:pPr>
              <w:jc w:val="center"/>
              <w:rPr>
                <w:rFonts w:hAnsi="宋体"/>
                <w:b/>
                <w:color w:val="auto"/>
                <w:sz w:val="28"/>
                <w:szCs w:val="28"/>
              </w:rPr>
            </w:pPr>
          </w:p>
        </w:tc>
      </w:tr>
      <w:tr w14:paraId="10ED4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396" w:hRule="atLeast"/>
          <w:jc w:val="center"/>
        </w:trPr>
        <w:tc>
          <w:tcPr>
            <w:tcW w:w="892" w:type="dxa"/>
            <w:vAlign w:val="center"/>
          </w:tcPr>
          <w:p w14:paraId="0CE1DDC8">
            <w:pPr>
              <w:rPr>
                <w:color w:val="auto"/>
              </w:rPr>
            </w:pPr>
          </w:p>
        </w:tc>
        <w:tc>
          <w:tcPr>
            <w:tcW w:w="1556" w:type="dxa"/>
            <w:vAlign w:val="center"/>
          </w:tcPr>
          <w:p w14:paraId="360CCE91">
            <w:pPr>
              <w:rPr>
                <w:color w:val="auto"/>
              </w:rPr>
            </w:pPr>
          </w:p>
        </w:tc>
        <w:tc>
          <w:tcPr>
            <w:tcW w:w="720" w:type="dxa"/>
            <w:vAlign w:val="center"/>
          </w:tcPr>
          <w:p w14:paraId="258254DE">
            <w:pPr>
              <w:rPr>
                <w:color w:val="auto"/>
              </w:rPr>
            </w:pPr>
          </w:p>
        </w:tc>
        <w:tc>
          <w:tcPr>
            <w:tcW w:w="1099" w:type="dxa"/>
            <w:vAlign w:val="center"/>
          </w:tcPr>
          <w:p w14:paraId="7D596F74">
            <w:pPr>
              <w:rPr>
                <w:color w:val="auto"/>
              </w:rPr>
            </w:pPr>
          </w:p>
        </w:tc>
        <w:tc>
          <w:tcPr>
            <w:tcW w:w="673" w:type="dxa"/>
            <w:vAlign w:val="center"/>
          </w:tcPr>
          <w:p w14:paraId="55FBBCC9">
            <w:pPr>
              <w:rPr>
                <w:color w:val="auto"/>
              </w:rPr>
            </w:pPr>
          </w:p>
        </w:tc>
        <w:tc>
          <w:tcPr>
            <w:tcW w:w="1118" w:type="dxa"/>
            <w:vAlign w:val="center"/>
          </w:tcPr>
          <w:p w14:paraId="5D0DDED2">
            <w:pPr>
              <w:rPr>
                <w:color w:val="auto"/>
              </w:rPr>
            </w:pPr>
          </w:p>
        </w:tc>
        <w:tc>
          <w:tcPr>
            <w:tcW w:w="970" w:type="dxa"/>
            <w:vAlign w:val="center"/>
          </w:tcPr>
          <w:p w14:paraId="5047ACEE">
            <w:pPr>
              <w:rPr>
                <w:color w:val="auto"/>
              </w:rPr>
            </w:pPr>
          </w:p>
        </w:tc>
        <w:tc>
          <w:tcPr>
            <w:tcW w:w="1180" w:type="dxa"/>
            <w:vAlign w:val="center"/>
          </w:tcPr>
          <w:p w14:paraId="00562989">
            <w:pPr>
              <w:rPr>
                <w:color w:val="auto"/>
              </w:rPr>
            </w:pPr>
          </w:p>
        </w:tc>
        <w:tc>
          <w:tcPr>
            <w:tcW w:w="1620" w:type="dxa"/>
            <w:vAlign w:val="center"/>
          </w:tcPr>
          <w:p w14:paraId="4E0E3B5E">
            <w:pPr>
              <w:rPr>
                <w:color w:val="auto"/>
              </w:rPr>
            </w:pPr>
          </w:p>
        </w:tc>
      </w:tr>
      <w:tr w14:paraId="52B9D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113" w:type="dxa"/>
          </w:tblCellMar>
        </w:tblPrEx>
        <w:trPr>
          <w:trHeight w:val="1037" w:hRule="atLeast"/>
          <w:jc w:val="center"/>
        </w:trPr>
        <w:tc>
          <w:tcPr>
            <w:tcW w:w="892" w:type="dxa"/>
            <w:vAlign w:val="center"/>
          </w:tcPr>
          <w:p w14:paraId="50B619F9">
            <w:pPr>
              <w:rPr>
                <w:color w:val="auto"/>
              </w:rPr>
            </w:pPr>
            <w:r>
              <w:rPr>
                <w:rFonts w:hint="eastAsia" w:hAnsi="宋体"/>
                <w:color w:val="auto"/>
                <w:sz w:val="24"/>
              </w:rPr>
              <w:t>说</w:t>
            </w:r>
          </w:p>
          <w:p w14:paraId="17B24035">
            <w:pPr>
              <w:rPr>
                <w:color w:val="auto"/>
              </w:rPr>
            </w:pPr>
          </w:p>
          <w:p w14:paraId="7BFA8A38">
            <w:pPr>
              <w:rPr>
                <w:color w:val="auto"/>
              </w:rPr>
            </w:pPr>
          </w:p>
          <w:p w14:paraId="2A860C70">
            <w:pPr>
              <w:rPr>
                <w:color w:val="auto"/>
              </w:rPr>
            </w:pPr>
          </w:p>
          <w:p w14:paraId="40E90AB6">
            <w:pPr>
              <w:rPr>
                <w:color w:val="auto"/>
              </w:rPr>
            </w:pPr>
          </w:p>
          <w:p w14:paraId="1F9D47C1">
            <w:pPr>
              <w:rPr>
                <w:color w:val="auto"/>
              </w:rPr>
            </w:pPr>
          </w:p>
          <w:p w14:paraId="3C39139F">
            <w:pPr>
              <w:rPr>
                <w:color w:val="auto"/>
              </w:rPr>
            </w:pPr>
          </w:p>
          <w:p w14:paraId="2D5D93D5">
            <w:pPr>
              <w:jc w:val="center"/>
              <w:rPr>
                <w:rFonts w:hAnsi="宋体"/>
                <w:color w:val="auto"/>
                <w:sz w:val="24"/>
              </w:rPr>
            </w:pPr>
            <w:r>
              <w:rPr>
                <w:rFonts w:hint="eastAsia" w:hAnsi="宋体"/>
                <w:color w:val="auto"/>
                <w:sz w:val="24"/>
              </w:rPr>
              <w:t>明</w:t>
            </w:r>
          </w:p>
        </w:tc>
        <w:tc>
          <w:tcPr>
            <w:tcW w:w="8936" w:type="dxa"/>
            <w:gridSpan w:val="8"/>
            <w:vAlign w:val="center"/>
          </w:tcPr>
          <w:p w14:paraId="1CC0F139">
            <w:pPr>
              <w:ind w:firstLine="480" w:firstLineChars="200"/>
              <w:jc w:val="left"/>
              <w:rPr>
                <w:rFonts w:ascii="宋体" w:hAnsi="宋体" w:cs="宋体"/>
                <w:color w:val="auto"/>
                <w:kern w:val="0"/>
                <w:sz w:val="24"/>
              </w:rPr>
            </w:pPr>
            <w:r>
              <w:rPr>
                <w:color w:val="auto"/>
                <w:sz w:val="24"/>
              </w:rPr>
              <w:t>1.</w:t>
            </w:r>
            <w:r>
              <w:rPr>
                <w:rFonts w:hint="eastAsia"/>
                <w:color w:val="auto"/>
                <w:sz w:val="24"/>
              </w:rPr>
              <w:t>设计范围（</w:t>
            </w:r>
            <w:r>
              <w:rPr>
                <w:rFonts w:hint="eastAsia" w:ascii="宋体" w:hAnsi="宋体" w:cs="宋体"/>
                <w:color w:val="auto"/>
                <w:kern w:val="0"/>
                <w:sz w:val="24"/>
              </w:rPr>
              <w:t>包括但不限于）</w:t>
            </w:r>
            <w:r>
              <w:rPr>
                <w:rFonts w:hint="eastAsia"/>
                <w:color w:val="auto"/>
                <w:sz w:val="24"/>
              </w:rPr>
              <w:t>：</w:t>
            </w:r>
            <w:r>
              <w:rPr>
                <w:rFonts w:hint="eastAsia" w:ascii="宋体" w:hAnsi="宋体" w:cs="宋体"/>
                <w:color w:val="auto"/>
                <w:kern w:val="0"/>
                <w:sz w:val="24"/>
              </w:rPr>
              <w:t xml:space="preserve"> </w:t>
            </w:r>
          </w:p>
          <w:p w14:paraId="6554044F">
            <w:pPr>
              <w:jc w:val="left"/>
              <w:rPr>
                <w:color w:val="auto"/>
                <w:sz w:val="24"/>
              </w:rPr>
            </w:pPr>
          </w:p>
        </w:tc>
      </w:tr>
    </w:tbl>
    <w:p w14:paraId="2657F64C">
      <w:pPr>
        <w:spacing w:line="360" w:lineRule="auto"/>
        <w:rPr>
          <w:rFonts w:ascii="宋体" w:cs="宋体"/>
          <w:color w:val="auto"/>
          <w:kern w:val="0"/>
          <w:sz w:val="24"/>
        </w:rPr>
      </w:pPr>
    </w:p>
    <w:p w14:paraId="4BFF21BE">
      <w:pPr>
        <w:spacing w:line="360" w:lineRule="auto"/>
        <w:rPr>
          <w:b/>
          <w:color w:val="auto"/>
          <w:sz w:val="24"/>
        </w:rPr>
      </w:pPr>
      <w:r>
        <w:rPr>
          <w:rFonts w:hint="eastAsia"/>
          <w:b/>
          <w:color w:val="auto"/>
          <w:sz w:val="24"/>
        </w:rPr>
        <w:t xml:space="preserve">第三条 </w:t>
      </w:r>
      <w:r>
        <w:rPr>
          <w:rFonts w:hint="eastAsia"/>
          <w:bCs/>
          <w:color w:val="auto"/>
          <w:sz w:val="24"/>
        </w:rPr>
        <w:t>发包人应向设计人提交的有关资料及文件：</w:t>
      </w:r>
    </w:p>
    <w:p w14:paraId="1202A9C9">
      <w:pPr>
        <w:spacing w:line="360" w:lineRule="auto"/>
        <w:ind w:firstLine="480" w:firstLineChars="200"/>
        <w:rPr>
          <w:color w:val="auto"/>
          <w:sz w:val="24"/>
        </w:rPr>
      </w:pPr>
      <w:r>
        <w:rPr>
          <w:rFonts w:hint="eastAsia" w:ascii="宋体" w:hAnsi="宋体"/>
          <w:color w:val="auto"/>
          <w:sz w:val="24"/>
          <w:u w:val="single"/>
        </w:rPr>
        <w:t>发包人提供设计文件任务书。设计图纸审批时间约定为承包人提供设计图纸后</w:t>
      </w:r>
      <w:r>
        <w:rPr>
          <w:rFonts w:ascii="宋体" w:hAnsi="宋体"/>
          <w:color w:val="auto"/>
          <w:sz w:val="24"/>
          <w:u w:val="single"/>
        </w:rPr>
        <w:t>5</w:t>
      </w:r>
      <w:r>
        <w:rPr>
          <w:rFonts w:hint="eastAsia" w:ascii="宋体" w:hAnsi="宋体"/>
          <w:color w:val="auto"/>
          <w:sz w:val="24"/>
          <w:u w:val="single"/>
        </w:rPr>
        <w:t>天内，发包人必须完成审批流程或提出修改意见。</w:t>
      </w:r>
    </w:p>
    <w:p w14:paraId="4E38792B">
      <w:pPr>
        <w:spacing w:line="360" w:lineRule="auto"/>
        <w:rPr>
          <w:b/>
          <w:color w:val="auto"/>
          <w:sz w:val="28"/>
        </w:rPr>
      </w:pPr>
    </w:p>
    <w:p w14:paraId="3B885613">
      <w:pPr>
        <w:spacing w:line="360" w:lineRule="auto"/>
        <w:rPr>
          <w:b/>
          <w:color w:val="auto"/>
          <w:sz w:val="24"/>
        </w:rPr>
      </w:pPr>
      <w:r>
        <w:rPr>
          <w:rFonts w:hint="eastAsia"/>
          <w:b/>
          <w:color w:val="auto"/>
          <w:sz w:val="24"/>
        </w:rPr>
        <w:t xml:space="preserve">第四条 </w:t>
      </w:r>
      <w:r>
        <w:rPr>
          <w:rFonts w:hint="eastAsia"/>
          <w:color w:val="auto"/>
          <w:sz w:val="24"/>
        </w:rPr>
        <w:t>设计人应向发包人交付的勘察设计资料及文件：</w:t>
      </w:r>
    </w:p>
    <w:tbl>
      <w:tblPr>
        <w:tblStyle w:val="16"/>
        <w:tblW w:w="9180" w:type="dxa"/>
        <w:tblInd w:w="49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20"/>
        <w:gridCol w:w="2520"/>
        <w:gridCol w:w="1260"/>
        <w:gridCol w:w="1260"/>
        <w:gridCol w:w="3420"/>
      </w:tblGrid>
      <w:tr w14:paraId="78D225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blHeader/>
        </w:trPr>
        <w:tc>
          <w:tcPr>
            <w:tcW w:w="720" w:type="dxa"/>
          </w:tcPr>
          <w:p w14:paraId="43B3719F">
            <w:pPr>
              <w:spacing w:line="360" w:lineRule="auto"/>
              <w:jc w:val="center"/>
              <w:rPr>
                <w:rFonts w:ascii="宋体" w:hAnsi="宋体"/>
                <w:color w:val="auto"/>
                <w:sz w:val="24"/>
              </w:rPr>
            </w:pPr>
            <w:bookmarkStart w:id="24" w:name="_Hlk107991627"/>
            <w:r>
              <w:rPr>
                <w:rFonts w:hint="eastAsia" w:ascii="宋体" w:hAnsi="宋体"/>
                <w:color w:val="auto"/>
                <w:sz w:val="24"/>
              </w:rPr>
              <w:t>序号</w:t>
            </w:r>
          </w:p>
        </w:tc>
        <w:tc>
          <w:tcPr>
            <w:tcW w:w="2520" w:type="dxa"/>
            <w:vAlign w:val="center"/>
          </w:tcPr>
          <w:p w14:paraId="5DB65F06">
            <w:pPr>
              <w:spacing w:line="360" w:lineRule="auto"/>
              <w:jc w:val="center"/>
              <w:rPr>
                <w:rFonts w:ascii="宋体" w:hAnsi="宋体"/>
                <w:color w:val="auto"/>
                <w:sz w:val="24"/>
              </w:rPr>
            </w:pPr>
            <w:r>
              <w:rPr>
                <w:rFonts w:hint="eastAsia" w:ascii="宋体" w:hAnsi="宋体"/>
                <w:color w:val="auto"/>
                <w:sz w:val="24"/>
              </w:rPr>
              <w:t>资料及文件名称</w:t>
            </w:r>
          </w:p>
        </w:tc>
        <w:tc>
          <w:tcPr>
            <w:tcW w:w="1260" w:type="dxa"/>
          </w:tcPr>
          <w:p w14:paraId="2A5FDE41">
            <w:pPr>
              <w:spacing w:line="360" w:lineRule="auto"/>
              <w:jc w:val="center"/>
              <w:rPr>
                <w:rFonts w:ascii="宋体" w:hAnsi="宋体"/>
                <w:color w:val="auto"/>
                <w:sz w:val="24"/>
              </w:rPr>
            </w:pPr>
            <w:r>
              <w:rPr>
                <w:rFonts w:hint="eastAsia" w:ascii="宋体" w:hAnsi="宋体"/>
                <w:color w:val="auto"/>
                <w:sz w:val="24"/>
              </w:rPr>
              <w:t>份数</w:t>
            </w:r>
          </w:p>
        </w:tc>
        <w:tc>
          <w:tcPr>
            <w:tcW w:w="1260" w:type="dxa"/>
            <w:vAlign w:val="center"/>
          </w:tcPr>
          <w:p w14:paraId="4766457E">
            <w:pPr>
              <w:spacing w:line="360" w:lineRule="auto"/>
              <w:jc w:val="center"/>
              <w:rPr>
                <w:rFonts w:ascii="宋体" w:hAnsi="宋体"/>
                <w:color w:val="auto"/>
                <w:sz w:val="24"/>
              </w:rPr>
            </w:pPr>
            <w:r>
              <w:rPr>
                <w:rFonts w:hint="eastAsia" w:ascii="宋体" w:hAnsi="宋体"/>
                <w:color w:val="auto"/>
                <w:sz w:val="24"/>
              </w:rPr>
              <w:t>提交日期</w:t>
            </w:r>
          </w:p>
        </w:tc>
        <w:tc>
          <w:tcPr>
            <w:tcW w:w="3420" w:type="dxa"/>
            <w:vAlign w:val="center"/>
          </w:tcPr>
          <w:p w14:paraId="6CD509E4">
            <w:pPr>
              <w:spacing w:line="360" w:lineRule="auto"/>
              <w:jc w:val="center"/>
              <w:rPr>
                <w:rFonts w:ascii="宋体" w:hAnsi="宋体"/>
                <w:color w:val="auto"/>
                <w:sz w:val="24"/>
              </w:rPr>
            </w:pPr>
            <w:r>
              <w:rPr>
                <w:rFonts w:hint="eastAsia" w:ascii="宋体" w:hAnsi="宋体"/>
                <w:color w:val="auto"/>
                <w:sz w:val="24"/>
              </w:rPr>
              <w:t>有关事宜</w:t>
            </w:r>
          </w:p>
        </w:tc>
      </w:tr>
      <w:tr w14:paraId="7670B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919" w:hRule="atLeast"/>
        </w:trPr>
        <w:tc>
          <w:tcPr>
            <w:tcW w:w="720" w:type="dxa"/>
            <w:vAlign w:val="center"/>
          </w:tcPr>
          <w:p w14:paraId="66B1E11B">
            <w:pPr>
              <w:spacing w:line="360" w:lineRule="auto"/>
              <w:jc w:val="center"/>
              <w:rPr>
                <w:rFonts w:hint="eastAsia" w:ascii="宋体" w:hAnsi="宋体"/>
                <w:color w:val="auto"/>
                <w:sz w:val="24"/>
              </w:rPr>
            </w:pPr>
            <w:r>
              <w:rPr>
                <w:rFonts w:hint="eastAsia" w:ascii="宋体" w:hAnsi="宋体"/>
                <w:color w:val="auto"/>
                <w:sz w:val="24"/>
              </w:rPr>
              <w:t>1</w:t>
            </w:r>
          </w:p>
          <w:p w14:paraId="2D71215D">
            <w:pPr>
              <w:spacing w:line="360" w:lineRule="auto"/>
              <w:jc w:val="center"/>
              <w:rPr>
                <w:rFonts w:ascii="宋体" w:hAnsi="宋体"/>
                <w:color w:val="auto"/>
                <w:sz w:val="24"/>
              </w:rPr>
            </w:pPr>
          </w:p>
        </w:tc>
        <w:tc>
          <w:tcPr>
            <w:tcW w:w="2520" w:type="dxa"/>
            <w:vAlign w:val="center"/>
          </w:tcPr>
          <w:p w14:paraId="02085C4B">
            <w:pPr>
              <w:spacing w:line="360" w:lineRule="auto"/>
              <w:jc w:val="left"/>
              <w:rPr>
                <w:rFonts w:hint="eastAsia" w:ascii="宋体" w:hAnsi="宋体"/>
                <w:color w:val="auto"/>
                <w:sz w:val="24"/>
              </w:rPr>
            </w:pPr>
          </w:p>
          <w:p w14:paraId="5DA11D20">
            <w:pPr>
              <w:spacing w:line="360" w:lineRule="auto"/>
              <w:jc w:val="left"/>
              <w:rPr>
                <w:rFonts w:ascii="宋体" w:hAnsi="宋体"/>
                <w:color w:val="auto"/>
                <w:sz w:val="24"/>
              </w:rPr>
            </w:pPr>
            <w:r>
              <w:rPr>
                <w:rFonts w:hint="eastAsia" w:ascii="宋体" w:hAnsi="宋体"/>
                <w:color w:val="auto"/>
                <w:sz w:val="24"/>
              </w:rPr>
              <w:t>施工图设计文件</w:t>
            </w:r>
          </w:p>
        </w:tc>
        <w:tc>
          <w:tcPr>
            <w:tcW w:w="1260" w:type="dxa"/>
            <w:vAlign w:val="center"/>
          </w:tcPr>
          <w:p w14:paraId="3DA59D94">
            <w:pPr>
              <w:spacing w:line="360" w:lineRule="auto"/>
              <w:jc w:val="left"/>
              <w:rPr>
                <w:rFonts w:hint="eastAsia" w:ascii="宋体" w:hAnsi="宋体"/>
                <w:color w:val="auto"/>
                <w:sz w:val="24"/>
              </w:rPr>
            </w:pPr>
          </w:p>
          <w:p w14:paraId="0B2BBF96">
            <w:pPr>
              <w:spacing w:line="360" w:lineRule="auto"/>
              <w:jc w:val="left"/>
              <w:rPr>
                <w:rFonts w:ascii="宋体" w:hAnsi="宋体"/>
                <w:color w:val="auto"/>
                <w:sz w:val="24"/>
              </w:rPr>
            </w:pPr>
            <w:r>
              <w:rPr>
                <w:rFonts w:hint="eastAsia" w:ascii="宋体" w:hAnsi="宋体"/>
                <w:color w:val="auto"/>
                <w:sz w:val="24"/>
                <w:lang w:val="en-US" w:eastAsia="zh-CN"/>
              </w:rPr>
              <w:t>3</w:t>
            </w:r>
            <w:r>
              <w:rPr>
                <w:rFonts w:hint="eastAsia" w:ascii="宋体" w:hAnsi="宋体"/>
                <w:color w:val="auto"/>
                <w:sz w:val="24"/>
              </w:rPr>
              <w:t>份</w:t>
            </w:r>
          </w:p>
        </w:tc>
        <w:tc>
          <w:tcPr>
            <w:tcW w:w="1260" w:type="dxa"/>
            <w:vAlign w:val="center"/>
          </w:tcPr>
          <w:p w14:paraId="0CE74DFD">
            <w:pPr>
              <w:spacing w:line="360" w:lineRule="auto"/>
              <w:jc w:val="left"/>
              <w:rPr>
                <w:rFonts w:hint="eastAsia" w:ascii="宋体" w:hAnsi="宋体"/>
                <w:color w:val="auto"/>
                <w:sz w:val="24"/>
              </w:rPr>
            </w:pPr>
          </w:p>
          <w:p w14:paraId="181BF708">
            <w:pPr>
              <w:spacing w:line="360" w:lineRule="auto"/>
              <w:jc w:val="left"/>
              <w:rPr>
                <w:rFonts w:ascii="宋体" w:hAnsi="宋体"/>
                <w:color w:val="auto"/>
                <w:sz w:val="24"/>
              </w:rPr>
            </w:pPr>
            <w:r>
              <w:rPr>
                <w:rFonts w:hint="eastAsia" w:ascii="宋体" w:hAnsi="宋体"/>
                <w:color w:val="auto"/>
                <w:sz w:val="24"/>
              </w:rPr>
              <w:t>初步设计批准后</w:t>
            </w:r>
            <w:r>
              <w:rPr>
                <w:rFonts w:hint="eastAsia" w:ascii="宋体" w:hAnsi="宋体"/>
                <w:color w:val="auto"/>
                <w:sz w:val="24"/>
                <w:u w:val="single"/>
              </w:rPr>
              <w:t>20</w:t>
            </w:r>
            <w:r>
              <w:rPr>
                <w:rFonts w:hint="eastAsia" w:ascii="宋体" w:hAnsi="宋体"/>
                <w:color w:val="auto"/>
                <w:sz w:val="24"/>
              </w:rPr>
              <w:t>个工作日内</w:t>
            </w:r>
          </w:p>
        </w:tc>
        <w:tc>
          <w:tcPr>
            <w:tcW w:w="3420" w:type="dxa"/>
            <w:vMerge w:val="restart"/>
          </w:tcPr>
          <w:p w14:paraId="25502543">
            <w:pPr>
              <w:spacing w:line="360" w:lineRule="auto"/>
              <w:rPr>
                <w:rFonts w:ascii="宋体" w:hAnsi="宋体"/>
                <w:color w:val="auto"/>
                <w:sz w:val="24"/>
              </w:rPr>
            </w:pPr>
            <w:r>
              <w:rPr>
                <w:rFonts w:hint="eastAsia" w:ascii="宋体" w:hAnsi="宋体"/>
                <w:color w:val="auto"/>
                <w:sz w:val="24"/>
              </w:rPr>
              <w:t>1、承包人提交的设计文件内容及格式应满足有关审批和审查部门的报送要求，承包人应按照相关部门的审核进度修改，直至取得批复为止。</w:t>
            </w:r>
          </w:p>
          <w:p w14:paraId="61C6A977">
            <w:pPr>
              <w:spacing w:line="360" w:lineRule="auto"/>
              <w:rPr>
                <w:rFonts w:ascii="宋体" w:hAnsi="宋体"/>
                <w:color w:val="auto"/>
                <w:sz w:val="24"/>
              </w:rPr>
            </w:pPr>
            <w:r>
              <w:rPr>
                <w:rFonts w:hint="eastAsia" w:ascii="宋体" w:hAnsi="宋体"/>
                <w:color w:val="auto"/>
                <w:sz w:val="24"/>
              </w:rPr>
              <w:t>2、承包人提交的设计文件数量应满足承包人办理报审、报批及存档的有关手续和要求。</w:t>
            </w:r>
          </w:p>
          <w:p w14:paraId="696F6E09">
            <w:pPr>
              <w:spacing w:line="360" w:lineRule="auto"/>
              <w:rPr>
                <w:rFonts w:ascii="宋体" w:hAnsi="宋体"/>
                <w:color w:val="auto"/>
                <w:sz w:val="24"/>
              </w:rPr>
            </w:pPr>
            <w:r>
              <w:rPr>
                <w:rFonts w:hint="eastAsia" w:ascii="宋体" w:hAnsi="宋体"/>
                <w:color w:val="auto"/>
                <w:sz w:val="24"/>
              </w:rPr>
              <w:t>3、如有关评审或审批因设计原因未批准的，由承包人负责。</w:t>
            </w:r>
          </w:p>
          <w:p w14:paraId="1953BB16">
            <w:pPr>
              <w:spacing w:line="360" w:lineRule="auto"/>
              <w:rPr>
                <w:rFonts w:ascii="宋体" w:hAnsi="宋体"/>
                <w:color w:val="auto"/>
                <w:sz w:val="24"/>
              </w:rPr>
            </w:pPr>
            <w:r>
              <w:rPr>
                <w:rFonts w:hint="eastAsia" w:ascii="宋体" w:hAnsi="宋体"/>
                <w:color w:val="auto"/>
                <w:sz w:val="24"/>
              </w:rPr>
              <w:t>4、提供设计成果时一起提供检测合格的电子文件及检测的有关证明资料。</w:t>
            </w:r>
          </w:p>
          <w:p w14:paraId="10594E96">
            <w:pPr>
              <w:spacing w:line="360" w:lineRule="auto"/>
              <w:rPr>
                <w:rFonts w:ascii="宋体" w:hAnsi="宋体"/>
                <w:color w:val="auto"/>
                <w:sz w:val="24"/>
              </w:rPr>
            </w:pPr>
            <w:r>
              <w:rPr>
                <w:rFonts w:hint="eastAsia" w:ascii="宋体" w:hAnsi="宋体"/>
                <w:color w:val="auto"/>
                <w:sz w:val="24"/>
              </w:rPr>
              <w:t>5、施工图设计文件经审查发现问题后</w:t>
            </w:r>
            <w:r>
              <w:rPr>
                <w:rFonts w:hint="eastAsia" w:ascii="宋体" w:hAnsi="宋体"/>
                <w:color w:val="auto"/>
                <w:sz w:val="24"/>
                <w:u w:val="single"/>
              </w:rPr>
              <w:t>3</w:t>
            </w:r>
            <w:r>
              <w:rPr>
                <w:rFonts w:hint="eastAsia" w:ascii="宋体" w:hAnsi="宋体"/>
                <w:color w:val="auto"/>
                <w:sz w:val="24"/>
              </w:rPr>
              <w:t>工作日内完成补充、修改。</w:t>
            </w:r>
          </w:p>
        </w:tc>
      </w:tr>
      <w:tr w14:paraId="2CCFC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722" w:hRule="atLeast"/>
        </w:trPr>
        <w:tc>
          <w:tcPr>
            <w:tcW w:w="720" w:type="dxa"/>
            <w:tcBorders>
              <w:bottom w:val="single" w:color="auto" w:sz="4" w:space="0"/>
            </w:tcBorders>
            <w:vAlign w:val="center"/>
          </w:tcPr>
          <w:p w14:paraId="5AFB4D8E">
            <w:pPr>
              <w:spacing w:line="360" w:lineRule="auto"/>
              <w:jc w:val="center"/>
              <w:rPr>
                <w:rFonts w:hint="eastAsia" w:ascii="宋体" w:hAnsi="宋体" w:eastAsia="宋体"/>
                <w:color w:val="auto"/>
                <w:sz w:val="24"/>
                <w:lang w:eastAsia="zh-CN"/>
              </w:rPr>
            </w:pPr>
            <w:r>
              <w:rPr>
                <w:rFonts w:hint="eastAsia" w:ascii="宋体" w:hAnsi="宋体"/>
                <w:color w:val="auto"/>
                <w:sz w:val="24"/>
                <w:lang w:val="en-US" w:eastAsia="zh-CN"/>
              </w:rPr>
              <w:t>2</w:t>
            </w:r>
          </w:p>
        </w:tc>
        <w:tc>
          <w:tcPr>
            <w:tcW w:w="2520" w:type="dxa"/>
            <w:tcBorders>
              <w:bottom w:val="single" w:color="auto" w:sz="4" w:space="0"/>
            </w:tcBorders>
            <w:vAlign w:val="center"/>
          </w:tcPr>
          <w:p w14:paraId="0DD98947">
            <w:pPr>
              <w:spacing w:line="360" w:lineRule="auto"/>
              <w:jc w:val="left"/>
              <w:rPr>
                <w:rFonts w:ascii="宋体" w:hAnsi="宋体"/>
                <w:color w:val="auto"/>
                <w:sz w:val="24"/>
              </w:rPr>
            </w:pPr>
            <w:r>
              <w:rPr>
                <w:rFonts w:hint="eastAsia" w:ascii="宋体" w:hAnsi="宋体"/>
                <w:color w:val="auto"/>
                <w:sz w:val="24"/>
              </w:rPr>
              <w:t>设计电子文件（非加密且可编辑AutoCAD的版本及不可编辑的PDF版本）</w:t>
            </w:r>
          </w:p>
        </w:tc>
        <w:tc>
          <w:tcPr>
            <w:tcW w:w="1260" w:type="dxa"/>
            <w:tcBorders>
              <w:bottom w:val="single" w:color="auto" w:sz="4" w:space="0"/>
            </w:tcBorders>
            <w:vAlign w:val="center"/>
          </w:tcPr>
          <w:p w14:paraId="67FF9E64">
            <w:pPr>
              <w:spacing w:line="360" w:lineRule="auto"/>
              <w:jc w:val="left"/>
              <w:rPr>
                <w:rFonts w:ascii="宋体" w:hAnsi="宋体"/>
                <w:color w:val="auto"/>
                <w:sz w:val="24"/>
              </w:rPr>
            </w:pPr>
            <w:r>
              <w:rPr>
                <w:rFonts w:hint="eastAsia" w:ascii="宋体" w:hAnsi="宋体"/>
                <w:color w:val="auto"/>
                <w:sz w:val="24"/>
              </w:rPr>
              <w:t>2套（刻录光盘）</w:t>
            </w:r>
          </w:p>
        </w:tc>
        <w:tc>
          <w:tcPr>
            <w:tcW w:w="1260" w:type="dxa"/>
            <w:tcBorders>
              <w:bottom w:val="single" w:color="auto" w:sz="4" w:space="0"/>
            </w:tcBorders>
            <w:vAlign w:val="center"/>
          </w:tcPr>
          <w:p w14:paraId="43AE6584">
            <w:pPr>
              <w:spacing w:line="360" w:lineRule="auto"/>
              <w:jc w:val="left"/>
              <w:rPr>
                <w:rFonts w:ascii="宋体" w:hAnsi="宋体"/>
                <w:color w:val="auto"/>
                <w:sz w:val="24"/>
              </w:rPr>
            </w:pPr>
            <w:r>
              <w:rPr>
                <w:rFonts w:hint="eastAsia" w:ascii="宋体" w:hAnsi="宋体"/>
                <w:color w:val="auto"/>
                <w:sz w:val="24"/>
              </w:rPr>
              <w:t>随设计文件一起提交</w:t>
            </w:r>
          </w:p>
        </w:tc>
        <w:tc>
          <w:tcPr>
            <w:tcW w:w="3420" w:type="dxa"/>
            <w:vMerge w:val="continue"/>
          </w:tcPr>
          <w:p w14:paraId="10BFCDD2">
            <w:pPr>
              <w:spacing w:line="360" w:lineRule="auto"/>
              <w:rPr>
                <w:rFonts w:ascii="宋体" w:hAnsi="宋体"/>
                <w:color w:val="auto"/>
                <w:sz w:val="24"/>
              </w:rPr>
            </w:pPr>
          </w:p>
        </w:tc>
      </w:tr>
      <w:tr w14:paraId="0DCEC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722" w:hRule="atLeast"/>
        </w:trPr>
        <w:tc>
          <w:tcPr>
            <w:tcW w:w="720" w:type="dxa"/>
            <w:tcBorders>
              <w:bottom w:val="single" w:color="auto" w:sz="4" w:space="0"/>
            </w:tcBorders>
            <w:vAlign w:val="center"/>
          </w:tcPr>
          <w:p w14:paraId="50B3F7E5">
            <w:pPr>
              <w:spacing w:line="360" w:lineRule="auto"/>
              <w:jc w:val="center"/>
              <w:rPr>
                <w:rFonts w:hint="eastAsia" w:ascii="宋体" w:hAnsi="宋体" w:eastAsia="宋体"/>
                <w:color w:val="auto"/>
                <w:sz w:val="24"/>
                <w:lang w:eastAsia="zh-CN"/>
              </w:rPr>
            </w:pPr>
            <w:r>
              <w:rPr>
                <w:rFonts w:hint="eastAsia" w:ascii="宋体" w:hAnsi="宋体"/>
                <w:color w:val="auto"/>
                <w:sz w:val="24"/>
                <w:lang w:val="en-US" w:eastAsia="zh-CN"/>
              </w:rPr>
              <w:t>3</w:t>
            </w:r>
          </w:p>
        </w:tc>
        <w:tc>
          <w:tcPr>
            <w:tcW w:w="2520" w:type="dxa"/>
            <w:tcBorders>
              <w:bottom w:val="single" w:color="auto" w:sz="4" w:space="0"/>
            </w:tcBorders>
            <w:vAlign w:val="center"/>
          </w:tcPr>
          <w:p w14:paraId="322CA4D1">
            <w:pPr>
              <w:spacing w:line="360" w:lineRule="auto"/>
              <w:jc w:val="left"/>
              <w:rPr>
                <w:rFonts w:ascii="宋体" w:hAnsi="宋体"/>
                <w:color w:val="auto"/>
                <w:sz w:val="24"/>
              </w:rPr>
            </w:pPr>
            <w:r>
              <w:rPr>
                <w:rFonts w:hint="eastAsia" w:ascii="宋体" w:hAnsi="宋体"/>
                <w:color w:val="auto"/>
                <w:sz w:val="24"/>
              </w:rPr>
              <w:t>竣工图文件</w:t>
            </w:r>
          </w:p>
        </w:tc>
        <w:tc>
          <w:tcPr>
            <w:tcW w:w="1260" w:type="dxa"/>
            <w:tcBorders>
              <w:bottom w:val="single" w:color="auto" w:sz="4" w:space="0"/>
            </w:tcBorders>
            <w:vAlign w:val="center"/>
          </w:tcPr>
          <w:p w14:paraId="61C0AE79">
            <w:pPr>
              <w:spacing w:line="360" w:lineRule="auto"/>
              <w:jc w:val="left"/>
              <w:rPr>
                <w:rFonts w:ascii="宋体" w:hAnsi="宋体"/>
                <w:color w:val="auto"/>
                <w:sz w:val="24"/>
              </w:rPr>
            </w:pPr>
            <w:r>
              <w:rPr>
                <w:rFonts w:hint="eastAsia" w:ascii="宋体" w:hAnsi="宋体"/>
                <w:color w:val="auto"/>
                <w:sz w:val="24"/>
                <w:lang w:val="en-US" w:eastAsia="zh-CN"/>
              </w:rPr>
              <w:t>3</w:t>
            </w:r>
            <w:r>
              <w:rPr>
                <w:rFonts w:hint="eastAsia" w:ascii="宋体" w:hAnsi="宋体"/>
                <w:color w:val="auto"/>
                <w:sz w:val="24"/>
              </w:rPr>
              <w:t>份（2套刻录光盘）</w:t>
            </w:r>
          </w:p>
        </w:tc>
        <w:tc>
          <w:tcPr>
            <w:tcW w:w="1260" w:type="dxa"/>
            <w:tcBorders>
              <w:bottom w:val="single" w:color="auto" w:sz="4" w:space="0"/>
            </w:tcBorders>
            <w:vAlign w:val="center"/>
          </w:tcPr>
          <w:p w14:paraId="339E0081">
            <w:pPr>
              <w:spacing w:line="360" w:lineRule="auto"/>
              <w:jc w:val="left"/>
              <w:rPr>
                <w:rFonts w:ascii="宋体" w:hAnsi="宋体"/>
                <w:color w:val="auto"/>
                <w:sz w:val="24"/>
              </w:rPr>
            </w:pPr>
          </w:p>
        </w:tc>
        <w:tc>
          <w:tcPr>
            <w:tcW w:w="3420" w:type="dxa"/>
            <w:vMerge w:val="continue"/>
          </w:tcPr>
          <w:p w14:paraId="265E6BC1">
            <w:pPr>
              <w:spacing w:line="360" w:lineRule="auto"/>
              <w:rPr>
                <w:rFonts w:ascii="宋体" w:hAnsi="宋体"/>
                <w:color w:val="auto"/>
                <w:sz w:val="24"/>
              </w:rPr>
            </w:pPr>
          </w:p>
        </w:tc>
      </w:tr>
      <w:tr w14:paraId="65C27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06" w:hRule="atLeast"/>
        </w:trPr>
        <w:tc>
          <w:tcPr>
            <w:tcW w:w="720" w:type="dxa"/>
            <w:tcBorders>
              <w:top w:val="single" w:color="auto" w:sz="4" w:space="0"/>
            </w:tcBorders>
          </w:tcPr>
          <w:p w14:paraId="3A09F195">
            <w:pPr>
              <w:spacing w:line="360" w:lineRule="auto"/>
              <w:jc w:val="center"/>
              <w:rPr>
                <w:rFonts w:ascii="宋体" w:hAnsi="宋体"/>
                <w:color w:val="auto"/>
                <w:sz w:val="24"/>
              </w:rPr>
            </w:pPr>
            <w:r>
              <w:rPr>
                <w:rFonts w:hint="eastAsia" w:ascii="宋体" w:hAnsi="宋体"/>
                <w:color w:val="auto"/>
                <w:sz w:val="24"/>
              </w:rPr>
              <w:t>备注</w:t>
            </w:r>
          </w:p>
        </w:tc>
        <w:tc>
          <w:tcPr>
            <w:tcW w:w="8460" w:type="dxa"/>
            <w:gridSpan w:val="4"/>
            <w:tcBorders>
              <w:top w:val="single" w:color="auto" w:sz="4" w:space="0"/>
            </w:tcBorders>
          </w:tcPr>
          <w:p w14:paraId="2EDB9A15">
            <w:pPr>
              <w:spacing w:line="360" w:lineRule="auto"/>
              <w:rPr>
                <w:rFonts w:ascii="宋体" w:hAnsi="宋体"/>
                <w:color w:val="auto"/>
                <w:sz w:val="24"/>
              </w:rPr>
            </w:pPr>
            <w:r>
              <w:rPr>
                <w:rFonts w:hint="eastAsia" w:ascii="宋体" w:hAnsi="宋体"/>
                <w:bCs/>
                <w:color w:val="auto"/>
                <w:sz w:val="24"/>
              </w:rPr>
              <w:t>报批过程中需要的图纸由承包人按需要提供。</w:t>
            </w:r>
          </w:p>
        </w:tc>
      </w:tr>
      <w:bookmarkEnd w:id="24"/>
    </w:tbl>
    <w:p w14:paraId="0C0DB874">
      <w:pPr>
        <w:spacing w:line="360" w:lineRule="auto"/>
        <w:rPr>
          <w:b/>
          <w:color w:val="auto"/>
          <w:sz w:val="28"/>
        </w:rPr>
      </w:pPr>
    </w:p>
    <w:p w14:paraId="5AADFCAF">
      <w:pPr>
        <w:numPr>
          <w:ilvl w:val="0"/>
          <w:numId w:val="31"/>
        </w:numPr>
        <w:tabs>
          <w:tab w:val="left" w:pos="851"/>
        </w:tabs>
        <w:spacing w:line="360" w:lineRule="auto"/>
        <w:rPr>
          <w:color w:val="auto"/>
          <w:sz w:val="24"/>
        </w:rPr>
      </w:pPr>
      <w:r>
        <w:rPr>
          <w:rFonts w:hint="eastAsia"/>
          <w:color w:val="auto"/>
          <w:sz w:val="24"/>
        </w:rPr>
        <w:t>本合同设计费为</w:t>
      </w:r>
      <w:r>
        <w:rPr>
          <w:color w:val="auto"/>
          <w:sz w:val="24"/>
        </w:rPr>
        <w:t>:</w:t>
      </w:r>
      <w:r>
        <w:rPr>
          <w:rFonts w:hint="eastAsia"/>
          <w:color w:val="auto"/>
          <w:sz w:val="24"/>
        </w:rPr>
        <w:t>人民币</w:t>
      </w:r>
      <w:r>
        <w:rPr>
          <w:rFonts w:hint="eastAsia"/>
          <w:color w:val="auto"/>
          <w:sz w:val="24"/>
          <w:u w:val="single"/>
        </w:rPr>
        <w:t>；（￥    元）</w:t>
      </w:r>
      <w:r>
        <w:rPr>
          <w:rFonts w:hint="eastAsia"/>
          <w:color w:val="auto"/>
          <w:sz w:val="24"/>
        </w:rPr>
        <w:t>。设计费支付进度详见下表：</w:t>
      </w:r>
    </w:p>
    <w:p w14:paraId="7A9A4DEF">
      <w:pPr>
        <w:pStyle w:val="3"/>
        <w:rPr>
          <w:color w:val="auto"/>
        </w:rPr>
      </w:pPr>
    </w:p>
    <w:tbl>
      <w:tblPr>
        <w:tblStyle w:val="16"/>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45" w:type="dxa"/>
        </w:tblCellMar>
      </w:tblPr>
      <w:tblGrid>
        <w:gridCol w:w="1550"/>
        <w:gridCol w:w="1568"/>
        <w:gridCol w:w="1896"/>
        <w:gridCol w:w="4346"/>
      </w:tblGrid>
      <w:tr w14:paraId="62C60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45" w:type="dxa"/>
          </w:tblCellMar>
        </w:tblPrEx>
        <w:trPr>
          <w:trHeight w:val="621" w:hRule="atLeast"/>
          <w:jc w:val="center"/>
        </w:trPr>
        <w:tc>
          <w:tcPr>
            <w:tcW w:w="1550" w:type="dxa"/>
            <w:vAlign w:val="center"/>
          </w:tcPr>
          <w:p w14:paraId="177CA9CD">
            <w:pPr>
              <w:snapToGrid w:val="0"/>
              <w:spacing w:line="360" w:lineRule="auto"/>
              <w:jc w:val="center"/>
              <w:rPr>
                <w:rFonts w:ascii="宋体"/>
                <w:color w:val="auto"/>
                <w:sz w:val="22"/>
                <w:szCs w:val="22"/>
              </w:rPr>
            </w:pPr>
            <w:r>
              <w:rPr>
                <w:rStyle w:val="22"/>
                <w:rFonts w:ascii="宋体"/>
                <w:color w:val="auto"/>
                <w:sz w:val="22"/>
                <w:szCs w:val="22"/>
              </w:rPr>
              <w:t>&lt;div align="center"&gt;</w:t>
            </w:r>
            <w:r>
              <w:rPr>
                <w:rStyle w:val="22"/>
                <w:rFonts w:hint="eastAsia" w:ascii="宋体"/>
                <w:color w:val="auto"/>
                <w:sz w:val="22"/>
                <w:szCs w:val="22"/>
              </w:rPr>
              <w:t>支付</w:t>
            </w:r>
            <w:r>
              <w:rPr>
                <w:rStyle w:val="22"/>
                <w:rFonts w:hint="eastAsia" w:ascii="宋体"/>
                <w:vanish w:val="0"/>
                <w:color w:val="auto"/>
                <w:sz w:val="22"/>
                <w:szCs w:val="22"/>
              </w:rPr>
              <w:t>支付方式</w:t>
            </w:r>
            <w:r>
              <w:rPr>
                <w:rStyle w:val="22"/>
                <w:rFonts w:ascii="宋体"/>
                <w:color w:val="auto"/>
                <w:sz w:val="22"/>
                <w:szCs w:val="22"/>
              </w:rPr>
              <w:t>&lt;/div&gt;</w:t>
            </w:r>
          </w:p>
        </w:tc>
        <w:tc>
          <w:tcPr>
            <w:tcW w:w="1568" w:type="dxa"/>
            <w:vAlign w:val="center"/>
          </w:tcPr>
          <w:p w14:paraId="0229BB73">
            <w:pPr>
              <w:snapToGrid w:val="0"/>
              <w:spacing w:line="360" w:lineRule="auto"/>
              <w:jc w:val="center"/>
              <w:rPr>
                <w:rFonts w:ascii="宋体"/>
                <w:color w:val="auto"/>
                <w:sz w:val="22"/>
                <w:szCs w:val="22"/>
              </w:rPr>
            </w:pPr>
            <w:r>
              <w:rPr>
                <w:rStyle w:val="22"/>
                <w:rFonts w:ascii="宋体"/>
                <w:color w:val="auto"/>
                <w:sz w:val="22"/>
                <w:szCs w:val="22"/>
              </w:rPr>
              <w:t>&lt;div align="center"&gt;</w:t>
            </w:r>
            <w:r>
              <w:rPr>
                <w:rFonts w:hint="eastAsia" w:ascii="宋体"/>
                <w:color w:val="auto"/>
                <w:sz w:val="22"/>
                <w:szCs w:val="22"/>
              </w:rPr>
              <w:t>占总设计费用</w:t>
            </w:r>
          </w:p>
          <w:p w14:paraId="2612E67F">
            <w:pPr>
              <w:snapToGrid w:val="0"/>
              <w:spacing w:line="360" w:lineRule="auto"/>
              <w:jc w:val="center"/>
              <w:rPr>
                <w:rFonts w:ascii="宋体"/>
                <w:color w:val="auto"/>
                <w:sz w:val="22"/>
                <w:szCs w:val="22"/>
              </w:rPr>
            </w:pPr>
            <w:r>
              <w:rPr>
                <w:rFonts w:hint="eastAsia" w:ascii="宋体"/>
                <w:color w:val="auto"/>
                <w:sz w:val="22"/>
                <w:szCs w:val="22"/>
              </w:rPr>
              <w:t>（</w:t>
            </w:r>
            <w:r>
              <w:rPr>
                <w:rFonts w:ascii="宋体"/>
                <w:color w:val="auto"/>
                <w:sz w:val="22"/>
                <w:szCs w:val="22"/>
              </w:rPr>
              <w:t>%</w:t>
            </w:r>
            <w:r>
              <w:rPr>
                <w:rFonts w:hint="eastAsia" w:ascii="宋体"/>
                <w:color w:val="auto"/>
                <w:sz w:val="22"/>
                <w:szCs w:val="22"/>
              </w:rPr>
              <w:t>）</w:t>
            </w:r>
            <w:r>
              <w:rPr>
                <w:rStyle w:val="22"/>
                <w:rFonts w:ascii="宋体"/>
                <w:color w:val="auto"/>
                <w:sz w:val="22"/>
                <w:szCs w:val="22"/>
              </w:rPr>
              <w:t>&lt;/div&gt;</w:t>
            </w:r>
          </w:p>
        </w:tc>
        <w:tc>
          <w:tcPr>
            <w:tcW w:w="1896" w:type="dxa"/>
            <w:vAlign w:val="center"/>
          </w:tcPr>
          <w:p w14:paraId="78856461">
            <w:pPr>
              <w:snapToGrid w:val="0"/>
              <w:spacing w:line="360" w:lineRule="auto"/>
              <w:jc w:val="center"/>
              <w:rPr>
                <w:rFonts w:ascii="宋体"/>
                <w:color w:val="auto"/>
                <w:sz w:val="22"/>
                <w:szCs w:val="22"/>
              </w:rPr>
            </w:pPr>
            <w:r>
              <w:rPr>
                <w:rStyle w:val="22"/>
                <w:rFonts w:ascii="宋体"/>
                <w:color w:val="auto"/>
                <w:sz w:val="22"/>
                <w:szCs w:val="22"/>
              </w:rPr>
              <w:t>&lt;div align="center"&gt;</w:t>
            </w:r>
            <w:r>
              <w:rPr>
                <w:rFonts w:hint="eastAsia" w:ascii="宋体"/>
                <w:color w:val="auto"/>
                <w:sz w:val="22"/>
                <w:szCs w:val="22"/>
              </w:rPr>
              <w:t>付费额（元）</w:t>
            </w:r>
            <w:r>
              <w:rPr>
                <w:rStyle w:val="22"/>
                <w:rFonts w:ascii="宋体"/>
                <w:color w:val="auto"/>
                <w:sz w:val="22"/>
                <w:szCs w:val="22"/>
              </w:rPr>
              <w:t>&lt;/div&gt;</w:t>
            </w:r>
          </w:p>
        </w:tc>
        <w:tc>
          <w:tcPr>
            <w:tcW w:w="4346" w:type="dxa"/>
            <w:vAlign w:val="center"/>
          </w:tcPr>
          <w:p w14:paraId="2C41CB39">
            <w:pPr>
              <w:snapToGrid w:val="0"/>
              <w:spacing w:line="360" w:lineRule="auto"/>
              <w:jc w:val="center"/>
              <w:rPr>
                <w:rFonts w:ascii="宋体"/>
                <w:color w:val="auto"/>
                <w:sz w:val="22"/>
                <w:szCs w:val="22"/>
              </w:rPr>
            </w:pPr>
            <w:r>
              <w:rPr>
                <w:rStyle w:val="22"/>
                <w:rFonts w:ascii="宋体"/>
                <w:color w:val="auto"/>
                <w:sz w:val="22"/>
                <w:szCs w:val="22"/>
              </w:rPr>
              <w:t>&lt;div align="center"&gt;</w:t>
            </w:r>
            <w:r>
              <w:rPr>
                <w:rFonts w:hint="eastAsia" w:ascii="宋体"/>
                <w:color w:val="auto"/>
                <w:sz w:val="22"/>
                <w:szCs w:val="22"/>
              </w:rPr>
              <w:t>付费时间</w:t>
            </w:r>
          </w:p>
          <w:p w14:paraId="5EA34943">
            <w:pPr>
              <w:snapToGrid w:val="0"/>
              <w:spacing w:line="360" w:lineRule="auto"/>
              <w:jc w:val="center"/>
              <w:rPr>
                <w:rFonts w:ascii="宋体"/>
                <w:color w:val="auto"/>
                <w:sz w:val="22"/>
                <w:szCs w:val="22"/>
              </w:rPr>
            </w:pPr>
            <w:r>
              <w:rPr>
                <w:rFonts w:hint="eastAsia" w:ascii="宋体"/>
                <w:color w:val="auto"/>
                <w:sz w:val="22"/>
                <w:szCs w:val="22"/>
              </w:rPr>
              <w:t>（由交付设计文件所决定）</w:t>
            </w:r>
            <w:r>
              <w:rPr>
                <w:rStyle w:val="22"/>
                <w:rFonts w:ascii="宋体"/>
                <w:color w:val="auto"/>
                <w:sz w:val="22"/>
                <w:szCs w:val="22"/>
              </w:rPr>
              <w:t>&lt;/div&gt;</w:t>
            </w:r>
          </w:p>
        </w:tc>
      </w:tr>
      <w:tr w14:paraId="036ED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45" w:type="dxa"/>
          </w:tblCellMar>
        </w:tblPrEx>
        <w:trPr>
          <w:trHeight w:val="397" w:hRule="atLeast"/>
          <w:jc w:val="center"/>
        </w:trPr>
        <w:tc>
          <w:tcPr>
            <w:tcW w:w="1550" w:type="dxa"/>
            <w:vAlign w:val="center"/>
          </w:tcPr>
          <w:p w14:paraId="23B5F5D1">
            <w:pPr>
              <w:snapToGrid w:val="0"/>
              <w:spacing w:line="360" w:lineRule="auto"/>
              <w:jc w:val="center"/>
              <w:rPr>
                <w:rFonts w:ascii="宋体"/>
                <w:color w:val="auto"/>
                <w:sz w:val="22"/>
                <w:szCs w:val="22"/>
              </w:rPr>
            </w:pPr>
            <w:r>
              <w:rPr>
                <w:rFonts w:hint="eastAsia" w:ascii="宋体"/>
                <w:color w:val="auto"/>
                <w:sz w:val="22"/>
                <w:szCs w:val="22"/>
              </w:rPr>
              <w:t>第一次付费</w:t>
            </w:r>
          </w:p>
        </w:tc>
        <w:tc>
          <w:tcPr>
            <w:tcW w:w="1568" w:type="dxa"/>
            <w:vAlign w:val="center"/>
          </w:tcPr>
          <w:p w14:paraId="42B5A5F8">
            <w:pPr>
              <w:snapToGrid w:val="0"/>
              <w:spacing w:line="360" w:lineRule="auto"/>
              <w:jc w:val="center"/>
              <w:rPr>
                <w:rFonts w:ascii="宋体"/>
                <w:color w:val="auto"/>
                <w:sz w:val="22"/>
                <w:szCs w:val="22"/>
              </w:rPr>
            </w:pPr>
            <w:r>
              <w:rPr>
                <w:rFonts w:hint="eastAsia" w:ascii="宋体"/>
                <w:color w:val="auto"/>
                <w:sz w:val="22"/>
                <w:szCs w:val="22"/>
                <w:lang w:val="en-US" w:eastAsia="zh-CN"/>
              </w:rPr>
              <w:t>3</w:t>
            </w:r>
            <w:r>
              <w:rPr>
                <w:rFonts w:hint="eastAsia" w:ascii="宋体"/>
                <w:color w:val="auto"/>
                <w:sz w:val="22"/>
                <w:szCs w:val="22"/>
              </w:rPr>
              <w:t>0</w:t>
            </w:r>
            <w:r>
              <w:rPr>
                <w:rFonts w:ascii="宋体"/>
                <w:color w:val="auto"/>
                <w:sz w:val="22"/>
                <w:szCs w:val="22"/>
              </w:rPr>
              <w:t xml:space="preserve">% </w:t>
            </w:r>
          </w:p>
        </w:tc>
        <w:tc>
          <w:tcPr>
            <w:tcW w:w="1896" w:type="dxa"/>
            <w:vAlign w:val="center"/>
          </w:tcPr>
          <w:p w14:paraId="795956CD">
            <w:pPr>
              <w:snapToGrid w:val="0"/>
              <w:spacing w:line="360" w:lineRule="auto"/>
              <w:jc w:val="center"/>
              <w:rPr>
                <w:rFonts w:ascii="宋体"/>
                <w:color w:val="auto"/>
                <w:sz w:val="22"/>
                <w:szCs w:val="22"/>
              </w:rPr>
            </w:pPr>
          </w:p>
        </w:tc>
        <w:tc>
          <w:tcPr>
            <w:tcW w:w="4346" w:type="dxa"/>
            <w:vAlign w:val="center"/>
          </w:tcPr>
          <w:p w14:paraId="29B7F9C3">
            <w:pPr>
              <w:snapToGrid w:val="0"/>
              <w:spacing w:line="360" w:lineRule="auto"/>
              <w:jc w:val="left"/>
              <w:rPr>
                <w:rFonts w:ascii="宋体"/>
                <w:color w:val="auto"/>
                <w:sz w:val="22"/>
                <w:szCs w:val="22"/>
              </w:rPr>
            </w:pPr>
            <w:r>
              <w:rPr>
                <w:rFonts w:hint="eastAsia" w:ascii="宋体" w:hAnsi="宋体"/>
                <w:color w:val="auto"/>
                <w:sz w:val="22"/>
                <w:szCs w:val="22"/>
              </w:rPr>
              <w:t>设计预付款，合同签定后</w:t>
            </w:r>
            <w:r>
              <w:rPr>
                <w:rFonts w:ascii="宋体" w:hAnsi="宋体"/>
                <w:color w:val="auto"/>
                <w:kern w:val="0"/>
                <w:sz w:val="22"/>
                <w:szCs w:val="22"/>
              </w:rPr>
              <w:t>10</w:t>
            </w:r>
            <w:r>
              <w:rPr>
                <w:rFonts w:hint="eastAsia" w:ascii="宋体" w:hAnsi="宋体"/>
                <w:color w:val="auto"/>
                <w:kern w:val="0"/>
                <w:sz w:val="22"/>
                <w:szCs w:val="22"/>
              </w:rPr>
              <w:t>日</w:t>
            </w:r>
          </w:p>
        </w:tc>
      </w:tr>
      <w:tr w14:paraId="7DC6A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45" w:type="dxa"/>
          </w:tblCellMar>
        </w:tblPrEx>
        <w:trPr>
          <w:trHeight w:val="647" w:hRule="atLeast"/>
          <w:jc w:val="center"/>
        </w:trPr>
        <w:tc>
          <w:tcPr>
            <w:tcW w:w="1550" w:type="dxa"/>
            <w:vAlign w:val="center"/>
          </w:tcPr>
          <w:p w14:paraId="0B01C293">
            <w:pPr>
              <w:snapToGrid w:val="0"/>
              <w:spacing w:line="360" w:lineRule="auto"/>
              <w:jc w:val="center"/>
              <w:rPr>
                <w:rFonts w:ascii="宋体"/>
                <w:color w:val="auto"/>
                <w:sz w:val="22"/>
                <w:szCs w:val="22"/>
              </w:rPr>
            </w:pPr>
            <w:r>
              <w:rPr>
                <w:rFonts w:hint="eastAsia" w:ascii="宋体"/>
                <w:color w:val="auto"/>
                <w:sz w:val="22"/>
                <w:szCs w:val="22"/>
              </w:rPr>
              <w:t>第二次付费</w:t>
            </w:r>
          </w:p>
        </w:tc>
        <w:tc>
          <w:tcPr>
            <w:tcW w:w="1568" w:type="dxa"/>
            <w:vAlign w:val="center"/>
          </w:tcPr>
          <w:p w14:paraId="0A822414">
            <w:pPr>
              <w:snapToGrid w:val="0"/>
              <w:spacing w:line="360" w:lineRule="auto"/>
              <w:jc w:val="center"/>
              <w:rPr>
                <w:rFonts w:ascii="宋体"/>
                <w:color w:val="auto"/>
                <w:sz w:val="22"/>
                <w:szCs w:val="22"/>
              </w:rPr>
            </w:pPr>
            <w:r>
              <w:rPr>
                <w:rFonts w:hint="eastAsia" w:ascii="宋体"/>
                <w:color w:val="auto"/>
                <w:sz w:val="22"/>
                <w:szCs w:val="22"/>
                <w:lang w:val="en-US" w:eastAsia="zh-CN"/>
              </w:rPr>
              <w:t>6</w:t>
            </w:r>
            <w:r>
              <w:rPr>
                <w:rFonts w:ascii="宋体"/>
                <w:color w:val="auto"/>
                <w:sz w:val="22"/>
                <w:szCs w:val="22"/>
              </w:rPr>
              <w:t>0%</w:t>
            </w:r>
          </w:p>
        </w:tc>
        <w:tc>
          <w:tcPr>
            <w:tcW w:w="1896" w:type="dxa"/>
            <w:vAlign w:val="center"/>
          </w:tcPr>
          <w:p w14:paraId="07578B01">
            <w:pPr>
              <w:snapToGrid w:val="0"/>
              <w:spacing w:line="360" w:lineRule="auto"/>
              <w:jc w:val="center"/>
              <w:rPr>
                <w:rFonts w:ascii="宋体"/>
                <w:color w:val="auto"/>
                <w:sz w:val="22"/>
                <w:szCs w:val="22"/>
              </w:rPr>
            </w:pPr>
          </w:p>
        </w:tc>
        <w:tc>
          <w:tcPr>
            <w:tcW w:w="4346" w:type="dxa"/>
            <w:vAlign w:val="center"/>
          </w:tcPr>
          <w:p w14:paraId="676F49D6">
            <w:pPr>
              <w:snapToGrid w:val="0"/>
              <w:spacing w:line="360" w:lineRule="auto"/>
              <w:jc w:val="left"/>
              <w:rPr>
                <w:rFonts w:ascii="宋体" w:hAnsi="宋体"/>
                <w:color w:val="auto"/>
                <w:spacing w:val="12"/>
                <w:sz w:val="22"/>
                <w:szCs w:val="22"/>
              </w:rPr>
            </w:pPr>
            <w:r>
              <w:rPr>
                <w:rFonts w:hint="eastAsia" w:ascii="宋体" w:hAnsi="宋体"/>
                <w:color w:val="auto"/>
                <w:spacing w:val="12"/>
                <w:sz w:val="22"/>
                <w:szCs w:val="22"/>
              </w:rPr>
              <w:t>施工图经供电部门审核通过</w:t>
            </w:r>
          </w:p>
        </w:tc>
      </w:tr>
      <w:tr w14:paraId="0A63A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13" w:type="dxa"/>
            <w:bottom w:w="57" w:type="dxa"/>
            <w:right w:w="45" w:type="dxa"/>
          </w:tblCellMar>
        </w:tblPrEx>
        <w:trPr>
          <w:trHeight w:val="397" w:hRule="atLeast"/>
          <w:jc w:val="center"/>
        </w:trPr>
        <w:tc>
          <w:tcPr>
            <w:tcW w:w="1550" w:type="dxa"/>
            <w:vAlign w:val="center"/>
          </w:tcPr>
          <w:p w14:paraId="307C4847">
            <w:pPr>
              <w:snapToGrid w:val="0"/>
              <w:spacing w:line="360" w:lineRule="auto"/>
              <w:jc w:val="center"/>
              <w:rPr>
                <w:rFonts w:ascii="宋体"/>
                <w:strike/>
                <w:color w:val="auto"/>
                <w:sz w:val="22"/>
                <w:szCs w:val="22"/>
              </w:rPr>
            </w:pPr>
            <w:r>
              <w:rPr>
                <w:rFonts w:hint="eastAsia" w:ascii="宋体"/>
                <w:color w:val="auto"/>
                <w:sz w:val="22"/>
                <w:szCs w:val="22"/>
              </w:rPr>
              <w:t>第</w:t>
            </w:r>
            <w:r>
              <w:rPr>
                <w:rFonts w:hint="eastAsia" w:ascii="宋体"/>
                <w:color w:val="auto"/>
                <w:sz w:val="22"/>
                <w:szCs w:val="22"/>
                <w:lang w:val="en-US" w:eastAsia="zh-CN"/>
              </w:rPr>
              <w:t>三</w:t>
            </w:r>
            <w:r>
              <w:rPr>
                <w:rFonts w:hint="eastAsia" w:ascii="宋体"/>
                <w:color w:val="auto"/>
                <w:sz w:val="22"/>
                <w:szCs w:val="22"/>
              </w:rPr>
              <w:t>次付费</w:t>
            </w:r>
          </w:p>
        </w:tc>
        <w:tc>
          <w:tcPr>
            <w:tcW w:w="1568" w:type="dxa"/>
            <w:vAlign w:val="center"/>
          </w:tcPr>
          <w:p w14:paraId="2828F19C">
            <w:pPr>
              <w:snapToGrid w:val="0"/>
              <w:spacing w:line="360" w:lineRule="auto"/>
              <w:jc w:val="center"/>
              <w:rPr>
                <w:rFonts w:ascii="宋体"/>
                <w:strike/>
                <w:color w:val="auto"/>
                <w:sz w:val="22"/>
                <w:szCs w:val="22"/>
              </w:rPr>
            </w:pPr>
            <w:r>
              <w:rPr>
                <w:rFonts w:hint="eastAsia" w:ascii="宋体"/>
                <w:color w:val="auto"/>
                <w:sz w:val="22"/>
                <w:szCs w:val="22"/>
                <w:lang w:val="en-US" w:eastAsia="zh-CN"/>
              </w:rPr>
              <w:t>1</w:t>
            </w:r>
            <w:r>
              <w:rPr>
                <w:rFonts w:hint="eastAsia" w:ascii="宋体"/>
                <w:color w:val="auto"/>
                <w:sz w:val="22"/>
                <w:szCs w:val="22"/>
              </w:rPr>
              <w:t>0</w:t>
            </w:r>
            <w:r>
              <w:rPr>
                <w:rFonts w:ascii="宋体"/>
                <w:color w:val="auto"/>
                <w:sz w:val="22"/>
                <w:szCs w:val="22"/>
              </w:rPr>
              <w:t>%</w:t>
            </w:r>
          </w:p>
        </w:tc>
        <w:tc>
          <w:tcPr>
            <w:tcW w:w="1896" w:type="dxa"/>
            <w:vAlign w:val="center"/>
          </w:tcPr>
          <w:p w14:paraId="43DC5640">
            <w:pPr>
              <w:snapToGrid w:val="0"/>
              <w:spacing w:line="360" w:lineRule="auto"/>
              <w:jc w:val="center"/>
              <w:rPr>
                <w:rFonts w:ascii="宋体"/>
                <w:strike/>
                <w:color w:val="auto"/>
                <w:sz w:val="22"/>
                <w:szCs w:val="22"/>
              </w:rPr>
            </w:pPr>
          </w:p>
        </w:tc>
        <w:tc>
          <w:tcPr>
            <w:tcW w:w="4346" w:type="dxa"/>
            <w:vAlign w:val="center"/>
          </w:tcPr>
          <w:p w14:paraId="4678B67F">
            <w:pPr>
              <w:snapToGrid w:val="0"/>
              <w:spacing w:line="360" w:lineRule="auto"/>
              <w:jc w:val="left"/>
              <w:rPr>
                <w:rFonts w:ascii="宋体"/>
                <w:strike/>
                <w:color w:val="auto"/>
                <w:sz w:val="22"/>
                <w:szCs w:val="22"/>
              </w:rPr>
            </w:pPr>
            <w:r>
              <w:rPr>
                <w:rFonts w:hint="eastAsia" w:ascii="宋体" w:hAnsi="宋体"/>
                <w:color w:val="auto"/>
                <w:sz w:val="22"/>
                <w:szCs w:val="22"/>
              </w:rPr>
              <w:t>工程竣工验收且出具竣工图；满足结算需要。</w:t>
            </w:r>
          </w:p>
        </w:tc>
      </w:tr>
    </w:tbl>
    <w:p w14:paraId="0B230FC5">
      <w:pPr>
        <w:spacing w:line="360" w:lineRule="auto"/>
        <w:rPr>
          <w:color w:val="auto"/>
          <w:sz w:val="24"/>
        </w:rPr>
      </w:pPr>
      <w:r>
        <w:rPr>
          <w:rFonts w:hint="eastAsia"/>
          <w:color w:val="auto"/>
          <w:sz w:val="24"/>
        </w:rPr>
        <w:t>说明：提交各阶段相关设计文件及发票10个工作日内，支付各阶段设计费。</w:t>
      </w:r>
    </w:p>
    <w:p w14:paraId="2CAA0EE4">
      <w:pPr>
        <w:widowControl/>
        <w:spacing w:line="360" w:lineRule="auto"/>
        <w:ind w:firstLine="480" w:firstLineChars="200"/>
        <w:jc w:val="left"/>
        <w:rPr>
          <w:rFonts w:ascii="宋体" w:hAnsi="宋体"/>
          <w:color w:val="auto"/>
          <w:kern w:val="0"/>
          <w:sz w:val="24"/>
        </w:rPr>
      </w:pPr>
      <w:r>
        <w:rPr>
          <w:rFonts w:hint="eastAsia" w:ascii="宋体" w:hAnsi="宋体"/>
          <w:color w:val="auto"/>
          <w:kern w:val="0"/>
          <w:sz w:val="24"/>
        </w:rPr>
        <w:t>工程设计费包括各设计阶段评审及征询意见所发生的费用，包括税金、咨询费、评审费、专家费、专家交通费等。其中承包人应支付的专家费包括施工图专家评审、不良地质处理论证等评审或论证会需支付的专家费。由于政府及发包人原因造成的咨询费、评审费、专家费、专家交通费等承包人不承担。但可根据发包人书面要求由承包人先行支付，纳入设计费结算。</w:t>
      </w:r>
    </w:p>
    <w:p w14:paraId="18F72483">
      <w:pPr>
        <w:pStyle w:val="3"/>
        <w:ind w:firstLine="0"/>
        <w:rPr>
          <w:color w:val="auto"/>
        </w:rPr>
      </w:pPr>
    </w:p>
    <w:p w14:paraId="26530424">
      <w:pPr>
        <w:spacing w:line="360" w:lineRule="auto"/>
        <w:rPr>
          <w:b/>
          <w:color w:val="auto"/>
          <w:sz w:val="24"/>
        </w:rPr>
      </w:pPr>
      <w:r>
        <w:rPr>
          <w:rFonts w:hint="eastAsia"/>
          <w:b/>
          <w:color w:val="auto"/>
          <w:sz w:val="24"/>
        </w:rPr>
        <w:t>第六条 双方责任</w:t>
      </w:r>
    </w:p>
    <w:p w14:paraId="29906DFB">
      <w:pPr>
        <w:spacing w:line="360" w:lineRule="auto"/>
        <w:rPr>
          <w:bCs/>
          <w:color w:val="auto"/>
          <w:sz w:val="24"/>
        </w:rPr>
      </w:pPr>
      <w:r>
        <w:rPr>
          <w:rFonts w:hint="eastAsia"/>
          <w:bCs/>
          <w:color w:val="auto"/>
          <w:sz w:val="24"/>
        </w:rPr>
        <w:t>6.1发包人责任：</w:t>
      </w:r>
    </w:p>
    <w:p w14:paraId="2228A5C4">
      <w:pPr>
        <w:spacing w:line="360" w:lineRule="auto"/>
        <w:rPr>
          <w:bCs/>
          <w:color w:val="auto"/>
          <w:sz w:val="24"/>
        </w:rPr>
      </w:pPr>
      <w:r>
        <w:rPr>
          <w:rFonts w:hint="eastAsia"/>
          <w:bCs/>
          <w:color w:val="auto"/>
          <w:sz w:val="24"/>
        </w:rPr>
        <w:t>6.1.1按本合同约定向承包人提供因设计工作需要的资料。</w:t>
      </w:r>
    </w:p>
    <w:p w14:paraId="320C233A">
      <w:pPr>
        <w:spacing w:line="360" w:lineRule="auto"/>
        <w:rPr>
          <w:bCs/>
          <w:color w:val="auto"/>
          <w:sz w:val="24"/>
        </w:rPr>
      </w:pPr>
      <w:r>
        <w:rPr>
          <w:rFonts w:hint="eastAsia"/>
          <w:bCs/>
          <w:color w:val="auto"/>
          <w:sz w:val="24"/>
        </w:rPr>
        <w:t>6.1.2按合同的相关条款向承包人支付设计费。</w:t>
      </w:r>
    </w:p>
    <w:p w14:paraId="25D20567">
      <w:pPr>
        <w:spacing w:line="360" w:lineRule="auto"/>
        <w:rPr>
          <w:bCs/>
          <w:color w:val="auto"/>
          <w:sz w:val="24"/>
        </w:rPr>
      </w:pPr>
      <w:r>
        <w:rPr>
          <w:rFonts w:hint="eastAsia"/>
          <w:bCs/>
          <w:color w:val="auto"/>
          <w:sz w:val="24"/>
        </w:rPr>
        <w:t>6.2 承包人责任：</w:t>
      </w:r>
    </w:p>
    <w:p w14:paraId="46B1A275">
      <w:pPr>
        <w:spacing w:line="360" w:lineRule="auto"/>
        <w:rPr>
          <w:bCs/>
          <w:color w:val="auto"/>
          <w:sz w:val="24"/>
        </w:rPr>
      </w:pPr>
      <w:r>
        <w:rPr>
          <w:rFonts w:hint="eastAsia"/>
          <w:bCs/>
          <w:color w:val="auto"/>
          <w:sz w:val="24"/>
        </w:rPr>
        <w:t>6.2.1发包人按本合同第五条规定的内容，在规定的时问内向承包人提交基础资料及文件，并对其完整性、正确性及时限负责，发包人不得要求承包人违反国家有关标准进行设计。</w:t>
      </w:r>
    </w:p>
    <w:p w14:paraId="79D9BB5C">
      <w:pPr>
        <w:spacing w:line="360" w:lineRule="auto"/>
        <w:rPr>
          <w:bCs/>
          <w:color w:val="auto"/>
          <w:sz w:val="24"/>
        </w:rPr>
      </w:pPr>
      <w:r>
        <w:rPr>
          <w:rFonts w:hint="eastAsia"/>
          <w:bCs/>
          <w:color w:val="auto"/>
          <w:sz w:val="24"/>
        </w:rPr>
        <w:t>6.2.2非承包人原因，变更委托设计项目、规模、条件，或提交的资料错误，或对所提交资料作较大修改，以致造成承包人设计返工时，双方另行协商签订补充协议、重新明确有关条款外，发包人应按经双方确认的承包人实际所耗工作量向承包人支付返工费。</w:t>
      </w:r>
    </w:p>
    <w:p w14:paraId="30823AC5">
      <w:pPr>
        <w:spacing w:line="360" w:lineRule="auto"/>
        <w:rPr>
          <w:bCs/>
          <w:color w:val="auto"/>
          <w:sz w:val="24"/>
        </w:rPr>
      </w:pPr>
      <w:r>
        <w:rPr>
          <w:rFonts w:hint="eastAsia"/>
          <w:bCs/>
          <w:color w:val="auto"/>
          <w:sz w:val="24"/>
        </w:rPr>
        <w:t>在未签订合同前，发包人已同意承包人为发包人所做的各项设计工作，发包人应支付相应设计费，设计费用包含在本合同的费用中。</w:t>
      </w:r>
    </w:p>
    <w:p w14:paraId="3BB57743">
      <w:pPr>
        <w:spacing w:line="360" w:lineRule="auto"/>
        <w:rPr>
          <w:bCs/>
          <w:color w:val="auto"/>
          <w:sz w:val="24"/>
        </w:rPr>
      </w:pPr>
      <w:r>
        <w:rPr>
          <w:rFonts w:hint="eastAsia"/>
          <w:bCs/>
          <w:color w:val="auto"/>
          <w:sz w:val="24"/>
        </w:rPr>
        <w:t>6.2.3在合同履行期间，发包人要求解除合同，已开始设计工作的，发包人应根据承包人已工作的实际量支付设计费。</w:t>
      </w:r>
    </w:p>
    <w:p w14:paraId="1DE93CAE">
      <w:pPr>
        <w:spacing w:line="360" w:lineRule="auto"/>
        <w:rPr>
          <w:bCs/>
          <w:color w:val="auto"/>
          <w:sz w:val="24"/>
        </w:rPr>
      </w:pPr>
      <w:r>
        <w:rPr>
          <w:rFonts w:hint="eastAsia"/>
          <w:bCs/>
          <w:color w:val="auto"/>
          <w:sz w:val="24"/>
        </w:rPr>
        <w:t>6.2.4发包人要求承包人比合同规定时间提前交付设计资料及文件时，须征得承包人同意，不得严重背离合理设计周期。</w:t>
      </w:r>
    </w:p>
    <w:p w14:paraId="19F48D91">
      <w:pPr>
        <w:spacing w:line="360" w:lineRule="auto"/>
        <w:rPr>
          <w:bCs/>
          <w:color w:val="auto"/>
          <w:sz w:val="24"/>
        </w:rPr>
      </w:pPr>
      <w:r>
        <w:rPr>
          <w:rFonts w:hint="eastAsia"/>
          <w:bCs/>
          <w:color w:val="auto"/>
          <w:sz w:val="24"/>
        </w:rPr>
        <w:t>6.2.5本合同项目停建或缓建的，发包人按承包人实际已完成工作量按比例支付对应的设计费。</w:t>
      </w:r>
    </w:p>
    <w:p w14:paraId="7305520C">
      <w:pPr>
        <w:spacing w:line="360" w:lineRule="auto"/>
        <w:rPr>
          <w:bCs/>
          <w:color w:val="auto"/>
          <w:sz w:val="24"/>
        </w:rPr>
      </w:pPr>
      <w:r>
        <w:rPr>
          <w:rFonts w:hint="eastAsia"/>
          <w:bCs/>
          <w:color w:val="auto"/>
          <w:sz w:val="24"/>
        </w:rPr>
        <w:t>6.2.6发包人为承包人派驻现场的工作人员提供必要的协助，费用由承包人负责。</w:t>
      </w:r>
    </w:p>
    <w:p w14:paraId="06648296">
      <w:pPr>
        <w:spacing w:line="360" w:lineRule="auto"/>
        <w:rPr>
          <w:bCs/>
          <w:color w:val="auto"/>
          <w:sz w:val="24"/>
        </w:rPr>
      </w:pPr>
      <w:r>
        <w:rPr>
          <w:rFonts w:hint="eastAsia"/>
          <w:bCs/>
          <w:color w:val="auto"/>
          <w:sz w:val="24"/>
        </w:rPr>
        <w:t>6.3 承包人责任：</w:t>
      </w:r>
    </w:p>
    <w:p w14:paraId="3EBB843E">
      <w:pPr>
        <w:spacing w:line="360" w:lineRule="auto"/>
        <w:rPr>
          <w:bCs/>
          <w:color w:val="auto"/>
          <w:sz w:val="24"/>
        </w:rPr>
      </w:pPr>
      <w:r>
        <w:rPr>
          <w:rFonts w:hint="eastAsia"/>
          <w:bCs/>
          <w:color w:val="auto"/>
          <w:sz w:val="24"/>
        </w:rPr>
        <w:t>6.3.1 承包人应按国家技术规范、标准、发包人设计要求及中标通知书和该项目审批审查部门的批准文件开展设计工作，按本合同第六条规定的内容、时间及份数向发包人交付设计文件（出现6.2.1、6.2.4规定有关交延的情况除外），并对提交的设计文件的质量负责，保证能取得设计审批部门（包括但不限于规划、建设等行政部门的审批）的批准或审核许可。承包人应在设计文件中确保满足发包人出具的本项目设计任务书。否则，应当返工重作，造成设计文件迟延交付的，按本条第6.3.4款约定处理。</w:t>
      </w:r>
    </w:p>
    <w:p w14:paraId="54796C93">
      <w:pPr>
        <w:spacing w:line="360" w:lineRule="auto"/>
        <w:rPr>
          <w:bCs/>
          <w:color w:val="auto"/>
          <w:sz w:val="24"/>
        </w:rPr>
      </w:pPr>
      <w:r>
        <w:rPr>
          <w:rFonts w:hint="eastAsia"/>
          <w:bCs/>
          <w:color w:val="auto"/>
          <w:sz w:val="24"/>
        </w:rPr>
        <w:t>设计文件中选用的国家标准图、部标准图及地方标准图由承包人按本合同第六条要求的份数随同交付发包人。</w:t>
      </w:r>
    </w:p>
    <w:p w14:paraId="67D42891">
      <w:pPr>
        <w:spacing w:line="360" w:lineRule="auto"/>
        <w:rPr>
          <w:bCs/>
          <w:color w:val="auto"/>
          <w:sz w:val="24"/>
        </w:rPr>
      </w:pPr>
      <w:r>
        <w:rPr>
          <w:rFonts w:hint="eastAsia"/>
          <w:bCs/>
          <w:color w:val="auto"/>
          <w:sz w:val="24"/>
        </w:rPr>
        <w:t>6.3.2设计合理使用年限按国家规定执行。</w:t>
      </w:r>
    </w:p>
    <w:p w14:paraId="2C143712">
      <w:pPr>
        <w:spacing w:line="360" w:lineRule="auto"/>
        <w:rPr>
          <w:bCs/>
          <w:color w:val="auto"/>
          <w:sz w:val="24"/>
        </w:rPr>
      </w:pPr>
      <w:r>
        <w:rPr>
          <w:rFonts w:hint="eastAsia"/>
          <w:bCs/>
          <w:color w:val="auto"/>
          <w:sz w:val="24"/>
        </w:rPr>
        <w:t>6.3.3 承包人按发包人要求，对设计文件进行调整并对出现的遗漏或错误负责修改或补充。由于设计错误造成工程质量事故损失或工期延误，承包人应负责采取补救措施，免收受损失部分及采取补救措施的设计费，造成第三方损失的，承包人承担全部责任，与发包人无关。</w:t>
      </w:r>
    </w:p>
    <w:p w14:paraId="618F99C7">
      <w:pPr>
        <w:spacing w:line="360" w:lineRule="auto"/>
        <w:rPr>
          <w:bCs/>
          <w:color w:val="auto"/>
          <w:sz w:val="24"/>
        </w:rPr>
      </w:pPr>
      <w:r>
        <w:rPr>
          <w:rFonts w:hint="eastAsia"/>
          <w:bCs/>
          <w:color w:val="auto"/>
          <w:sz w:val="24"/>
        </w:rPr>
        <w:t>6.3.4承包人应按照双方约定的正式书面文件或会议约定的交付时间交付设计文件（包括施工过程中的设计变更文件）。由于承包人原因，延期交付设计文件30天以上，发包人有权终止或解除合同，承包人应返还发包人已支付的款项，并赔偿发包人由此而遭受的所有损失。</w:t>
      </w:r>
    </w:p>
    <w:p w14:paraId="1C58B56D">
      <w:pPr>
        <w:spacing w:line="360" w:lineRule="auto"/>
        <w:rPr>
          <w:bCs/>
          <w:color w:val="auto"/>
          <w:sz w:val="24"/>
        </w:rPr>
      </w:pPr>
      <w:r>
        <w:rPr>
          <w:rFonts w:hint="eastAsia"/>
          <w:bCs/>
          <w:color w:val="auto"/>
          <w:sz w:val="24"/>
        </w:rPr>
        <w:t>6.3.5合同生效后，承包人要求终止或解除合同，承包人应双倍返还发包人已支付的款项，并赔偿发包人由此而遭受的所有损失。</w:t>
      </w:r>
    </w:p>
    <w:p w14:paraId="351ECF65">
      <w:pPr>
        <w:spacing w:line="360" w:lineRule="auto"/>
        <w:rPr>
          <w:bCs/>
          <w:color w:val="auto"/>
          <w:sz w:val="24"/>
        </w:rPr>
      </w:pPr>
      <w:r>
        <w:rPr>
          <w:rFonts w:hint="eastAsia"/>
          <w:bCs/>
          <w:color w:val="auto"/>
          <w:sz w:val="24"/>
        </w:rPr>
        <w:t>6.3.6各阶段设计文件经评审或审查，应达到国家、省、市规定的工程设计标准和工程设计应有的深度要求（如《市政公用工程设计文件编制深度规定》（2013年版）等），并应是最合理、最优化的设计（按通过设计审查、咨询单位及政府行政主管部门或其授权单位组织的专家审核确认为标准）。否则，承包人应无条件进行修正、改进，其费用发包人不再另行计量支付。如该修正或改进之影响程度达到第6.3.4条所述，则按该条处理。</w:t>
      </w:r>
    </w:p>
    <w:p w14:paraId="47B98529">
      <w:pPr>
        <w:spacing w:line="360" w:lineRule="auto"/>
        <w:rPr>
          <w:bCs/>
          <w:color w:val="auto"/>
          <w:sz w:val="24"/>
        </w:rPr>
      </w:pPr>
      <w:r>
        <w:rPr>
          <w:rFonts w:hint="eastAsia"/>
          <w:bCs/>
          <w:color w:val="auto"/>
          <w:sz w:val="24"/>
        </w:rPr>
        <w:t>6.3.7承包人交付合格的设计文件后，按规定参加有关部门的设计审查，并根据审查结论做必要修改。承包人负责施工图设计交底、处理有关设计问题，在施工阶段按发包人通知的时间完成须修改的设计文件，按要求参加工程的检查验。本项目工程开工之日起连续停工一年内的，承包人仍负责上述工作，但不补偿任何费用。</w:t>
      </w:r>
    </w:p>
    <w:p w14:paraId="44F49472">
      <w:pPr>
        <w:spacing w:line="360" w:lineRule="auto"/>
        <w:rPr>
          <w:bCs/>
          <w:color w:val="auto"/>
          <w:sz w:val="24"/>
        </w:rPr>
      </w:pPr>
      <w:r>
        <w:rPr>
          <w:rFonts w:hint="eastAsia"/>
          <w:bCs/>
          <w:color w:val="auto"/>
          <w:sz w:val="24"/>
        </w:rPr>
        <w:t>6.3.8承包人在本项目中应保证按规划及项目功能要求、配套设施要求等，完成项目的全部专业专项设计，达到设计深度要求。专项设计限于资质原因的，经发包人书面同意后应依法分包，分包设计费由承包人承担。专项分包施工图设计文件，承包人应校核确认，加盖图纸审核专用章或公章。</w:t>
      </w:r>
    </w:p>
    <w:p w14:paraId="5C76A285">
      <w:pPr>
        <w:spacing w:line="360" w:lineRule="auto"/>
        <w:rPr>
          <w:bCs/>
          <w:color w:val="auto"/>
          <w:sz w:val="24"/>
        </w:rPr>
      </w:pPr>
      <w:r>
        <w:rPr>
          <w:rFonts w:hint="eastAsia"/>
          <w:bCs/>
          <w:color w:val="auto"/>
          <w:sz w:val="24"/>
        </w:rPr>
        <w:t>6.3.9承包人所承担的本合同项目下的专业性较强的工程设计（如人防、消防、临水、临电、外电、外水、燃气等），应按有关部门要求，在约定时间内完成相关评审和报建。经发包人书面同意，承包人可将此部分工作内容分包给具有相应资质的设计单位，但不免除承包人连带责任，相关设计费用已包含在本合同价内。发包人因特殊专业指定的设计分包，承包人须全力配合。</w:t>
      </w:r>
    </w:p>
    <w:p w14:paraId="20C00209">
      <w:pPr>
        <w:spacing w:line="360" w:lineRule="auto"/>
        <w:rPr>
          <w:bCs/>
          <w:color w:val="auto"/>
          <w:sz w:val="24"/>
        </w:rPr>
      </w:pPr>
      <w:r>
        <w:rPr>
          <w:rFonts w:hint="eastAsia"/>
          <w:bCs/>
          <w:color w:val="auto"/>
          <w:sz w:val="24"/>
        </w:rPr>
        <w:t>6.3.10承包人未经发包人书面同意私自分包设计任务，视为违约，除扣该分包部分的全额设计费用，并承担由此造成的工期、技术及其它一切损失；同时，发包人有权解除合同。</w:t>
      </w:r>
    </w:p>
    <w:p w14:paraId="5452BE92">
      <w:pPr>
        <w:spacing w:line="360" w:lineRule="auto"/>
        <w:rPr>
          <w:bCs/>
          <w:color w:val="auto"/>
          <w:sz w:val="24"/>
        </w:rPr>
      </w:pPr>
      <w:r>
        <w:rPr>
          <w:rFonts w:hint="eastAsia"/>
          <w:bCs/>
          <w:color w:val="auto"/>
          <w:sz w:val="24"/>
        </w:rPr>
        <w:t>6.3.11承包人不得指定本项目建筑材料、设备的生产厂或供货商。承包人应配合发包人的建筑材料、设备的加工订货工作，所需费用由承包人承担。</w:t>
      </w:r>
    </w:p>
    <w:p w14:paraId="40E2E530">
      <w:pPr>
        <w:spacing w:line="360" w:lineRule="auto"/>
        <w:rPr>
          <w:bCs/>
          <w:color w:val="auto"/>
          <w:sz w:val="24"/>
        </w:rPr>
      </w:pPr>
      <w:r>
        <w:rPr>
          <w:rFonts w:hint="eastAsia"/>
          <w:bCs/>
          <w:color w:val="auto"/>
          <w:sz w:val="24"/>
        </w:rPr>
        <w:t>6.3.12设计文件中选用的国家标准图、部标准图、地方标准图及各类相关数据、资料由承包人复印提供。</w:t>
      </w:r>
    </w:p>
    <w:p w14:paraId="3E498FBB">
      <w:pPr>
        <w:spacing w:line="360" w:lineRule="auto"/>
        <w:rPr>
          <w:bCs/>
          <w:color w:val="auto"/>
          <w:sz w:val="24"/>
        </w:rPr>
      </w:pPr>
      <w:r>
        <w:rPr>
          <w:rFonts w:hint="eastAsia"/>
          <w:bCs/>
          <w:color w:val="auto"/>
          <w:sz w:val="24"/>
        </w:rPr>
        <w:t>6.3.13承包人为完成本合同项下的设计内容，发生的咨询、对外洽谈、国内外技术考察及各类科研课题研究等，费用已包含在本项目设计费中，发包人不再支付，由承包人承担。</w:t>
      </w:r>
    </w:p>
    <w:p w14:paraId="122916F7">
      <w:pPr>
        <w:spacing w:line="360" w:lineRule="auto"/>
        <w:rPr>
          <w:bCs/>
          <w:color w:val="auto"/>
          <w:sz w:val="24"/>
        </w:rPr>
      </w:pPr>
      <w:r>
        <w:rPr>
          <w:rFonts w:hint="eastAsia"/>
          <w:bCs/>
          <w:color w:val="auto"/>
          <w:sz w:val="24"/>
        </w:rPr>
        <w:t>6.3.14如承包人未履行本合同所要求的工作，发包人可根据实际情况推迟拨付或拒付设计费。</w:t>
      </w:r>
    </w:p>
    <w:p w14:paraId="3065B39D">
      <w:pPr>
        <w:spacing w:line="360" w:lineRule="auto"/>
        <w:rPr>
          <w:bCs/>
          <w:color w:val="auto"/>
          <w:sz w:val="24"/>
        </w:rPr>
      </w:pPr>
      <w:r>
        <w:rPr>
          <w:rFonts w:hint="eastAsia"/>
          <w:bCs/>
          <w:color w:val="auto"/>
          <w:sz w:val="24"/>
        </w:rPr>
        <w:t>6.3.15承包人的设计必须以保证质量、节约投资为原则开展工作，设计文件经发包人审查后，承包人不得单方更改。</w:t>
      </w:r>
    </w:p>
    <w:p w14:paraId="62F14076">
      <w:pPr>
        <w:spacing w:line="360" w:lineRule="auto"/>
        <w:rPr>
          <w:bCs/>
          <w:color w:val="auto"/>
          <w:sz w:val="24"/>
        </w:rPr>
      </w:pPr>
      <w:r>
        <w:rPr>
          <w:rFonts w:hint="eastAsia"/>
          <w:bCs/>
          <w:color w:val="auto"/>
          <w:sz w:val="24"/>
        </w:rPr>
        <w:t>6.3.16因承包人设计文件遗漏或错误造成工程费用增加，发包人按照增加费用占施工合同总价的比例相应扣减设计费。</w:t>
      </w:r>
    </w:p>
    <w:p w14:paraId="47A7D7A1">
      <w:pPr>
        <w:spacing w:line="360" w:lineRule="auto"/>
        <w:rPr>
          <w:bCs/>
          <w:color w:val="auto"/>
          <w:sz w:val="24"/>
        </w:rPr>
      </w:pPr>
      <w:r>
        <w:rPr>
          <w:rFonts w:hint="eastAsia"/>
          <w:bCs/>
          <w:color w:val="auto"/>
          <w:sz w:val="24"/>
        </w:rPr>
        <w:t>6.3.17因设计文件出现遗漏延误了设计文件交付时间，按本条第6.3.4款约定处理。</w:t>
      </w:r>
    </w:p>
    <w:p w14:paraId="576E0800">
      <w:pPr>
        <w:spacing w:line="360" w:lineRule="auto"/>
        <w:rPr>
          <w:bCs/>
          <w:color w:val="auto"/>
          <w:sz w:val="24"/>
        </w:rPr>
      </w:pPr>
      <w:r>
        <w:rPr>
          <w:rFonts w:hint="eastAsia"/>
          <w:bCs/>
          <w:color w:val="auto"/>
          <w:sz w:val="24"/>
        </w:rPr>
        <w:t>6.3.18承包人需配合发包人进行施工期间临时交通组织设计工作。</w:t>
      </w:r>
    </w:p>
    <w:p w14:paraId="792629E5">
      <w:pPr>
        <w:spacing w:line="360" w:lineRule="auto"/>
        <w:rPr>
          <w:bCs/>
          <w:color w:val="auto"/>
          <w:sz w:val="24"/>
        </w:rPr>
      </w:pPr>
      <w:r>
        <w:rPr>
          <w:rFonts w:hint="eastAsia"/>
          <w:bCs/>
          <w:color w:val="auto"/>
          <w:sz w:val="24"/>
        </w:rPr>
        <w:t>6.3.19对于建筑物保护，承包人应提供完整的保护实施方案。</w:t>
      </w:r>
    </w:p>
    <w:p w14:paraId="42949996">
      <w:pPr>
        <w:spacing w:line="360" w:lineRule="auto"/>
        <w:rPr>
          <w:bCs/>
          <w:color w:val="auto"/>
          <w:sz w:val="24"/>
        </w:rPr>
      </w:pPr>
      <w:r>
        <w:rPr>
          <w:rFonts w:hint="eastAsia"/>
          <w:bCs/>
          <w:color w:val="auto"/>
          <w:sz w:val="24"/>
        </w:rPr>
        <w:t>6.3.20承包人需配合招标工作，按发包人的要求提供所有设计图纸的电子文件（含可编辑的CAD和不可编辑的PDF电子文件、编制技术文件、主要材料设备表等word电子文件）。</w:t>
      </w:r>
    </w:p>
    <w:p w14:paraId="0B3264A0">
      <w:pPr>
        <w:spacing w:line="360" w:lineRule="auto"/>
        <w:rPr>
          <w:bCs/>
          <w:color w:val="auto"/>
          <w:sz w:val="24"/>
        </w:rPr>
      </w:pPr>
      <w:r>
        <w:rPr>
          <w:rFonts w:hint="eastAsia"/>
          <w:bCs/>
          <w:color w:val="auto"/>
          <w:sz w:val="24"/>
        </w:rPr>
        <w:t>6.3.21承包人应当准时参加该项目的各类协调会议。</w:t>
      </w:r>
    </w:p>
    <w:p w14:paraId="55453D88">
      <w:pPr>
        <w:spacing w:line="360" w:lineRule="auto"/>
        <w:rPr>
          <w:bCs/>
          <w:color w:val="auto"/>
          <w:sz w:val="24"/>
        </w:rPr>
      </w:pPr>
      <w:r>
        <w:rPr>
          <w:rFonts w:hint="eastAsia"/>
          <w:bCs/>
          <w:color w:val="auto"/>
          <w:sz w:val="24"/>
        </w:rPr>
        <w:t>6.3.22工程完工后，经发包人使用，不能达到原设计功能要求的，承包人需配合核实原因，提出书面整改意见。属于承包人责任的，则扣除相应的设计费。</w:t>
      </w:r>
    </w:p>
    <w:p w14:paraId="167C7119">
      <w:pPr>
        <w:spacing w:line="360" w:lineRule="auto"/>
        <w:rPr>
          <w:bCs/>
          <w:color w:val="auto"/>
          <w:sz w:val="24"/>
        </w:rPr>
      </w:pPr>
      <w:r>
        <w:rPr>
          <w:rFonts w:hint="eastAsia"/>
          <w:bCs/>
          <w:color w:val="auto"/>
          <w:sz w:val="24"/>
        </w:rPr>
        <w:t>6.3.23因承包人原因，经审定的概算造价超过投资额的5%，影响工程建设计划的，应修改设计文件，并扣除全部设计费的1‰。</w:t>
      </w:r>
    </w:p>
    <w:p w14:paraId="6BD4EE0C">
      <w:pPr>
        <w:spacing w:line="360" w:lineRule="auto"/>
        <w:rPr>
          <w:bCs/>
          <w:color w:val="auto"/>
          <w:sz w:val="24"/>
        </w:rPr>
      </w:pPr>
      <w:r>
        <w:rPr>
          <w:rFonts w:hint="eastAsia"/>
          <w:bCs/>
          <w:color w:val="auto"/>
          <w:sz w:val="24"/>
        </w:rPr>
        <w:t>6.3.24本合同有关条款约定承包人应承担的责任。</w:t>
      </w:r>
    </w:p>
    <w:p w14:paraId="5AF05563">
      <w:pPr>
        <w:spacing w:line="360" w:lineRule="auto"/>
        <w:rPr>
          <w:bCs/>
          <w:color w:val="auto"/>
          <w:sz w:val="24"/>
        </w:rPr>
      </w:pPr>
      <w:r>
        <w:rPr>
          <w:rFonts w:hint="eastAsia"/>
          <w:bCs/>
          <w:color w:val="auto"/>
          <w:sz w:val="24"/>
        </w:rPr>
        <w:t>第十条　其它约定事项</w:t>
      </w:r>
    </w:p>
    <w:p w14:paraId="1AA28C21">
      <w:pPr>
        <w:spacing w:line="360" w:lineRule="auto"/>
        <w:rPr>
          <w:bCs/>
          <w:color w:val="auto"/>
          <w:sz w:val="24"/>
        </w:rPr>
      </w:pPr>
      <w:r>
        <w:rPr>
          <w:rFonts w:hint="eastAsia"/>
          <w:bCs/>
          <w:color w:val="auto"/>
          <w:sz w:val="24"/>
        </w:rPr>
        <w:t>10.1承包人应派专人驻施工现场进行配合与解决有关问题。</w:t>
      </w:r>
    </w:p>
    <w:p w14:paraId="6A127223">
      <w:pPr>
        <w:spacing w:line="360" w:lineRule="auto"/>
        <w:rPr>
          <w:bCs/>
          <w:color w:val="auto"/>
          <w:sz w:val="24"/>
        </w:rPr>
      </w:pPr>
      <w:r>
        <w:rPr>
          <w:rFonts w:hint="eastAsia"/>
          <w:bCs/>
          <w:color w:val="auto"/>
          <w:sz w:val="24"/>
        </w:rPr>
        <w:t>10.2承包人为本合同项目的服务至缺陷通知期完成为止。</w:t>
      </w:r>
    </w:p>
    <w:p w14:paraId="4CF7AB75">
      <w:pPr>
        <w:spacing w:line="360" w:lineRule="auto"/>
        <w:rPr>
          <w:bCs/>
          <w:color w:val="auto"/>
          <w:sz w:val="24"/>
        </w:rPr>
      </w:pPr>
      <w:r>
        <w:rPr>
          <w:rFonts w:hint="eastAsia"/>
          <w:bCs/>
          <w:color w:val="auto"/>
          <w:sz w:val="24"/>
        </w:rPr>
        <w:t>10.3发包人委托承包人承担本合同范围以外的工作服务，另行签订协议并支付费用。</w:t>
      </w:r>
    </w:p>
    <w:p w14:paraId="4CB629D4">
      <w:pPr>
        <w:spacing w:line="360" w:lineRule="auto"/>
        <w:rPr>
          <w:bCs/>
          <w:color w:val="auto"/>
          <w:sz w:val="24"/>
        </w:rPr>
      </w:pPr>
      <w:r>
        <w:rPr>
          <w:rFonts w:hint="eastAsia"/>
          <w:bCs/>
          <w:color w:val="auto"/>
          <w:sz w:val="24"/>
        </w:rPr>
        <w:t>10.4由于不可抗力因素致使合同无法履行时，双方应及时协商解决。</w:t>
      </w:r>
    </w:p>
    <w:p w14:paraId="002E79E4">
      <w:pPr>
        <w:spacing w:line="360" w:lineRule="auto"/>
        <w:rPr>
          <w:bCs/>
          <w:color w:val="auto"/>
          <w:sz w:val="24"/>
        </w:rPr>
      </w:pPr>
      <w:r>
        <w:rPr>
          <w:rFonts w:hint="eastAsia"/>
          <w:bCs/>
          <w:color w:val="auto"/>
          <w:sz w:val="24"/>
        </w:rPr>
        <w:t>10.5承包人应按本项目总投资开展限额设计，承包人未经发包人书面同意突破投资限额进行设计，承包人须无偿对设计文件重新修改，交付设计文件时间不予顺延。</w:t>
      </w:r>
    </w:p>
    <w:p w14:paraId="61C42845">
      <w:pPr>
        <w:spacing w:line="360" w:lineRule="auto"/>
        <w:rPr>
          <w:bCs/>
          <w:color w:val="auto"/>
          <w:sz w:val="24"/>
        </w:rPr>
      </w:pPr>
      <w:r>
        <w:rPr>
          <w:rFonts w:hint="eastAsia"/>
          <w:bCs/>
          <w:color w:val="auto"/>
          <w:sz w:val="24"/>
        </w:rPr>
        <w:t>10.6本合同价已包含施工阶段一般性设计变更、修改、补充的设计费用，以及配合报建、施工等工作的费用。</w:t>
      </w:r>
    </w:p>
    <w:p w14:paraId="51832B9C">
      <w:pPr>
        <w:spacing w:line="360" w:lineRule="auto"/>
        <w:rPr>
          <w:bCs/>
          <w:color w:val="auto"/>
          <w:sz w:val="24"/>
        </w:rPr>
      </w:pPr>
      <w:r>
        <w:rPr>
          <w:rFonts w:hint="eastAsia"/>
          <w:bCs/>
          <w:color w:val="auto"/>
          <w:sz w:val="24"/>
        </w:rPr>
        <w:t>10.7因承包人原因导致施工工期延误，每日按暂定设计费总额计收1‰的违约金。</w:t>
      </w:r>
    </w:p>
    <w:p w14:paraId="563AB080">
      <w:pPr>
        <w:spacing w:line="360" w:lineRule="auto"/>
        <w:rPr>
          <w:bCs/>
          <w:color w:val="auto"/>
          <w:sz w:val="24"/>
        </w:rPr>
      </w:pPr>
      <w:r>
        <w:rPr>
          <w:rFonts w:hint="eastAsia"/>
          <w:bCs/>
          <w:color w:val="auto"/>
          <w:sz w:val="24"/>
        </w:rPr>
        <w:t>10.8承包人须完成竣工图编制，提供竣工图一式十二份。</w:t>
      </w:r>
    </w:p>
    <w:p w14:paraId="2886578E">
      <w:pPr>
        <w:spacing w:line="360" w:lineRule="auto"/>
        <w:rPr>
          <w:bCs/>
          <w:color w:val="auto"/>
          <w:sz w:val="24"/>
        </w:rPr>
      </w:pPr>
      <w:r>
        <w:rPr>
          <w:rFonts w:hint="eastAsia"/>
          <w:bCs/>
          <w:color w:val="auto"/>
          <w:sz w:val="24"/>
        </w:rPr>
        <w:t>10.9本合同设计成果的发表权、展览权、使用权及相关知识产权归发包人所有。</w:t>
      </w:r>
    </w:p>
    <w:p w14:paraId="4EA6B342">
      <w:pPr>
        <w:spacing w:line="360" w:lineRule="auto"/>
        <w:rPr>
          <w:bCs/>
          <w:color w:val="auto"/>
          <w:sz w:val="24"/>
        </w:rPr>
      </w:pPr>
      <w:r>
        <w:rPr>
          <w:rFonts w:hint="eastAsia"/>
          <w:bCs/>
          <w:color w:val="auto"/>
          <w:sz w:val="24"/>
        </w:rPr>
        <w:t>10.10 承包人提供的与本合同有关的服务内容或作品成品，应保障发包人在使用时不会侵犯第三方的权利。非发包人原因，若承包人提供的服务内容或作品成品发生侵害第三方权利的情况, 承包人应负责与第三方交涉, 并承担由此产生的全部法律和经济责任, 并对因为该侵权行为给发包人造成的损失承担赔偿责任。本条款长期有效。</w:t>
      </w:r>
    </w:p>
    <w:p w14:paraId="50FAECCC">
      <w:pPr>
        <w:spacing w:line="360" w:lineRule="auto"/>
        <w:rPr>
          <w:bCs/>
          <w:color w:val="auto"/>
          <w:sz w:val="24"/>
        </w:rPr>
      </w:pPr>
      <w:r>
        <w:rPr>
          <w:rFonts w:hint="eastAsia"/>
          <w:bCs/>
          <w:color w:val="auto"/>
          <w:sz w:val="24"/>
        </w:rPr>
        <w:t>--------------------------------（本页以下无正文）-----------------------------</w:t>
      </w:r>
    </w:p>
    <w:p w14:paraId="2F1B298A">
      <w:pPr>
        <w:autoSpaceDE w:val="0"/>
        <w:autoSpaceDN w:val="0"/>
        <w:adjustRightInd w:val="0"/>
        <w:spacing w:line="360" w:lineRule="auto"/>
        <w:jc w:val="center"/>
        <w:rPr>
          <w:rFonts w:ascii="宋体"/>
          <w:b/>
          <w:color w:val="auto"/>
          <w:kern w:val="0"/>
          <w:sz w:val="44"/>
          <w:szCs w:val="44"/>
        </w:rPr>
      </w:pPr>
      <w:r>
        <w:rPr>
          <w:rFonts w:hint="eastAsia" w:ascii="宋体" w:hAnsi="宋体"/>
          <w:b/>
          <w:color w:val="auto"/>
          <w:kern w:val="0"/>
          <w:sz w:val="44"/>
          <w:szCs w:val="44"/>
        </w:rPr>
        <w:br w:type="page"/>
      </w:r>
      <w:r>
        <w:rPr>
          <w:rFonts w:hint="eastAsia" w:ascii="宋体" w:hAnsi="宋体"/>
          <w:b/>
          <w:color w:val="auto"/>
          <w:kern w:val="0"/>
          <w:sz w:val="44"/>
          <w:szCs w:val="44"/>
        </w:rPr>
        <w:t>（二）项目施工部分</w:t>
      </w:r>
    </w:p>
    <w:p w14:paraId="5BE69949">
      <w:pPr>
        <w:autoSpaceDE w:val="0"/>
        <w:autoSpaceDN w:val="0"/>
        <w:adjustRightInd w:val="0"/>
        <w:spacing w:line="360" w:lineRule="auto"/>
        <w:jc w:val="left"/>
        <w:rPr>
          <w:rFonts w:ascii="宋体"/>
          <w:color w:val="auto"/>
          <w:kern w:val="0"/>
          <w:sz w:val="24"/>
        </w:rPr>
      </w:pPr>
      <w:r>
        <w:rPr>
          <w:rFonts w:ascii="宋体" w:hAnsi="宋体"/>
          <w:b/>
          <w:color w:val="auto"/>
          <w:kern w:val="0"/>
          <w:sz w:val="24"/>
        </w:rPr>
        <w:t>1</w:t>
      </w:r>
      <w:r>
        <w:rPr>
          <w:rFonts w:hint="eastAsia" w:ascii="宋体" w:hAnsi="宋体"/>
          <w:b/>
          <w:color w:val="auto"/>
          <w:kern w:val="0"/>
          <w:sz w:val="24"/>
        </w:rPr>
        <w:t>．定义</w:t>
      </w:r>
    </w:p>
    <w:p w14:paraId="113CBFEB">
      <w:pPr>
        <w:autoSpaceDE w:val="0"/>
        <w:autoSpaceDN w:val="0"/>
        <w:adjustRightInd w:val="0"/>
        <w:spacing w:line="360" w:lineRule="auto"/>
        <w:jc w:val="left"/>
        <w:rPr>
          <w:rFonts w:ascii="宋体"/>
          <w:color w:val="auto"/>
          <w:kern w:val="0"/>
          <w:sz w:val="24"/>
        </w:rPr>
      </w:pPr>
      <w:r>
        <w:rPr>
          <w:rFonts w:hint="eastAsia" w:ascii="宋体"/>
          <w:color w:val="auto"/>
          <w:kern w:val="0"/>
          <w:sz w:val="24"/>
        </w:rPr>
        <w:t>1.43</w:t>
      </w:r>
      <w:r>
        <w:rPr>
          <w:rFonts w:hint="eastAsia" w:ascii="宋体" w:hAnsi="宋体"/>
          <w:color w:val="auto"/>
          <w:kern w:val="0"/>
          <w:sz w:val="24"/>
        </w:rPr>
        <w:t>单位工程</w:t>
      </w:r>
    </w:p>
    <w:p w14:paraId="7857ECF7">
      <w:pPr>
        <w:autoSpaceDE w:val="0"/>
        <w:autoSpaceDN w:val="0"/>
        <w:adjustRightInd w:val="0"/>
        <w:spacing w:line="360" w:lineRule="auto"/>
        <w:ind w:firstLine="360" w:firstLineChars="150"/>
        <w:jc w:val="left"/>
        <w:rPr>
          <w:rFonts w:hint="eastAsia" w:ascii="宋体" w:hAnsi="宋体"/>
          <w:color w:val="auto"/>
          <w:sz w:val="24"/>
          <w:u w:val="single"/>
          <w:lang w:eastAsia="zh-CN"/>
        </w:rPr>
      </w:pPr>
      <w:r>
        <w:rPr>
          <w:rFonts w:hint="eastAsia" w:ascii="宋体" w:hAnsi="宋体"/>
          <w:color w:val="auto"/>
          <w:kern w:val="0"/>
          <w:sz w:val="24"/>
        </w:rPr>
        <w:t>■名称：</w:t>
      </w:r>
      <w:r>
        <w:rPr>
          <w:rFonts w:hint="eastAsia" w:ascii="宋体" w:hAnsi="宋体"/>
          <w:color w:val="auto"/>
          <w:sz w:val="24"/>
          <w:u w:val="single"/>
          <w:lang w:eastAsia="zh-CN"/>
        </w:rPr>
        <w:t>华南师范大学石牌校园中区1号教师宿舍外供电工程设计施工总承包（EPC）</w:t>
      </w:r>
    </w:p>
    <w:p w14:paraId="18EC1C2E">
      <w:pPr>
        <w:autoSpaceDE w:val="0"/>
        <w:autoSpaceDN w:val="0"/>
        <w:adjustRightInd w:val="0"/>
        <w:spacing w:line="360" w:lineRule="auto"/>
        <w:ind w:firstLine="360" w:firstLineChars="150"/>
        <w:jc w:val="left"/>
        <w:rPr>
          <w:rFonts w:ascii="宋体"/>
          <w:color w:val="auto"/>
          <w:kern w:val="0"/>
          <w:sz w:val="24"/>
        </w:rPr>
      </w:pPr>
      <w:r>
        <w:rPr>
          <w:rFonts w:hint="eastAsia" w:ascii="宋体" w:hAnsi="宋体"/>
          <w:color w:val="auto"/>
          <w:kern w:val="0"/>
          <w:sz w:val="24"/>
          <w:u w:val="single"/>
        </w:rPr>
        <w:t>■</w:t>
      </w:r>
      <w:r>
        <w:rPr>
          <w:rFonts w:hint="eastAsia" w:ascii="宋体" w:hAnsi="宋体"/>
          <w:color w:val="auto"/>
          <w:kern w:val="0"/>
          <w:sz w:val="24"/>
        </w:rPr>
        <w:t>内容：</w:t>
      </w:r>
      <w:r>
        <w:rPr>
          <w:rFonts w:hint="eastAsia" w:ascii="宋体" w:hAnsi="宋体"/>
          <w:color w:val="auto"/>
          <w:kern w:val="0"/>
          <w:sz w:val="24"/>
          <w:u w:val="single"/>
        </w:rPr>
        <w:t>详见本合同</w:t>
      </w:r>
      <w:r>
        <w:rPr>
          <w:rFonts w:hint="eastAsia" w:ascii="宋体" w:hAnsi="宋体"/>
          <w:color w:val="auto"/>
          <w:sz w:val="24"/>
          <w:u w:val="single"/>
        </w:rPr>
        <w:t>第一部分协议书第一条工程概况中的工程内容</w:t>
      </w:r>
    </w:p>
    <w:p w14:paraId="2A253677">
      <w:pPr>
        <w:autoSpaceDE w:val="0"/>
        <w:autoSpaceDN w:val="0"/>
        <w:adjustRightInd w:val="0"/>
        <w:spacing w:line="360" w:lineRule="auto"/>
        <w:ind w:firstLine="360" w:firstLineChars="150"/>
        <w:jc w:val="left"/>
        <w:rPr>
          <w:rFonts w:ascii="宋体"/>
          <w:color w:val="auto"/>
          <w:kern w:val="0"/>
          <w:sz w:val="24"/>
          <w:u w:val="single"/>
        </w:rPr>
      </w:pPr>
      <w:r>
        <w:rPr>
          <w:rFonts w:hint="eastAsia" w:ascii="宋体" w:hAnsi="宋体"/>
          <w:color w:val="auto"/>
          <w:kern w:val="0"/>
          <w:sz w:val="24"/>
          <w:u w:val="single"/>
        </w:rPr>
        <w:t>■</w:t>
      </w:r>
      <w:r>
        <w:rPr>
          <w:rFonts w:hint="eastAsia" w:ascii="宋体" w:hAnsi="宋体"/>
          <w:color w:val="auto"/>
          <w:kern w:val="0"/>
          <w:sz w:val="24"/>
        </w:rPr>
        <w:t>范围：</w:t>
      </w:r>
      <w:r>
        <w:rPr>
          <w:rFonts w:hint="eastAsia" w:ascii="宋体" w:hAnsi="宋体"/>
          <w:color w:val="auto"/>
          <w:kern w:val="0"/>
          <w:sz w:val="24"/>
          <w:u w:val="single"/>
        </w:rPr>
        <w:t>详见本合同第一部分协议书第二条工</w:t>
      </w:r>
      <w:r>
        <w:rPr>
          <w:rFonts w:hint="eastAsia" w:ascii="宋体" w:hAnsi="宋体"/>
          <w:color w:val="auto"/>
          <w:sz w:val="24"/>
          <w:u w:val="single"/>
        </w:rPr>
        <w:t>程承包范围和承包方式</w:t>
      </w:r>
    </w:p>
    <w:p w14:paraId="72E8265F">
      <w:pPr>
        <w:autoSpaceDE w:val="0"/>
        <w:autoSpaceDN w:val="0"/>
        <w:adjustRightInd w:val="0"/>
        <w:spacing w:line="360" w:lineRule="auto"/>
        <w:jc w:val="left"/>
        <w:rPr>
          <w:rFonts w:ascii="宋体"/>
          <w:color w:val="auto"/>
          <w:kern w:val="0"/>
          <w:sz w:val="24"/>
        </w:rPr>
      </w:pPr>
      <w:r>
        <w:rPr>
          <w:rFonts w:hint="eastAsia" w:ascii="宋体" w:hAnsi="宋体"/>
          <w:color w:val="auto"/>
          <w:kern w:val="0"/>
          <w:sz w:val="24"/>
        </w:rPr>
        <w:t>所采用的书面形式包括：</w:t>
      </w:r>
    </w:p>
    <w:p w14:paraId="3A4E22A8">
      <w:pPr>
        <w:autoSpaceDE w:val="0"/>
        <w:autoSpaceDN w:val="0"/>
        <w:adjustRightInd w:val="0"/>
        <w:spacing w:line="360" w:lineRule="auto"/>
        <w:ind w:firstLine="360" w:firstLineChars="150"/>
        <w:jc w:val="left"/>
        <w:rPr>
          <w:rFonts w:ascii="宋体"/>
          <w:color w:val="auto"/>
          <w:kern w:val="0"/>
          <w:sz w:val="24"/>
        </w:rPr>
      </w:pPr>
      <w:r>
        <w:rPr>
          <w:rFonts w:hint="eastAsia" w:ascii="宋体" w:hAnsi="宋体"/>
          <w:color w:val="auto"/>
          <w:kern w:val="0"/>
          <w:sz w:val="24"/>
          <w:u w:val="single"/>
        </w:rPr>
        <w:t>■</w:t>
      </w:r>
      <w:r>
        <w:rPr>
          <w:rFonts w:hint="eastAsia" w:ascii="宋体" w:hAnsi="宋体"/>
          <w:color w:val="auto"/>
          <w:kern w:val="0"/>
          <w:sz w:val="24"/>
        </w:rPr>
        <w:t>文书；</w:t>
      </w:r>
    </w:p>
    <w:p w14:paraId="302EF9A6">
      <w:pPr>
        <w:autoSpaceDE w:val="0"/>
        <w:autoSpaceDN w:val="0"/>
        <w:adjustRightInd w:val="0"/>
        <w:spacing w:line="360" w:lineRule="auto"/>
        <w:ind w:firstLine="360" w:firstLineChars="150"/>
        <w:jc w:val="left"/>
        <w:rPr>
          <w:rFonts w:ascii="宋体"/>
          <w:color w:val="auto"/>
          <w:kern w:val="0"/>
          <w:sz w:val="24"/>
        </w:rPr>
      </w:pPr>
      <w:r>
        <w:rPr>
          <w:rFonts w:hint="eastAsia" w:ascii="宋体"/>
          <w:color w:val="auto"/>
          <w:kern w:val="0"/>
          <w:sz w:val="24"/>
        </w:rPr>
        <w:t>□</w:t>
      </w:r>
      <w:r>
        <w:rPr>
          <w:rFonts w:hint="eastAsia" w:ascii="宋体" w:hAnsi="宋体"/>
          <w:color w:val="auto"/>
          <w:kern w:val="0"/>
          <w:sz w:val="24"/>
        </w:rPr>
        <w:t>信件；</w:t>
      </w:r>
    </w:p>
    <w:p w14:paraId="4EE115FF">
      <w:pPr>
        <w:autoSpaceDE w:val="0"/>
        <w:autoSpaceDN w:val="0"/>
        <w:adjustRightInd w:val="0"/>
        <w:spacing w:line="360" w:lineRule="auto"/>
        <w:ind w:firstLine="360" w:firstLineChars="150"/>
        <w:jc w:val="left"/>
        <w:rPr>
          <w:rFonts w:ascii="宋体"/>
          <w:color w:val="auto"/>
          <w:kern w:val="0"/>
          <w:sz w:val="24"/>
        </w:rPr>
      </w:pPr>
      <w:r>
        <w:rPr>
          <w:rFonts w:hint="eastAsia" w:ascii="宋体"/>
          <w:color w:val="auto"/>
          <w:kern w:val="0"/>
          <w:sz w:val="24"/>
        </w:rPr>
        <w:t>□</w:t>
      </w:r>
      <w:r>
        <w:rPr>
          <w:rFonts w:hint="eastAsia" w:ascii="宋体" w:hAnsi="宋体"/>
          <w:color w:val="auto"/>
          <w:kern w:val="0"/>
          <w:sz w:val="24"/>
        </w:rPr>
        <w:t>电报；</w:t>
      </w:r>
    </w:p>
    <w:p w14:paraId="06E8D1A2">
      <w:pPr>
        <w:autoSpaceDE w:val="0"/>
        <w:autoSpaceDN w:val="0"/>
        <w:adjustRightInd w:val="0"/>
        <w:spacing w:line="360" w:lineRule="auto"/>
        <w:ind w:firstLine="360" w:firstLineChars="150"/>
        <w:jc w:val="left"/>
        <w:rPr>
          <w:rFonts w:ascii="宋体"/>
          <w:color w:val="auto"/>
          <w:kern w:val="0"/>
          <w:sz w:val="24"/>
        </w:rPr>
      </w:pPr>
      <w:r>
        <w:rPr>
          <w:rFonts w:hint="eastAsia" w:ascii="宋体" w:hAnsi="宋体"/>
          <w:color w:val="auto"/>
          <w:kern w:val="0"/>
          <w:sz w:val="24"/>
          <w:u w:val="single"/>
        </w:rPr>
        <w:t>■</w:t>
      </w:r>
      <w:r>
        <w:rPr>
          <w:rFonts w:hint="eastAsia" w:ascii="宋体" w:hAnsi="宋体"/>
          <w:color w:val="auto"/>
          <w:kern w:val="0"/>
          <w:sz w:val="24"/>
        </w:rPr>
        <w:t>传真；</w:t>
      </w:r>
    </w:p>
    <w:p w14:paraId="6420DA3F">
      <w:pPr>
        <w:autoSpaceDE w:val="0"/>
        <w:autoSpaceDN w:val="0"/>
        <w:adjustRightInd w:val="0"/>
        <w:spacing w:line="360" w:lineRule="auto"/>
        <w:ind w:firstLine="360" w:firstLineChars="150"/>
        <w:jc w:val="left"/>
        <w:rPr>
          <w:rFonts w:ascii="宋体"/>
          <w:color w:val="auto"/>
          <w:kern w:val="0"/>
          <w:sz w:val="24"/>
        </w:rPr>
      </w:pPr>
      <w:r>
        <w:rPr>
          <w:rFonts w:hint="eastAsia" w:ascii="宋体"/>
          <w:color w:val="auto"/>
          <w:kern w:val="0"/>
          <w:sz w:val="24"/>
        </w:rPr>
        <w:t>□</w:t>
      </w:r>
      <w:r>
        <w:rPr>
          <w:rFonts w:hint="eastAsia" w:ascii="宋体" w:hAnsi="宋体"/>
          <w:color w:val="auto"/>
          <w:kern w:val="0"/>
          <w:sz w:val="24"/>
        </w:rPr>
        <w:t>电子邮件；</w:t>
      </w:r>
    </w:p>
    <w:p w14:paraId="2B1BFE54">
      <w:pPr>
        <w:autoSpaceDE w:val="0"/>
        <w:autoSpaceDN w:val="0"/>
        <w:adjustRightInd w:val="0"/>
        <w:spacing w:line="360" w:lineRule="auto"/>
        <w:ind w:firstLine="360" w:firstLineChars="150"/>
        <w:jc w:val="left"/>
        <w:rPr>
          <w:rFonts w:ascii="宋体"/>
          <w:color w:val="auto"/>
          <w:kern w:val="0"/>
          <w:sz w:val="24"/>
          <w:u w:val="single"/>
        </w:rPr>
      </w:pPr>
      <w:r>
        <w:rPr>
          <w:rFonts w:hint="eastAsia" w:ascii="宋体" w:hAnsi="宋体"/>
          <w:color w:val="auto"/>
          <w:kern w:val="0"/>
          <w:sz w:val="24"/>
          <w:u w:val="single"/>
        </w:rPr>
        <w:t>■</w:t>
      </w:r>
      <w:r>
        <w:rPr>
          <w:rFonts w:hint="eastAsia" w:ascii="宋体" w:hAnsi="宋体"/>
          <w:color w:val="auto"/>
          <w:kern w:val="0"/>
          <w:sz w:val="24"/>
        </w:rPr>
        <w:t>其他：</w:t>
      </w:r>
      <w:r>
        <w:rPr>
          <w:rFonts w:hint="eastAsia" w:ascii="宋体" w:hAnsi="宋体"/>
          <w:color w:val="auto"/>
          <w:kern w:val="0"/>
          <w:sz w:val="24"/>
          <w:u w:val="single"/>
        </w:rPr>
        <w:t>特快专递、挂号信。</w:t>
      </w:r>
    </w:p>
    <w:p w14:paraId="21669634">
      <w:pPr>
        <w:numPr>
          <w:ilvl w:val="0"/>
          <w:numId w:val="32"/>
        </w:numPr>
        <w:autoSpaceDE w:val="0"/>
        <w:autoSpaceDN w:val="0"/>
        <w:adjustRightInd w:val="0"/>
        <w:spacing w:line="360" w:lineRule="auto"/>
        <w:jc w:val="left"/>
        <w:rPr>
          <w:rFonts w:ascii="宋体" w:hAnsi="宋体"/>
          <w:b/>
          <w:color w:val="auto"/>
          <w:kern w:val="0"/>
          <w:sz w:val="24"/>
        </w:rPr>
      </w:pPr>
      <w:r>
        <w:rPr>
          <w:rFonts w:hint="eastAsia" w:ascii="宋体" w:hAnsi="宋体"/>
          <w:b/>
          <w:color w:val="auto"/>
          <w:kern w:val="0"/>
          <w:sz w:val="24"/>
        </w:rPr>
        <w:t>合同文件及解释</w:t>
      </w:r>
    </w:p>
    <w:p w14:paraId="2BA78387">
      <w:pPr>
        <w:autoSpaceDE w:val="0"/>
        <w:autoSpaceDN w:val="0"/>
        <w:adjustRightInd w:val="0"/>
        <w:spacing w:line="360" w:lineRule="auto"/>
        <w:ind w:firstLine="480" w:firstLineChars="200"/>
        <w:jc w:val="left"/>
        <w:rPr>
          <w:rFonts w:ascii="宋体" w:hAnsi="宋体"/>
          <w:color w:val="auto"/>
          <w:kern w:val="0"/>
          <w:sz w:val="24"/>
        </w:rPr>
      </w:pPr>
      <w:r>
        <w:rPr>
          <w:rFonts w:hint="eastAsia" w:ascii="宋体" w:hAnsi="宋体"/>
          <w:color w:val="auto"/>
          <w:kern w:val="0"/>
          <w:sz w:val="24"/>
        </w:rPr>
        <w:t>2.1 组成合同的其他文件：</w:t>
      </w:r>
    </w:p>
    <w:p w14:paraId="012C895E">
      <w:pPr>
        <w:numPr>
          <w:ilvl w:val="0"/>
          <w:numId w:val="33"/>
        </w:numPr>
        <w:autoSpaceDE w:val="0"/>
        <w:autoSpaceDN w:val="0"/>
        <w:adjustRightInd w:val="0"/>
        <w:spacing w:line="360" w:lineRule="auto"/>
        <w:ind w:firstLine="480" w:firstLineChars="200"/>
        <w:jc w:val="left"/>
        <w:rPr>
          <w:rFonts w:ascii="宋体" w:hAnsi="宋体"/>
          <w:color w:val="auto"/>
          <w:kern w:val="0"/>
          <w:sz w:val="24"/>
        </w:rPr>
      </w:pPr>
      <w:r>
        <w:rPr>
          <w:rFonts w:hint="eastAsia" w:ascii="宋体" w:hAnsi="宋体"/>
          <w:bCs/>
          <w:snapToGrid w:val="0"/>
          <w:color w:val="auto"/>
          <w:kern w:val="0"/>
          <w:sz w:val="24"/>
        </w:rPr>
        <w:t>相关政府主管部门关于本工程的有关文件；</w:t>
      </w:r>
      <w:r>
        <w:rPr>
          <w:rFonts w:hint="eastAsia" w:ascii="宋体" w:hAnsi="宋体"/>
          <w:color w:val="auto"/>
          <w:kern w:val="0"/>
          <w:sz w:val="24"/>
        </w:rPr>
        <w:t>履行本合同的相关补充协议（含工程洽商记录、会议纪要、工程变更、现场签证、索赔和合同价款调整报告等修正文件）；</w:t>
      </w:r>
    </w:p>
    <w:p w14:paraId="25F1A816">
      <w:pPr>
        <w:numPr>
          <w:ilvl w:val="0"/>
          <w:numId w:val="33"/>
        </w:numPr>
        <w:autoSpaceDE w:val="0"/>
        <w:autoSpaceDN w:val="0"/>
        <w:adjustRightInd w:val="0"/>
        <w:spacing w:line="360" w:lineRule="auto"/>
        <w:ind w:firstLine="480" w:firstLineChars="200"/>
        <w:jc w:val="left"/>
        <w:rPr>
          <w:rFonts w:ascii="宋体"/>
          <w:color w:val="auto"/>
          <w:kern w:val="0"/>
          <w:sz w:val="24"/>
        </w:rPr>
      </w:pPr>
      <w:r>
        <w:rPr>
          <w:rFonts w:hint="eastAsia" w:ascii="宋体" w:hAnsi="宋体"/>
          <w:color w:val="auto"/>
          <w:kern w:val="0"/>
          <w:sz w:val="24"/>
        </w:rPr>
        <w:t>协议书；</w:t>
      </w:r>
    </w:p>
    <w:p w14:paraId="23FDD7BB">
      <w:pPr>
        <w:numPr>
          <w:ilvl w:val="0"/>
          <w:numId w:val="33"/>
        </w:numPr>
        <w:autoSpaceDE w:val="0"/>
        <w:autoSpaceDN w:val="0"/>
        <w:adjustRightInd w:val="0"/>
        <w:spacing w:line="360" w:lineRule="auto"/>
        <w:ind w:firstLine="480" w:firstLineChars="200"/>
        <w:jc w:val="left"/>
        <w:rPr>
          <w:rFonts w:ascii="宋体" w:hAnsi="宋体"/>
          <w:color w:val="auto"/>
          <w:kern w:val="0"/>
          <w:sz w:val="24"/>
        </w:rPr>
      </w:pPr>
      <w:r>
        <w:rPr>
          <w:rFonts w:hint="eastAsia" w:ascii="宋体" w:hAnsi="宋体"/>
          <w:color w:val="auto"/>
          <w:kern w:val="0"/>
          <w:sz w:val="24"/>
        </w:rPr>
        <w:t>中标通知书；</w:t>
      </w:r>
    </w:p>
    <w:p w14:paraId="368C84AB">
      <w:pPr>
        <w:numPr>
          <w:ilvl w:val="0"/>
          <w:numId w:val="33"/>
        </w:numPr>
        <w:autoSpaceDE w:val="0"/>
        <w:autoSpaceDN w:val="0"/>
        <w:adjustRightInd w:val="0"/>
        <w:spacing w:line="360" w:lineRule="auto"/>
        <w:ind w:firstLine="480" w:firstLineChars="200"/>
        <w:jc w:val="left"/>
        <w:rPr>
          <w:rFonts w:ascii="宋体"/>
          <w:color w:val="auto"/>
          <w:kern w:val="0"/>
          <w:sz w:val="24"/>
        </w:rPr>
      </w:pPr>
      <w:r>
        <w:rPr>
          <w:rFonts w:hint="eastAsia" w:ascii="宋体" w:hAnsi="宋体"/>
          <w:color w:val="auto"/>
          <w:kern w:val="0"/>
          <w:sz w:val="24"/>
        </w:rPr>
        <w:t>专用条款；</w:t>
      </w:r>
    </w:p>
    <w:p w14:paraId="059295F5">
      <w:pPr>
        <w:numPr>
          <w:ilvl w:val="0"/>
          <w:numId w:val="33"/>
        </w:numPr>
        <w:autoSpaceDE w:val="0"/>
        <w:autoSpaceDN w:val="0"/>
        <w:adjustRightInd w:val="0"/>
        <w:spacing w:line="360" w:lineRule="auto"/>
        <w:ind w:firstLine="480" w:firstLineChars="200"/>
        <w:jc w:val="left"/>
        <w:rPr>
          <w:rFonts w:ascii="宋体"/>
          <w:color w:val="auto"/>
          <w:kern w:val="0"/>
          <w:sz w:val="24"/>
        </w:rPr>
      </w:pPr>
      <w:r>
        <w:rPr>
          <w:rFonts w:hint="eastAsia" w:ascii="宋体" w:hAnsi="宋体"/>
          <w:bCs/>
          <w:snapToGrid w:val="0"/>
          <w:color w:val="auto"/>
          <w:kern w:val="0"/>
          <w:sz w:val="24"/>
        </w:rPr>
        <w:t>招标文件</w:t>
      </w:r>
      <w:r>
        <w:rPr>
          <w:rFonts w:ascii="宋体" w:hAnsi="宋体"/>
          <w:bCs/>
          <w:snapToGrid w:val="0"/>
          <w:color w:val="auto"/>
          <w:kern w:val="0"/>
          <w:sz w:val="24"/>
        </w:rPr>
        <w:t>[</w:t>
      </w:r>
      <w:r>
        <w:rPr>
          <w:rFonts w:hint="eastAsia" w:ascii="宋体" w:hAnsi="宋体"/>
          <w:bCs/>
          <w:snapToGrid w:val="0"/>
          <w:color w:val="auto"/>
          <w:kern w:val="0"/>
          <w:sz w:val="24"/>
        </w:rPr>
        <w:t>含招标文件补充文件、澄清文件、答疑文件、招标图等；</w:t>
      </w:r>
    </w:p>
    <w:p w14:paraId="24EC69E4">
      <w:pPr>
        <w:numPr>
          <w:ilvl w:val="0"/>
          <w:numId w:val="33"/>
        </w:numPr>
        <w:autoSpaceDE w:val="0"/>
        <w:autoSpaceDN w:val="0"/>
        <w:adjustRightInd w:val="0"/>
        <w:spacing w:line="360" w:lineRule="auto"/>
        <w:ind w:firstLine="480" w:firstLineChars="200"/>
        <w:jc w:val="left"/>
        <w:rPr>
          <w:rFonts w:ascii="宋体"/>
          <w:color w:val="auto"/>
          <w:kern w:val="0"/>
          <w:sz w:val="24"/>
        </w:rPr>
      </w:pPr>
      <w:r>
        <w:rPr>
          <w:rFonts w:hint="eastAsia" w:ascii="宋体" w:hAnsi="宋体"/>
          <w:color w:val="auto"/>
          <w:kern w:val="0"/>
          <w:sz w:val="24"/>
        </w:rPr>
        <w:t>承包人投标文件及其附件（含评标期间的澄清文件和补充资料）；</w:t>
      </w:r>
    </w:p>
    <w:p w14:paraId="4CDAC3BD">
      <w:pPr>
        <w:numPr>
          <w:ilvl w:val="0"/>
          <w:numId w:val="33"/>
        </w:numPr>
        <w:autoSpaceDE w:val="0"/>
        <w:autoSpaceDN w:val="0"/>
        <w:adjustRightInd w:val="0"/>
        <w:spacing w:line="360" w:lineRule="auto"/>
        <w:ind w:firstLine="480" w:firstLineChars="200"/>
        <w:jc w:val="left"/>
        <w:rPr>
          <w:rFonts w:ascii="宋体"/>
          <w:color w:val="auto"/>
          <w:kern w:val="0"/>
          <w:sz w:val="24"/>
        </w:rPr>
      </w:pPr>
      <w:r>
        <w:rPr>
          <w:rFonts w:hint="eastAsia" w:ascii="宋体" w:hAnsi="宋体"/>
          <w:color w:val="auto"/>
          <w:kern w:val="0"/>
          <w:sz w:val="24"/>
        </w:rPr>
        <w:t>通用条款；</w:t>
      </w:r>
    </w:p>
    <w:p w14:paraId="2FE53085">
      <w:pPr>
        <w:numPr>
          <w:ilvl w:val="0"/>
          <w:numId w:val="33"/>
        </w:numPr>
        <w:autoSpaceDE w:val="0"/>
        <w:autoSpaceDN w:val="0"/>
        <w:adjustRightInd w:val="0"/>
        <w:spacing w:line="360" w:lineRule="auto"/>
        <w:ind w:firstLine="480" w:firstLineChars="200"/>
        <w:jc w:val="left"/>
        <w:rPr>
          <w:rFonts w:ascii="宋体"/>
          <w:color w:val="auto"/>
          <w:kern w:val="0"/>
          <w:sz w:val="24"/>
        </w:rPr>
      </w:pPr>
      <w:r>
        <w:rPr>
          <w:rFonts w:hint="eastAsia" w:ascii="宋体" w:hAnsi="宋体"/>
          <w:color w:val="auto"/>
          <w:kern w:val="0"/>
          <w:sz w:val="24"/>
        </w:rPr>
        <w:t>标准、规范及有关技术文件；</w:t>
      </w:r>
    </w:p>
    <w:p w14:paraId="1A18CF04">
      <w:pPr>
        <w:numPr>
          <w:ilvl w:val="0"/>
          <w:numId w:val="33"/>
        </w:numPr>
        <w:autoSpaceDE w:val="0"/>
        <w:autoSpaceDN w:val="0"/>
        <w:adjustRightInd w:val="0"/>
        <w:spacing w:line="360" w:lineRule="auto"/>
        <w:ind w:firstLine="480" w:firstLineChars="200"/>
        <w:jc w:val="left"/>
        <w:rPr>
          <w:rFonts w:ascii="宋体"/>
          <w:color w:val="auto"/>
          <w:kern w:val="0"/>
          <w:sz w:val="24"/>
        </w:rPr>
      </w:pPr>
      <w:r>
        <w:rPr>
          <w:rFonts w:hint="eastAsia" w:ascii="宋体" w:hAnsi="宋体"/>
          <w:bCs/>
          <w:snapToGrid w:val="0"/>
          <w:color w:val="auto"/>
          <w:kern w:val="0"/>
          <w:sz w:val="24"/>
        </w:rPr>
        <w:t>组成合同的其它文件</w:t>
      </w:r>
      <w:r>
        <w:rPr>
          <w:rFonts w:hint="eastAsia" w:ascii="楷体_GB2312" w:eastAsia="楷体_GB2312"/>
          <w:color w:val="auto"/>
          <w:sz w:val="24"/>
        </w:rPr>
        <w:t>。</w:t>
      </w:r>
    </w:p>
    <w:p w14:paraId="09DABCF9">
      <w:pPr>
        <w:autoSpaceDE w:val="0"/>
        <w:autoSpaceDN w:val="0"/>
        <w:adjustRightInd w:val="0"/>
        <w:spacing w:line="360" w:lineRule="auto"/>
        <w:jc w:val="left"/>
        <w:rPr>
          <w:rFonts w:ascii="宋体" w:hAnsi="宋体"/>
          <w:b/>
          <w:color w:val="auto"/>
          <w:kern w:val="0"/>
          <w:sz w:val="24"/>
        </w:rPr>
      </w:pPr>
      <w:r>
        <w:rPr>
          <w:rFonts w:hint="eastAsia" w:ascii="宋体" w:hAnsi="宋体"/>
          <w:b/>
          <w:color w:val="auto"/>
          <w:kern w:val="0"/>
          <w:sz w:val="24"/>
        </w:rPr>
        <w:t>4.语言及适用的法律、标准与规范</w:t>
      </w:r>
    </w:p>
    <w:p w14:paraId="1D620A5B">
      <w:pPr>
        <w:autoSpaceDE w:val="0"/>
        <w:autoSpaceDN w:val="0"/>
        <w:adjustRightInd w:val="0"/>
        <w:spacing w:line="360" w:lineRule="auto"/>
        <w:jc w:val="left"/>
        <w:rPr>
          <w:rFonts w:ascii="宋体"/>
          <w:color w:val="auto"/>
          <w:kern w:val="0"/>
          <w:sz w:val="24"/>
        </w:rPr>
      </w:pPr>
      <w:r>
        <w:rPr>
          <w:rFonts w:hint="eastAsia" w:ascii="宋体" w:hAnsi="宋体"/>
          <w:color w:val="auto"/>
          <w:kern w:val="0"/>
          <w:sz w:val="24"/>
        </w:rPr>
        <w:t>4.3 约定适用的标准、规范的名称：</w:t>
      </w:r>
      <w:r>
        <w:rPr>
          <w:rFonts w:hint="eastAsia" w:ascii="宋体" w:hAnsi="宋体"/>
          <w:color w:val="auto"/>
          <w:kern w:val="0"/>
          <w:sz w:val="24"/>
          <w:u w:val="single"/>
        </w:rPr>
        <w:t>符合国家施工验收规范及供电局验收规范达合格标准。</w:t>
      </w:r>
    </w:p>
    <w:p w14:paraId="65E17846">
      <w:pPr>
        <w:spacing w:line="360" w:lineRule="auto"/>
        <w:rPr>
          <w:rFonts w:ascii="宋体"/>
          <w:b/>
          <w:color w:val="auto"/>
          <w:sz w:val="24"/>
        </w:rPr>
      </w:pPr>
      <w:r>
        <w:rPr>
          <w:rFonts w:hint="eastAsia" w:ascii="宋体" w:hAnsi="宋体"/>
          <w:b/>
          <w:color w:val="auto"/>
          <w:kern w:val="0"/>
          <w:sz w:val="24"/>
        </w:rPr>
        <w:t>5.施工设计图纸</w:t>
      </w:r>
    </w:p>
    <w:p w14:paraId="5C19BA59">
      <w:pPr>
        <w:spacing w:line="360" w:lineRule="auto"/>
        <w:rPr>
          <w:rFonts w:ascii="宋体"/>
          <w:color w:val="auto"/>
          <w:sz w:val="24"/>
        </w:rPr>
      </w:pPr>
      <w:r>
        <w:rPr>
          <w:rFonts w:hint="eastAsia" w:ascii="宋体" w:hAnsi="宋体"/>
          <w:color w:val="auto"/>
          <w:sz w:val="24"/>
        </w:rPr>
        <w:t>5.1发包人提供施工设计图纸</w:t>
      </w:r>
    </w:p>
    <w:p w14:paraId="70BD65A4">
      <w:pPr>
        <w:spacing w:line="360" w:lineRule="auto"/>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）提供的时间：</w:t>
      </w:r>
      <w:r>
        <w:rPr>
          <w:rFonts w:ascii="宋体" w:hAnsi="宋体"/>
          <w:color w:val="auto"/>
          <w:sz w:val="24"/>
          <w:u w:val="single"/>
        </w:rPr>
        <w:t xml:space="preserve">                               /                      </w:t>
      </w:r>
    </w:p>
    <w:p w14:paraId="6CC7DFB2">
      <w:pPr>
        <w:spacing w:line="360" w:lineRule="auto"/>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）提供的数量：</w:t>
      </w:r>
      <w:r>
        <w:rPr>
          <w:rFonts w:ascii="宋体" w:hAnsi="宋体"/>
          <w:color w:val="auto"/>
          <w:sz w:val="24"/>
          <w:u w:val="single"/>
        </w:rPr>
        <w:t xml:space="preserve">                             /                        </w:t>
      </w:r>
    </w:p>
    <w:p w14:paraId="2CA66C54">
      <w:pPr>
        <w:numPr>
          <w:ilvl w:val="0"/>
          <w:numId w:val="34"/>
        </w:numPr>
        <w:spacing w:line="360" w:lineRule="auto"/>
        <w:rPr>
          <w:rFonts w:ascii="宋体"/>
          <w:color w:val="auto"/>
          <w:sz w:val="24"/>
          <w:u w:val="single"/>
        </w:rPr>
      </w:pPr>
      <w:r>
        <w:rPr>
          <w:rFonts w:hint="eastAsia" w:ascii="宋体" w:hAnsi="宋体"/>
          <w:color w:val="auto"/>
          <w:sz w:val="24"/>
        </w:rPr>
        <w:t>监理工程师答复的时间：</w:t>
      </w:r>
      <w:r>
        <w:rPr>
          <w:rFonts w:ascii="宋体" w:hAnsi="宋体"/>
          <w:color w:val="auto"/>
          <w:sz w:val="24"/>
          <w:u w:val="single"/>
        </w:rPr>
        <w:t xml:space="preserve">                  /               </w:t>
      </w:r>
    </w:p>
    <w:p w14:paraId="3938F882">
      <w:pPr>
        <w:spacing w:line="360" w:lineRule="auto"/>
        <w:rPr>
          <w:rFonts w:ascii="宋体"/>
          <w:color w:val="auto"/>
          <w:sz w:val="24"/>
        </w:rPr>
      </w:pPr>
    </w:p>
    <w:p w14:paraId="43F63875">
      <w:pPr>
        <w:spacing w:line="360" w:lineRule="auto"/>
        <w:rPr>
          <w:rFonts w:ascii="宋体"/>
          <w:b/>
          <w:color w:val="auto"/>
          <w:sz w:val="24"/>
        </w:rPr>
      </w:pPr>
      <w:r>
        <w:rPr>
          <w:rFonts w:hint="eastAsia" w:ascii="宋体" w:hAnsi="宋体"/>
          <w:b/>
          <w:color w:val="auto"/>
          <w:sz w:val="24"/>
        </w:rPr>
        <w:t>6.通信联络</w:t>
      </w:r>
    </w:p>
    <w:p w14:paraId="01153DAA">
      <w:pPr>
        <w:spacing w:line="360" w:lineRule="auto"/>
        <w:rPr>
          <w:rFonts w:ascii="宋体"/>
          <w:color w:val="auto"/>
          <w:sz w:val="24"/>
        </w:rPr>
      </w:pPr>
      <w:r>
        <w:rPr>
          <w:rFonts w:hint="eastAsia" w:ascii="宋体" w:hAnsi="宋体"/>
          <w:color w:val="auto"/>
          <w:sz w:val="24"/>
        </w:rPr>
        <w:t>6.2各方通讯地址、收件人及其他送达方式</w:t>
      </w:r>
    </w:p>
    <w:p w14:paraId="77F8C570">
      <w:pPr>
        <w:spacing w:line="360" w:lineRule="auto"/>
        <w:rPr>
          <w:rFonts w:ascii="宋体"/>
          <w:color w:val="auto"/>
          <w:sz w:val="24"/>
        </w:rPr>
      </w:pPr>
      <w:r>
        <w:rPr>
          <w:rFonts w:hint="eastAsia" w:ascii="宋体" w:hAnsi="宋体"/>
          <w:color w:val="auto"/>
          <w:sz w:val="24"/>
        </w:rPr>
        <w:t>（1）各方通讯地址和设计人：</w:t>
      </w:r>
    </w:p>
    <w:p w14:paraId="22F3FA9A">
      <w:pPr>
        <w:spacing w:line="360" w:lineRule="auto"/>
        <w:ind w:firstLine="240" w:firstLineChars="100"/>
        <w:rPr>
          <w:rFonts w:ascii="宋体"/>
          <w:color w:val="auto"/>
          <w:sz w:val="24"/>
        </w:rPr>
      </w:pPr>
      <w:r>
        <w:rPr>
          <w:rFonts w:hint="eastAsia" w:ascii="宋体" w:hAnsi="宋体"/>
          <w:color w:val="auto"/>
          <w:sz w:val="24"/>
        </w:rPr>
        <w:t>发包人：</w:t>
      </w:r>
    </w:p>
    <w:p w14:paraId="7BB3EE14">
      <w:pPr>
        <w:spacing w:line="360" w:lineRule="auto"/>
        <w:ind w:firstLine="240" w:firstLineChars="100"/>
        <w:rPr>
          <w:rFonts w:ascii="宋体"/>
          <w:color w:val="auto"/>
          <w:sz w:val="24"/>
        </w:rPr>
      </w:pPr>
      <w:r>
        <w:rPr>
          <w:rFonts w:hint="eastAsia" w:ascii="宋体" w:hAnsi="宋体"/>
          <w:color w:val="auto"/>
          <w:sz w:val="24"/>
        </w:rPr>
        <w:t>通讯地址：收件人：   邮政编码：</w:t>
      </w:r>
    </w:p>
    <w:p w14:paraId="341F8C30">
      <w:pPr>
        <w:spacing w:line="360" w:lineRule="auto"/>
        <w:ind w:firstLine="240" w:firstLineChars="100"/>
        <w:rPr>
          <w:rFonts w:ascii="宋体"/>
          <w:color w:val="auto"/>
          <w:sz w:val="24"/>
        </w:rPr>
      </w:pPr>
    </w:p>
    <w:p w14:paraId="1690F422">
      <w:pPr>
        <w:spacing w:line="360" w:lineRule="auto"/>
        <w:ind w:firstLine="240" w:firstLineChars="100"/>
        <w:rPr>
          <w:rFonts w:ascii="宋体"/>
          <w:color w:val="auto"/>
          <w:sz w:val="24"/>
        </w:rPr>
      </w:pPr>
      <w:r>
        <w:rPr>
          <w:rFonts w:hint="eastAsia" w:ascii="宋体" w:hAnsi="宋体"/>
          <w:color w:val="auto"/>
          <w:sz w:val="24"/>
        </w:rPr>
        <w:t>承包人（主办方）：</w:t>
      </w:r>
    </w:p>
    <w:p w14:paraId="2F4D15BD">
      <w:pPr>
        <w:spacing w:line="360" w:lineRule="auto"/>
        <w:ind w:firstLine="240" w:firstLineChars="100"/>
        <w:rPr>
          <w:rFonts w:ascii="宋体"/>
          <w:color w:val="auto"/>
          <w:sz w:val="24"/>
          <w:u w:val="single"/>
        </w:rPr>
      </w:pPr>
      <w:r>
        <w:rPr>
          <w:rFonts w:hint="eastAsia" w:ascii="宋体" w:hAnsi="宋体"/>
          <w:color w:val="auto"/>
          <w:sz w:val="24"/>
        </w:rPr>
        <w:t>通讯地址：收件人：邮政编码：</w:t>
      </w:r>
    </w:p>
    <w:p w14:paraId="08510308">
      <w:pPr>
        <w:spacing w:line="360" w:lineRule="auto"/>
        <w:ind w:firstLine="240" w:firstLineChars="100"/>
        <w:rPr>
          <w:rFonts w:ascii="宋体"/>
          <w:color w:val="auto"/>
          <w:sz w:val="24"/>
        </w:rPr>
      </w:pPr>
    </w:p>
    <w:p w14:paraId="7F6B780C">
      <w:pPr>
        <w:spacing w:line="360" w:lineRule="auto"/>
        <w:ind w:firstLine="240" w:firstLineChars="100"/>
        <w:rPr>
          <w:rFonts w:ascii="宋体"/>
          <w:color w:val="auto"/>
          <w:sz w:val="24"/>
        </w:rPr>
      </w:pPr>
      <w:r>
        <w:rPr>
          <w:rFonts w:hint="eastAsia" w:ascii="宋体" w:hAnsi="宋体"/>
          <w:color w:val="auto"/>
          <w:sz w:val="24"/>
        </w:rPr>
        <w:t>承包人（成员一）：</w:t>
      </w:r>
    </w:p>
    <w:p w14:paraId="4DDA938B">
      <w:pPr>
        <w:spacing w:line="360" w:lineRule="auto"/>
        <w:ind w:firstLine="240" w:firstLineChars="100"/>
        <w:rPr>
          <w:rFonts w:ascii="宋体"/>
          <w:color w:val="auto"/>
          <w:sz w:val="24"/>
        </w:rPr>
      </w:pPr>
      <w:r>
        <w:rPr>
          <w:rFonts w:hint="eastAsia" w:ascii="宋体" w:hAnsi="宋体"/>
          <w:color w:val="auto"/>
          <w:sz w:val="24"/>
        </w:rPr>
        <w:t>通讯地址：收件人：   邮政编码：</w:t>
      </w:r>
    </w:p>
    <w:p w14:paraId="1EA15956">
      <w:pPr>
        <w:spacing w:line="360" w:lineRule="auto"/>
        <w:ind w:firstLine="240" w:firstLineChars="100"/>
        <w:rPr>
          <w:rFonts w:ascii="宋体"/>
          <w:color w:val="auto"/>
          <w:sz w:val="24"/>
          <w:u w:val="single"/>
        </w:rPr>
      </w:pPr>
    </w:p>
    <w:p w14:paraId="31127939">
      <w:pPr>
        <w:spacing w:line="360" w:lineRule="auto"/>
        <w:ind w:firstLine="240" w:firstLineChars="100"/>
        <w:rPr>
          <w:rFonts w:ascii="宋体"/>
          <w:color w:val="auto"/>
          <w:sz w:val="24"/>
          <w:u w:val="single"/>
        </w:rPr>
      </w:pPr>
      <w:r>
        <w:rPr>
          <w:rFonts w:hint="eastAsia" w:ascii="宋体" w:hAnsi="宋体"/>
          <w:color w:val="auto"/>
          <w:sz w:val="24"/>
        </w:rPr>
        <w:t>承包人（成员二）：</w:t>
      </w:r>
    </w:p>
    <w:p w14:paraId="230884D1">
      <w:pPr>
        <w:spacing w:line="360" w:lineRule="auto"/>
        <w:ind w:firstLine="240" w:firstLineChars="100"/>
        <w:rPr>
          <w:rFonts w:ascii="宋体"/>
          <w:color w:val="auto"/>
          <w:sz w:val="24"/>
        </w:rPr>
      </w:pPr>
      <w:r>
        <w:rPr>
          <w:rFonts w:hint="eastAsia" w:ascii="宋体" w:hAnsi="宋体"/>
          <w:color w:val="auto"/>
          <w:sz w:val="24"/>
        </w:rPr>
        <w:t>通讯地址：收件人：   邮政编码：</w:t>
      </w:r>
    </w:p>
    <w:p w14:paraId="5BA7A8D1">
      <w:pPr>
        <w:spacing w:line="360" w:lineRule="auto"/>
        <w:ind w:firstLine="240" w:firstLineChars="100"/>
        <w:rPr>
          <w:rFonts w:ascii="宋体"/>
          <w:color w:val="auto"/>
          <w:sz w:val="24"/>
        </w:rPr>
      </w:pPr>
    </w:p>
    <w:p w14:paraId="051FD4D1">
      <w:pPr>
        <w:spacing w:line="360" w:lineRule="auto"/>
        <w:ind w:firstLine="240" w:firstLineChars="100"/>
        <w:rPr>
          <w:rFonts w:ascii="宋体"/>
          <w:color w:val="auto"/>
          <w:sz w:val="24"/>
        </w:rPr>
      </w:pPr>
      <w:r>
        <w:rPr>
          <w:rFonts w:hint="eastAsia" w:ascii="宋体" w:hAnsi="宋体"/>
          <w:color w:val="auto"/>
          <w:sz w:val="24"/>
        </w:rPr>
        <w:t>监理人：</w:t>
      </w:r>
    </w:p>
    <w:p w14:paraId="0D9534B6">
      <w:pPr>
        <w:spacing w:line="360" w:lineRule="auto"/>
        <w:ind w:firstLine="240" w:firstLineChars="100"/>
        <w:rPr>
          <w:rFonts w:ascii="宋体"/>
          <w:color w:val="auto"/>
          <w:sz w:val="24"/>
        </w:rPr>
      </w:pPr>
      <w:r>
        <w:rPr>
          <w:rFonts w:hint="eastAsia" w:ascii="宋体" w:hAnsi="宋体"/>
          <w:color w:val="auto"/>
          <w:sz w:val="24"/>
        </w:rPr>
        <w:t>通讯地址：收件人：   邮政编码：</w:t>
      </w:r>
    </w:p>
    <w:p w14:paraId="565B5BA9">
      <w:pPr>
        <w:spacing w:line="360" w:lineRule="auto"/>
        <w:ind w:firstLine="240" w:firstLineChars="100"/>
        <w:rPr>
          <w:rFonts w:ascii="宋体"/>
          <w:color w:val="auto"/>
          <w:sz w:val="24"/>
          <w:u w:val="single"/>
        </w:rPr>
      </w:pPr>
    </w:p>
    <w:p w14:paraId="76B49AB3">
      <w:pPr>
        <w:spacing w:line="360" w:lineRule="auto"/>
        <w:ind w:firstLine="240" w:firstLineChars="100"/>
        <w:rPr>
          <w:rFonts w:ascii="宋体"/>
          <w:color w:val="auto"/>
          <w:sz w:val="24"/>
        </w:rPr>
      </w:pPr>
      <w:r>
        <w:rPr>
          <w:rFonts w:hint="eastAsia" w:ascii="宋体" w:hAnsi="宋体"/>
          <w:color w:val="auto"/>
          <w:sz w:val="24"/>
        </w:rPr>
        <w:t>工程造价咨询人：</w:t>
      </w:r>
    </w:p>
    <w:p w14:paraId="0DF5E0AD">
      <w:pPr>
        <w:spacing w:line="360" w:lineRule="auto"/>
        <w:ind w:firstLine="240" w:firstLineChars="100"/>
        <w:rPr>
          <w:rFonts w:ascii="宋体"/>
          <w:color w:val="auto"/>
          <w:sz w:val="24"/>
        </w:rPr>
      </w:pPr>
      <w:r>
        <w:rPr>
          <w:rFonts w:hint="eastAsia" w:ascii="宋体" w:hAnsi="宋体"/>
          <w:color w:val="auto"/>
          <w:sz w:val="24"/>
        </w:rPr>
        <w:t>通讯地址：收件人：   邮政编码：</w:t>
      </w:r>
    </w:p>
    <w:p w14:paraId="65552DDC">
      <w:pPr>
        <w:spacing w:line="360" w:lineRule="auto"/>
        <w:ind w:firstLine="240" w:firstLineChars="100"/>
        <w:rPr>
          <w:rFonts w:ascii="宋体"/>
          <w:color w:val="auto"/>
          <w:sz w:val="24"/>
        </w:rPr>
      </w:pPr>
    </w:p>
    <w:p w14:paraId="31510741">
      <w:pPr>
        <w:spacing w:line="360" w:lineRule="auto"/>
        <w:rPr>
          <w:rFonts w:ascii="宋体"/>
          <w:color w:val="auto"/>
          <w:sz w:val="24"/>
        </w:rPr>
      </w:pPr>
      <w:r>
        <w:rPr>
          <w:rFonts w:hint="eastAsia" w:ascii="宋体" w:hAnsi="宋体"/>
          <w:color w:val="auto"/>
          <w:sz w:val="24"/>
        </w:rPr>
        <w:t>（2）视为送达的其他方式：</w:t>
      </w:r>
      <w:r>
        <w:rPr>
          <w:rFonts w:ascii="宋体" w:hAnsi="宋体"/>
          <w:color w:val="auto"/>
          <w:sz w:val="24"/>
          <w:u w:val="single"/>
        </w:rPr>
        <w:t xml:space="preserve">                 /                        </w:t>
      </w:r>
    </w:p>
    <w:p w14:paraId="75B81B2A">
      <w:pPr>
        <w:spacing w:line="360" w:lineRule="auto"/>
        <w:ind w:left="120"/>
        <w:rPr>
          <w:rFonts w:ascii="宋体"/>
          <w:color w:val="auto"/>
          <w:sz w:val="24"/>
        </w:rPr>
      </w:pPr>
    </w:p>
    <w:p w14:paraId="277D0304">
      <w:pPr>
        <w:spacing w:line="360" w:lineRule="auto"/>
        <w:ind w:left="120"/>
        <w:rPr>
          <w:rFonts w:ascii="宋体"/>
          <w:color w:val="auto"/>
          <w:sz w:val="24"/>
        </w:rPr>
      </w:pPr>
    </w:p>
    <w:p w14:paraId="5620E994">
      <w:pPr>
        <w:spacing w:line="360" w:lineRule="auto"/>
        <w:ind w:left="120"/>
        <w:rPr>
          <w:rFonts w:ascii="宋体"/>
          <w:b/>
          <w:color w:val="auto"/>
          <w:sz w:val="24"/>
        </w:rPr>
      </w:pPr>
      <w:r>
        <w:rPr>
          <w:rFonts w:hint="eastAsia" w:ascii="宋体" w:hAnsi="宋体"/>
          <w:b/>
          <w:color w:val="auto"/>
          <w:sz w:val="24"/>
        </w:rPr>
        <w:t>7、工程分包</w:t>
      </w:r>
    </w:p>
    <w:p w14:paraId="1CE27A1D">
      <w:pPr>
        <w:spacing w:line="360" w:lineRule="auto"/>
        <w:ind w:left="120"/>
        <w:rPr>
          <w:rFonts w:ascii="宋体"/>
          <w:color w:val="auto"/>
          <w:sz w:val="24"/>
        </w:rPr>
      </w:pPr>
      <w:r>
        <w:rPr>
          <w:rFonts w:hint="eastAsia" w:ascii="宋体" w:hAnsi="宋体"/>
          <w:color w:val="auto"/>
          <w:sz w:val="24"/>
        </w:rPr>
        <w:t>7</w:t>
      </w:r>
      <w:r>
        <w:rPr>
          <w:rFonts w:ascii="宋体" w:hAnsi="宋体"/>
          <w:color w:val="auto"/>
          <w:sz w:val="24"/>
        </w:rPr>
        <w:t>.</w:t>
      </w:r>
      <w:r>
        <w:rPr>
          <w:rFonts w:hint="eastAsia" w:ascii="宋体" w:hAnsi="宋体"/>
          <w:color w:val="auto"/>
          <w:sz w:val="24"/>
        </w:rPr>
        <w:t>2指定分包工程名称：</w:t>
      </w:r>
      <w:r>
        <w:rPr>
          <w:rFonts w:ascii="宋体" w:hAnsi="宋体"/>
          <w:color w:val="auto"/>
          <w:sz w:val="24"/>
          <w:u w:val="single"/>
        </w:rPr>
        <w:t xml:space="preserve">                           /                          </w:t>
      </w:r>
    </w:p>
    <w:p w14:paraId="329359D0">
      <w:pPr>
        <w:spacing w:line="360" w:lineRule="auto"/>
        <w:ind w:left="120"/>
        <w:rPr>
          <w:rFonts w:ascii="宋体"/>
          <w:b/>
          <w:color w:val="auto"/>
          <w:sz w:val="24"/>
        </w:rPr>
      </w:pPr>
      <w:r>
        <w:rPr>
          <w:rFonts w:hint="eastAsia" w:ascii="宋体" w:hAnsi="宋体"/>
          <w:color w:val="auto"/>
          <w:sz w:val="24"/>
        </w:rPr>
        <w:t>7</w:t>
      </w:r>
      <w:r>
        <w:rPr>
          <w:rFonts w:ascii="宋体" w:hAnsi="宋体"/>
          <w:color w:val="auto"/>
          <w:sz w:val="24"/>
        </w:rPr>
        <w:t>.</w:t>
      </w:r>
      <w:r>
        <w:rPr>
          <w:rFonts w:hint="eastAsia" w:ascii="宋体" w:hAnsi="宋体"/>
          <w:color w:val="auto"/>
          <w:sz w:val="24"/>
        </w:rPr>
        <w:t>4分包工程款的支付方式：</w:t>
      </w:r>
      <w:r>
        <w:rPr>
          <w:rFonts w:ascii="宋体" w:hAnsi="宋体"/>
          <w:color w:val="auto"/>
          <w:sz w:val="24"/>
          <w:u w:val="single"/>
        </w:rPr>
        <w:t xml:space="preserve">                       /                          </w:t>
      </w:r>
    </w:p>
    <w:p w14:paraId="26A8C7ED">
      <w:pPr>
        <w:spacing w:line="360" w:lineRule="auto"/>
        <w:ind w:left="120"/>
        <w:rPr>
          <w:rFonts w:ascii="宋体"/>
          <w:b/>
          <w:color w:val="auto"/>
          <w:sz w:val="24"/>
        </w:rPr>
      </w:pPr>
    </w:p>
    <w:p w14:paraId="2296FE42">
      <w:pPr>
        <w:spacing w:line="360" w:lineRule="auto"/>
        <w:ind w:left="120"/>
        <w:rPr>
          <w:rFonts w:ascii="宋体"/>
          <w:b/>
          <w:color w:val="auto"/>
          <w:sz w:val="24"/>
        </w:rPr>
      </w:pPr>
      <w:r>
        <w:rPr>
          <w:rFonts w:hint="eastAsia" w:ascii="宋体" w:hAnsi="宋体"/>
          <w:b/>
          <w:color w:val="auto"/>
          <w:sz w:val="24"/>
        </w:rPr>
        <w:t>13、交通运输</w:t>
      </w:r>
    </w:p>
    <w:p w14:paraId="5953848B">
      <w:pPr>
        <w:spacing w:line="360" w:lineRule="auto"/>
        <w:ind w:left="120"/>
        <w:rPr>
          <w:rFonts w:ascii="宋体"/>
          <w:color w:val="auto"/>
          <w:sz w:val="24"/>
        </w:rPr>
      </w:pPr>
      <w:r>
        <w:rPr>
          <w:rFonts w:hint="eastAsia" w:ascii="宋体" w:hAnsi="宋体"/>
          <w:color w:val="auto"/>
          <w:sz w:val="24"/>
        </w:rPr>
        <w:t>13.</w:t>
      </w:r>
      <w:r>
        <w:rPr>
          <w:rFonts w:ascii="宋体" w:hAnsi="宋体"/>
          <w:color w:val="auto"/>
          <w:sz w:val="24"/>
        </w:rPr>
        <w:t xml:space="preserve">1 </w:t>
      </w:r>
      <w:r>
        <w:rPr>
          <w:rFonts w:hint="eastAsia" w:ascii="宋体" w:hAnsi="宋体"/>
          <w:color w:val="auto"/>
          <w:sz w:val="24"/>
        </w:rPr>
        <w:t>办理道路通行权和修建场外设施的费用：</w:t>
      </w:r>
      <w:r>
        <w:rPr>
          <w:rFonts w:ascii="宋体" w:hAnsi="宋体"/>
          <w:color w:val="auto"/>
          <w:sz w:val="24"/>
          <w:u w:val="single"/>
        </w:rPr>
        <w:t xml:space="preserve">                 /                </w:t>
      </w:r>
    </w:p>
    <w:p w14:paraId="30D2C8D5">
      <w:pPr>
        <w:spacing w:line="360" w:lineRule="auto"/>
        <w:ind w:left="120"/>
        <w:rPr>
          <w:rFonts w:ascii="宋体"/>
          <w:color w:val="auto"/>
          <w:sz w:val="24"/>
        </w:rPr>
      </w:pPr>
      <w:r>
        <w:rPr>
          <w:rFonts w:hint="eastAsia" w:ascii="宋体" w:hAnsi="宋体"/>
          <w:color w:val="auto"/>
          <w:sz w:val="24"/>
        </w:rPr>
        <w:t>13.</w:t>
      </w:r>
      <w:r>
        <w:rPr>
          <w:rFonts w:ascii="宋体" w:hAnsi="宋体"/>
          <w:color w:val="auto"/>
          <w:sz w:val="24"/>
        </w:rPr>
        <w:t xml:space="preserve">2 </w:t>
      </w:r>
      <w:r>
        <w:rPr>
          <w:rFonts w:hint="eastAsia" w:ascii="宋体" w:hAnsi="宋体"/>
          <w:color w:val="auto"/>
          <w:sz w:val="24"/>
        </w:rPr>
        <w:t>修建场内临时道路和交通设施的费用：</w:t>
      </w:r>
      <w:r>
        <w:rPr>
          <w:rFonts w:ascii="宋体" w:hAnsi="宋体"/>
          <w:color w:val="auto"/>
          <w:sz w:val="24"/>
          <w:u w:val="single"/>
        </w:rPr>
        <w:t xml:space="preserve">                  /                 </w:t>
      </w:r>
    </w:p>
    <w:p w14:paraId="56517CC0">
      <w:pPr>
        <w:spacing w:line="360" w:lineRule="auto"/>
        <w:ind w:left="120"/>
        <w:rPr>
          <w:rFonts w:ascii="宋体"/>
          <w:color w:val="auto"/>
          <w:sz w:val="24"/>
        </w:rPr>
      </w:pPr>
      <w:r>
        <w:rPr>
          <w:rFonts w:hint="eastAsia" w:ascii="宋体" w:hAnsi="宋体"/>
          <w:color w:val="auto"/>
          <w:sz w:val="24"/>
        </w:rPr>
        <w:t>13.4运输超大件和超重件的费用：</w:t>
      </w:r>
      <w:r>
        <w:rPr>
          <w:rFonts w:ascii="宋体" w:hAnsi="宋体"/>
          <w:color w:val="auto"/>
          <w:sz w:val="24"/>
          <w:u w:val="single"/>
        </w:rPr>
        <w:t xml:space="preserve">                         /                  </w:t>
      </w:r>
    </w:p>
    <w:p w14:paraId="60EA62D0">
      <w:pPr>
        <w:spacing w:line="360" w:lineRule="auto"/>
        <w:rPr>
          <w:rFonts w:ascii="宋体"/>
          <w:color w:val="auto"/>
          <w:sz w:val="24"/>
        </w:rPr>
      </w:pPr>
    </w:p>
    <w:p w14:paraId="2278B8A4">
      <w:pPr>
        <w:spacing w:line="360" w:lineRule="auto"/>
        <w:ind w:left="120"/>
        <w:rPr>
          <w:rFonts w:ascii="宋体"/>
          <w:b/>
          <w:color w:val="auto"/>
          <w:sz w:val="24"/>
        </w:rPr>
      </w:pPr>
      <w:r>
        <w:rPr>
          <w:rFonts w:hint="eastAsia" w:ascii="宋体" w:hAnsi="宋体"/>
          <w:b/>
          <w:color w:val="auto"/>
          <w:sz w:val="24"/>
        </w:rPr>
        <w:t>14、专项批准事件的签认</w:t>
      </w:r>
    </w:p>
    <w:p w14:paraId="0F84CBA2">
      <w:pPr>
        <w:spacing w:line="360" w:lineRule="auto"/>
        <w:ind w:left="120"/>
        <w:rPr>
          <w:rFonts w:ascii="宋体"/>
          <w:color w:val="auto"/>
          <w:sz w:val="24"/>
        </w:rPr>
      </w:pPr>
      <w:r>
        <w:rPr>
          <w:rFonts w:hint="eastAsia" w:ascii="宋体"/>
          <w:color w:val="auto"/>
          <w:sz w:val="24"/>
        </w:rPr>
        <w:t xml:space="preserve">14.2 </w:t>
      </w:r>
      <w:r>
        <w:rPr>
          <w:rFonts w:hint="eastAsia" w:ascii="宋体" w:hAnsi="宋体"/>
          <w:color w:val="auto"/>
          <w:sz w:val="24"/>
        </w:rPr>
        <w:t>专项批准事件的签认人选</w:t>
      </w:r>
    </w:p>
    <w:p w14:paraId="710A0705">
      <w:pPr>
        <w:spacing w:line="360" w:lineRule="auto"/>
        <w:rPr>
          <w:rFonts w:ascii="宋体"/>
          <w:color w:val="auto"/>
          <w:sz w:val="24"/>
        </w:rPr>
      </w:pPr>
      <w:r>
        <w:rPr>
          <w:rFonts w:hint="eastAsia" w:ascii="宋体" w:hAnsi="宋体"/>
          <w:color w:val="auto"/>
          <w:sz w:val="24"/>
        </w:rPr>
        <w:t>（1）监理工程师：</w:t>
      </w:r>
    </w:p>
    <w:p w14:paraId="775A198F">
      <w:pPr>
        <w:spacing w:line="360" w:lineRule="auto"/>
        <w:rPr>
          <w:rFonts w:ascii="宋体"/>
          <w:color w:val="auto"/>
          <w:sz w:val="24"/>
          <w:u w:val="single"/>
        </w:rPr>
      </w:pPr>
      <w:r>
        <w:rPr>
          <w:rFonts w:hint="eastAsia" w:ascii="宋体" w:hAnsi="宋体"/>
          <w:color w:val="auto"/>
          <w:sz w:val="24"/>
        </w:rPr>
        <w:t>姓名：              印章样式：签字样式：</w:t>
      </w:r>
    </w:p>
    <w:p w14:paraId="682EA0DD">
      <w:pPr>
        <w:spacing w:line="360" w:lineRule="auto"/>
        <w:ind w:left="240"/>
        <w:rPr>
          <w:rFonts w:ascii="宋体"/>
          <w:color w:val="auto"/>
          <w:sz w:val="24"/>
        </w:rPr>
      </w:pPr>
    </w:p>
    <w:p w14:paraId="3F6B8F41">
      <w:pPr>
        <w:spacing w:line="360" w:lineRule="auto"/>
        <w:rPr>
          <w:rFonts w:ascii="宋体"/>
          <w:color w:val="auto"/>
          <w:sz w:val="24"/>
        </w:rPr>
      </w:pPr>
      <w:r>
        <w:rPr>
          <w:rFonts w:hint="eastAsia" w:ascii="宋体" w:hAnsi="宋体"/>
          <w:color w:val="auto"/>
          <w:sz w:val="24"/>
        </w:rPr>
        <w:t>（2）造价工程师：</w:t>
      </w:r>
    </w:p>
    <w:p w14:paraId="049121A1">
      <w:pPr>
        <w:spacing w:line="360" w:lineRule="auto"/>
        <w:rPr>
          <w:rFonts w:ascii="宋体"/>
          <w:color w:val="auto"/>
          <w:sz w:val="24"/>
          <w:u w:val="single"/>
        </w:rPr>
      </w:pPr>
      <w:r>
        <w:rPr>
          <w:rFonts w:hint="eastAsia" w:ascii="宋体" w:hAnsi="宋体"/>
          <w:color w:val="auto"/>
          <w:sz w:val="24"/>
        </w:rPr>
        <w:t>姓名：              印章样式：签字样式：</w:t>
      </w:r>
    </w:p>
    <w:p w14:paraId="0F6C0398">
      <w:pPr>
        <w:spacing w:line="360" w:lineRule="auto"/>
        <w:ind w:left="239" w:leftChars="114" w:firstLine="120" w:firstLineChars="50"/>
        <w:rPr>
          <w:rFonts w:ascii="宋体"/>
          <w:color w:val="auto"/>
          <w:sz w:val="24"/>
        </w:rPr>
      </w:pPr>
    </w:p>
    <w:p w14:paraId="0535273B">
      <w:pPr>
        <w:spacing w:line="360" w:lineRule="auto"/>
        <w:rPr>
          <w:rFonts w:ascii="宋体"/>
          <w:color w:val="auto"/>
          <w:sz w:val="24"/>
        </w:rPr>
      </w:pPr>
      <w:r>
        <w:rPr>
          <w:rFonts w:hint="eastAsia" w:ascii="宋体" w:hAnsi="宋体"/>
          <w:color w:val="auto"/>
          <w:sz w:val="24"/>
        </w:rPr>
        <w:t>（3）建造师：</w:t>
      </w:r>
    </w:p>
    <w:p w14:paraId="5AE9F9A1">
      <w:pPr>
        <w:spacing w:line="360" w:lineRule="auto"/>
        <w:rPr>
          <w:rFonts w:ascii="宋体"/>
          <w:color w:val="auto"/>
          <w:sz w:val="24"/>
          <w:u w:val="single"/>
        </w:rPr>
      </w:pPr>
      <w:r>
        <w:rPr>
          <w:rFonts w:hint="eastAsia" w:ascii="宋体" w:hAnsi="宋体"/>
          <w:color w:val="auto"/>
          <w:sz w:val="24"/>
        </w:rPr>
        <w:t>姓名：              印章样式：签字样式：</w:t>
      </w:r>
    </w:p>
    <w:p w14:paraId="5D51DEA4">
      <w:pPr>
        <w:spacing w:line="360" w:lineRule="auto"/>
        <w:ind w:left="239" w:leftChars="114" w:firstLine="120" w:firstLineChars="50"/>
        <w:rPr>
          <w:rFonts w:ascii="宋体"/>
          <w:color w:val="auto"/>
          <w:sz w:val="24"/>
        </w:rPr>
      </w:pPr>
    </w:p>
    <w:p w14:paraId="75C136FA">
      <w:pPr>
        <w:spacing w:line="360" w:lineRule="auto"/>
        <w:rPr>
          <w:rFonts w:ascii="宋体"/>
          <w:b/>
          <w:color w:val="auto"/>
          <w:sz w:val="24"/>
        </w:rPr>
      </w:pPr>
      <w:r>
        <w:rPr>
          <w:rFonts w:hint="eastAsia" w:ascii="宋体" w:hAnsi="宋体"/>
          <w:b/>
          <w:color w:val="auto"/>
          <w:sz w:val="24"/>
        </w:rPr>
        <w:t>19、发包人</w:t>
      </w:r>
    </w:p>
    <w:p w14:paraId="2DB4E916">
      <w:pPr>
        <w:spacing w:line="360" w:lineRule="auto"/>
        <w:rPr>
          <w:rFonts w:ascii="宋体"/>
          <w:color w:val="auto"/>
          <w:sz w:val="24"/>
        </w:rPr>
      </w:pPr>
      <w:r>
        <w:rPr>
          <w:rFonts w:hint="eastAsia" w:ascii="宋体" w:hAnsi="宋体"/>
          <w:color w:val="auto"/>
          <w:sz w:val="24"/>
        </w:rPr>
        <w:t>19.2 发包人完成下列工作的约定</w:t>
      </w:r>
    </w:p>
    <w:p w14:paraId="28AAD0D3">
      <w:pPr>
        <w:spacing w:line="360" w:lineRule="auto"/>
        <w:rPr>
          <w:rFonts w:ascii="宋体"/>
          <w:color w:val="auto"/>
          <w:sz w:val="24"/>
          <w:u w:val="single"/>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）办理土地征用、拆迁、平整施工场地等工作的时间：</w:t>
      </w:r>
      <w:r>
        <w:rPr>
          <w:rFonts w:hint="eastAsia" w:ascii="宋体" w:hAnsi="宋体"/>
          <w:color w:val="auto"/>
          <w:sz w:val="24"/>
          <w:u w:val="single"/>
        </w:rPr>
        <w:t>承包人进场前三天内，发包人完成土地征用、拆迁、平整施工场地等工作。</w:t>
      </w:r>
    </w:p>
    <w:p w14:paraId="1C513B0D">
      <w:pPr>
        <w:tabs>
          <w:tab w:val="left" w:pos="0"/>
        </w:tabs>
        <w:spacing w:line="360" w:lineRule="auto"/>
        <w:ind w:firstLine="480" w:firstLineChars="200"/>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）完成施工所需水、电、通讯线路接驳的时间及地点：</w:t>
      </w:r>
      <w:r>
        <w:rPr>
          <w:rFonts w:hint="eastAsia" w:ascii="宋体" w:hAnsi="宋体"/>
          <w:color w:val="auto"/>
          <w:sz w:val="24"/>
          <w:u w:val="single"/>
        </w:rPr>
        <w:t>发包人向承包人提供施工场地水临电接驳点，施工场地临水临电接驳及工程费用、施工临时用水、用电、通讯设施由承包人自行负责。</w:t>
      </w:r>
    </w:p>
    <w:p w14:paraId="2E43A0F8">
      <w:pPr>
        <w:spacing w:line="360" w:lineRule="auto"/>
        <w:ind w:firstLine="480" w:firstLineChars="200"/>
        <w:rPr>
          <w:rFonts w:asci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）开通施工现场与城乡公共道路间的通道的时间：</w:t>
      </w:r>
      <w:r>
        <w:rPr>
          <w:rFonts w:ascii="宋体" w:hAnsi="宋体"/>
          <w:color w:val="auto"/>
          <w:sz w:val="24"/>
          <w:u w:val="single"/>
        </w:rPr>
        <w:t xml:space="preserve">             /                </w:t>
      </w:r>
    </w:p>
    <w:p w14:paraId="36F292DE">
      <w:pPr>
        <w:spacing w:line="360" w:lineRule="auto"/>
        <w:ind w:firstLine="480" w:firstLineChars="200"/>
        <w:rPr>
          <w:rFonts w:asci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）提供施工所需的有关资料的时间：</w:t>
      </w:r>
      <w:r>
        <w:rPr>
          <w:rFonts w:ascii="宋体" w:hAnsi="宋体"/>
          <w:color w:val="auto"/>
          <w:sz w:val="24"/>
          <w:u w:val="single"/>
        </w:rPr>
        <w:t xml:space="preserve">                  /                    </w:t>
      </w:r>
    </w:p>
    <w:p w14:paraId="3CE85C69">
      <w:pPr>
        <w:spacing w:line="360" w:lineRule="auto"/>
        <w:ind w:firstLine="480" w:firstLineChars="200"/>
        <w:rPr>
          <w:rFonts w:ascii="宋体"/>
          <w:color w:val="auto"/>
          <w:sz w:val="24"/>
          <w:u w:val="single"/>
        </w:rPr>
      </w:pPr>
      <w:r>
        <w:rPr>
          <w:rFonts w:hint="eastAsia" w:ascii="宋体" w:hAnsi="宋体"/>
          <w:color w:val="auto"/>
          <w:sz w:val="24"/>
        </w:rPr>
        <w:t>（</w:t>
      </w:r>
      <w:r>
        <w:rPr>
          <w:rFonts w:ascii="宋体" w:hAnsi="宋体"/>
          <w:color w:val="auto"/>
          <w:sz w:val="24"/>
        </w:rPr>
        <w:t>5</w:t>
      </w:r>
      <w:r>
        <w:rPr>
          <w:rFonts w:hint="eastAsia" w:ascii="宋体" w:hAnsi="宋体"/>
          <w:color w:val="auto"/>
          <w:sz w:val="24"/>
        </w:rPr>
        <w:t>）办理施工所需的有关证件和批准手续的时间：</w:t>
      </w:r>
      <w:r>
        <w:rPr>
          <w:rFonts w:hint="eastAsia" w:ascii="宋体" w:hAnsi="宋体"/>
          <w:color w:val="auto"/>
          <w:sz w:val="24"/>
          <w:u w:val="single"/>
        </w:rPr>
        <w:t>工程施工所需的办理有关行政许可手续和证件，由承包人协助发包人办理，如政府部门规定须由发包人支付的费用，由发包人据实支付外，其它费用已包含在承包人的投标报价中。</w:t>
      </w:r>
    </w:p>
    <w:p w14:paraId="57756F69">
      <w:pPr>
        <w:spacing w:line="360" w:lineRule="auto"/>
        <w:ind w:left="284"/>
        <w:rPr>
          <w:rFonts w:ascii="宋体"/>
          <w:color w:val="auto"/>
          <w:sz w:val="24"/>
        </w:rPr>
      </w:pPr>
      <w:r>
        <w:rPr>
          <w:rFonts w:hint="eastAsia" w:ascii="宋体" w:hAnsi="宋体"/>
          <w:color w:val="auto"/>
          <w:sz w:val="24"/>
        </w:rPr>
        <w:t>（</w:t>
      </w:r>
      <w:r>
        <w:rPr>
          <w:rFonts w:ascii="宋体" w:hAnsi="宋体"/>
          <w:color w:val="auto"/>
          <w:sz w:val="24"/>
        </w:rPr>
        <w:t>6</w:t>
      </w:r>
      <w:r>
        <w:rPr>
          <w:rFonts w:hint="eastAsia" w:ascii="宋体" w:hAnsi="宋体"/>
          <w:color w:val="auto"/>
          <w:sz w:val="24"/>
        </w:rPr>
        <w:t>）现场交验的时间：</w:t>
      </w:r>
      <w:r>
        <w:rPr>
          <w:rFonts w:hint="eastAsia" w:ascii="宋体" w:hAnsi="宋体"/>
          <w:color w:val="auto"/>
          <w:sz w:val="24"/>
          <w:u w:val="single"/>
        </w:rPr>
        <w:t>施工开工前三天。</w:t>
      </w:r>
    </w:p>
    <w:p w14:paraId="009E8FC8">
      <w:pPr>
        <w:numPr>
          <w:ilvl w:val="0"/>
          <w:numId w:val="35"/>
        </w:numPr>
        <w:spacing w:line="360" w:lineRule="auto"/>
        <w:rPr>
          <w:rFonts w:ascii="宋体"/>
          <w:color w:val="auto"/>
          <w:sz w:val="24"/>
          <w:u w:val="single"/>
        </w:rPr>
      </w:pPr>
      <w:r>
        <w:rPr>
          <w:rFonts w:hint="eastAsia" w:ascii="宋体" w:hAnsi="宋体"/>
          <w:color w:val="auto"/>
          <w:sz w:val="24"/>
        </w:rPr>
        <w:t>提供标准与规范的时间：</w:t>
      </w:r>
      <w:r>
        <w:rPr>
          <w:rFonts w:ascii="宋体" w:hAnsi="宋体"/>
          <w:color w:val="auto"/>
          <w:sz w:val="24"/>
          <w:u w:val="single"/>
        </w:rPr>
        <w:t xml:space="preserve">  /  </w:t>
      </w:r>
    </w:p>
    <w:p w14:paraId="1BC47612">
      <w:pPr>
        <w:spacing w:line="360" w:lineRule="auto"/>
        <w:ind w:firstLine="240" w:firstLineChars="100"/>
        <w:rPr>
          <w:rFonts w:ascii="宋体"/>
          <w:color w:val="auto"/>
          <w:sz w:val="24"/>
        </w:rPr>
      </w:pPr>
      <w:r>
        <w:rPr>
          <w:rFonts w:hint="eastAsia" w:ascii="宋体" w:hAnsi="宋体"/>
          <w:color w:val="auto"/>
          <w:sz w:val="24"/>
        </w:rPr>
        <w:t>（</w:t>
      </w:r>
      <w:r>
        <w:rPr>
          <w:rFonts w:ascii="宋体" w:hAnsi="宋体"/>
          <w:color w:val="auto"/>
          <w:sz w:val="24"/>
        </w:rPr>
        <w:t>8</w:t>
      </w:r>
      <w:r>
        <w:rPr>
          <w:rFonts w:hint="eastAsia" w:ascii="宋体" w:hAnsi="宋体"/>
          <w:color w:val="auto"/>
          <w:sz w:val="24"/>
        </w:rPr>
        <w:t>）组织图纸会审和设计交底的时间：</w:t>
      </w:r>
      <w:r>
        <w:rPr>
          <w:rFonts w:hint="eastAsia" w:ascii="宋体" w:hAnsi="宋体"/>
          <w:color w:val="auto"/>
          <w:sz w:val="24"/>
          <w:u w:val="single"/>
        </w:rPr>
        <w:t>施工开工前七天。</w:t>
      </w:r>
    </w:p>
    <w:p w14:paraId="2A193EF2">
      <w:pPr>
        <w:spacing w:line="360" w:lineRule="auto"/>
        <w:ind w:firstLine="240" w:firstLineChars="100"/>
        <w:rPr>
          <w:rFonts w:ascii="宋体"/>
          <w:color w:val="auto"/>
          <w:sz w:val="24"/>
        </w:rPr>
      </w:pPr>
      <w:r>
        <w:rPr>
          <w:rFonts w:hint="eastAsia" w:ascii="宋体" w:hAnsi="宋体"/>
          <w:color w:val="auto"/>
          <w:sz w:val="24"/>
        </w:rPr>
        <w:t>（</w:t>
      </w:r>
      <w:r>
        <w:rPr>
          <w:rFonts w:ascii="宋体" w:hAnsi="宋体"/>
          <w:color w:val="auto"/>
          <w:sz w:val="24"/>
        </w:rPr>
        <w:t>9</w:t>
      </w:r>
      <w:r>
        <w:rPr>
          <w:rFonts w:hint="eastAsia" w:ascii="宋体" w:hAnsi="宋体"/>
          <w:color w:val="auto"/>
          <w:sz w:val="24"/>
        </w:rPr>
        <w:t>）协调处理施工周围场地</w:t>
      </w:r>
      <w:r>
        <w:rPr>
          <w:rFonts w:hint="eastAsia" w:ascii="宋体" w:hAnsi="宋体"/>
          <w:color w:val="auto"/>
          <w:sz w:val="24"/>
          <w:szCs w:val="18"/>
        </w:rPr>
        <w:t>关系</w:t>
      </w:r>
      <w:r>
        <w:rPr>
          <w:rFonts w:hint="eastAsia" w:ascii="宋体" w:hAnsi="宋体"/>
          <w:color w:val="auto"/>
          <w:sz w:val="24"/>
        </w:rPr>
        <w:t>问题和邻近建筑物及周边管线等保护工作的约定：</w:t>
      </w:r>
      <w:r>
        <w:rPr>
          <w:rFonts w:hint="eastAsia" w:ascii="宋体" w:hAnsi="宋体"/>
          <w:color w:val="auto"/>
          <w:sz w:val="24"/>
          <w:u w:val="single"/>
        </w:rPr>
        <w:t>协调和保护工作由承包人负责实施，发包人协助承包人做好上述保护工作的协调处理。</w:t>
      </w:r>
    </w:p>
    <w:p w14:paraId="0043A9DD">
      <w:pPr>
        <w:spacing w:line="360" w:lineRule="auto"/>
        <w:ind w:firstLine="480" w:firstLineChars="200"/>
        <w:rPr>
          <w:rFonts w:ascii="宋体"/>
          <w:color w:val="auto"/>
          <w:sz w:val="24"/>
          <w:u w:val="single"/>
        </w:rPr>
      </w:pPr>
      <w:r>
        <w:rPr>
          <w:rFonts w:hint="eastAsia" w:ascii="宋体" w:hAnsi="宋体"/>
          <w:color w:val="auto"/>
          <w:sz w:val="24"/>
        </w:rPr>
        <w:t>委托承包人办理的工作有：</w:t>
      </w:r>
      <w:r>
        <w:rPr>
          <w:rFonts w:hint="eastAsia" w:ascii="宋体" w:hAnsi="宋体"/>
          <w:color w:val="auto"/>
          <w:sz w:val="24"/>
          <w:u w:val="single"/>
        </w:rPr>
        <w:t>除文物保护外，其它保护工作费用已包含在承包人的投标报价中。</w:t>
      </w:r>
    </w:p>
    <w:p w14:paraId="436FDB41">
      <w:pPr>
        <w:spacing w:line="360" w:lineRule="auto"/>
        <w:ind w:left="120"/>
        <w:rPr>
          <w:rFonts w:ascii="宋体"/>
          <w:color w:val="auto"/>
          <w:sz w:val="24"/>
          <w:u w:val="single"/>
        </w:rPr>
      </w:pPr>
      <w:r>
        <w:rPr>
          <w:rFonts w:hint="eastAsia" w:ascii="宋体" w:hAnsi="宋体"/>
          <w:color w:val="auto"/>
          <w:sz w:val="24"/>
        </w:rPr>
        <w:t>19.3提供施工场地的时间：</w:t>
      </w:r>
      <w:r>
        <w:rPr>
          <w:rFonts w:hint="eastAsia" w:ascii="宋体" w:hAnsi="宋体"/>
          <w:color w:val="auto"/>
          <w:sz w:val="24"/>
          <w:u w:val="single"/>
        </w:rPr>
        <w:t>施工开工前三天。</w:t>
      </w:r>
    </w:p>
    <w:p w14:paraId="7444E13B">
      <w:pPr>
        <w:spacing w:line="360" w:lineRule="auto"/>
        <w:ind w:left="120"/>
        <w:rPr>
          <w:rFonts w:ascii="宋体"/>
          <w:color w:val="auto"/>
          <w:sz w:val="24"/>
        </w:rPr>
      </w:pPr>
      <w:r>
        <w:rPr>
          <w:rFonts w:hint="eastAsia" w:ascii="宋体" w:hAnsi="宋体"/>
          <w:color w:val="auto"/>
          <w:sz w:val="24"/>
        </w:rPr>
        <w:t>19.4 支付款项</w:t>
      </w:r>
    </w:p>
    <w:p w14:paraId="6F8060FB">
      <w:pPr>
        <w:spacing w:line="360" w:lineRule="auto"/>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）工程款支付期限</w:t>
      </w:r>
    </w:p>
    <w:p w14:paraId="050EA030">
      <w:pPr>
        <w:spacing w:line="360" w:lineRule="auto"/>
        <w:ind w:firstLine="240" w:firstLineChars="100"/>
        <w:rPr>
          <w:rFonts w:ascii="宋体"/>
          <w:color w:val="auto"/>
          <w:kern w:val="0"/>
          <w:sz w:val="24"/>
        </w:rPr>
      </w:pPr>
      <w:r>
        <w:rPr>
          <w:rFonts w:hint="eastAsia" w:ascii="宋体"/>
          <w:color w:val="auto"/>
          <w:kern w:val="0"/>
          <w:sz w:val="24"/>
        </w:rPr>
        <w:t>□</w:t>
      </w:r>
      <w:r>
        <w:rPr>
          <w:rFonts w:hint="eastAsia" w:ascii="宋体" w:hAnsi="宋体"/>
          <w:color w:val="auto"/>
          <w:kern w:val="0"/>
          <w:sz w:val="24"/>
        </w:rPr>
        <w:t>按通用条款第</w:t>
      </w:r>
      <w:r>
        <w:rPr>
          <w:rFonts w:ascii="宋体" w:hAnsi="宋体"/>
          <w:color w:val="auto"/>
          <w:kern w:val="0"/>
          <w:sz w:val="24"/>
        </w:rPr>
        <w:t>80.3</w:t>
      </w:r>
      <w:r>
        <w:rPr>
          <w:rFonts w:hint="eastAsia" w:ascii="宋体" w:hAnsi="宋体"/>
          <w:color w:val="auto"/>
          <w:kern w:val="0"/>
          <w:sz w:val="24"/>
        </w:rPr>
        <w:t>款、第</w:t>
      </w:r>
      <w:r>
        <w:rPr>
          <w:rFonts w:ascii="宋体" w:hAnsi="宋体"/>
          <w:color w:val="auto"/>
          <w:kern w:val="0"/>
          <w:sz w:val="24"/>
        </w:rPr>
        <w:t>81.3</w:t>
      </w:r>
      <w:r>
        <w:rPr>
          <w:rFonts w:hint="eastAsia" w:ascii="宋体" w:hAnsi="宋体"/>
          <w:color w:val="auto"/>
          <w:kern w:val="0"/>
          <w:sz w:val="24"/>
        </w:rPr>
        <w:t>款、第</w:t>
      </w:r>
      <w:r>
        <w:rPr>
          <w:rFonts w:ascii="宋体" w:hAnsi="宋体"/>
          <w:color w:val="auto"/>
          <w:kern w:val="0"/>
          <w:sz w:val="24"/>
        </w:rPr>
        <w:t>83.3</w:t>
      </w:r>
      <w:r>
        <w:rPr>
          <w:rFonts w:hint="eastAsia" w:ascii="宋体" w:hAnsi="宋体"/>
          <w:color w:val="auto"/>
          <w:kern w:val="0"/>
          <w:sz w:val="24"/>
        </w:rPr>
        <w:t>款等规定期限支付</w:t>
      </w:r>
    </w:p>
    <w:p w14:paraId="0DC1E934">
      <w:pPr>
        <w:spacing w:line="360" w:lineRule="auto"/>
        <w:ind w:firstLine="240" w:firstLineChars="100"/>
        <w:rPr>
          <w:rFonts w:ascii="宋体"/>
          <w:color w:val="auto"/>
          <w:kern w:val="0"/>
          <w:sz w:val="24"/>
        </w:rPr>
      </w:pPr>
      <w:r>
        <w:rPr>
          <w:rFonts w:hint="eastAsia" w:ascii="宋体" w:hAnsi="宋体"/>
          <w:color w:val="auto"/>
          <w:sz w:val="24"/>
        </w:rPr>
        <w:t>■</w:t>
      </w:r>
      <w:r>
        <w:rPr>
          <w:rFonts w:hint="eastAsia" w:ascii="宋体" w:hAnsi="宋体"/>
          <w:color w:val="auto"/>
          <w:kern w:val="0"/>
          <w:sz w:val="24"/>
        </w:rPr>
        <w:t>另作约定：</w:t>
      </w:r>
      <w:r>
        <w:rPr>
          <w:rFonts w:hint="eastAsia" w:ascii="宋体" w:hAnsi="宋体"/>
          <w:color w:val="auto"/>
          <w:sz w:val="24"/>
          <w:u w:val="single"/>
        </w:rPr>
        <w:t>详见专用条款</w:t>
      </w:r>
      <w:r>
        <w:rPr>
          <w:rFonts w:ascii="宋体" w:hAnsi="宋体"/>
          <w:color w:val="auto"/>
          <w:sz w:val="24"/>
          <w:u w:val="single"/>
        </w:rPr>
        <w:t xml:space="preserve"> 81.1</w:t>
      </w:r>
      <w:r>
        <w:rPr>
          <w:rFonts w:hint="eastAsia" w:ascii="宋体" w:hAnsi="宋体"/>
          <w:color w:val="auto"/>
          <w:sz w:val="24"/>
          <w:u w:val="single"/>
        </w:rPr>
        <w:t>款。</w:t>
      </w:r>
    </w:p>
    <w:p w14:paraId="22684466">
      <w:pPr>
        <w:spacing w:line="360" w:lineRule="auto"/>
        <w:rPr>
          <w:rFonts w:ascii="宋体"/>
          <w:color w:val="auto"/>
          <w:kern w:val="0"/>
          <w:sz w:val="24"/>
        </w:rPr>
      </w:pPr>
      <w:r>
        <w:rPr>
          <w:rFonts w:hint="eastAsia" w:ascii="宋体" w:hAnsi="宋体"/>
          <w:color w:val="auto"/>
          <w:kern w:val="0"/>
          <w:sz w:val="24"/>
        </w:rPr>
        <w:t>（</w:t>
      </w:r>
      <w:r>
        <w:rPr>
          <w:rFonts w:ascii="宋体" w:hAnsi="宋体"/>
          <w:color w:val="auto"/>
          <w:kern w:val="0"/>
          <w:sz w:val="24"/>
        </w:rPr>
        <w:t>2</w:t>
      </w:r>
      <w:r>
        <w:rPr>
          <w:rFonts w:hint="eastAsia" w:ascii="宋体" w:hAnsi="宋体"/>
          <w:color w:val="auto"/>
          <w:kern w:val="0"/>
          <w:sz w:val="24"/>
        </w:rPr>
        <w:t>）工程款支付方式</w:t>
      </w:r>
    </w:p>
    <w:p w14:paraId="1AF1605C">
      <w:pPr>
        <w:spacing w:line="360" w:lineRule="auto"/>
        <w:ind w:firstLine="240" w:firstLineChars="100"/>
        <w:rPr>
          <w:rFonts w:ascii="宋体"/>
          <w:color w:val="auto"/>
          <w:kern w:val="0"/>
          <w:sz w:val="24"/>
        </w:rPr>
      </w:pPr>
      <w:r>
        <w:rPr>
          <w:rFonts w:hint="eastAsia" w:ascii="宋体" w:hAnsi="宋体"/>
          <w:color w:val="auto"/>
          <w:kern w:val="0"/>
          <w:sz w:val="24"/>
        </w:rPr>
        <w:t>■按协议书所注明的银行账户转账。</w:t>
      </w:r>
    </w:p>
    <w:p w14:paraId="2EA40655">
      <w:pPr>
        <w:spacing w:line="360" w:lineRule="auto"/>
        <w:ind w:firstLine="240" w:firstLineChars="100"/>
        <w:rPr>
          <w:rFonts w:ascii="宋体"/>
          <w:color w:val="auto"/>
          <w:kern w:val="0"/>
          <w:sz w:val="24"/>
        </w:rPr>
      </w:pPr>
      <w:r>
        <w:rPr>
          <w:rFonts w:hint="eastAsia" w:ascii="宋体"/>
          <w:color w:val="auto"/>
          <w:kern w:val="0"/>
          <w:sz w:val="24"/>
        </w:rPr>
        <w:t>□</w:t>
      </w:r>
      <w:r>
        <w:rPr>
          <w:rFonts w:hint="eastAsia" w:ascii="宋体" w:hAnsi="宋体"/>
          <w:color w:val="auto"/>
          <w:kern w:val="0"/>
          <w:sz w:val="24"/>
        </w:rPr>
        <w:t>支票支付。</w:t>
      </w:r>
    </w:p>
    <w:p w14:paraId="68609109">
      <w:pPr>
        <w:spacing w:line="360" w:lineRule="auto"/>
        <w:ind w:firstLine="240" w:firstLineChars="100"/>
        <w:rPr>
          <w:rFonts w:ascii="宋体"/>
          <w:color w:val="auto"/>
          <w:kern w:val="0"/>
          <w:sz w:val="24"/>
        </w:rPr>
      </w:pPr>
      <w:r>
        <w:rPr>
          <w:rFonts w:hint="eastAsia" w:ascii="宋体"/>
          <w:color w:val="auto"/>
          <w:kern w:val="0"/>
          <w:sz w:val="24"/>
        </w:rPr>
        <w:t>□</w:t>
      </w:r>
      <w:r>
        <w:rPr>
          <w:rFonts w:hint="eastAsia" w:ascii="宋体" w:hAnsi="宋体"/>
          <w:color w:val="auto"/>
          <w:kern w:val="0"/>
          <w:sz w:val="24"/>
        </w:rPr>
        <w:t>其他方式：</w:t>
      </w:r>
      <w:r>
        <w:rPr>
          <w:rFonts w:ascii="宋体" w:hAnsi="宋体"/>
          <w:color w:val="auto"/>
          <w:kern w:val="0"/>
          <w:sz w:val="24"/>
          <w:u w:val="single"/>
        </w:rPr>
        <w:t xml:space="preserve">    /    </w:t>
      </w:r>
    </w:p>
    <w:p w14:paraId="541C17E6">
      <w:pPr>
        <w:spacing w:line="360" w:lineRule="auto"/>
        <w:rPr>
          <w:rFonts w:ascii="宋体"/>
          <w:b/>
          <w:color w:val="auto"/>
          <w:kern w:val="0"/>
          <w:sz w:val="24"/>
        </w:rPr>
      </w:pPr>
      <w:r>
        <w:rPr>
          <w:rFonts w:hint="eastAsia" w:ascii="宋体"/>
          <w:color w:val="auto"/>
          <w:kern w:val="0"/>
          <w:sz w:val="24"/>
        </w:rPr>
        <w:t>2</w:t>
      </w:r>
      <w:r>
        <w:rPr>
          <w:rFonts w:ascii="宋体" w:hAnsi="宋体"/>
          <w:b/>
          <w:color w:val="auto"/>
          <w:kern w:val="0"/>
          <w:sz w:val="24"/>
        </w:rPr>
        <w:t xml:space="preserve">0. </w:t>
      </w:r>
      <w:r>
        <w:rPr>
          <w:rFonts w:hint="eastAsia" w:ascii="宋体" w:hAnsi="宋体"/>
          <w:b/>
          <w:color w:val="auto"/>
          <w:kern w:val="0"/>
          <w:sz w:val="24"/>
        </w:rPr>
        <w:t>承包人</w:t>
      </w:r>
    </w:p>
    <w:p w14:paraId="4A2E73B7">
      <w:pPr>
        <w:spacing w:line="360" w:lineRule="auto"/>
        <w:rPr>
          <w:rFonts w:ascii="宋体"/>
          <w:color w:val="auto"/>
          <w:kern w:val="0"/>
          <w:sz w:val="24"/>
        </w:rPr>
      </w:pPr>
      <w:r>
        <w:rPr>
          <w:rFonts w:hint="eastAsia" w:ascii="宋体" w:hAnsi="宋体"/>
          <w:color w:val="auto"/>
          <w:kern w:val="0"/>
          <w:sz w:val="24"/>
        </w:rPr>
        <w:t>2</w:t>
      </w:r>
      <w:r>
        <w:rPr>
          <w:rFonts w:ascii="宋体" w:hAnsi="宋体"/>
          <w:color w:val="auto"/>
          <w:kern w:val="0"/>
          <w:sz w:val="24"/>
        </w:rPr>
        <w:t>0.</w:t>
      </w:r>
      <w:r>
        <w:rPr>
          <w:rFonts w:hint="eastAsia" w:ascii="宋体" w:hAnsi="宋体"/>
          <w:color w:val="auto"/>
          <w:kern w:val="0"/>
          <w:sz w:val="24"/>
        </w:rPr>
        <w:t>2承包人完成下列工作的约定</w:t>
      </w:r>
    </w:p>
    <w:p w14:paraId="2B4633D8">
      <w:pPr>
        <w:numPr>
          <w:ilvl w:val="0"/>
          <w:numId w:val="36"/>
        </w:numPr>
        <w:spacing w:line="360" w:lineRule="auto"/>
        <w:rPr>
          <w:rFonts w:ascii="宋体"/>
          <w:color w:val="auto"/>
          <w:kern w:val="0"/>
          <w:sz w:val="24"/>
          <w:u w:val="single"/>
        </w:rPr>
      </w:pPr>
      <w:r>
        <w:rPr>
          <w:rFonts w:hint="eastAsia" w:ascii="宋体" w:hAnsi="宋体"/>
          <w:color w:val="auto"/>
          <w:sz w:val="24"/>
          <w:szCs w:val="18"/>
        </w:rPr>
        <w:t>按照合同约定和监理工程师的指令实施、完成并保修合同工程</w:t>
      </w:r>
      <w:r>
        <w:rPr>
          <w:rFonts w:hint="eastAsia" w:ascii="宋体" w:hAnsi="宋体"/>
          <w:color w:val="auto"/>
          <w:kern w:val="0"/>
          <w:sz w:val="24"/>
        </w:rPr>
        <w:t>，其中还应包括：</w:t>
      </w:r>
    </w:p>
    <w:p w14:paraId="40CC5A7E">
      <w:pPr>
        <w:spacing w:line="360" w:lineRule="auto"/>
        <w:rPr>
          <w:rFonts w:ascii="宋体"/>
          <w:color w:val="auto"/>
          <w:kern w:val="0"/>
          <w:sz w:val="24"/>
          <w:u w:val="single"/>
        </w:rPr>
      </w:pPr>
      <w:r>
        <w:rPr>
          <w:rFonts w:ascii="宋体" w:hAnsi="宋体"/>
          <w:color w:val="auto"/>
          <w:kern w:val="0"/>
          <w:sz w:val="24"/>
          <w:u w:val="single"/>
        </w:rPr>
        <w:t xml:space="preserve">/ </w:t>
      </w:r>
      <w:r>
        <w:rPr>
          <w:rFonts w:hint="eastAsia" w:ascii="宋体" w:hAnsi="宋体"/>
          <w:color w:val="auto"/>
          <w:kern w:val="0"/>
          <w:sz w:val="24"/>
        </w:rPr>
        <w:t>。</w:t>
      </w:r>
    </w:p>
    <w:p w14:paraId="39A115C8">
      <w:pPr>
        <w:spacing w:line="360" w:lineRule="auto"/>
        <w:ind w:firstLine="480" w:firstLineChars="200"/>
        <w:rPr>
          <w:rFonts w:ascii="宋体"/>
          <w:color w:val="auto"/>
          <w:kern w:val="0"/>
          <w:sz w:val="24"/>
        </w:rPr>
      </w:pPr>
      <w:r>
        <w:rPr>
          <w:rFonts w:hint="eastAsia" w:ascii="宋体" w:hAnsi="宋体"/>
          <w:color w:val="auto"/>
          <w:kern w:val="0"/>
          <w:sz w:val="24"/>
        </w:rPr>
        <w:t>（</w:t>
      </w:r>
      <w:r>
        <w:rPr>
          <w:rFonts w:ascii="宋体" w:hAnsi="宋体"/>
          <w:color w:val="auto"/>
          <w:kern w:val="0"/>
          <w:sz w:val="24"/>
        </w:rPr>
        <w:t>2</w:t>
      </w:r>
      <w:r>
        <w:rPr>
          <w:rFonts w:hint="eastAsia" w:ascii="宋体" w:hAnsi="宋体"/>
          <w:color w:val="auto"/>
          <w:kern w:val="0"/>
          <w:sz w:val="24"/>
        </w:rPr>
        <w:t>）提交支付申请和工程款额报告期限</w:t>
      </w:r>
    </w:p>
    <w:p w14:paraId="67D844BD">
      <w:pPr>
        <w:spacing w:line="360" w:lineRule="auto"/>
        <w:rPr>
          <w:rFonts w:ascii="宋体"/>
          <w:color w:val="auto"/>
          <w:kern w:val="0"/>
          <w:sz w:val="24"/>
        </w:rPr>
      </w:pPr>
      <w:r>
        <w:rPr>
          <w:rFonts w:hint="eastAsia" w:ascii="宋体" w:hAnsi="宋体"/>
          <w:color w:val="auto"/>
          <w:kern w:val="0"/>
          <w:sz w:val="24"/>
        </w:rPr>
        <w:t>■按通用条款第</w:t>
      </w:r>
      <w:r>
        <w:rPr>
          <w:rFonts w:ascii="宋体" w:hAnsi="宋体"/>
          <w:color w:val="auto"/>
          <w:kern w:val="0"/>
          <w:sz w:val="24"/>
        </w:rPr>
        <w:t>80.2</w:t>
      </w:r>
      <w:r>
        <w:rPr>
          <w:rFonts w:hint="eastAsia" w:ascii="宋体" w:hAnsi="宋体"/>
          <w:color w:val="auto"/>
          <w:kern w:val="0"/>
          <w:sz w:val="24"/>
        </w:rPr>
        <w:t>款、第</w:t>
      </w:r>
      <w:r>
        <w:rPr>
          <w:rFonts w:ascii="宋体" w:hAnsi="宋体"/>
          <w:color w:val="auto"/>
          <w:kern w:val="0"/>
          <w:sz w:val="24"/>
        </w:rPr>
        <w:t>81.1</w:t>
      </w:r>
      <w:r>
        <w:rPr>
          <w:rFonts w:hint="eastAsia" w:ascii="宋体" w:hAnsi="宋体"/>
          <w:color w:val="auto"/>
          <w:kern w:val="0"/>
          <w:sz w:val="24"/>
        </w:rPr>
        <w:t>款、第</w:t>
      </w:r>
      <w:r>
        <w:rPr>
          <w:rFonts w:ascii="宋体" w:hAnsi="宋体"/>
          <w:color w:val="auto"/>
          <w:kern w:val="0"/>
          <w:sz w:val="24"/>
        </w:rPr>
        <w:t>83.1</w:t>
      </w:r>
      <w:r>
        <w:rPr>
          <w:rFonts w:hint="eastAsia" w:ascii="宋体" w:hAnsi="宋体"/>
          <w:color w:val="auto"/>
          <w:kern w:val="0"/>
          <w:sz w:val="24"/>
        </w:rPr>
        <w:t>款等规定期限提交。</w:t>
      </w:r>
    </w:p>
    <w:p w14:paraId="5777F039">
      <w:pPr>
        <w:spacing w:line="360" w:lineRule="auto"/>
        <w:ind w:firstLine="240" w:firstLineChars="100"/>
        <w:rPr>
          <w:rFonts w:ascii="宋体"/>
          <w:color w:val="auto"/>
          <w:kern w:val="0"/>
          <w:sz w:val="24"/>
          <w:u w:val="single"/>
        </w:rPr>
      </w:pPr>
      <w:r>
        <w:rPr>
          <w:rFonts w:hint="eastAsia" w:ascii="宋体"/>
          <w:color w:val="auto"/>
          <w:kern w:val="0"/>
          <w:sz w:val="24"/>
        </w:rPr>
        <w:sym w:font="Wingdings 2" w:char="00A3"/>
      </w:r>
      <w:r>
        <w:rPr>
          <w:rFonts w:hint="eastAsia" w:ascii="宋体" w:hAnsi="宋体"/>
          <w:color w:val="auto"/>
          <w:kern w:val="0"/>
          <w:sz w:val="24"/>
        </w:rPr>
        <w:t>另作约定：</w:t>
      </w:r>
      <w:r>
        <w:rPr>
          <w:rFonts w:ascii="宋体" w:hAnsi="宋体"/>
          <w:color w:val="auto"/>
          <w:kern w:val="0"/>
          <w:sz w:val="24"/>
          <w:u w:val="single"/>
        </w:rPr>
        <w:t xml:space="preserve">                         /                                 </w:t>
      </w:r>
    </w:p>
    <w:p w14:paraId="457BB4A3">
      <w:pPr>
        <w:spacing w:line="360" w:lineRule="auto"/>
        <w:ind w:firstLine="480" w:firstLineChars="200"/>
        <w:rPr>
          <w:rFonts w:ascii="宋体"/>
          <w:color w:val="auto"/>
          <w:kern w:val="0"/>
          <w:sz w:val="24"/>
        </w:rPr>
      </w:pPr>
      <w:r>
        <w:rPr>
          <w:rFonts w:hint="eastAsia" w:ascii="宋体" w:hAnsi="宋体"/>
          <w:color w:val="auto"/>
          <w:kern w:val="0"/>
          <w:sz w:val="24"/>
        </w:rPr>
        <w:t>（</w:t>
      </w:r>
      <w:r>
        <w:rPr>
          <w:rFonts w:ascii="宋体" w:hAnsi="宋体"/>
          <w:color w:val="auto"/>
          <w:kern w:val="0"/>
          <w:sz w:val="24"/>
        </w:rPr>
        <w:t>3</w:t>
      </w:r>
      <w:r>
        <w:rPr>
          <w:rFonts w:hint="eastAsia" w:ascii="宋体" w:hAnsi="宋体"/>
          <w:color w:val="auto"/>
          <w:kern w:val="0"/>
          <w:sz w:val="24"/>
        </w:rPr>
        <w:t>）负责施工场地安全保卫工作，防止因工程施工造成的人身伤害和财产损失，提供和维修夜间施工使用的照明，设置围栏等安全设施：承包人应负责现场全部作业的安全，在合同工程施工、完工及修补缺陷的整个工程期限内：</w:t>
      </w:r>
      <w:r>
        <w:rPr>
          <w:rFonts w:hint="eastAsia" w:ascii="宋体" w:hAnsi="宋体"/>
          <w:color w:val="auto"/>
          <w:sz w:val="24"/>
          <w:u w:val="single"/>
        </w:rPr>
        <w:t>全面负责所有留在现场上的人员的安全，保护其管辖范围的现场（包括尚未完工的和发包人尚未接管的工程）处于有条不紊和良好的状态。根据工程师或当地政府要求，在需要的时段和地点，提供和维护所有的照明灯光、护板、围墙、栅栏、警告信号标志，专人看守巡逻，对工程进行保护和保证公众的安全和方便。施工围蔽按广州市建设委员会制定的《关于进一步规范建设工程施工现场围蔽的通知》（穗建管【</w:t>
      </w:r>
      <w:r>
        <w:rPr>
          <w:rFonts w:ascii="宋体" w:hAnsi="宋体"/>
          <w:color w:val="auto"/>
          <w:sz w:val="24"/>
          <w:u w:val="single"/>
        </w:rPr>
        <w:t>2018</w:t>
      </w:r>
      <w:r>
        <w:rPr>
          <w:rFonts w:hint="eastAsia" w:ascii="宋体" w:hAnsi="宋体"/>
          <w:color w:val="auto"/>
          <w:sz w:val="24"/>
          <w:u w:val="single"/>
        </w:rPr>
        <w:t>】</w:t>
      </w:r>
      <w:r>
        <w:rPr>
          <w:rFonts w:ascii="宋体" w:hAnsi="宋体"/>
          <w:color w:val="auto"/>
          <w:sz w:val="24"/>
          <w:u w:val="single"/>
        </w:rPr>
        <w:t>66</w:t>
      </w:r>
      <w:r>
        <w:rPr>
          <w:rFonts w:hint="eastAsia" w:ascii="宋体" w:hAnsi="宋体"/>
          <w:color w:val="auto"/>
          <w:sz w:val="24"/>
          <w:u w:val="single"/>
        </w:rPr>
        <w:t>号）、《广州市城乡委员会关于印发进一步提升建设工程施工围蔽水平的工作方案的函》（穗建质函</w:t>
      </w:r>
      <w:r>
        <w:rPr>
          <w:rFonts w:ascii="宋体" w:hAnsi="宋体"/>
          <w:color w:val="auto"/>
          <w:sz w:val="24"/>
          <w:u w:val="single"/>
        </w:rPr>
        <w:t>[2014]3205</w:t>
      </w:r>
      <w:r>
        <w:rPr>
          <w:rFonts w:hint="eastAsia" w:ascii="宋体" w:hAnsi="宋体"/>
          <w:color w:val="auto"/>
          <w:sz w:val="24"/>
          <w:u w:val="single"/>
        </w:rPr>
        <w:t>号）及广州市市政园林局制定的《关于加强市政园林和管线建设工程文明施工管理的通知》（市政园林【</w:t>
      </w:r>
      <w:r>
        <w:rPr>
          <w:rFonts w:ascii="宋体" w:hAnsi="宋体"/>
          <w:color w:val="auto"/>
          <w:sz w:val="24"/>
          <w:u w:val="single"/>
        </w:rPr>
        <w:t>2001</w:t>
      </w:r>
      <w:r>
        <w:rPr>
          <w:rFonts w:hint="eastAsia" w:ascii="宋体" w:hAnsi="宋体"/>
          <w:color w:val="auto"/>
          <w:sz w:val="24"/>
          <w:u w:val="single"/>
        </w:rPr>
        <w:t>】</w:t>
      </w:r>
      <w:r>
        <w:rPr>
          <w:rFonts w:ascii="宋体" w:hAnsi="宋体"/>
          <w:color w:val="auto"/>
          <w:sz w:val="24"/>
          <w:u w:val="single"/>
        </w:rPr>
        <w:t>1273</w:t>
      </w:r>
      <w:r>
        <w:rPr>
          <w:rFonts w:hint="eastAsia" w:ascii="宋体" w:hAnsi="宋体"/>
          <w:color w:val="auto"/>
          <w:sz w:val="24"/>
          <w:u w:val="single"/>
        </w:rPr>
        <w:t>号）要求执行。遵守和执行防火、安全文明施工和夜间施工规定。承包人应保证施工期间行人、车辆等的通行，不能进行全封闭施工。施工临时占用人行道等设施的，由承包人办理有关手续，发包人协助，所需费用由承包人负责。同时承包人有责任协助公安、交通等部门维护所在现场地段的交通与人流，既保证施工安全，也保护车辆和行人的畅通和安全。</w:t>
      </w:r>
    </w:p>
    <w:p w14:paraId="20337570">
      <w:pPr>
        <w:spacing w:line="360" w:lineRule="auto"/>
        <w:ind w:firstLine="480" w:firstLineChars="200"/>
        <w:rPr>
          <w:rFonts w:ascii="宋体"/>
          <w:color w:val="auto"/>
          <w:sz w:val="24"/>
          <w:u w:val="single"/>
        </w:rPr>
      </w:pPr>
      <w:r>
        <w:rPr>
          <w:rFonts w:hint="eastAsia"/>
          <w:color w:val="auto"/>
          <w:sz w:val="24"/>
        </w:rPr>
        <w:t>（4）已完工程成品保护的特殊要求及费用承担</w:t>
      </w:r>
      <w:r>
        <w:rPr>
          <w:rFonts w:hint="eastAsia"/>
          <w:color w:val="auto"/>
        </w:rPr>
        <w:t>：</w:t>
      </w:r>
      <w:r>
        <w:rPr>
          <w:rFonts w:hint="eastAsia" w:ascii="宋体" w:hAnsi="宋体"/>
          <w:color w:val="auto"/>
          <w:sz w:val="24"/>
          <w:u w:val="single"/>
        </w:rPr>
        <w:t>承包人对工程使用的成品、半成品材料及设备负全面保护责任，直至工程交付发包人使用。成品、半成品材料及设备运抵施工现场后，承包人须负起以下包含但不限于以下责任：</w:t>
      </w:r>
    </w:p>
    <w:p w14:paraId="2AA5FCB4">
      <w:pPr>
        <w:spacing w:line="360" w:lineRule="auto"/>
        <w:ind w:firstLine="480" w:firstLineChars="200"/>
        <w:rPr>
          <w:rFonts w:ascii="宋体" w:hAnsi="宋体"/>
          <w:color w:val="auto"/>
          <w:sz w:val="24"/>
          <w:u w:val="single"/>
        </w:rPr>
      </w:pPr>
      <w:r>
        <w:rPr>
          <w:rFonts w:ascii="宋体" w:hAnsi="宋体"/>
          <w:color w:val="auto"/>
          <w:sz w:val="24"/>
          <w:u w:val="single"/>
        </w:rPr>
        <w:t>a.</w:t>
      </w:r>
      <w:r>
        <w:rPr>
          <w:rFonts w:hint="eastAsia" w:ascii="宋体" w:hAnsi="宋体"/>
          <w:color w:val="auto"/>
          <w:sz w:val="24"/>
          <w:u w:val="single"/>
        </w:rPr>
        <w:t>制定材料验收方案，进场材料须检查合格证、检验报告等相关质量文件。</w:t>
      </w:r>
    </w:p>
    <w:p w14:paraId="1CB3827D">
      <w:pPr>
        <w:spacing w:line="360" w:lineRule="auto"/>
        <w:ind w:firstLine="480" w:firstLineChars="200"/>
        <w:rPr>
          <w:rFonts w:ascii="宋体"/>
          <w:color w:val="auto"/>
          <w:sz w:val="24"/>
          <w:u w:val="single"/>
        </w:rPr>
      </w:pPr>
      <w:r>
        <w:rPr>
          <w:rFonts w:hint="eastAsia" w:ascii="宋体" w:hAnsi="宋体"/>
          <w:color w:val="auto"/>
          <w:sz w:val="24"/>
          <w:u w:val="single"/>
        </w:rPr>
        <w:t>b.制定专项保护方案，组织保护人员架构和制定成品、半成品材料及设备制度</w:t>
      </w:r>
    </w:p>
    <w:p w14:paraId="22C4190B">
      <w:pPr>
        <w:spacing w:line="360" w:lineRule="auto"/>
        <w:ind w:firstLine="480" w:firstLineChars="200"/>
        <w:rPr>
          <w:rFonts w:ascii="宋体"/>
          <w:color w:val="auto"/>
          <w:sz w:val="24"/>
          <w:u w:val="single"/>
        </w:rPr>
      </w:pPr>
      <w:r>
        <w:rPr>
          <w:rFonts w:ascii="宋体" w:hAnsi="宋体"/>
          <w:color w:val="auto"/>
          <w:sz w:val="24"/>
          <w:u w:val="single"/>
        </w:rPr>
        <w:t>c</w:t>
      </w:r>
      <w:r>
        <w:rPr>
          <w:rFonts w:hint="eastAsia" w:ascii="宋体" w:hAnsi="宋体"/>
          <w:color w:val="auto"/>
          <w:sz w:val="24"/>
          <w:u w:val="single"/>
        </w:rPr>
        <w:t>．对成品、半成品材料及设备外观进行检查，安排指定的装卸位置</w:t>
      </w:r>
    </w:p>
    <w:p w14:paraId="400E384C">
      <w:pPr>
        <w:spacing w:line="360" w:lineRule="auto"/>
        <w:ind w:firstLine="480" w:firstLineChars="200"/>
        <w:rPr>
          <w:rFonts w:ascii="宋体"/>
          <w:color w:val="auto"/>
          <w:sz w:val="24"/>
          <w:u w:val="single"/>
        </w:rPr>
      </w:pPr>
      <w:r>
        <w:rPr>
          <w:rFonts w:ascii="宋体" w:hAnsi="宋体"/>
          <w:color w:val="auto"/>
          <w:sz w:val="24"/>
          <w:u w:val="single"/>
        </w:rPr>
        <w:t>d.</w:t>
      </w:r>
      <w:r>
        <w:rPr>
          <w:rFonts w:hint="eastAsia" w:ascii="宋体" w:hAnsi="宋体"/>
          <w:color w:val="auto"/>
          <w:sz w:val="24"/>
          <w:u w:val="single"/>
        </w:rPr>
        <w:t>按照专项保护方案，落实成品、半成品材料及设备吊装、预埋和制作有效防护栏板。</w:t>
      </w:r>
    </w:p>
    <w:p w14:paraId="34008DD0">
      <w:pPr>
        <w:spacing w:line="360" w:lineRule="auto"/>
        <w:ind w:firstLine="480" w:firstLineChars="200"/>
        <w:rPr>
          <w:rFonts w:ascii="宋体"/>
          <w:color w:val="auto"/>
          <w:sz w:val="24"/>
          <w:u w:val="single"/>
        </w:rPr>
      </w:pPr>
      <w:r>
        <w:rPr>
          <w:rFonts w:ascii="宋体" w:hAnsi="宋体"/>
          <w:color w:val="auto"/>
          <w:sz w:val="24"/>
          <w:u w:val="single"/>
        </w:rPr>
        <w:t>e.</w:t>
      </w:r>
      <w:r>
        <w:rPr>
          <w:rFonts w:hint="eastAsia" w:ascii="宋体" w:hAnsi="宋体"/>
          <w:color w:val="auto"/>
          <w:sz w:val="24"/>
          <w:u w:val="single"/>
        </w:rPr>
        <w:t>安排专人定期对成品、半成品材料及设备的保护情况进行巡查</w:t>
      </w:r>
    </w:p>
    <w:p w14:paraId="4DCCC257">
      <w:pPr>
        <w:spacing w:line="360" w:lineRule="auto"/>
        <w:ind w:firstLine="480" w:firstLineChars="200"/>
        <w:rPr>
          <w:rFonts w:ascii="宋体" w:hAnsi="宋体"/>
          <w:color w:val="auto"/>
          <w:sz w:val="24"/>
          <w:u w:val="single"/>
        </w:rPr>
      </w:pPr>
      <w:r>
        <w:rPr>
          <w:rFonts w:hint="eastAsia" w:ascii="宋体" w:hAnsi="宋体"/>
          <w:color w:val="auto"/>
          <w:sz w:val="24"/>
          <w:u w:val="single"/>
        </w:rPr>
        <w:t>f</w:t>
      </w:r>
      <w:r>
        <w:rPr>
          <w:rFonts w:ascii="宋体" w:hAnsi="宋体"/>
          <w:color w:val="auto"/>
          <w:sz w:val="24"/>
          <w:u w:val="single"/>
        </w:rPr>
        <w:t>.</w:t>
      </w:r>
      <w:r>
        <w:rPr>
          <w:rFonts w:hint="eastAsia" w:ascii="宋体" w:hAnsi="宋体"/>
          <w:color w:val="auto"/>
          <w:sz w:val="24"/>
          <w:u w:val="single"/>
        </w:rPr>
        <w:t>除不可抗力外，成品、半成品材料及设备进场后发生任何损坏，承包人全面负起经济和工期的损失，发包人不因此对成品、半成品材料及设备支付任何追加的费用。</w:t>
      </w:r>
    </w:p>
    <w:p w14:paraId="6985F30D">
      <w:pPr>
        <w:spacing w:line="360" w:lineRule="auto"/>
        <w:rPr>
          <w:rFonts w:ascii="宋体"/>
          <w:color w:val="auto"/>
          <w:kern w:val="0"/>
          <w:sz w:val="24"/>
        </w:rPr>
      </w:pPr>
      <w:r>
        <w:rPr>
          <w:rFonts w:hint="eastAsia" w:ascii="宋体" w:hAnsi="宋体"/>
          <w:color w:val="auto"/>
          <w:kern w:val="0"/>
          <w:sz w:val="24"/>
        </w:rPr>
        <w:t>（5）做好施工场地地下管线和邻近建筑物、构筑物（包括文物保护建筑）、古树名木保护工作的约定：</w:t>
      </w:r>
      <w:r>
        <w:rPr>
          <w:rFonts w:hint="eastAsia" w:ascii="宋体" w:hAnsi="宋体"/>
          <w:color w:val="auto"/>
          <w:sz w:val="24"/>
          <w:u w:val="single"/>
        </w:rPr>
        <w:t>施工期间发现文物，应按国家文物和省、市有关文物管理规定保护现场，并通知有关部门。施工期间执行市政园林【</w:t>
      </w:r>
      <w:r>
        <w:rPr>
          <w:rFonts w:ascii="宋体" w:hAnsi="宋体"/>
          <w:color w:val="auto"/>
          <w:sz w:val="24"/>
          <w:u w:val="single"/>
        </w:rPr>
        <w:t>2001</w:t>
      </w:r>
      <w:r>
        <w:rPr>
          <w:rFonts w:hint="eastAsia" w:ascii="宋体" w:hAnsi="宋体"/>
          <w:color w:val="auto"/>
          <w:sz w:val="24"/>
          <w:u w:val="single"/>
        </w:rPr>
        <w:t>】</w:t>
      </w:r>
      <w:r>
        <w:rPr>
          <w:rFonts w:ascii="宋体" w:hAnsi="宋体"/>
          <w:color w:val="auto"/>
          <w:sz w:val="24"/>
          <w:u w:val="single"/>
        </w:rPr>
        <w:t>1273</w:t>
      </w:r>
      <w:r>
        <w:rPr>
          <w:rFonts w:hint="eastAsia" w:ascii="宋体" w:hAnsi="宋体"/>
          <w:color w:val="auto"/>
          <w:sz w:val="24"/>
          <w:u w:val="single"/>
        </w:rPr>
        <w:t>号文《关于加强市政园林和管线建设工程文明施工管理的通知》的规定，否则，因此造成的损失或被有关部门处罚，均由承包人负责。</w:t>
      </w:r>
    </w:p>
    <w:p w14:paraId="06D44140">
      <w:pPr>
        <w:spacing w:line="360" w:lineRule="auto"/>
        <w:ind w:firstLine="480" w:firstLineChars="200"/>
        <w:rPr>
          <w:rFonts w:ascii="宋体"/>
          <w:color w:val="auto"/>
          <w:kern w:val="0"/>
          <w:sz w:val="24"/>
        </w:rPr>
      </w:pPr>
      <w:r>
        <w:rPr>
          <w:rFonts w:hint="eastAsia" w:ascii="宋体" w:hAnsi="宋体"/>
          <w:color w:val="auto"/>
          <w:kern w:val="0"/>
          <w:sz w:val="24"/>
        </w:rPr>
        <w:t>（6）保证施工场地的清洁和做好交工前施工现场清理工作的约定：</w:t>
      </w:r>
      <w:r>
        <w:rPr>
          <w:rFonts w:hint="eastAsia" w:ascii="宋体" w:hAnsi="宋体"/>
          <w:color w:val="auto"/>
          <w:sz w:val="24"/>
          <w:u w:val="single"/>
        </w:rPr>
        <w:t>本合同工程现场文明施工必须严格按以下文件执行，并挂牌施工接受监督：</w:t>
      </w:r>
      <w:r>
        <w:rPr>
          <w:rFonts w:ascii="宋体" w:hAnsi="宋体"/>
          <w:color w:val="auto"/>
          <w:sz w:val="24"/>
          <w:u w:val="single"/>
        </w:rPr>
        <w:t>a.</w:t>
      </w:r>
      <w:r>
        <w:rPr>
          <w:rFonts w:hint="eastAsia" w:ascii="宋体" w:hAnsi="宋体"/>
          <w:color w:val="auto"/>
          <w:sz w:val="24"/>
          <w:u w:val="single"/>
        </w:rPr>
        <w:t>广州市建设委员会制定的《广州市建设工程现场文明施工管理办法》（穗建质【</w:t>
      </w:r>
      <w:r>
        <w:rPr>
          <w:rFonts w:ascii="宋体" w:hAnsi="宋体"/>
          <w:color w:val="auto"/>
          <w:sz w:val="24"/>
          <w:u w:val="single"/>
        </w:rPr>
        <w:t>2008</w:t>
      </w:r>
      <w:r>
        <w:rPr>
          <w:rFonts w:hint="eastAsia" w:ascii="宋体" w:hAnsi="宋体"/>
          <w:color w:val="auto"/>
          <w:sz w:val="24"/>
          <w:u w:val="single"/>
        </w:rPr>
        <w:t>】</w:t>
      </w:r>
      <w:r>
        <w:rPr>
          <w:rFonts w:ascii="宋体" w:hAnsi="宋体"/>
          <w:color w:val="auto"/>
          <w:sz w:val="24"/>
          <w:u w:val="single"/>
        </w:rPr>
        <w:t>937</w:t>
      </w:r>
      <w:r>
        <w:rPr>
          <w:rFonts w:hint="eastAsia" w:ascii="宋体" w:hAnsi="宋体"/>
          <w:color w:val="auto"/>
          <w:sz w:val="24"/>
          <w:u w:val="single"/>
        </w:rPr>
        <w:t>号）；</w:t>
      </w:r>
      <w:r>
        <w:rPr>
          <w:rFonts w:ascii="宋体" w:hAnsi="宋体"/>
          <w:color w:val="auto"/>
          <w:sz w:val="24"/>
          <w:u w:val="single"/>
        </w:rPr>
        <w:t xml:space="preserve">b. </w:t>
      </w:r>
      <w:r>
        <w:rPr>
          <w:rFonts w:hint="eastAsia" w:ascii="宋体" w:hAnsi="宋体"/>
          <w:color w:val="auto"/>
          <w:sz w:val="24"/>
          <w:u w:val="single"/>
        </w:rPr>
        <w:t>广州市建设委员会制定的《关于进一步规范建设工程施工现场围蔽的通知》（穗建质【</w:t>
      </w:r>
      <w:r>
        <w:rPr>
          <w:rFonts w:ascii="宋体" w:hAnsi="宋体"/>
          <w:color w:val="auto"/>
          <w:sz w:val="24"/>
          <w:u w:val="single"/>
        </w:rPr>
        <w:t>2008</w:t>
      </w:r>
      <w:r>
        <w:rPr>
          <w:rFonts w:hint="eastAsia" w:ascii="宋体" w:hAnsi="宋体"/>
          <w:color w:val="auto"/>
          <w:sz w:val="24"/>
          <w:u w:val="single"/>
        </w:rPr>
        <w:t>】</w:t>
      </w:r>
      <w:r>
        <w:rPr>
          <w:rFonts w:ascii="宋体" w:hAnsi="宋体"/>
          <w:color w:val="auto"/>
          <w:sz w:val="24"/>
          <w:u w:val="single"/>
        </w:rPr>
        <w:t>1008</w:t>
      </w:r>
      <w:r>
        <w:rPr>
          <w:rFonts w:hint="eastAsia" w:ascii="宋体" w:hAnsi="宋体"/>
          <w:color w:val="auto"/>
          <w:sz w:val="24"/>
          <w:u w:val="single"/>
        </w:rPr>
        <w:t>号）；</w:t>
      </w:r>
      <w:r>
        <w:rPr>
          <w:rFonts w:ascii="宋体" w:hAnsi="宋体"/>
          <w:color w:val="auto"/>
          <w:sz w:val="24"/>
          <w:u w:val="single"/>
        </w:rPr>
        <w:t xml:space="preserve">c. </w:t>
      </w:r>
      <w:r>
        <w:rPr>
          <w:rFonts w:hint="eastAsia" w:ascii="宋体" w:hAnsi="宋体"/>
          <w:color w:val="auto"/>
          <w:sz w:val="24"/>
          <w:u w:val="single"/>
        </w:rPr>
        <w:t>广州市建设委员会制定的《关于进一步规范建设工程施工现场围蔽的通知》（穗建质【</w:t>
      </w:r>
      <w:r>
        <w:rPr>
          <w:rFonts w:ascii="宋体" w:hAnsi="宋体"/>
          <w:color w:val="auto"/>
          <w:sz w:val="24"/>
          <w:u w:val="single"/>
        </w:rPr>
        <w:t>2008</w:t>
      </w:r>
      <w:r>
        <w:rPr>
          <w:rFonts w:hint="eastAsia" w:ascii="宋体" w:hAnsi="宋体"/>
          <w:color w:val="auto"/>
          <w:sz w:val="24"/>
          <w:u w:val="single"/>
        </w:rPr>
        <w:t>】</w:t>
      </w:r>
      <w:r>
        <w:rPr>
          <w:rFonts w:ascii="宋体" w:hAnsi="宋体"/>
          <w:color w:val="auto"/>
          <w:sz w:val="24"/>
          <w:u w:val="single"/>
        </w:rPr>
        <w:t>1008</w:t>
      </w:r>
      <w:r>
        <w:rPr>
          <w:rFonts w:hint="eastAsia" w:ascii="宋体" w:hAnsi="宋体"/>
          <w:color w:val="auto"/>
          <w:sz w:val="24"/>
          <w:u w:val="single"/>
        </w:rPr>
        <w:t>号）；</w:t>
      </w:r>
      <w:r>
        <w:rPr>
          <w:rFonts w:ascii="宋体" w:hAnsi="宋体"/>
          <w:color w:val="auto"/>
          <w:sz w:val="24"/>
          <w:u w:val="single"/>
        </w:rPr>
        <w:t>c.</w:t>
      </w:r>
      <w:r>
        <w:rPr>
          <w:rFonts w:hint="eastAsia" w:ascii="宋体" w:hAnsi="宋体"/>
          <w:color w:val="auto"/>
          <w:sz w:val="24"/>
          <w:u w:val="single"/>
        </w:rPr>
        <w:t>广州市市政园林局制定的《关于加强市政园林和管线建设工程文明施工管理的通知》（市政园林【</w:t>
      </w:r>
      <w:r>
        <w:rPr>
          <w:rFonts w:ascii="宋体" w:hAnsi="宋体"/>
          <w:color w:val="auto"/>
          <w:sz w:val="24"/>
          <w:u w:val="single"/>
        </w:rPr>
        <w:t>2001</w:t>
      </w:r>
      <w:r>
        <w:rPr>
          <w:rFonts w:hint="eastAsia" w:ascii="宋体" w:hAnsi="宋体"/>
          <w:color w:val="auto"/>
          <w:sz w:val="24"/>
          <w:u w:val="single"/>
        </w:rPr>
        <w:t>】</w:t>
      </w:r>
      <w:r>
        <w:rPr>
          <w:rFonts w:ascii="宋体" w:hAnsi="宋体"/>
          <w:color w:val="auto"/>
          <w:sz w:val="24"/>
          <w:u w:val="single"/>
        </w:rPr>
        <w:t>1273</w:t>
      </w:r>
      <w:r>
        <w:rPr>
          <w:rFonts w:hint="eastAsia" w:ascii="宋体" w:hAnsi="宋体"/>
          <w:color w:val="auto"/>
          <w:sz w:val="24"/>
          <w:u w:val="single"/>
        </w:rPr>
        <w:t>号）；承包人应保持现场整洁，保证卫生要求，合理地安排临时设施，存放和处置好设备及材料，及时清运垃圾和余泥，处理好污水、余泥排放。工程完工后，承包人应立即从施工现场搬走或清除承包人的设备、材料、垃圾以及各种临时设施，并保持施工现场和工程清洁整齐，但承包人应保留承包人为在缺陷责任期内履行其义务而需要的材料、设备和临时设施，其费用已包含在承包人的投标报价中，不另行计量支付。</w:t>
      </w:r>
    </w:p>
    <w:p w14:paraId="75FDB007">
      <w:pPr>
        <w:spacing w:line="360" w:lineRule="auto"/>
        <w:ind w:firstLine="638" w:firstLineChars="266"/>
        <w:rPr>
          <w:rFonts w:ascii="宋体"/>
          <w:color w:val="auto"/>
          <w:kern w:val="0"/>
          <w:sz w:val="24"/>
        </w:rPr>
      </w:pPr>
      <w:r>
        <w:rPr>
          <w:rFonts w:ascii="宋体" w:hAnsi="宋体"/>
          <w:color w:val="auto"/>
          <w:kern w:val="0"/>
          <w:sz w:val="24"/>
        </w:rPr>
        <w:t>(9)</w:t>
      </w:r>
      <w:r>
        <w:rPr>
          <w:rFonts w:hint="eastAsia" w:ascii="宋体" w:hAnsi="宋体"/>
          <w:color w:val="auto"/>
          <w:kern w:val="0"/>
          <w:sz w:val="24"/>
        </w:rPr>
        <w:t>提交竣工验收申请报告和竣工结算文件</w:t>
      </w:r>
    </w:p>
    <w:p w14:paraId="4F4B6C02">
      <w:pPr>
        <w:spacing w:line="360" w:lineRule="auto"/>
        <w:ind w:left="120"/>
        <w:rPr>
          <w:rFonts w:ascii="宋体"/>
          <w:color w:val="auto"/>
          <w:kern w:val="0"/>
          <w:sz w:val="24"/>
        </w:rPr>
      </w:pPr>
      <w:r>
        <w:rPr>
          <w:rFonts w:hint="eastAsia" w:ascii="宋体"/>
          <w:color w:val="auto"/>
          <w:kern w:val="0"/>
          <w:sz w:val="24"/>
        </w:rPr>
        <w:t>□</w:t>
      </w:r>
      <w:r>
        <w:rPr>
          <w:rFonts w:hint="eastAsia" w:ascii="宋体" w:hAnsi="宋体"/>
          <w:color w:val="auto"/>
          <w:kern w:val="0"/>
          <w:sz w:val="24"/>
        </w:rPr>
        <w:t>按通用条款第</w:t>
      </w:r>
      <w:r>
        <w:rPr>
          <w:rFonts w:ascii="宋体" w:hAnsi="宋体"/>
          <w:color w:val="auto"/>
          <w:kern w:val="0"/>
          <w:sz w:val="24"/>
        </w:rPr>
        <w:t>82.2</w:t>
      </w:r>
      <w:r>
        <w:rPr>
          <w:rFonts w:hint="eastAsia" w:ascii="宋体" w:hAnsi="宋体"/>
          <w:color w:val="auto"/>
          <w:kern w:val="0"/>
          <w:sz w:val="24"/>
        </w:rPr>
        <w:t>款规定提交。</w:t>
      </w:r>
    </w:p>
    <w:p w14:paraId="5E72CB9D">
      <w:pPr>
        <w:spacing w:line="360" w:lineRule="auto"/>
        <w:ind w:left="120"/>
        <w:rPr>
          <w:rFonts w:ascii="宋体" w:hAnsi="宋体"/>
          <w:color w:val="auto"/>
          <w:kern w:val="0"/>
          <w:sz w:val="24"/>
        </w:rPr>
      </w:pPr>
      <w:r>
        <w:rPr>
          <w:rFonts w:hint="eastAsia" w:ascii="宋体" w:hAnsi="宋体"/>
          <w:color w:val="auto"/>
          <w:kern w:val="0"/>
          <w:sz w:val="24"/>
        </w:rPr>
        <w:t>■另作约定：</w:t>
      </w:r>
      <w:r>
        <w:rPr>
          <w:rFonts w:ascii="宋体" w:hAnsi="宋体"/>
          <w:color w:val="auto"/>
          <w:kern w:val="0"/>
          <w:sz w:val="24"/>
          <w:u w:val="single"/>
        </w:rPr>
        <w:t xml:space="preserve">                             /                                </w:t>
      </w:r>
    </w:p>
    <w:p w14:paraId="5355D21D">
      <w:pPr>
        <w:spacing w:line="360" w:lineRule="auto"/>
        <w:rPr>
          <w:rFonts w:ascii="宋体" w:hAnsi="宋体"/>
          <w:color w:val="auto"/>
          <w:kern w:val="0"/>
          <w:sz w:val="24"/>
        </w:rPr>
      </w:pPr>
      <w:r>
        <w:rPr>
          <w:rFonts w:ascii="宋体" w:hAnsi="宋体"/>
          <w:color w:val="auto"/>
          <w:kern w:val="0"/>
          <w:sz w:val="24"/>
        </w:rPr>
        <w:t>（10）如承包人不具备项目中各专业部分的相应资质，承包人应在征得发包人同意后专业分包给具备相关资质的设计单位并签订分包合同。</w:t>
      </w:r>
    </w:p>
    <w:p w14:paraId="74E560CE">
      <w:pPr>
        <w:spacing w:line="360" w:lineRule="auto"/>
        <w:rPr>
          <w:rFonts w:ascii="宋体"/>
          <w:color w:val="auto"/>
          <w:kern w:val="0"/>
          <w:sz w:val="24"/>
        </w:rPr>
      </w:pPr>
    </w:p>
    <w:p w14:paraId="13CE811C">
      <w:pPr>
        <w:spacing w:line="360" w:lineRule="auto"/>
        <w:rPr>
          <w:rFonts w:ascii="宋体"/>
          <w:b/>
          <w:color w:val="auto"/>
          <w:kern w:val="0"/>
          <w:sz w:val="24"/>
        </w:rPr>
      </w:pPr>
      <w:r>
        <w:rPr>
          <w:rFonts w:hint="eastAsia" w:ascii="宋体" w:hAnsi="宋体"/>
          <w:b/>
          <w:color w:val="auto"/>
          <w:kern w:val="0"/>
          <w:sz w:val="24"/>
        </w:rPr>
        <w:t>21.现场管理人员任命和更换</w:t>
      </w:r>
    </w:p>
    <w:p w14:paraId="37B2B165">
      <w:pPr>
        <w:spacing w:line="360" w:lineRule="auto"/>
        <w:ind w:left="120"/>
        <w:rPr>
          <w:rFonts w:ascii="宋体"/>
          <w:color w:val="auto"/>
          <w:kern w:val="0"/>
          <w:sz w:val="24"/>
        </w:rPr>
      </w:pPr>
    </w:p>
    <w:p w14:paraId="33AE7071">
      <w:pPr>
        <w:spacing w:line="360" w:lineRule="auto"/>
        <w:rPr>
          <w:rFonts w:ascii="宋体"/>
          <w:color w:val="auto"/>
          <w:kern w:val="0"/>
          <w:sz w:val="24"/>
        </w:rPr>
      </w:pPr>
      <w:r>
        <w:rPr>
          <w:rFonts w:hint="eastAsia" w:ascii="宋体" w:hAnsi="宋体"/>
          <w:color w:val="auto"/>
          <w:kern w:val="0"/>
          <w:sz w:val="24"/>
        </w:rPr>
        <w:t>21.1发包人现场管理人员任命和更换：</w:t>
      </w:r>
      <w:r>
        <w:rPr>
          <w:rFonts w:ascii="宋体" w:hAnsi="宋体"/>
          <w:color w:val="auto"/>
          <w:kern w:val="0"/>
          <w:sz w:val="24"/>
          <w:u w:val="single"/>
        </w:rPr>
        <w:t xml:space="preserve">                    /                   </w:t>
      </w:r>
    </w:p>
    <w:p w14:paraId="70EBD0EF">
      <w:pPr>
        <w:spacing w:line="360" w:lineRule="auto"/>
        <w:rPr>
          <w:rFonts w:ascii="宋体"/>
          <w:color w:val="auto"/>
          <w:kern w:val="0"/>
          <w:sz w:val="24"/>
        </w:rPr>
      </w:pPr>
      <w:r>
        <w:rPr>
          <w:rFonts w:hint="eastAsia" w:ascii="宋体" w:hAnsi="宋体"/>
          <w:color w:val="auto"/>
          <w:kern w:val="0"/>
          <w:sz w:val="24"/>
        </w:rPr>
        <w:t>21</w:t>
      </w:r>
      <w:r>
        <w:rPr>
          <w:rFonts w:ascii="宋体" w:hAnsi="宋体"/>
          <w:color w:val="auto"/>
          <w:kern w:val="0"/>
          <w:sz w:val="24"/>
        </w:rPr>
        <w:t xml:space="preserve">.2 </w:t>
      </w:r>
      <w:r>
        <w:rPr>
          <w:rFonts w:hint="eastAsia" w:ascii="宋体" w:hAnsi="宋体"/>
          <w:color w:val="auto"/>
          <w:kern w:val="0"/>
          <w:sz w:val="24"/>
        </w:rPr>
        <w:t>承包人代表任命和更换：</w:t>
      </w:r>
      <w:r>
        <w:rPr>
          <w:rFonts w:ascii="宋体" w:hAnsi="宋体"/>
          <w:color w:val="auto"/>
          <w:kern w:val="0"/>
          <w:sz w:val="24"/>
          <w:u w:val="single"/>
        </w:rPr>
        <w:t xml:space="preserve">                          /                     </w:t>
      </w:r>
    </w:p>
    <w:p w14:paraId="6A2AA15F">
      <w:pPr>
        <w:spacing w:line="360" w:lineRule="auto"/>
        <w:rPr>
          <w:rFonts w:ascii="宋体"/>
          <w:color w:val="auto"/>
          <w:kern w:val="0"/>
          <w:sz w:val="24"/>
        </w:rPr>
      </w:pPr>
      <w:r>
        <w:rPr>
          <w:rFonts w:hint="eastAsia" w:ascii="宋体" w:hAnsi="宋体"/>
          <w:color w:val="auto"/>
          <w:kern w:val="0"/>
          <w:sz w:val="24"/>
        </w:rPr>
        <w:t>21</w:t>
      </w:r>
      <w:r>
        <w:rPr>
          <w:rFonts w:ascii="宋体" w:hAnsi="宋体"/>
          <w:color w:val="auto"/>
          <w:kern w:val="0"/>
          <w:sz w:val="24"/>
        </w:rPr>
        <w:t xml:space="preserve">.3 </w:t>
      </w:r>
      <w:r>
        <w:rPr>
          <w:rFonts w:hint="eastAsia" w:ascii="宋体" w:hAnsi="宋体"/>
          <w:color w:val="auto"/>
          <w:kern w:val="0"/>
          <w:sz w:val="24"/>
        </w:rPr>
        <w:t>监理工程师代表任命和撤回：</w:t>
      </w:r>
      <w:r>
        <w:rPr>
          <w:rFonts w:ascii="宋体" w:hAnsi="宋体"/>
          <w:color w:val="auto"/>
          <w:kern w:val="0"/>
          <w:sz w:val="24"/>
          <w:u w:val="single"/>
        </w:rPr>
        <w:t xml:space="preserve">                     /                      </w:t>
      </w:r>
    </w:p>
    <w:p w14:paraId="0CC0142B">
      <w:pPr>
        <w:spacing w:line="360" w:lineRule="auto"/>
        <w:ind w:left="120"/>
        <w:rPr>
          <w:rFonts w:ascii="宋体"/>
          <w:color w:val="auto"/>
          <w:kern w:val="0"/>
          <w:sz w:val="24"/>
        </w:rPr>
      </w:pPr>
      <w:r>
        <w:rPr>
          <w:rFonts w:hint="eastAsia" w:ascii="宋体" w:hAnsi="宋体"/>
          <w:color w:val="auto"/>
          <w:kern w:val="0"/>
          <w:sz w:val="24"/>
        </w:rPr>
        <w:t>造价工程师代表任命和撤回：</w:t>
      </w:r>
      <w:r>
        <w:rPr>
          <w:rFonts w:ascii="宋体" w:hAnsi="宋体"/>
          <w:color w:val="auto"/>
          <w:kern w:val="0"/>
          <w:sz w:val="24"/>
          <w:u w:val="single"/>
        </w:rPr>
        <w:t xml:space="preserve">                     /                      </w:t>
      </w:r>
    </w:p>
    <w:p w14:paraId="76E9BE19">
      <w:pPr>
        <w:spacing w:line="360" w:lineRule="auto"/>
        <w:rPr>
          <w:rFonts w:ascii="宋体"/>
          <w:color w:val="auto"/>
          <w:kern w:val="0"/>
          <w:sz w:val="24"/>
        </w:rPr>
      </w:pPr>
      <w:r>
        <w:rPr>
          <w:rFonts w:hint="eastAsia" w:ascii="宋体" w:hAnsi="宋体"/>
          <w:color w:val="auto"/>
          <w:kern w:val="0"/>
          <w:sz w:val="24"/>
        </w:rPr>
        <w:t>21</w:t>
      </w:r>
      <w:r>
        <w:rPr>
          <w:rFonts w:ascii="宋体" w:hAnsi="宋体"/>
          <w:color w:val="auto"/>
          <w:kern w:val="0"/>
          <w:sz w:val="24"/>
        </w:rPr>
        <w:t xml:space="preserve">.4 </w:t>
      </w:r>
      <w:r>
        <w:rPr>
          <w:rFonts w:hint="eastAsia" w:ascii="宋体" w:hAnsi="宋体"/>
          <w:color w:val="auto"/>
          <w:kern w:val="0"/>
          <w:sz w:val="24"/>
        </w:rPr>
        <w:t>承包人代表授权人选任命和撤回：</w:t>
      </w:r>
      <w:r>
        <w:rPr>
          <w:rFonts w:ascii="宋体" w:hAnsi="宋体"/>
          <w:color w:val="auto"/>
          <w:kern w:val="0"/>
          <w:sz w:val="24"/>
          <w:u w:val="single"/>
        </w:rPr>
        <w:t xml:space="preserve">                   /                   </w:t>
      </w:r>
    </w:p>
    <w:p w14:paraId="52516A48">
      <w:pPr>
        <w:spacing w:line="360" w:lineRule="auto"/>
        <w:ind w:left="120"/>
        <w:rPr>
          <w:rFonts w:ascii="宋体"/>
          <w:color w:val="auto"/>
          <w:kern w:val="0"/>
          <w:sz w:val="24"/>
        </w:rPr>
      </w:pPr>
    </w:p>
    <w:p w14:paraId="5FB35893">
      <w:pPr>
        <w:spacing w:line="360" w:lineRule="auto"/>
        <w:rPr>
          <w:rFonts w:ascii="宋体"/>
          <w:b/>
          <w:color w:val="auto"/>
          <w:kern w:val="0"/>
          <w:sz w:val="24"/>
        </w:rPr>
      </w:pPr>
      <w:r>
        <w:rPr>
          <w:rFonts w:hint="eastAsia" w:ascii="宋体" w:hAnsi="宋体"/>
          <w:b/>
          <w:color w:val="auto"/>
          <w:kern w:val="0"/>
          <w:sz w:val="24"/>
        </w:rPr>
        <w:t>22.发包人代表</w:t>
      </w:r>
    </w:p>
    <w:p w14:paraId="55600F64">
      <w:pPr>
        <w:spacing w:line="360" w:lineRule="auto"/>
        <w:rPr>
          <w:rFonts w:ascii="宋体"/>
          <w:color w:val="auto"/>
          <w:kern w:val="0"/>
          <w:sz w:val="24"/>
        </w:rPr>
      </w:pPr>
      <w:r>
        <w:rPr>
          <w:rFonts w:hint="eastAsia" w:ascii="宋体" w:hAnsi="宋体"/>
          <w:color w:val="auto"/>
          <w:kern w:val="0"/>
          <w:sz w:val="24"/>
        </w:rPr>
        <w:t>22</w:t>
      </w:r>
      <w:r>
        <w:rPr>
          <w:rFonts w:ascii="宋体" w:hAnsi="宋体"/>
          <w:color w:val="auto"/>
          <w:kern w:val="0"/>
          <w:sz w:val="24"/>
        </w:rPr>
        <w:t xml:space="preserve">.1 </w:t>
      </w:r>
      <w:r>
        <w:rPr>
          <w:rFonts w:hint="eastAsia" w:ascii="宋体" w:hAnsi="宋体"/>
          <w:color w:val="auto"/>
          <w:kern w:val="0"/>
          <w:sz w:val="24"/>
        </w:rPr>
        <w:t>发包人代表及其权力的限制</w:t>
      </w:r>
    </w:p>
    <w:p w14:paraId="40867D19">
      <w:pPr>
        <w:spacing w:line="360" w:lineRule="auto"/>
        <w:rPr>
          <w:rFonts w:ascii="宋体"/>
          <w:color w:val="auto"/>
          <w:kern w:val="0"/>
          <w:sz w:val="24"/>
        </w:rPr>
      </w:pPr>
      <w:r>
        <w:rPr>
          <w:rFonts w:hint="eastAsia" w:ascii="宋体" w:hAnsi="宋体"/>
          <w:color w:val="auto"/>
          <w:kern w:val="0"/>
          <w:sz w:val="24"/>
        </w:rPr>
        <w:t>（</w:t>
      </w:r>
      <w:r>
        <w:rPr>
          <w:rFonts w:ascii="宋体" w:hAnsi="宋体"/>
          <w:color w:val="auto"/>
          <w:kern w:val="0"/>
          <w:sz w:val="24"/>
        </w:rPr>
        <w:t>1</w:t>
      </w:r>
      <w:r>
        <w:rPr>
          <w:rFonts w:hint="eastAsia" w:ascii="宋体" w:hAnsi="宋体"/>
          <w:color w:val="auto"/>
          <w:kern w:val="0"/>
          <w:sz w:val="24"/>
        </w:rPr>
        <w:t>）发包人任命（）为发包人代表，其通讯方式为</w:t>
      </w:r>
    </w:p>
    <w:p w14:paraId="62B79616">
      <w:pPr>
        <w:spacing w:line="360" w:lineRule="auto"/>
        <w:ind w:left="120"/>
        <w:rPr>
          <w:rFonts w:ascii="宋体"/>
          <w:color w:val="auto"/>
          <w:kern w:val="0"/>
          <w:sz w:val="24"/>
          <w:u w:val="single"/>
        </w:rPr>
      </w:pPr>
      <w:r>
        <w:rPr>
          <w:rFonts w:hint="eastAsia" w:ascii="宋体" w:hAnsi="宋体"/>
          <w:color w:val="auto"/>
          <w:kern w:val="0"/>
          <w:sz w:val="24"/>
        </w:rPr>
        <w:t xml:space="preserve"> 通讯地址：   邮政编码：</w:t>
      </w:r>
    </w:p>
    <w:p w14:paraId="433FDCAD">
      <w:pPr>
        <w:spacing w:line="360" w:lineRule="auto"/>
        <w:ind w:firstLine="240" w:firstLineChars="100"/>
        <w:rPr>
          <w:rFonts w:ascii="宋体"/>
          <w:color w:val="auto"/>
          <w:sz w:val="24"/>
          <w:u w:val="single"/>
        </w:rPr>
      </w:pPr>
      <w:r>
        <w:rPr>
          <w:rFonts w:hint="eastAsia" w:ascii="宋体" w:hAnsi="宋体"/>
          <w:color w:val="auto"/>
          <w:sz w:val="24"/>
        </w:rPr>
        <w:t>联系电话：   传真号码：</w:t>
      </w:r>
    </w:p>
    <w:p w14:paraId="1541FD5B">
      <w:pPr>
        <w:spacing w:line="360" w:lineRule="auto"/>
        <w:rPr>
          <w:rFonts w:ascii="宋体"/>
          <w:color w:val="auto"/>
          <w:sz w:val="24"/>
          <w:u w:val="single"/>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）发包人对发包人代表权力做如下限制：</w:t>
      </w:r>
      <w:r>
        <w:rPr>
          <w:rFonts w:ascii="宋体" w:hAnsi="宋体"/>
          <w:color w:val="auto"/>
          <w:sz w:val="24"/>
          <w:u w:val="single"/>
        </w:rPr>
        <w:t xml:space="preserve">                /              </w:t>
      </w:r>
    </w:p>
    <w:p w14:paraId="41BEE8AF">
      <w:pPr>
        <w:spacing w:line="360" w:lineRule="auto"/>
        <w:rPr>
          <w:rFonts w:ascii="宋体"/>
          <w:color w:val="auto"/>
          <w:sz w:val="24"/>
        </w:rPr>
      </w:pPr>
    </w:p>
    <w:p w14:paraId="031BC3F2">
      <w:pPr>
        <w:spacing w:line="360" w:lineRule="auto"/>
        <w:rPr>
          <w:rFonts w:ascii="宋体"/>
          <w:b/>
          <w:color w:val="auto"/>
          <w:sz w:val="24"/>
        </w:rPr>
      </w:pPr>
      <w:r>
        <w:rPr>
          <w:rFonts w:hint="eastAsia" w:ascii="宋体" w:hAnsi="宋体"/>
          <w:b/>
          <w:color w:val="auto"/>
          <w:sz w:val="24"/>
        </w:rPr>
        <w:t>23</w:t>
      </w:r>
      <w:r>
        <w:rPr>
          <w:rFonts w:ascii="宋体" w:hAnsi="宋体"/>
          <w:b/>
          <w:color w:val="auto"/>
          <w:sz w:val="24"/>
        </w:rPr>
        <w:t xml:space="preserve">. </w:t>
      </w:r>
      <w:r>
        <w:rPr>
          <w:rFonts w:hint="eastAsia" w:ascii="宋体" w:hAnsi="宋体"/>
          <w:b/>
          <w:color w:val="auto"/>
          <w:sz w:val="24"/>
        </w:rPr>
        <w:t>监理工程师</w:t>
      </w:r>
    </w:p>
    <w:p w14:paraId="1293C299">
      <w:pPr>
        <w:spacing w:line="360" w:lineRule="auto"/>
        <w:ind w:firstLine="120" w:firstLineChars="50"/>
        <w:rPr>
          <w:rFonts w:ascii="宋体"/>
          <w:color w:val="auto"/>
          <w:sz w:val="24"/>
        </w:rPr>
      </w:pPr>
    </w:p>
    <w:p w14:paraId="6D053E1F">
      <w:pPr>
        <w:spacing w:line="360" w:lineRule="auto"/>
        <w:rPr>
          <w:rFonts w:ascii="宋体"/>
          <w:color w:val="auto"/>
          <w:sz w:val="24"/>
        </w:rPr>
      </w:pPr>
      <w:r>
        <w:rPr>
          <w:rFonts w:hint="eastAsia" w:ascii="宋体" w:hAnsi="宋体"/>
          <w:color w:val="auto"/>
          <w:sz w:val="24"/>
        </w:rPr>
        <w:t>23</w:t>
      </w:r>
      <w:r>
        <w:rPr>
          <w:rFonts w:ascii="宋体" w:hAnsi="宋体"/>
          <w:color w:val="auto"/>
          <w:sz w:val="24"/>
        </w:rPr>
        <w:t xml:space="preserve">.1 </w:t>
      </w:r>
      <w:r>
        <w:rPr>
          <w:rFonts w:hint="eastAsia" w:ascii="宋体" w:hAnsi="宋体"/>
          <w:color w:val="auto"/>
          <w:sz w:val="24"/>
        </w:rPr>
        <w:t>负责合同工程的监理人及任命的监理工程师</w:t>
      </w:r>
    </w:p>
    <w:p w14:paraId="4A65AC27">
      <w:pPr>
        <w:spacing w:line="360" w:lineRule="auto"/>
        <w:ind w:firstLine="120" w:firstLineChars="50"/>
        <w:rPr>
          <w:rFonts w:ascii="宋体"/>
          <w:color w:val="auto"/>
          <w:sz w:val="24"/>
          <w:u w:val="single"/>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）监理人：法定代表人：</w:t>
      </w:r>
    </w:p>
    <w:p w14:paraId="0E703A44">
      <w:pPr>
        <w:spacing w:line="360" w:lineRule="auto"/>
        <w:ind w:firstLine="120" w:firstLineChars="50"/>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）任命（）为监理工程师，其通讯方式为</w:t>
      </w:r>
    </w:p>
    <w:p w14:paraId="48969D20">
      <w:pPr>
        <w:spacing w:line="360" w:lineRule="auto"/>
        <w:ind w:left="120" w:firstLine="720" w:firstLineChars="300"/>
        <w:rPr>
          <w:rFonts w:ascii="宋体" w:hAnsi="宋体"/>
          <w:color w:val="auto"/>
          <w:kern w:val="0"/>
          <w:sz w:val="24"/>
        </w:rPr>
      </w:pPr>
      <w:r>
        <w:rPr>
          <w:rFonts w:hint="eastAsia" w:ascii="宋体" w:hAnsi="宋体"/>
          <w:color w:val="auto"/>
          <w:kern w:val="0"/>
          <w:sz w:val="24"/>
        </w:rPr>
        <w:t>通讯地址：邮政编码：</w:t>
      </w:r>
    </w:p>
    <w:p w14:paraId="27927871">
      <w:pPr>
        <w:spacing w:line="360" w:lineRule="auto"/>
        <w:ind w:firstLine="240" w:firstLineChars="100"/>
        <w:rPr>
          <w:rFonts w:ascii="宋体"/>
          <w:color w:val="auto"/>
          <w:sz w:val="24"/>
        </w:rPr>
      </w:pPr>
      <w:r>
        <w:rPr>
          <w:rFonts w:hint="eastAsia" w:ascii="宋体" w:hAnsi="宋体"/>
          <w:color w:val="auto"/>
          <w:sz w:val="24"/>
        </w:rPr>
        <w:t>联系电话：传真号码：</w:t>
      </w:r>
    </w:p>
    <w:p w14:paraId="0B9A6DF8">
      <w:pPr>
        <w:spacing w:line="360" w:lineRule="auto"/>
        <w:rPr>
          <w:rFonts w:ascii="宋体"/>
          <w:color w:val="auto"/>
          <w:sz w:val="24"/>
          <w:u w:val="single"/>
        </w:rPr>
      </w:pPr>
      <w:r>
        <w:rPr>
          <w:rFonts w:hint="eastAsia" w:ascii="宋体" w:hAnsi="宋体"/>
          <w:color w:val="auto"/>
          <w:sz w:val="24"/>
        </w:rPr>
        <w:t>23</w:t>
      </w:r>
      <w:r>
        <w:rPr>
          <w:rFonts w:ascii="宋体" w:hAnsi="宋体"/>
          <w:color w:val="auto"/>
          <w:sz w:val="24"/>
        </w:rPr>
        <w:t>.</w:t>
      </w:r>
      <w:r>
        <w:rPr>
          <w:rFonts w:hint="eastAsia" w:ascii="宋体" w:hAnsi="宋体"/>
          <w:color w:val="auto"/>
          <w:sz w:val="24"/>
        </w:rPr>
        <w:t>3 （12）需要发包人批准的其他事项：</w:t>
      </w:r>
      <w:r>
        <w:rPr>
          <w:rFonts w:hint="eastAsia" w:ascii="宋体" w:hAnsi="宋体"/>
          <w:color w:val="auto"/>
          <w:sz w:val="24"/>
          <w:u w:val="single"/>
        </w:rPr>
        <w:t xml:space="preserve">    /     </w:t>
      </w:r>
    </w:p>
    <w:p w14:paraId="6081F433">
      <w:pPr>
        <w:spacing w:line="360" w:lineRule="auto"/>
        <w:rPr>
          <w:rFonts w:ascii="宋体"/>
          <w:b/>
          <w:color w:val="auto"/>
          <w:sz w:val="24"/>
        </w:rPr>
      </w:pPr>
    </w:p>
    <w:p w14:paraId="190DF35C">
      <w:pPr>
        <w:spacing w:line="360" w:lineRule="auto"/>
        <w:rPr>
          <w:rFonts w:ascii="宋体"/>
          <w:color w:val="auto"/>
          <w:sz w:val="24"/>
        </w:rPr>
      </w:pPr>
      <w:r>
        <w:rPr>
          <w:rFonts w:hint="eastAsia" w:ascii="宋体" w:hAnsi="宋体"/>
          <w:b/>
          <w:color w:val="auto"/>
          <w:sz w:val="24"/>
        </w:rPr>
        <w:t>24</w:t>
      </w:r>
      <w:r>
        <w:rPr>
          <w:rFonts w:ascii="宋体" w:hAnsi="宋体"/>
          <w:b/>
          <w:color w:val="auto"/>
          <w:sz w:val="24"/>
        </w:rPr>
        <w:t xml:space="preserve">. </w:t>
      </w:r>
      <w:r>
        <w:rPr>
          <w:rFonts w:hint="eastAsia" w:ascii="宋体" w:hAnsi="宋体"/>
          <w:b/>
          <w:color w:val="auto"/>
          <w:sz w:val="24"/>
        </w:rPr>
        <w:t>造价工程师</w:t>
      </w:r>
    </w:p>
    <w:p w14:paraId="694F2559">
      <w:pPr>
        <w:spacing w:line="360" w:lineRule="auto"/>
        <w:rPr>
          <w:rFonts w:ascii="宋体"/>
          <w:color w:val="auto"/>
          <w:sz w:val="24"/>
        </w:rPr>
      </w:pPr>
      <w:r>
        <w:rPr>
          <w:rFonts w:hint="eastAsia" w:ascii="宋体" w:hAnsi="宋体"/>
          <w:color w:val="auto"/>
          <w:sz w:val="24"/>
        </w:rPr>
        <w:t>24</w:t>
      </w:r>
      <w:r>
        <w:rPr>
          <w:rFonts w:ascii="宋体" w:hAnsi="宋体"/>
          <w:color w:val="auto"/>
          <w:sz w:val="24"/>
        </w:rPr>
        <w:t xml:space="preserve">.1 </w:t>
      </w:r>
      <w:r>
        <w:rPr>
          <w:rFonts w:hint="eastAsia" w:ascii="宋体" w:hAnsi="宋体"/>
          <w:color w:val="auto"/>
          <w:sz w:val="24"/>
        </w:rPr>
        <w:t>负责合同工程的造价咨询单位及任命的造价工程师</w:t>
      </w:r>
    </w:p>
    <w:p w14:paraId="7F59ADB3">
      <w:pPr>
        <w:spacing w:line="360" w:lineRule="auto"/>
        <w:ind w:firstLine="120" w:firstLineChars="50"/>
        <w:rPr>
          <w:rFonts w:ascii="宋体"/>
          <w:color w:val="auto"/>
          <w:sz w:val="24"/>
          <w:u w:val="single"/>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）工程造价咨询人：法定代表人：</w:t>
      </w:r>
    </w:p>
    <w:p w14:paraId="417AFF5E">
      <w:pPr>
        <w:spacing w:line="360" w:lineRule="auto"/>
        <w:ind w:firstLine="120" w:firstLineChars="50"/>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）任命（）为造价工程师，其通讯方式为</w:t>
      </w:r>
    </w:p>
    <w:p w14:paraId="6BCE6FE1">
      <w:pPr>
        <w:spacing w:line="360" w:lineRule="auto"/>
        <w:ind w:firstLine="960" w:firstLineChars="400"/>
        <w:rPr>
          <w:rFonts w:ascii="宋体"/>
          <w:color w:val="auto"/>
          <w:kern w:val="0"/>
          <w:sz w:val="24"/>
          <w:u w:val="single"/>
        </w:rPr>
      </w:pPr>
      <w:r>
        <w:rPr>
          <w:rFonts w:hint="eastAsia" w:ascii="宋体" w:hAnsi="宋体"/>
          <w:color w:val="auto"/>
          <w:kern w:val="0"/>
          <w:sz w:val="24"/>
        </w:rPr>
        <w:t>通讯地址：邮政编码：</w:t>
      </w:r>
    </w:p>
    <w:p w14:paraId="13655EDA">
      <w:pPr>
        <w:spacing w:line="360" w:lineRule="auto"/>
        <w:ind w:firstLine="120" w:firstLineChars="50"/>
        <w:rPr>
          <w:rFonts w:ascii="宋体"/>
          <w:color w:val="auto"/>
          <w:sz w:val="24"/>
          <w:u w:val="single"/>
        </w:rPr>
      </w:pPr>
      <w:r>
        <w:rPr>
          <w:rFonts w:hint="eastAsia" w:ascii="宋体" w:hAnsi="宋体"/>
          <w:color w:val="auto"/>
          <w:sz w:val="24"/>
        </w:rPr>
        <w:t xml:space="preserve"> 联系电话：传真号码：</w:t>
      </w:r>
    </w:p>
    <w:p w14:paraId="6E1C9C20">
      <w:pPr>
        <w:spacing w:line="360" w:lineRule="auto"/>
        <w:rPr>
          <w:rFonts w:ascii="宋体"/>
          <w:color w:val="auto"/>
          <w:sz w:val="24"/>
        </w:rPr>
      </w:pPr>
      <w:r>
        <w:rPr>
          <w:rFonts w:hint="eastAsia" w:ascii="宋体" w:hAnsi="宋体"/>
          <w:color w:val="auto"/>
          <w:sz w:val="24"/>
        </w:rPr>
        <w:t>24.3 需要发包人批准的其他事项：</w:t>
      </w:r>
    </w:p>
    <w:p w14:paraId="0B910283">
      <w:pPr>
        <w:spacing w:line="360" w:lineRule="auto"/>
        <w:rPr>
          <w:rFonts w:ascii="宋体"/>
          <w:color w:val="auto"/>
          <w:sz w:val="24"/>
        </w:rPr>
      </w:pPr>
    </w:p>
    <w:p w14:paraId="5967D2A8">
      <w:pPr>
        <w:spacing w:line="360" w:lineRule="auto"/>
        <w:rPr>
          <w:rFonts w:ascii="宋体"/>
          <w:b/>
          <w:color w:val="auto"/>
          <w:sz w:val="24"/>
        </w:rPr>
      </w:pPr>
      <w:r>
        <w:rPr>
          <w:rFonts w:hint="eastAsia" w:ascii="宋体" w:hAnsi="宋体"/>
          <w:b/>
          <w:color w:val="auto"/>
          <w:sz w:val="24"/>
        </w:rPr>
        <w:t>25.承包人代表</w:t>
      </w:r>
    </w:p>
    <w:p w14:paraId="0744BC19">
      <w:pPr>
        <w:spacing w:line="360" w:lineRule="auto"/>
        <w:rPr>
          <w:rFonts w:ascii="宋体"/>
          <w:color w:val="auto"/>
          <w:sz w:val="24"/>
        </w:rPr>
      </w:pPr>
      <w:r>
        <w:rPr>
          <w:rFonts w:hint="eastAsia" w:ascii="宋体" w:hAnsi="宋体"/>
          <w:color w:val="auto"/>
          <w:sz w:val="24"/>
        </w:rPr>
        <w:t>25.1 承办人任命（）为承办人代表，其通讯方式为</w:t>
      </w:r>
    </w:p>
    <w:p w14:paraId="7C3CC5A4">
      <w:pPr>
        <w:spacing w:line="360" w:lineRule="auto"/>
        <w:ind w:firstLine="960" w:firstLineChars="400"/>
        <w:rPr>
          <w:rFonts w:ascii="宋体"/>
          <w:color w:val="auto"/>
          <w:kern w:val="0"/>
          <w:sz w:val="24"/>
          <w:u w:val="single"/>
        </w:rPr>
      </w:pPr>
      <w:r>
        <w:rPr>
          <w:rFonts w:hint="eastAsia" w:ascii="宋体" w:hAnsi="宋体"/>
          <w:color w:val="auto"/>
          <w:kern w:val="0"/>
          <w:sz w:val="24"/>
        </w:rPr>
        <w:t>通讯地址：邮政编码：</w:t>
      </w:r>
    </w:p>
    <w:p w14:paraId="19C80EC0">
      <w:pPr>
        <w:spacing w:line="360" w:lineRule="auto"/>
        <w:ind w:firstLine="120" w:firstLineChars="50"/>
        <w:rPr>
          <w:rFonts w:ascii="宋体"/>
          <w:color w:val="auto"/>
          <w:sz w:val="24"/>
          <w:u w:val="single"/>
        </w:rPr>
      </w:pPr>
      <w:r>
        <w:rPr>
          <w:rFonts w:hint="eastAsia" w:ascii="宋体" w:hAnsi="宋体"/>
          <w:color w:val="auto"/>
          <w:sz w:val="24"/>
        </w:rPr>
        <w:t xml:space="preserve"> 联系电话：传真号码：</w:t>
      </w:r>
    </w:p>
    <w:p w14:paraId="14425F82">
      <w:pPr>
        <w:spacing w:line="360" w:lineRule="auto"/>
        <w:rPr>
          <w:rFonts w:ascii="宋体"/>
          <w:b/>
          <w:color w:val="auto"/>
          <w:sz w:val="24"/>
        </w:rPr>
      </w:pPr>
    </w:p>
    <w:p w14:paraId="0E4A0387">
      <w:pPr>
        <w:spacing w:line="360" w:lineRule="auto"/>
        <w:rPr>
          <w:rFonts w:ascii="宋体"/>
          <w:b/>
          <w:color w:val="auto"/>
          <w:sz w:val="24"/>
        </w:rPr>
      </w:pPr>
      <w:r>
        <w:rPr>
          <w:rFonts w:hint="eastAsia" w:ascii="宋体" w:hAnsi="宋体"/>
          <w:b/>
          <w:color w:val="auto"/>
          <w:sz w:val="24"/>
        </w:rPr>
        <w:t>26.指定发包人</w:t>
      </w:r>
    </w:p>
    <w:p w14:paraId="3DC9ECBE">
      <w:pPr>
        <w:spacing w:line="360" w:lineRule="auto"/>
        <w:ind w:firstLine="120" w:firstLineChars="50"/>
        <w:rPr>
          <w:rFonts w:ascii="宋体"/>
          <w:color w:val="auto"/>
          <w:sz w:val="24"/>
        </w:rPr>
      </w:pPr>
      <w:r>
        <w:rPr>
          <w:rFonts w:hint="eastAsia" w:ascii="宋体"/>
          <w:color w:val="auto"/>
          <w:sz w:val="24"/>
        </w:rPr>
        <w:t>26.1</w:t>
      </w:r>
      <w:r>
        <w:rPr>
          <w:rFonts w:hint="eastAsia" w:ascii="宋体" w:hAnsi="宋体"/>
          <w:color w:val="auto"/>
          <w:sz w:val="24"/>
        </w:rPr>
        <w:t>依法指定的发包人</w:t>
      </w:r>
    </w:p>
    <w:p w14:paraId="5A395A78">
      <w:pPr>
        <w:spacing w:line="360" w:lineRule="auto"/>
        <w:ind w:firstLine="120" w:firstLineChars="50"/>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）实施、完成部分永久工程的分包人：</w:t>
      </w:r>
      <w:r>
        <w:rPr>
          <w:rFonts w:ascii="宋体" w:hAnsi="宋体"/>
          <w:color w:val="auto"/>
          <w:sz w:val="24"/>
          <w:u w:val="single"/>
        </w:rPr>
        <w:t xml:space="preserve">     /    </w:t>
      </w:r>
    </w:p>
    <w:p w14:paraId="284053B9">
      <w:pPr>
        <w:spacing w:line="360" w:lineRule="auto"/>
        <w:ind w:firstLine="120" w:firstLineChars="50"/>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）提供材料和工程设备、服务的分包人：</w:t>
      </w:r>
      <w:r>
        <w:rPr>
          <w:rFonts w:ascii="宋体" w:hAnsi="宋体"/>
          <w:color w:val="auto"/>
          <w:sz w:val="24"/>
          <w:u w:val="single"/>
        </w:rPr>
        <w:t xml:space="preserve">    /    </w:t>
      </w:r>
    </w:p>
    <w:p w14:paraId="28373209">
      <w:pPr>
        <w:spacing w:line="360" w:lineRule="auto"/>
        <w:rPr>
          <w:rFonts w:ascii="宋体"/>
          <w:color w:val="auto"/>
          <w:sz w:val="24"/>
        </w:rPr>
      </w:pPr>
    </w:p>
    <w:p w14:paraId="6693681D">
      <w:pPr>
        <w:spacing w:line="360" w:lineRule="auto"/>
        <w:rPr>
          <w:rFonts w:ascii="宋体"/>
          <w:b/>
          <w:color w:val="auto"/>
          <w:sz w:val="24"/>
        </w:rPr>
      </w:pPr>
      <w:r>
        <w:rPr>
          <w:rFonts w:hint="eastAsia" w:ascii="宋体" w:hAnsi="宋体"/>
          <w:b/>
          <w:color w:val="auto"/>
          <w:sz w:val="24"/>
        </w:rPr>
        <w:t>28</w:t>
      </w:r>
      <w:r>
        <w:rPr>
          <w:rFonts w:ascii="宋体" w:hAnsi="宋体"/>
          <w:b/>
          <w:color w:val="auto"/>
          <w:sz w:val="24"/>
        </w:rPr>
        <w:t xml:space="preserve">. </w:t>
      </w:r>
      <w:r>
        <w:rPr>
          <w:rFonts w:hint="eastAsia" w:ascii="宋体" w:hAnsi="宋体"/>
          <w:b/>
          <w:color w:val="auto"/>
          <w:sz w:val="24"/>
        </w:rPr>
        <w:t>工程担保</w:t>
      </w:r>
    </w:p>
    <w:p w14:paraId="67BDE15B">
      <w:pPr>
        <w:spacing w:line="360" w:lineRule="auto"/>
        <w:rPr>
          <w:rFonts w:ascii="宋体"/>
          <w:color w:val="auto"/>
          <w:sz w:val="24"/>
        </w:rPr>
      </w:pPr>
      <w:r>
        <w:rPr>
          <w:rFonts w:hint="eastAsia" w:ascii="宋体" w:hAnsi="宋体"/>
          <w:color w:val="auto"/>
          <w:sz w:val="24"/>
        </w:rPr>
        <w:t>28</w:t>
      </w:r>
      <w:r>
        <w:rPr>
          <w:rFonts w:ascii="宋体" w:hAnsi="宋体"/>
          <w:color w:val="auto"/>
          <w:sz w:val="24"/>
        </w:rPr>
        <w:t xml:space="preserve">.1 </w:t>
      </w:r>
      <w:r>
        <w:rPr>
          <w:rFonts w:hint="eastAsia" w:ascii="宋体" w:hAnsi="宋体"/>
          <w:color w:val="auto"/>
          <w:sz w:val="24"/>
        </w:rPr>
        <w:t>承包人提供履约担保的约定</w:t>
      </w:r>
    </w:p>
    <w:p w14:paraId="65A24BFC">
      <w:pPr>
        <w:spacing w:line="360" w:lineRule="auto"/>
        <w:ind w:firstLine="480" w:firstLineChars="200"/>
        <w:rPr>
          <w:rFonts w:ascii="宋体" w:cs="宋体"/>
          <w:b/>
          <w:color w:val="auto"/>
          <w:sz w:val="24"/>
          <w:lang w:val="zh-CN"/>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）履约担保的金额（大写）</w:t>
      </w:r>
      <w:r>
        <w:rPr>
          <w:rFonts w:ascii="宋体" w:hAnsi="宋体"/>
          <w:color w:val="auto"/>
          <w:sz w:val="24"/>
        </w:rPr>
        <w:t>:</w:t>
      </w:r>
    </w:p>
    <w:p w14:paraId="4BDF3288">
      <w:pPr>
        <w:spacing w:line="360" w:lineRule="auto"/>
        <w:ind w:firstLine="2760" w:firstLineChars="1150"/>
        <w:rPr>
          <w:rFonts w:ascii="宋体"/>
          <w:color w:val="auto"/>
          <w:sz w:val="24"/>
        </w:rPr>
      </w:pPr>
      <w:r>
        <w:rPr>
          <w:rFonts w:hint="eastAsia" w:ascii="宋体" w:hAnsi="宋体" w:cs="宋体"/>
          <w:color w:val="auto"/>
          <w:sz w:val="24"/>
          <w:lang w:val="zh-CN"/>
        </w:rPr>
        <w:t>（小写）</w:t>
      </w:r>
      <w:r>
        <w:rPr>
          <w:rFonts w:ascii="宋体" w:hAnsi="宋体" w:cs="宋体"/>
          <w:color w:val="auto"/>
          <w:sz w:val="24"/>
          <w:lang w:val="zh-CN"/>
        </w:rPr>
        <w:t>:</w:t>
      </w:r>
      <w:r>
        <w:rPr>
          <w:rFonts w:hint="eastAsia" w:ascii="宋体" w:hAnsi="宋体" w:cs="宋体"/>
          <w:b/>
          <w:color w:val="auto"/>
          <w:sz w:val="24"/>
          <w:u w:val="single"/>
          <w:lang w:val="zh-CN"/>
        </w:rPr>
        <w:t>元</w:t>
      </w:r>
    </w:p>
    <w:p w14:paraId="06B9B18D">
      <w:pPr>
        <w:spacing w:line="360" w:lineRule="auto"/>
        <w:ind w:firstLine="120" w:firstLineChars="50"/>
        <w:rPr>
          <w:rFonts w:ascii="宋体"/>
          <w:color w:val="auto"/>
          <w:sz w:val="24"/>
          <w:u w:val="single"/>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）提供履约担保的时间：</w:t>
      </w:r>
    </w:p>
    <w:p w14:paraId="1F6D29A1">
      <w:pPr>
        <w:spacing w:line="360" w:lineRule="auto"/>
        <w:ind w:firstLine="120" w:firstLineChars="50"/>
        <w:rPr>
          <w:rFonts w:ascii="宋体"/>
          <w:color w:val="auto"/>
          <w:kern w:val="0"/>
          <w:sz w:val="24"/>
        </w:rPr>
      </w:pPr>
      <w:r>
        <w:rPr>
          <w:rFonts w:hint="eastAsia" w:ascii="宋体"/>
          <w:color w:val="auto"/>
          <w:kern w:val="0"/>
          <w:sz w:val="24"/>
        </w:rPr>
        <w:t>□</w:t>
      </w:r>
      <w:r>
        <w:rPr>
          <w:rFonts w:hint="eastAsia" w:ascii="宋体" w:hAnsi="宋体"/>
          <w:color w:val="auto"/>
          <w:kern w:val="0"/>
          <w:sz w:val="24"/>
        </w:rPr>
        <w:t>签订本合同时。</w:t>
      </w:r>
    </w:p>
    <w:p w14:paraId="2589BD16">
      <w:pPr>
        <w:spacing w:line="360" w:lineRule="auto"/>
        <w:ind w:firstLine="120" w:firstLineChars="50"/>
        <w:rPr>
          <w:rFonts w:ascii="宋体"/>
          <w:color w:val="auto"/>
          <w:kern w:val="0"/>
          <w:sz w:val="24"/>
        </w:rPr>
      </w:pPr>
      <w:r>
        <w:rPr>
          <w:rFonts w:hint="eastAsia" w:ascii="宋体" w:hAnsi="宋体"/>
          <w:color w:val="auto"/>
          <w:sz w:val="24"/>
        </w:rPr>
        <w:t>■</w:t>
      </w:r>
      <w:r>
        <w:rPr>
          <w:rFonts w:hint="eastAsia" w:ascii="宋体" w:hAnsi="宋体"/>
          <w:color w:val="auto"/>
          <w:kern w:val="0"/>
          <w:sz w:val="24"/>
        </w:rPr>
        <w:t>另作约定：</w:t>
      </w:r>
      <w:r>
        <w:rPr>
          <w:rFonts w:hint="eastAsia" w:ascii="宋体" w:hAnsi="宋体"/>
          <w:color w:val="auto"/>
          <w:sz w:val="24"/>
          <w:u w:val="single"/>
        </w:rPr>
        <w:t>承包人提供的履约保证金为中标价款（人民币）的10</w:t>
      </w:r>
      <w:r>
        <w:rPr>
          <w:rFonts w:ascii="宋体" w:hAnsi="宋体"/>
          <w:color w:val="auto"/>
          <w:sz w:val="24"/>
          <w:u w:val="single"/>
        </w:rPr>
        <w:t>%</w:t>
      </w:r>
      <w:r>
        <w:rPr>
          <w:rFonts w:hint="eastAsia" w:ascii="宋体" w:hAnsi="宋体"/>
          <w:color w:val="auto"/>
          <w:sz w:val="24"/>
          <w:u w:val="single"/>
        </w:rPr>
        <w:t>。有效期从合同生效至项目竣工验收送电之日为止。</w:t>
      </w:r>
    </w:p>
    <w:p w14:paraId="019B4E82">
      <w:pPr>
        <w:spacing w:line="360" w:lineRule="auto"/>
        <w:ind w:firstLine="120" w:firstLineChars="50"/>
        <w:rPr>
          <w:rFonts w:ascii="宋体"/>
          <w:color w:val="auto"/>
          <w:kern w:val="0"/>
          <w:sz w:val="24"/>
        </w:rPr>
      </w:pPr>
      <w:r>
        <w:rPr>
          <w:rFonts w:hint="eastAsia" w:ascii="宋体" w:hAnsi="宋体"/>
          <w:color w:val="auto"/>
          <w:kern w:val="0"/>
          <w:sz w:val="24"/>
        </w:rPr>
        <w:t>（</w:t>
      </w:r>
      <w:r>
        <w:rPr>
          <w:rFonts w:ascii="宋体" w:hAnsi="宋体"/>
          <w:color w:val="auto"/>
          <w:kern w:val="0"/>
          <w:sz w:val="24"/>
        </w:rPr>
        <w:t>3</w:t>
      </w:r>
      <w:r>
        <w:rPr>
          <w:rFonts w:hint="eastAsia" w:ascii="宋体" w:hAnsi="宋体"/>
          <w:color w:val="auto"/>
          <w:kern w:val="0"/>
          <w:sz w:val="24"/>
        </w:rPr>
        <w:t>）出具履约保函的担保人：</w:t>
      </w:r>
      <w:r>
        <w:rPr>
          <w:rFonts w:ascii="宋体" w:hAnsi="宋体"/>
          <w:color w:val="auto"/>
          <w:kern w:val="0"/>
          <w:sz w:val="24"/>
          <w:u w:val="single"/>
        </w:rPr>
        <w:t xml:space="preserve">                    /                   </w:t>
      </w:r>
    </w:p>
    <w:p w14:paraId="2C8001EE">
      <w:pPr>
        <w:spacing w:line="360" w:lineRule="auto"/>
        <w:rPr>
          <w:rFonts w:ascii="宋体"/>
          <w:color w:val="auto"/>
          <w:sz w:val="24"/>
        </w:rPr>
      </w:pPr>
      <w:r>
        <w:rPr>
          <w:rFonts w:hint="eastAsia" w:ascii="宋体"/>
          <w:color w:val="auto"/>
          <w:sz w:val="24"/>
        </w:rPr>
        <w:t>28.4</w:t>
      </w:r>
      <w:r>
        <w:rPr>
          <w:rFonts w:hint="eastAsia" w:ascii="宋体" w:hAnsi="宋体"/>
          <w:color w:val="auto"/>
          <w:sz w:val="24"/>
        </w:rPr>
        <w:t>发包人提供支付担保的约定</w:t>
      </w:r>
    </w:p>
    <w:p w14:paraId="5C7369C1">
      <w:pPr>
        <w:spacing w:line="360" w:lineRule="auto"/>
        <w:ind w:firstLine="120" w:firstLineChars="50"/>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）支付担保的金额：（大写）</w:t>
      </w:r>
      <w:r>
        <w:rPr>
          <w:rFonts w:ascii="宋体" w:hAnsi="宋体"/>
          <w:color w:val="auto"/>
          <w:sz w:val="24"/>
          <w:u w:val="single"/>
        </w:rPr>
        <w:t xml:space="preserve">          /          </w:t>
      </w:r>
      <w:r>
        <w:rPr>
          <w:rFonts w:hint="eastAsia" w:ascii="宋体" w:hAnsi="宋体"/>
          <w:color w:val="auto"/>
          <w:sz w:val="24"/>
        </w:rPr>
        <w:t>（小写）</w:t>
      </w:r>
    </w:p>
    <w:p w14:paraId="47488C22">
      <w:pPr>
        <w:spacing w:line="360" w:lineRule="auto"/>
        <w:ind w:firstLine="120" w:firstLineChars="50"/>
        <w:rPr>
          <w:rFonts w:ascii="宋体"/>
          <w:color w:val="auto"/>
          <w:sz w:val="24"/>
          <w:u w:val="single"/>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）提供支付担保的时间：</w:t>
      </w:r>
      <w:r>
        <w:rPr>
          <w:rFonts w:ascii="宋体" w:hAnsi="宋体"/>
          <w:color w:val="auto"/>
          <w:sz w:val="24"/>
          <w:u w:val="single"/>
        </w:rPr>
        <w:t xml:space="preserve">            /            </w:t>
      </w:r>
    </w:p>
    <w:p w14:paraId="7363DCF2">
      <w:pPr>
        <w:spacing w:line="360" w:lineRule="auto"/>
        <w:ind w:firstLine="480" w:firstLineChars="200"/>
        <w:rPr>
          <w:rFonts w:ascii="宋体"/>
          <w:color w:val="auto"/>
          <w:kern w:val="0"/>
          <w:sz w:val="24"/>
        </w:rPr>
      </w:pPr>
      <w:r>
        <w:rPr>
          <w:rFonts w:hint="eastAsia" w:ascii="宋体"/>
          <w:color w:val="auto"/>
          <w:kern w:val="0"/>
          <w:sz w:val="24"/>
        </w:rPr>
        <w:t>□</w:t>
      </w:r>
      <w:r>
        <w:rPr>
          <w:rFonts w:hint="eastAsia" w:ascii="宋体" w:hAnsi="宋体"/>
          <w:color w:val="auto"/>
          <w:kern w:val="0"/>
          <w:sz w:val="24"/>
        </w:rPr>
        <w:t>签订本合同时</w:t>
      </w:r>
    </w:p>
    <w:p w14:paraId="78CF6E50">
      <w:pPr>
        <w:spacing w:line="360" w:lineRule="auto"/>
        <w:ind w:firstLine="120" w:firstLineChars="50"/>
        <w:rPr>
          <w:rFonts w:ascii="宋体"/>
          <w:color w:val="auto"/>
          <w:kern w:val="0"/>
          <w:sz w:val="24"/>
        </w:rPr>
      </w:pPr>
      <w:r>
        <w:rPr>
          <w:rFonts w:hint="eastAsia" w:ascii="宋体" w:hAnsi="宋体"/>
          <w:color w:val="auto"/>
          <w:kern w:val="0"/>
          <w:sz w:val="24"/>
        </w:rPr>
        <w:t>■另作约定：</w:t>
      </w:r>
      <w:r>
        <w:rPr>
          <w:rFonts w:ascii="宋体" w:hAnsi="宋体"/>
          <w:color w:val="auto"/>
          <w:kern w:val="0"/>
          <w:sz w:val="24"/>
          <w:u w:val="single"/>
        </w:rPr>
        <w:t xml:space="preserve">                             /                              </w:t>
      </w:r>
    </w:p>
    <w:p w14:paraId="09B6F1D9">
      <w:pPr>
        <w:spacing w:line="360" w:lineRule="auto"/>
        <w:ind w:firstLine="120" w:firstLineChars="50"/>
        <w:rPr>
          <w:rFonts w:ascii="宋体"/>
          <w:color w:val="auto"/>
          <w:kern w:val="0"/>
          <w:sz w:val="24"/>
        </w:rPr>
      </w:pPr>
      <w:r>
        <w:rPr>
          <w:rFonts w:hint="eastAsia" w:ascii="宋体" w:hAnsi="宋体"/>
          <w:color w:val="auto"/>
          <w:kern w:val="0"/>
          <w:sz w:val="24"/>
        </w:rPr>
        <w:t>（</w:t>
      </w:r>
      <w:r>
        <w:rPr>
          <w:rFonts w:ascii="宋体" w:hAnsi="宋体"/>
          <w:color w:val="auto"/>
          <w:kern w:val="0"/>
          <w:sz w:val="24"/>
        </w:rPr>
        <w:t>3</w:t>
      </w:r>
      <w:r>
        <w:rPr>
          <w:rFonts w:hint="eastAsia" w:ascii="宋体" w:hAnsi="宋体"/>
          <w:color w:val="auto"/>
          <w:kern w:val="0"/>
          <w:sz w:val="24"/>
        </w:rPr>
        <w:t>）出具支付保函的担保人：</w:t>
      </w:r>
      <w:r>
        <w:rPr>
          <w:rFonts w:ascii="宋体" w:hAnsi="宋体"/>
          <w:color w:val="auto"/>
          <w:kern w:val="0"/>
          <w:sz w:val="24"/>
          <w:u w:val="single"/>
        </w:rPr>
        <w:t xml:space="preserve">                       /                      </w:t>
      </w:r>
    </w:p>
    <w:p w14:paraId="47222CF0">
      <w:pPr>
        <w:spacing w:line="360" w:lineRule="auto"/>
        <w:rPr>
          <w:rFonts w:ascii="宋体"/>
          <w:color w:val="auto"/>
          <w:kern w:val="0"/>
          <w:sz w:val="24"/>
        </w:rPr>
      </w:pPr>
      <w:r>
        <w:rPr>
          <w:rFonts w:hint="eastAsia" w:ascii="宋体" w:hAnsi="宋体"/>
          <w:color w:val="auto"/>
          <w:kern w:val="0"/>
          <w:sz w:val="24"/>
        </w:rPr>
        <w:t>28.8 担保内容、方式和责任等事项的约定：</w:t>
      </w:r>
      <w:r>
        <w:rPr>
          <w:rFonts w:ascii="宋体" w:hAnsi="宋体"/>
          <w:color w:val="auto"/>
          <w:kern w:val="0"/>
          <w:sz w:val="24"/>
          <w:u w:val="single"/>
        </w:rPr>
        <w:t xml:space="preserve">                 /                    </w:t>
      </w:r>
    </w:p>
    <w:p w14:paraId="7CFD8F57">
      <w:pPr>
        <w:spacing w:line="360" w:lineRule="auto"/>
        <w:ind w:firstLine="480" w:firstLineChars="200"/>
        <w:rPr>
          <w:rFonts w:ascii="宋体"/>
          <w:color w:val="auto"/>
          <w:sz w:val="24"/>
          <w:u w:val="single"/>
        </w:rPr>
      </w:pPr>
      <w:r>
        <w:rPr>
          <w:rFonts w:hint="eastAsia" w:ascii="宋体" w:hAnsi="宋体"/>
          <w:color w:val="auto"/>
          <w:sz w:val="24"/>
          <w:u w:val="single"/>
        </w:rPr>
        <w:t>退还履约保证金的条件：</w:t>
      </w:r>
    </w:p>
    <w:p w14:paraId="316F02ED">
      <w:pPr>
        <w:spacing w:line="360" w:lineRule="auto"/>
        <w:ind w:firstLine="480" w:firstLineChars="200"/>
        <w:rPr>
          <w:rFonts w:ascii="宋体"/>
          <w:color w:val="auto"/>
          <w:sz w:val="24"/>
          <w:u w:val="single"/>
        </w:rPr>
      </w:pPr>
      <w:r>
        <w:rPr>
          <w:rFonts w:hint="eastAsia" w:ascii="宋体" w:hAnsi="宋体"/>
          <w:color w:val="auto"/>
          <w:sz w:val="24"/>
          <w:u w:val="single"/>
        </w:rPr>
        <w:t>按合同通用条款第</w:t>
      </w:r>
      <w:r>
        <w:rPr>
          <w:rFonts w:ascii="宋体" w:hAnsi="宋体"/>
          <w:color w:val="auto"/>
          <w:sz w:val="24"/>
          <w:u w:val="single"/>
        </w:rPr>
        <w:t>28.1</w:t>
      </w:r>
      <w:r>
        <w:rPr>
          <w:rFonts w:hint="eastAsia" w:ascii="宋体" w:hAnsi="宋体"/>
          <w:color w:val="auto"/>
          <w:sz w:val="24"/>
          <w:u w:val="single"/>
        </w:rPr>
        <w:t>款约定，发包人在担保期满后退还履约保证金。但承包人违反下列条款时，发包人将拒绝退还履约保证金。</w:t>
      </w:r>
    </w:p>
    <w:p w14:paraId="603C2E61">
      <w:pPr>
        <w:spacing w:line="360" w:lineRule="auto"/>
        <w:ind w:firstLine="480" w:firstLineChars="200"/>
        <w:rPr>
          <w:rFonts w:ascii="宋体"/>
          <w:color w:val="auto"/>
          <w:sz w:val="24"/>
          <w:u w:val="single"/>
        </w:rPr>
      </w:pPr>
      <w:r>
        <w:rPr>
          <w:rFonts w:hint="eastAsia" w:ascii="宋体" w:hAnsi="宋体"/>
          <w:color w:val="auto"/>
          <w:sz w:val="24"/>
          <w:u w:val="single"/>
        </w:rPr>
        <w:t>（</w:t>
      </w:r>
      <w:r>
        <w:rPr>
          <w:rFonts w:ascii="宋体" w:hAnsi="宋体"/>
          <w:color w:val="auto"/>
          <w:sz w:val="24"/>
          <w:u w:val="single"/>
        </w:rPr>
        <w:t>1</w:t>
      </w:r>
      <w:r>
        <w:rPr>
          <w:rFonts w:hint="eastAsia" w:ascii="宋体" w:hAnsi="宋体"/>
          <w:color w:val="auto"/>
          <w:sz w:val="24"/>
          <w:u w:val="single"/>
        </w:rPr>
        <w:t>）工程竣工验收达不到合同约定的质量标准的，履约保证金不予退还。</w:t>
      </w:r>
    </w:p>
    <w:p w14:paraId="4300D32F">
      <w:pPr>
        <w:spacing w:line="360" w:lineRule="auto"/>
        <w:ind w:firstLine="480" w:firstLineChars="200"/>
        <w:rPr>
          <w:rFonts w:ascii="宋体"/>
          <w:color w:val="auto"/>
          <w:sz w:val="24"/>
          <w:u w:val="single"/>
        </w:rPr>
      </w:pPr>
      <w:r>
        <w:rPr>
          <w:rFonts w:hint="eastAsia" w:ascii="宋体" w:hAnsi="宋体"/>
          <w:color w:val="auto"/>
          <w:sz w:val="24"/>
          <w:u w:val="single"/>
        </w:rPr>
        <w:t>（</w:t>
      </w:r>
      <w:r>
        <w:rPr>
          <w:rFonts w:ascii="宋体" w:hAnsi="宋体"/>
          <w:color w:val="auto"/>
          <w:sz w:val="24"/>
          <w:u w:val="single"/>
        </w:rPr>
        <w:t>2</w:t>
      </w:r>
      <w:r>
        <w:rPr>
          <w:rFonts w:hint="eastAsia" w:ascii="宋体" w:hAnsi="宋体"/>
          <w:color w:val="auto"/>
          <w:sz w:val="24"/>
          <w:u w:val="single"/>
        </w:rPr>
        <w:t>）承包人中途毁约，履约保证金不予退还。</w:t>
      </w:r>
    </w:p>
    <w:p w14:paraId="02EE2504">
      <w:pPr>
        <w:spacing w:line="360" w:lineRule="auto"/>
        <w:ind w:firstLine="480" w:firstLineChars="200"/>
        <w:rPr>
          <w:rFonts w:ascii="宋体"/>
          <w:color w:val="auto"/>
          <w:sz w:val="24"/>
          <w:u w:val="single"/>
        </w:rPr>
      </w:pPr>
      <w:r>
        <w:rPr>
          <w:rFonts w:hint="eastAsia" w:ascii="宋体" w:hAnsi="宋体"/>
          <w:color w:val="auto"/>
          <w:sz w:val="24"/>
          <w:u w:val="single"/>
        </w:rPr>
        <w:t>（</w:t>
      </w:r>
      <w:r>
        <w:rPr>
          <w:rFonts w:ascii="宋体" w:hAnsi="宋体"/>
          <w:color w:val="auto"/>
          <w:sz w:val="24"/>
          <w:u w:val="single"/>
        </w:rPr>
        <w:t>3</w:t>
      </w:r>
      <w:r>
        <w:rPr>
          <w:rFonts w:hint="eastAsia" w:ascii="宋体" w:hAnsi="宋体"/>
          <w:color w:val="auto"/>
          <w:sz w:val="24"/>
          <w:u w:val="single"/>
        </w:rPr>
        <w:t>）承包人原因导致与分包人产生劳务纠纷的，经发包人协调，承包人仍不主动解决的，经发包人和监理方确认相关费用从履约保证金支付。</w:t>
      </w:r>
    </w:p>
    <w:p w14:paraId="0D7E325E">
      <w:pPr>
        <w:spacing w:line="360" w:lineRule="auto"/>
        <w:rPr>
          <w:rFonts w:ascii="宋体"/>
          <w:color w:val="auto"/>
          <w:kern w:val="0"/>
          <w:sz w:val="24"/>
        </w:rPr>
      </w:pPr>
    </w:p>
    <w:p w14:paraId="4FF079A7">
      <w:pPr>
        <w:spacing w:line="360" w:lineRule="auto"/>
        <w:rPr>
          <w:rFonts w:ascii="宋体"/>
          <w:b/>
          <w:color w:val="auto"/>
          <w:kern w:val="0"/>
          <w:sz w:val="24"/>
        </w:rPr>
      </w:pPr>
      <w:r>
        <w:rPr>
          <w:rFonts w:hint="eastAsia" w:ascii="宋体" w:hAnsi="宋体"/>
          <w:b/>
          <w:color w:val="auto"/>
          <w:kern w:val="0"/>
          <w:sz w:val="24"/>
        </w:rPr>
        <w:t>31.不可抗力</w:t>
      </w:r>
    </w:p>
    <w:p w14:paraId="4DDF1EAB">
      <w:pPr>
        <w:spacing w:line="360" w:lineRule="auto"/>
        <w:rPr>
          <w:rFonts w:ascii="宋体"/>
          <w:color w:val="auto"/>
          <w:sz w:val="24"/>
          <w:u w:val="single"/>
        </w:rPr>
      </w:pPr>
      <w:r>
        <w:rPr>
          <w:rFonts w:hint="eastAsia" w:ascii="宋体" w:hAnsi="宋体"/>
          <w:color w:val="auto"/>
          <w:kern w:val="0"/>
          <w:sz w:val="24"/>
        </w:rPr>
        <w:t>31.1 （4）不可抗力的其他情形：</w:t>
      </w:r>
      <w:r>
        <w:rPr>
          <w:rFonts w:hint="eastAsia" w:ascii="宋体" w:hAnsi="宋体"/>
          <w:color w:val="auto"/>
          <w:sz w:val="24"/>
          <w:u w:val="single"/>
        </w:rPr>
        <w:t>政府禁令，自然灾害，其他不可预见、不可避免、不可克服的情况。</w:t>
      </w:r>
    </w:p>
    <w:p w14:paraId="3868F572">
      <w:pPr>
        <w:pStyle w:val="2"/>
        <w:adjustRightInd w:val="0"/>
        <w:snapToGrid w:val="0"/>
        <w:spacing w:line="360" w:lineRule="auto"/>
        <w:rPr>
          <w:rFonts w:hAnsi="宋体"/>
          <w:color w:val="auto"/>
          <w:kern w:val="2"/>
          <w:sz w:val="24"/>
          <w:szCs w:val="24"/>
          <w:u w:val="single"/>
        </w:rPr>
      </w:pPr>
      <w:r>
        <w:rPr>
          <w:rFonts w:hint="eastAsia" w:hAnsi="宋体"/>
          <w:color w:val="auto"/>
          <w:kern w:val="2"/>
          <w:sz w:val="24"/>
          <w:szCs w:val="24"/>
          <w:u w:val="single"/>
        </w:rPr>
        <w:t>31.4 如遇工期调整，发包人要求赶工，承包人应当采取合理有效的赶工措施予以消化，赶工费用已包含在投标总价中，发包人不予另行补偿。</w:t>
      </w:r>
    </w:p>
    <w:p w14:paraId="0C6E0CCF">
      <w:pPr>
        <w:spacing w:line="360" w:lineRule="auto"/>
        <w:rPr>
          <w:rFonts w:ascii="宋体"/>
          <w:color w:val="auto"/>
          <w:kern w:val="0"/>
          <w:sz w:val="24"/>
        </w:rPr>
      </w:pPr>
    </w:p>
    <w:p w14:paraId="4EF6A835">
      <w:pPr>
        <w:spacing w:line="360" w:lineRule="auto"/>
        <w:rPr>
          <w:rFonts w:ascii="宋体"/>
          <w:b/>
          <w:color w:val="auto"/>
          <w:kern w:val="0"/>
          <w:sz w:val="24"/>
        </w:rPr>
      </w:pPr>
      <w:r>
        <w:rPr>
          <w:rFonts w:hint="eastAsia" w:ascii="宋体" w:hAnsi="宋体"/>
          <w:b/>
          <w:color w:val="auto"/>
          <w:kern w:val="0"/>
          <w:sz w:val="24"/>
        </w:rPr>
        <w:t>32.保险</w:t>
      </w:r>
    </w:p>
    <w:p w14:paraId="2212972F">
      <w:pPr>
        <w:spacing w:line="360" w:lineRule="auto"/>
        <w:rPr>
          <w:rFonts w:ascii="宋体"/>
          <w:color w:val="auto"/>
          <w:kern w:val="0"/>
          <w:sz w:val="24"/>
        </w:rPr>
      </w:pPr>
      <w:r>
        <w:rPr>
          <w:rFonts w:hint="eastAsia" w:ascii="宋体"/>
          <w:color w:val="auto"/>
          <w:kern w:val="0"/>
          <w:sz w:val="24"/>
        </w:rPr>
        <w:t xml:space="preserve">32.1 </w:t>
      </w:r>
      <w:r>
        <w:rPr>
          <w:rFonts w:hint="eastAsia" w:ascii="宋体" w:hAnsi="宋体"/>
          <w:color w:val="auto"/>
          <w:kern w:val="0"/>
          <w:sz w:val="24"/>
        </w:rPr>
        <w:t>委托承包人办理保险的事项有：</w:t>
      </w:r>
    </w:p>
    <w:p w14:paraId="4D15F71B">
      <w:pPr>
        <w:spacing w:line="360" w:lineRule="auto"/>
        <w:rPr>
          <w:rFonts w:ascii="宋体"/>
          <w:color w:val="auto"/>
          <w:kern w:val="0"/>
          <w:sz w:val="24"/>
        </w:rPr>
      </w:pPr>
      <w:r>
        <w:rPr>
          <w:rFonts w:hint="eastAsia" w:ascii="宋体" w:hAnsi="宋体"/>
          <w:color w:val="auto"/>
          <w:kern w:val="0"/>
          <w:sz w:val="24"/>
        </w:rPr>
        <w:t>■通用条款第</w:t>
      </w:r>
      <w:r>
        <w:rPr>
          <w:rFonts w:ascii="宋体" w:hAnsi="宋体"/>
          <w:color w:val="auto"/>
          <w:kern w:val="0"/>
          <w:sz w:val="24"/>
        </w:rPr>
        <w:t>32.1</w:t>
      </w:r>
      <w:r>
        <w:rPr>
          <w:rFonts w:hint="eastAsia" w:ascii="宋体" w:hAnsi="宋体"/>
          <w:color w:val="auto"/>
          <w:kern w:val="0"/>
          <w:sz w:val="24"/>
        </w:rPr>
        <w:t>款的第（</w:t>
      </w:r>
      <w:r>
        <w:rPr>
          <w:rFonts w:ascii="宋体" w:hAnsi="宋体"/>
          <w:color w:val="auto"/>
          <w:kern w:val="0"/>
          <w:sz w:val="24"/>
        </w:rPr>
        <w:t>1</w:t>
      </w:r>
      <w:r>
        <w:rPr>
          <w:rFonts w:hint="eastAsia" w:ascii="宋体" w:hAnsi="宋体"/>
          <w:color w:val="auto"/>
          <w:kern w:val="0"/>
          <w:sz w:val="24"/>
        </w:rPr>
        <w:t>）项。</w:t>
      </w:r>
    </w:p>
    <w:p w14:paraId="4FEC88D7">
      <w:pPr>
        <w:spacing w:line="360" w:lineRule="auto"/>
        <w:rPr>
          <w:rFonts w:ascii="宋体"/>
          <w:color w:val="auto"/>
          <w:kern w:val="0"/>
          <w:sz w:val="24"/>
        </w:rPr>
      </w:pPr>
      <w:r>
        <w:rPr>
          <w:rFonts w:hint="eastAsia" w:ascii="宋体"/>
          <w:color w:val="auto"/>
          <w:kern w:val="0"/>
          <w:sz w:val="24"/>
        </w:rPr>
        <w:t>32.8</w:t>
      </w:r>
      <w:r>
        <w:rPr>
          <w:rFonts w:hint="eastAsia" w:ascii="宋体" w:hAnsi="宋体"/>
          <w:color w:val="auto"/>
          <w:kern w:val="0"/>
          <w:sz w:val="24"/>
        </w:rPr>
        <w:t>投保内容、保险金、保险期限和责任等事项的约定：</w:t>
      </w:r>
      <w:r>
        <w:rPr>
          <w:rFonts w:ascii="宋体" w:hAnsi="宋体"/>
          <w:color w:val="auto"/>
          <w:kern w:val="0"/>
          <w:sz w:val="24"/>
          <w:u w:val="single"/>
        </w:rPr>
        <w:t xml:space="preserve">   /   </w:t>
      </w:r>
    </w:p>
    <w:p w14:paraId="5F271349">
      <w:pPr>
        <w:spacing w:line="360" w:lineRule="auto"/>
        <w:rPr>
          <w:rFonts w:ascii="宋体"/>
          <w:color w:val="auto"/>
          <w:kern w:val="0"/>
          <w:sz w:val="24"/>
        </w:rPr>
      </w:pPr>
    </w:p>
    <w:p w14:paraId="64066BCE">
      <w:pPr>
        <w:spacing w:line="360" w:lineRule="auto"/>
        <w:rPr>
          <w:rFonts w:ascii="宋体"/>
          <w:b/>
          <w:color w:val="auto"/>
          <w:kern w:val="0"/>
          <w:sz w:val="24"/>
        </w:rPr>
      </w:pPr>
      <w:r>
        <w:rPr>
          <w:rFonts w:hint="eastAsia" w:ascii="宋体" w:hAnsi="宋体"/>
          <w:b/>
          <w:color w:val="auto"/>
          <w:kern w:val="0"/>
          <w:sz w:val="24"/>
        </w:rPr>
        <w:t>33. 进度计划和报告</w:t>
      </w:r>
    </w:p>
    <w:p w14:paraId="011E714D">
      <w:pPr>
        <w:spacing w:line="360" w:lineRule="auto"/>
        <w:rPr>
          <w:rFonts w:ascii="宋体"/>
          <w:color w:val="auto"/>
          <w:sz w:val="24"/>
          <w:u w:val="single"/>
        </w:rPr>
      </w:pPr>
      <w:r>
        <w:rPr>
          <w:rFonts w:hint="eastAsia" w:ascii="宋体"/>
          <w:color w:val="auto"/>
          <w:kern w:val="0"/>
          <w:sz w:val="24"/>
        </w:rPr>
        <w:t>33.3</w:t>
      </w:r>
      <w:r>
        <w:rPr>
          <w:rFonts w:hint="eastAsia" w:ascii="宋体" w:hAnsi="宋体"/>
          <w:color w:val="auto"/>
          <w:kern w:val="0"/>
          <w:sz w:val="24"/>
        </w:rPr>
        <w:t>承包人编制月施工进度报告和修订进度计划的约定：</w:t>
      </w:r>
      <w:r>
        <w:rPr>
          <w:rFonts w:hint="eastAsia" w:ascii="宋体" w:hAnsi="宋体"/>
          <w:color w:val="auto"/>
          <w:kern w:val="0"/>
          <w:sz w:val="24"/>
          <w:u w:val="single"/>
        </w:rPr>
        <w:t>签订合同后七日内</w:t>
      </w:r>
      <w:r>
        <w:rPr>
          <w:rFonts w:hint="eastAsia" w:ascii="宋体" w:hAnsi="宋体"/>
          <w:color w:val="auto"/>
          <w:sz w:val="24"/>
          <w:u w:val="single"/>
        </w:rPr>
        <w:t>提交工程设计施工一体化组织实施进度计划，每月</w:t>
      </w:r>
      <w:r>
        <w:rPr>
          <w:rFonts w:ascii="宋体" w:hAnsi="宋体"/>
          <w:color w:val="auto"/>
          <w:sz w:val="24"/>
          <w:u w:val="single"/>
        </w:rPr>
        <w:t>20</w:t>
      </w:r>
      <w:r>
        <w:rPr>
          <w:rFonts w:hint="eastAsia" w:ascii="宋体" w:hAnsi="宋体"/>
          <w:color w:val="auto"/>
          <w:sz w:val="24"/>
          <w:u w:val="single"/>
        </w:rPr>
        <w:t>日前报送下月“工程进度计划表”。工程师收到方案后</w:t>
      </w:r>
      <w:r>
        <w:rPr>
          <w:rFonts w:ascii="宋体" w:hAnsi="宋体"/>
          <w:color w:val="auto"/>
          <w:sz w:val="24"/>
          <w:u w:val="single"/>
        </w:rPr>
        <w:t>5</w:t>
      </w:r>
      <w:r>
        <w:rPr>
          <w:rFonts w:hint="eastAsia" w:ascii="宋体" w:hAnsi="宋体"/>
          <w:color w:val="auto"/>
          <w:sz w:val="24"/>
          <w:u w:val="single"/>
        </w:rPr>
        <w:t>日内批复“工程进度计划表”。</w:t>
      </w:r>
    </w:p>
    <w:p w14:paraId="3E6A7442">
      <w:pPr>
        <w:spacing w:line="360" w:lineRule="auto"/>
        <w:rPr>
          <w:rFonts w:ascii="宋体"/>
          <w:color w:val="auto"/>
          <w:kern w:val="0"/>
          <w:sz w:val="24"/>
        </w:rPr>
      </w:pPr>
    </w:p>
    <w:p w14:paraId="7E712EB8">
      <w:pPr>
        <w:spacing w:line="360" w:lineRule="auto"/>
        <w:rPr>
          <w:rFonts w:ascii="宋体"/>
          <w:b/>
          <w:color w:val="auto"/>
          <w:kern w:val="0"/>
          <w:sz w:val="24"/>
        </w:rPr>
      </w:pPr>
      <w:r>
        <w:rPr>
          <w:rFonts w:hint="eastAsia" w:ascii="宋体" w:hAnsi="宋体"/>
          <w:b/>
          <w:color w:val="auto"/>
          <w:kern w:val="0"/>
          <w:sz w:val="24"/>
        </w:rPr>
        <w:t>34. 开工</w:t>
      </w:r>
    </w:p>
    <w:p w14:paraId="3647F089">
      <w:pPr>
        <w:spacing w:line="360" w:lineRule="auto"/>
        <w:rPr>
          <w:rFonts w:ascii="宋体"/>
          <w:color w:val="auto"/>
          <w:kern w:val="0"/>
          <w:sz w:val="24"/>
        </w:rPr>
      </w:pPr>
      <w:r>
        <w:rPr>
          <w:rFonts w:hint="eastAsia" w:ascii="宋体" w:hAnsi="宋体"/>
          <w:color w:val="auto"/>
          <w:kern w:val="0"/>
          <w:sz w:val="24"/>
        </w:rPr>
        <w:t>34.2监理工程师在本合同签订后的（）天内签发开工令。</w:t>
      </w:r>
    </w:p>
    <w:p w14:paraId="55A1412C">
      <w:pPr>
        <w:spacing w:line="360" w:lineRule="auto"/>
        <w:rPr>
          <w:rFonts w:ascii="宋体"/>
          <w:color w:val="auto"/>
          <w:kern w:val="0"/>
          <w:sz w:val="24"/>
        </w:rPr>
      </w:pPr>
      <w:r>
        <w:rPr>
          <w:rFonts w:hint="eastAsia" w:ascii="宋体"/>
          <w:color w:val="auto"/>
          <w:kern w:val="0"/>
          <w:sz w:val="24"/>
        </w:rPr>
        <w:sym w:font="Wingdings 2" w:char="00A3"/>
      </w:r>
      <w:r>
        <w:rPr>
          <w:rFonts w:hint="eastAsia" w:ascii="宋体" w:hAnsi="宋体"/>
          <w:color w:val="auto"/>
          <w:kern w:val="0"/>
          <w:sz w:val="24"/>
        </w:rPr>
        <w:t>按通用条款规定的</w:t>
      </w:r>
      <w:r>
        <w:rPr>
          <w:rFonts w:ascii="宋体" w:hAnsi="宋体"/>
          <w:color w:val="auto"/>
          <w:kern w:val="0"/>
          <w:sz w:val="24"/>
        </w:rPr>
        <w:t>42</w:t>
      </w:r>
      <w:r>
        <w:rPr>
          <w:rFonts w:hint="eastAsia" w:ascii="宋体" w:hAnsi="宋体"/>
          <w:color w:val="auto"/>
          <w:kern w:val="0"/>
          <w:sz w:val="24"/>
        </w:rPr>
        <w:t>天。</w:t>
      </w:r>
    </w:p>
    <w:p w14:paraId="7E7C7152">
      <w:pPr>
        <w:spacing w:line="360" w:lineRule="auto"/>
        <w:rPr>
          <w:rFonts w:ascii="宋体"/>
          <w:color w:val="auto"/>
          <w:kern w:val="0"/>
          <w:sz w:val="24"/>
        </w:rPr>
      </w:pPr>
      <w:r>
        <w:rPr>
          <w:rFonts w:hint="eastAsia" w:ascii="宋体" w:hAnsi="宋体"/>
          <w:color w:val="auto"/>
          <w:kern w:val="0"/>
          <w:sz w:val="24"/>
        </w:rPr>
        <w:t>■另作约定：</w:t>
      </w:r>
      <w:r>
        <w:rPr>
          <w:rFonts w:hint="eastAsia" w:ascii="宋体" w:hAnsi="宋体"/>
          <w:color w:val="auto"/>
          <w:kern w:val="0"/>
          <w:sz w:val="24"/>
          <w:u w:val="single"/>
        </w:rPr>
        <w:t>施工图在供电部门审批后由施工方提出开工申请；监理工程师3天内签发开工令。</w:t>
      </w:r>
      <w:r>
        <w:rPr>
          <w:rFonts w:ascii="宋体" w:hAnsi="宋体"/>
          <w:color w:val="auto"/>
          <w:kern w:val="0"/>
          <w:sz w:val="24"/>
          <w:u w:val="single"/>
        </w:rPr>
        <w:t xml:space="preserve">           </w:t>
      </w:r>
    </w:p>
    <w:p w14:paraId="738FD61A">
      <w:pPr>
        <w:spacing w:line="360" w:lineRule="auto"/>
        <w:rPr>
          <w:rFonts w:ascii="宋体"/>
          <w:b/>
          <w:color w:val="auto"/>
          <w:kern w:val="0"/>
          <w:sz w:val="24"/>
        </w:rPr>
      </w:pPr>
      <w:r>
        <w:rPr>
          <w:rFonts w:hint="eastAsia" w:ascii="宋体" w:hAnsi="宋体"/>
          <w:b/>
          <w:color w:val="auto"/>
          <w:kern w:val="0"/>
          <w:sz w:val="24"/>
        </w:rPr>
        <w:t>35. 暂停施工和复工</w:t>
      </w:r>
    </w:p>
    <w:p w14:paraId="468ACE86">
      <w:pPr>
        <w:spacing w:line="360" w:lineRule="auto"/>
        <w:rPr>
          <w:rFonts w:ascii="楷体_GB2312" w:eastAsia="楷体_GB2312"/>
          <w:b/>
          <w:color w:val="auto"/>
          <w:sz w:val="24"/>
          <w:u w:val="single"/>
        </w:rPr>
      </w:pPr>
      <w:r>
        <w:rPr>
          <w:rFonts w:hint="eastAsia" w:ascii="宋体"/>
          <w:color w:val="auto"/>
          <w:kern w:val="0"/>
          <w:sz w:val="24"/>
        </w:rPr>
        <w:t xml:space="preserve">35.4. </w:t>
      </w:r>
      <w:r>
        <w:rPr>
          <w:rFonts w:hint="eastAsia" w:ascii="宋体" w:hAnsi="宋体"/>
          <w:color w:val="auto"/>
          <w:kern w:val="0"/>
          <w:sz w:val="24"/>
        </w:rPr>
        <w:t>承包人原因造成暂停施工的其他原因：</w:t>
      </w:r>
      <w:r>
        <w:rPr>
          <w:rFonts w:hint="eastAsia" w:ascii="宋体" w:hAnsi="宋体"/>
          <w:color w:val="auto"/>
          <w:sz w:val="24"/>
          <w:u w:val="single"/>
        </w:rPr>
        <w:t>工程师认为确有必要暂停施工时，应当以书面形式要求承包人暂停施工，并在提出要求后</w:t>
      </w:r>
      <w:r>
        <w:rPr>
          <w:rFonts w:ascii="宋体" w:hAnsi="宋体"/>
          <w:color w:val="auto"/>
          <w:sz w:val="24"/>
          <w:u w:val="single"/>
        </w:rPr>
        <w:t>48</w:t>
      </w:r>
      <w:r>
        <w:rPr>
          <w:rFonts w:hint="eastAsia" w:ascii="宋体" w:hAnsi="宋体"/>
          <w:color w:val="auto"/>
          <w:sz w:val="24"/>
          <w:u w:val="single"/>
        </w:rPr>
        <w:t>小时内提出书面处理意见。承包人应当按工程师要求停止施工，并妥善保护已完工程。承包人实施工程师的处理意见后，可以书面形式提出复工要求，工程师应当在</w:t>
      </w:r>
      <w:r>
        <w:rPr>
          <w:rFonts w:ascii="宋体" w:hAnsi="宋体"/>
          <w:color w:val="auto"/>
          <w:sz w:val="24"/>
          <w:u w:val="single"/>
        </w:rPr>
        <w:t>48</w:t>
      </w:r>
      <w:r>
        <w:rPr>
          <w:rFonts w:hint="eastAsia" w:ascii="宋体" w:hAnsi="宋体"/>
          <w:color w:val="auto"/>
          <w:sz w:val="24"/>
          <w:u w:val="single"/>
        </w:rPr>
        <w:t>小时内给予答复。工程师未能在规定时间内提出处理意见，或收到承包人复工要求后</w:t>
      </w:r>
      <w:r>
        <w:rPr>
          <w:rFonts w:ascii="宋体" w:hAnsi="宋体"/>
          <w:color w:val="auto"/>
          <w:sz w:val="24"/>
          <w:u w:val="single"/>
        </w:rPr>
        <w:t>48</w:t>
      </w:r>
      <w:r>
        <w:rPr>
          <w:rFonts w:hint="eastAsia" w:ascii="宋体" w:hAnsi="宋体"/>
          <w:color w:val="auto"/>
          <w:sz w:val="24"/>
          <w:u w:val="single"/>
        </w:rPr>
        <w:t>小时内未予答复，承包人可自行复工。因发包人原因造成停工的，必须征得发包人书面同意后，工期方能相应顺延；因承包人原因造成停工的，由承包人承担发生的费用，工期不予顺延。</w:t>
      </w:r>
    </w:p>
    <w:p w14:paraId="3BD3308E">
      <w:pPr>
        <w:spacing w:line="360" w:lineRule="auto"/>
        <w:rPr>
          <w:rFonts w:ascii="宋体"/>
          <w:color w:val="auto"/>
          <w:kern w:val="0"/>
          <w:sz w:val="24"/>
        </w:rPr>
      </w:pPr>
    </w:p>
    <w:p w14:paraId="1FEE12CB">
      <w:pPr>
        <w:spacing w:line="360" w:lineRule="auto"/>
        <w:rPr>
          <w:rFonts w:ascii="宋体"/>
          <w:b/>
          <w:color w:val="auto"/>
          <w:kern w:val="0"/>
          <w:sz w:val="24"/>
        </w:rPr>
      </w:pPr>
      <w:r>
        <w:rPr>
          <w:rFonts w:hint="eastAsia" w:ascii="宋体" w:hAnsi="宋体"/>
          <w:b/>
          <w:color w:val="auto"/>
          <w:kern w:val="0"/>
          <w:sz w:val="24"/>
        </w:rPr>
        <w:t>36. 工期及工期延误</w:t>
      </w:r>
    </w:p>
    <w:p w14:paraId="68D37D32">
      <w:pPr>
        <w:spacing w:line="360" w:lineRule="auto"/>
        <w:rPr>
          <w:rFonts w:ascii="宋体"/>
          <w:color w:val="auto"/>
          <w:kern w:val="0"/>
          <w:sz w:val="24"/>
        </w:rPr>
      </w:pPr>
      <w:r>
        <w:rPr>
          <w:rFonts w:hint="eastAsia" w:ascii="宋体" w:hAnsi="宋体"/>
          <w:color w:val="auto"/>
          <w:kern w:val="0"/>
          <w:sz w:val="24"/>
        </w:rPr>
        <w:t>36.1 合同工程的工期约定为（  ）天。</w:t>
      </w:r>
    </w:p>
    <w:p w14:paraId="6757353D">
      <w:pPr>
        <w:spacing w:line="360" w:lineRule="auto"/>
        <w:rPr>
          <w:color w:val="auto"/>
          <w:sz w:val="24"/>
        </w:rPr>
      </w:pPr>
      <w:r>
        <w:rPr>
          <w:rFonts w:hint="eastAsia" w:ascii="宋体" w:hAnsi="宋体"/>
          <w:color w:val="auto"/>
          <w:kern w:val="0"/>
          <w:sz w:val="24"/>
        </w:rPr>
        <w:t>36.3</w:t>
      </w:r>
      <w:r>
        <w:rPr>
          <w:rFonts w:hint="eastAsia"/>
          <w:color w:val="auto"/>
          <w:sz w:val="24"/>
        </w:rPr>
        <w:t>因以下原因造成工期延误，经工程师确认，工期相应顺延：</w:t>
      </w:r>
    </w:p>
    <w:p w14:paraId="4A4A9807">
      <w:pPr>
        <w:spacing w:line="360" w:lineRule="auto"/>
        <w:rPr>
          <w:rFonts w:ascii="宋体"/>
          <w:color w:val="auto"/>
          <w:sz w:val="24"/>
          <w:u w:val="single"/>
        </w:rPr>
      </w:pPr>
      <w:r>
        <w:rPr>
          <w:rFonts w:hint="eastAsia"/>
          <w:color w:val="auto"/>
          <w:sz w:val="24"/>
        </w:rPr>
        <w:t xml:space="preserve">　  </w:t>
      </w:r>
      <w:r>
        <w:rPr>
          <w:rFonts w:hint="eastAsia" w:ascii="宋体" w:hAnsi="宋体"/>
          <w:color w:val="auto"/>
          <w:sz w:val="24"/>
        </w:rPr>
        <w:t>（</w:t>
      </w:r>
      <w:r>
        <w:rPr>
          <w:rFonts w:ascii="宋体" w:hAnsi="宋体"/>
          <w:color w:val="auto"/>
          <w:sz w:val="24"/>
        </w:rPr>
        <w:t>1</w:t>
      </w:r>
      <w:r>
        <w:rPr>
          <w:rFonts w:hint="eastAsia" w:ascii="宋体" w:hAnsi="宋体"/>
          <w:color w:val="auto"/>
          <w:sz w:val="24"/>
        </w:rPr>
        <w:t>）</w:t>
      </w:r>
      <w:r>
        <w:rPr>
          <w:rFonts w:hint="eastAsia" w:ascii="宋体" w:hAnsi="宋体"/>
          <w:color w:val="auto"/>
          <w:sz w:val="24"/>
          <w:u w:val="single"/>
        </w:rPr>
        <w:t>发包人未能按专用条款的约定提供开工条件，并经监理单位或发包方确认的；</w:t>
      </w:r>
    </w:p>
    <w:p w14:paraId="27C82BEE">
      <w:pPr>
        <w:spacing w:line="360" w:lineRule="auto"/>
        <w:rPr>
          <w:rFonts w:ascii="宋体"/>
          <w:color w:val="auto"/>
          <w:sz w:val="24"/>
          <w:u w:val="single"/>
        </w:rPr>
      </w:pPr>
      <w:r>
        <w:rPr>
          <w:rFonts w:hint="eastAsia"/>
          <w:color w:val="auto"/>
          <w:sz w:val="24"/>
        </w:rPr>
        <w:t>　　（</w:t>
      </w:r>
      <w:r>
        <w:rPr>
          <w:color w:val="auto"/>
          <w:sz w:val="24"/>
        </w:rPr>
        <w:t>2</w:t>
      </w:r>
      <w:r>
        <w:rPr>
          <w:rFonts w:hint="eastAsia"/>
          <w:color w:val="auto"/>
          <w:sz w:val="24"/>
        </w:rPr>
        <w:t>）</w:t>
      </w:r>
      <w:r>
        <w:rPr>
          <w:rFonts w:hint="eastAsia" w:ascii="宋体" w:hAnsi="宋体"/>
          <w:color w:val="auto"/>
          <w:sz w:val="24"/>
          <w:u w:val="single"/>
        </w:rPr>
        <w:t>发包人不按合同约定支付工程款而影响工期进度，并经监理单位或发包方确认的；</w:t>
      </w:r>
    </w:p>
    <w:p w14:paraId="71B7D824">
      <w:pPr>
        <w:spacing w:line="360" w:lineRule="auto"/>
        <w:rPr>
          <w:rFonts w:ascii="宋体"/>
          <w:color w:val="auto"/>
          <w:sz w:val="24"/>
          <w:u w:val="single"/>
        </w:rPr>
      </w:pPr>
      <w:r>
        <w:rPr>
          <w:rFonts w:hint="eastAsia"/>
          <w:color w:val="auto"/>
          <w:sz w:val="24"/>
        </w:rPr>
        <w:t>　　（</w:t>
      </w:r>
      <w:r>
        <w:rPr>
          <w:color w:val="auto"/>
          <w:sz w:val="24"/>
        </w:rPr>
        <w:t>3</w:t>
      </w:r>
      <w:r>
        <w:rPr>
          <w:rFonts w:hint="eastAsia"/>
          <w:color w:val="auto"/>
          <w:sz w:val="24"/>
        </w:rPr>
        <w:t>）</w:t>
      </w:r>
      <w:r>
        <w:rPr>
          <w:rFonts w:hint="eastAsia" w:ascii="宋体" w:hAnsi="宋体"/>
          <w:color w:val="auto"/>
          <w:sz w:val="24"/>
          <w:u w:val="single"/>
        </w:rPr>
        <w:t>监理单位或发包方未按合同约定提供所需指令、批准等，致使施工不能正常进行；</w:t>
      </w:r>
    </w:p>
    <w:p w14:paraId="3FE35E40">
      <w:pPr>
        <w:spacing w:line="360" w:lineRule="auto"/>
        <w:ind w:firstLine="480" w:firstLineChars="200"/>
        <w:rPr>
          <w:rFonts w:ascii="宋体"/>
          <w:color w:val="auto"/>
          <w:sz w:val="24"/>
          <w:u w:val="single"/>
        </w:rPr>
      </w:pPr>
      <w:r>
        <w:rPr>
          <w:rFonts w:hint="eastAsia"/>
          <w:color w:val="auto"/>
          <w:sz w:val="24"/>
        </w:rPr>
        <w:t>（</w:t>
      </w:r>
      <w:r>
        <w:rPr>
          <w:color w:val="auto"/>
          <w:sz w:val="24"/>
        </w:rPr>
        <w:t>4</w:t>
      </w:r>
      <w:r>
        <w:rPr>
          <w:rFonts w:hint="eastAsia"/>
          <w:color w:val="auto"/>
          <w:sz w:val="24"/>
        </w:rPr>
        <w:t>）</w:t>
      </w:r>
      <w:r>
        <w:rPr>
          <w:rFonts w:hint="eastAsia" w:ascii="宋体" w:hAnsi="宋体"/>
          <w:color w:val="auto"/>
          <w:sz w:val="24"/>
          <w:u w:val="single"/>
        </w:rPr>
        <w:t>一周内非承包人原因停水、停电、停气造成停工累计超过</w:t>
      </w:r>
      <w:r>
        <w:rPr>
          <w:rFonts w:ascii="宋体" w:hAnsi="宋体"/>
          <w:color w:val="auto"/>
          <w:sz w:val="24"/>
          <w:u w:val="single"/>
        </w:rPr>
        <w:t>8</w:t>
      </w:r>
      <w:r>
        <w:rPr>
          <w:rFonts w:hint="eastAsia" w:ascii="宋体" w:hAnsi="宋体"/>
          <w:color w:val="auto"/>
          <w:sz w:val="24"/>
          <w:u w:val="single"/>
        </w:rPr>
        <w:t>小时，并经监理单位或发包方确认的；</w:t>
      </w:r>
    </w:p>
    <w:p w14:paraId="398B06E8">
      <w:pPr>
        <w:spacing w:line="360" w:lineRule="auto"/>
        <w:ind w:firstLine="480" w:firstLineChars="200"/>
        <w:rPr>
          <w:rFonts w:ascii="宋体"/>
          <w:color w:val="auto"/>
          <w:sz w:val="24"/>
          <w:u w:val="single"/>
        </w:rPr>
      </w:pPr>
      <w:r>
        <w:rPr>
          <w:rFonts w:hint="eastAsia"/>
          <w:color w:val="auto"/>
          <w:sz w:val="24"/>
        </w:rPr>
        <w:t>（</w:t>
      </w:r>
      <w:r>
        <w:rPr>
          <w:color w:val="auto"/>
          <w:sz w:val="24"/>
        </w:rPr>
        <w:t>5</w:t>
      </w:r>
      <w:r>
        <w:rPr>
          <w:rFonts w:hint="eastAsia"/>
          <w:color w:val="auto"/>
          <w:sz w:val="24"/>
        </w:rPr>
        <w:t>）</w:t>
      </w:r>
      <w:r>
        <w:rPr>
          <w:rFonts w:hint="eastAsia" w:ascii="宋体" w:hAnsi="宋体"/>
          <w:color w:val="auto"/>
          <w:sz w:val="24"/>
          <w:u w:val="single"/>
        </w:rPr>
        <w:t>不可抗力；</w:t>
      </w:r>
    </w:p>
    <w:p w14:paraId="3BE742BD">
      <w:pPr>
        <w:spacing w:line="360" w:lineRule="auto"/>
        <w:ind w:firstLine="480"/>
        <w:rPr>
          <w:rFonts w:ascii="宋体"/>
          <w:color w:val="auto"/>
          <w:sz w:val="24"/>
          <w:u w:val="single"/>
        </w:rPr>
      </w:pPr>
      <w:r>
        <w:rPr>
          <w:rFonts w:hint="eastAsia"/>
          <w:color w:val="auto"/>
          <w:sz w:val="24"/>
        </w:rPr>
        <w:t>（</w:t>
      </w:r>
      <w:r>
        <w:rPr>
          <w:color w:val="auto"/>
          <w:sz w:val="24"/>
        </w:rPr>
        <w:t>6</w:t>
      </w:r>
      <w:r>
        <w:rPr>
          <w:rFonts w:hint="eastAsia"/>
          <w:color w:val="auto"/>
          <w:sz w:val="24"/>
        </w:rPr>
        <w:t>）</w:t>
      </w:r>
      <w:r>
        <w:rPr>
          <w:rFonts w:hint="eastAsia" w:ascii="宋体" w:hAnsi="宋体"/>
          <w:color w:val="auto"/>
          <w:sz w:val="24"/>
          <w:u w:val="single"/>
        </w:rPr>
        <w:t>专用条款中约定或监理单位或发包方同意工期顺延的其他情况：如因发包人原因致使承包人暂时无法进行正常施工时，所延误的工期，承包人想方设法弥补，对影响部分经发包人核准并视影响程度再另定顺延期限。</w:t>
      </w:r>
    </w:p>
    <w:p w14:paraId="1744B9A9">
      <w:pPr>
        <w:spacing w:line="360" w:lineRule="auto"/>
        <w:rPr>
          <w:rFonts w:ascii="宋体"/>
          <w:color w:val="auto"/>
          <w:sz w:val="24"/>
        </w:rPr>
      </w:pPr>
    </w:p>
    <w:p w14:paraId="72742A05">
      <w:pPr>
        <w:spacing w:line="360" w:lineRule="auto"/>
        <w:rPr>
          <w:rFonts w:ascii="宋体"/>
          <w:b/>
          <w:color w:val="auto"/>
          <w:sz w:val="24"/>
        </w:rPr>
      </w:pPr>
      <w:r>
        <w:rPr>
          <w:rFonts w:hint="eastAsia" w:ascii="宋体" w:hAnsi="宋体"/>
          <w:b/>
          <w:color w:val="auto"/>
          <w:sz w:val="24"/>
        </w:rPr>
        <w:t>38. 竣工日期</w:t>
      </w:r>
    </w:p>
    <w:p w14:paraId="0A3CD2FE">
      <w:pPr>
        <w:spacing w:line="360" w:lineRule="auto"/>
        <w:ind w:left="2" w:leftChars="1" w:firstLine="480" w:firstLineChars="200"/>
        <w:rPr>
          <w:rFonts w:ascii="宋体"/>
          <w:color w:val="auto"/>
          <w:sz w:val="24"/>
        </w:rPr>
      </w:pPr>
      <w:r>
        <w:rPr>
          <w:rFonts w:hint="eastAsia" w:ascii="宋体" w:hAnsi="宋体"/>
          <w:color w:val="auto"/>
          <w:sz w:val="24"/>
        </w:rPr>
        <w:t>38.1 计划竣工日期：</w:t>
      </w:r>
      <w:r>
        <w:rPr>
          <w:rFonts w:hint="eastAsia" w:ascii="宋体" w:hAnsi="宋体"/>
          <w:color w:val="auto"/>
          <w:sz w:val="24"/>
          <w:u w:val="single"/>
        </w:rPr>
        <w:t xml:space="preserve">     年 </w:t>
      </w:r>
      <w:r>
        <w:rPr>
          <w:rFonts w:ascii="宋体" w:hAnsi="宋体"/>
          <w:color w:val="auto"/>
          <w:sz w:val="24"/>
          <w:u w:val="single"/>
        </w:rPr>
        <w:t xml:space="preserve"> </w:t>
      </w:r>
      <w:r>
        <w:rPr>
          <w:rFonts w:hint="eastAsia" w:ascii="宋体" w:hAnsi="宋体"/>
          <w:color w:val="auto"/>
          <w:sz w:val="24"/>
          <w:u w:val="single"/>
        </w:rPr>
        <w:t xml:space="preserve"> 月  </w:t>
      </w:r>
      <w:r>
        <w:rPr>
          <w:rFonts w:ascii="宋体" w:hAnsi="宋体"/>
          <w:color w:val="auto"/>
          <w:sz w:val="24"/>
          <w:u w:val="single"/>
        </w:rPr>
        <w:t xml:space="preserve"> </w:t>
      </w:r>
      <w:r>
        <w:rPr>
          <w:rFonts w:hint="eastAsia" w:ascii="宋体" w:hAnsi="宋体"/>
          <w:color w:val="auto"/>
          <w:sz w:val="24"/>
          <w:u w:val="single"/>
        </w:rPr>
        <w:t xml:space="preserve"> 日</w:t>
      </w:r>
      <w:r>
        <w:rPr>
          <w:rFonts w:hint="eastAsia" w:ascii="宋体" w:hAnsi="宋体"/>
          <w:color w:val="auto"/>
          <w:sz w:val="24"/>
        </w:rPr>
        <w:t>完成。</w:t>
      </w:r>
    </w:p>
    <w:p w14:paraId="5EA50B0E">
      <w:pPr>
        <w:spacing w:line="360" w:lineRule="auto"/>
        <w:ind w:left="482" w:firstLine="540" w:firstLineChars="224"/>
        <w:outlineLvl w:val="1"/>
        <w:rPr>
          <w:rFonts w:ascii="宋体"/>
          <w:b/>
          <w:bCs/>
          <w:color w:val="auto"/>
          <w:sz w:val="24"/>
        </w:rPr>
      </w:pPr>
    </w:p>
    <w:p w14:paraId="0A163A7C">
      <w:pPr>
        <w:spacing w:line="360" w:lineRule="auto"/>
        <w:rPr>
          <w:rFonts w:ascii="宋体"/>
          <w:b/>
          <w:color w:val="auto"/>
          <w:sz w:val="24"/>
        </w:rPr>
      </w:pPr>
      <w:r>
        <w:rPr>
          <w:rFonts w:hint="eastAsia" w:ascii="宋体" w:hAnsi="宋体"/>
          <w:b/>
          <w:color w:val="auto"/>
          <w:sz w:val="24"/>
        </w:rPr>
        <w:t>42.质量标准</w:t>
      </w:r>
    </w:p>
    <w:p w14:paraId="7466DC49">
      <w:pPr>
        <w:spacing w:line="360" w:lineRule="auto"/>
        <w:rPr>
          <w:rFonts w:ascii="宋体"/>
          <w:color w:val="auto"/>
          <w:sz w:val="24"/>
        </w:rPr>
      </w:pPr>
      <w:r>
        <w:rPr>
          <w:rFonts w:hint="eastAsia" w:ascii="宋体" w:hAnsi="宋体"/>
          <w:color w:val="auto"/>
          <w:sz w:val="24"/>
        </w:rPr>
        <w:t>42.1 约定的工程质量标准</w:t>
      </w:r>
    </w:p>
    <w:p w14:paraId="0D6456F6">
      <w:pPr>
        <w:spacing w:line="360" w:lineRule="auto"/>
        <w:ind w:firstLine="120" w:firstLineChars="50"/>
        <w:rPr>
          <w:rFonts w:ascii="宋体" w:hAnsi="宋体"/>
          <w:color w:val="auto"/>
          <w:sz w:val="24"/>
          <w:u w:val="single"/>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）合同工程质量标准：</w:t>
      </w:r>
      <w:r>
        <w:rPr>
          <w:rFonts w:hint="eastAsia" w:ascii="宋体" w:hAnsi="宋体"/>
          <w:color w:val="auto"/>
          <w:sz w:val="24"/>
          <w:u w:val="single"/>
        </w:rPr>
        <w:t xml:space="preserve">合格 </w:t>
      </w:r>
    </w:p>
    <w:p w14:paraId="68535D90">
      <w:pPr>
        <w:spacing w:line="360" w:lineRule="auto"/>
        <w:ind w:firstLine="120" w:firstLineChars="50"/>
        <w:rPr>
          <w:rFonts w:ascii="宋体"/>
          <w:color w:val="auto"/>
          <w:sz w:val="24"/>
          <w:u w:val="single"/>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）工程质量验收标准：</w:t>
      </w:r>
      <w:r>
        <w:rPr>
          <w:rFonts w:hint="eastAsia" w:ascii="宋体" w:hAnsi="宋体"/>
          <w:color w:val="auto"/>
          <w:sz w:val="24"/>
          <w:u w:val="single"/>
        </w:rPr>
        <w:t>合格。</w:t>
      </w:r>
    </w:p>
    <w:p w14:paraId="15235BAA">
      <w:pPr>
        <w:spacing w:line="360" w:lineRule="auto"/>
        <w:rPr>
          <w:rFonts w:ascii="宋体"/>
          <w:color w:val="auto"/>
          <w:sz w:val="24"/>
        </w:rPr>
      </w:pPr>
    </w:p>
    <w:p w14:paraId="06AE022C">
      <w:pPr>
        <w:spacing w:line="360" w:lineRule="auto"/>
        <w:rPr>
          <w:rFonts w:ascii="宋体"/>
          <w:b/>
          <w:color w:val="auto"/>
          <w:sz w:val="24"/>
        </w:rPr>
      </w:pPr>
      <w:r>
        <w:rPr>
          <w:rFonts w:hint="eastAsia" w:ascii="宋体" w:hAnsi="宋体"/>
          <w:b/>
          <w:color w:val="auto"/>
          <w:sz w:val="24"/>
        </w:rPr>
        <w:t>45.安全文明施工</w:t>
      </w:r>
    </w:p>
    <w:p w14:paraId="751BA52D">
      <w:pPr>
        <w:spacing w:line="360" w:lineRule="auto"/>
        <w:rPr>
          <w:rFonts w:ascii="宋体"/>
          <w:color w:val="auto"/>
          <w:sz w:val="24"/>
        </w:rPr>
      </w:pPr>
      <w:r>
        <w:rPr>
          <w:rFonts w:hint="eastAsia" w:ascii="宋体"/>
          <w:color w:val="auto"/>
          <w:sz w:val="24"/>
        </w:rPr>
        <w:t>45.5</w:t>
      </w:r>
      <w:r>
        <w:rPr>
          <w:rFonts w:hint="eastAsia" w:ascii="宋体" w:hAnsi="宋体"/>
          <w:color w:val="auto"/>
          <w:sz w:val="24"/>
        </w:rPr>
        <w:t>治安管理：</w:t>
      </w:r>
    </w:p>
    <w:p w14:paraId="6552A8A5">
      <w:pPr>
        <w:spacing w:line="360" w:lineRule="auto"/>
        <w:ind w:firstLine="120" w:firstLineChars="50"/>
        <w:rPr>
          <w:rFonts w:ascii="宋体"/>
          <w:color w:val="auto"/>
          <w:kern w:val="0"/>
          <w:sz w:val="24"/>
        </w:rPr>
      </w:pPr>
      <w:r>
        <w:rPr>
          <w:rFonts w:hint="eastAsia" w:ascii="宋体"/>
          <w:color w:val="auto"/>
          <w:kern w:val="0"/>
          <w:sz w:val="24"/>
        </w:rPr>
        <w:t>□</w:t>
      </w:r>
      <w:r>
        <w:rPr>
          <w:rFonts w:hint="eastAsia" w:ascii="宋体" w:hAnsi="宋体"/>
          <w:color w:val="auto"/>
          <w:kern w:val="0"/>
          <w:sz w:val="24"/>
        </w:rPr>
        <w:t>按通用条款的规定。</w:t>
      </w:r>
    </w:p>
    <w:p w14:paraId="01041EEB">
      <w:pPr>
        <w:spacing w:line="360" w:lineRule="auto"/>
        <w:ind w:firstLine="120" w:firstLineChars="50"/>
        <w:rPr>
          <w:rFonts w:ascii="宋体"/>
          <w:color w:val="auto"/>
          <w:kern w:val="0"/>
          <w:sz w:val="24"/>
        </w:rPr>
      </w:pPr>
      <w:r>
        <w:rPr>
          <w:rFonts w:hint="eastAsia" w:ascii="宋体" w:hAnsi="宋体"/>
          <w:color w:val="auto"/>
          <w:sz w:val="24"/>
        </w:rPr>
        <w:t>■</w:t>
      </w:r>
      <w:r>
        <w:rPr>
          <w:rFonts w:hint="eastAsia" w:ascii="宋体" w:hAnsi="宋体"/>
          <w:color w:val="auto"/>
          <w:kern w:val="0"/>
          <w:sz w:val="24"/>
        </w:rPr>
        <w:t>另作约定：</w:t>
      </w:r>
      <w:r>
        <w:rPr>
          <w:rFonts w:hint="eastAsia" w:ascii="宋体" w:hAnsi="宋体"/>
          <w:color w:val="auto"/>
          <w:kern w:val="0"/>
          <w:sz w:val="24"/>
          <w:u w:val="single"/>
        </w:rPr>
        <w:t>严格按照现执行的《广州市建设工程安全文明施工规程》关于安全文明施工和绿色施工的相关规定。</w:t>
      </w:r>
    </w:p>
    <w:p w14:paraId="461BA719">
      <w:pPr>
        <w:spacing w:line="360" w:lineRule="auto"/>
        <w:rPr>
          <w:rFonts w:ascii="宋体"/>
          <w:color w:val="auto"/>
          <w:kern w:val="0"/>
          <w:sz w:val="24"/>
        </w:rPr>
      </w:pPr>
    </w:p>
    <w:p w14:paraId="10491984">
      <w:pPr>
        <w:spacing w:line="360" w:lineRule="auto"/>
        <w:rPr>
          <w:rFonts w:ascii="宋体"/>
          <w:color w:val="auto"/>
          <w:kern w:val="0"/>
          <w:sz w:val="24"/>
        </w:rPr>
      </w:pPr>
      <w:r>
        <w:rPr>
          <w:rFonts w:hint="eastAsia" w:ascii="宋体" w:hAnsi="宋体"/>
          <w:b/>
          <w:color w:val="auto"/>
          <w:kern w:val="0"/>
          <w:sz w:val="24"/>
        </w:rPr>
        <w:t>46.测量放线</w:t>
      </w:r>
    </w:p>
    <w:p w14:paraId="59073BC8">
      <w:pPr>
        <w:spacing w:line="360" w:lineRule="auto"/>
        <w:rPr>
          <w:rFonts w:ascii="宋体"/>
          <w:color w:val="auto"/>
          <w:kern w:val="0"/>
          <w:sz w:val="24"/>
        </w:rPr>
      </w:pPr>
      <w:r>
        <w:rPr>
          <w:rFonts w:hint="eastAsia" w:ascii="宋体" w:hAnsi="宋体"/>
          <w:color w:val="auto"/>
          <w:kern w:val="0"/>
          <w:sz w:val="24"/>
        </w:rPr>
        <w:t>46.1 承包人提交施工控制网资料的时间：</w:t>
      </w:r>
      <w:r>
        <w:rPr>
          <w:rFonts w:ascii="宋体" w:hAnsi="宋体"/>
          <w:color w:val="auto"/>
          <w:kern w:val="0"/>
          <w:sz w:val="24"/>
          <w:u w:val="single"/>
        </w:rPr>
        <w:t xml:space="preserve">                 /                  </w:t>
      </w:r>
    </w:p>
    <w:p w14:paraId="60FE9631">
      <w:pPr>
        <w:spacing w:line="360" w:lineRule="auto"/>
        <w:rPr>
          <w:rFonts w:ascii="宋体"/>
          <w:color w:val="auto"/>
          <w:kern w:val="0"/>
          <w:sz w:val="24"/>
        </w:rPr>
      </w:pPr>
      <w:r>
        <w:rPr>
          <w:rFonts w:hint="eastAsia" w:ascii="宋体" w:hAnsi="宋体"/>
          <w:color w:val="auto"/>
          <w:kern w:val="0"/>
          <w:sz w:val="24"/>
        </w:rPr>
        <w:t>46.4 测量放线误差的约定：</w:t>
      </w:r>
      <w:r>
        <w:rPr>
          <w:rFonts w:ascii="宋体" w:hAnsi="宋体"/>
          <w:color w:val="auto"/>
          <w:kern w:val="0"/>
          <w:sz w:val="24"/>
          <w:u w:val="single"/>
        </w:rPr>
        <w:t xml:space="preserve">                       /                        </w:t>
      </w:r>
    </w:p>
    <w:p w14:paraId="77E2B4DD">
      <w:pPr>
        <w:spacing w:line="360" w:lineRule="auto"/>
        <w:rPr>
          <w:rFonts w:ascii="宋体"/>
          <w:color w:val="auto"/>
          <w:kern w:val="0"/>
          <w:sz w:val="24"/>
        </w:rPr>
      </w:pPr>
    </w:p>
    <w:p w14:paraId="7002AD3F">
      <w:pPr>
        <w:spacing w:line="360" w:lineRule="auto"/>
        <w:rPr>
          <w:rFonts w:ascii="宋体"/>
          <w:b/>
          <w:color w:val="auto"/>
          <w:kern w:val="0"/>
          <w:sz w:val="24"/>
        </w:rPr>
      </w:pPr>
      <w:r>
        <w:rPr>
          <w:rFonts w:hint="eastAsia" w:ascii="宋体" w:hAnsi="宋体"/>
          <w:b/>
          <w:color w:val="auto"/>
          <w:kern w:val="0"/>
          <w:sz w:val="24"/>
        </w:rPr>
        <w:t>48</w:t>
      </w:r>
      <w:r>
        <w:rPr>
          <w:rFonts w:ascii="宋体" w:hAnsi="宋体"/>
          <w:b/>
          <w:color w:val="auto"/>
          <w:kern w:val="0"/>
          <w:sz w:val="24"/>
        </w:rPr>
        <w:t>.</w:t>
      </w:r>
      <w:r>
        <w:rPr>
          <w:rFonts w:hint="eastAsia" w:ascii="宋体" w:hAnsi="宋体"/>
          <w:b/>
          <w:color w:val="auto"/>
          <w:kern w:val="0"/>
          <w:sz w:val="24"/>
        </w:rPr>
        <w:t>发包人供应材料和工程设备</w:t>
      </w:r>
    </w:p>
    <w:p w14:paraId="128E9907">
      <w:pPr>
        <w:spacing w:line="360" w:lineRule="auto"/>
        <w:rPr>
          <w:rFonts w:ascii="宋体"/>
          <w:color w:val="auto"/>
          <w:kern w:val="0"/>
          <w:sz w:val="24"/>
        </w:rPr>
      </w:pPr>
      <w:r>
        <w:rPr>
          <w:rFonts w:hint="eastAsia" w:ascii="宋体" w:hAnsi="宋体"/>
          <w:color w:val="auto"/>
          <w:kern w:val="0"/>
          <w:sz w:val="24"/>
        </w:rPr>
        <w:t>4</w:t>
      </w:r>
      <w:r>
        <w:rPr>
          <w:rFonts w:ascii="宋体" w:hAnsi="宋体"/>
          <w:color w:val="auto"/>
          <w:kern w:val="0"/>
          <w:sz w:val="24"/>
        </w:rPr>
        <w:t xml:space="preserve">8.1 </w:t>
      </w:r>
      <w:r>
        <w:rPr>
          <w:rFonts w:hint="eastAsia" w:ascii="宋体" w:hAnsi="宋体"/>
          <w:color w:val="auto"/>
          <w:kern w:val="0"/>
          <w:sz w:val="24"/>
        </w:rPr>
        <w:t>约定供应的材料和工程设备：</w:t>
      </w:r>
    </w:p>
    <w:p w14:paraId="4B574DAE">
      <w:pPr>
        <w:spacing w:line="360" w:lineRule="auto"/>
        <w:rPr>
          <w:rFonts w:ascii="宋体"/>
          <w:color w:val="auto"/>
          <w:kern w:val="0"/>
          <w:sz w:val="24"/>
        </w:rPr>
      </w:pPr>
      <w:r>
        <w:rPr>
          <w:rFonts w:hint="eastAsia" w:ascii="宋体" w:hAnsi="宋体"/>
          <w:color w:val="auto"/>
          <w:kern w:val="0"/>
          <w:sz w:val="24"/>
        </w:rPr>
        <w:t>■发包人不供应材料和工程设备，本条不适用。</w:t>
      </w:r>
    </w:p>
    <w:p w14:paraId="51B5276A">
      <w:pPr>
        <w:spacing w:line="360" w:lineRule="auto"/>
        <w:rPr>
          <w:rFonts w:ascii="宋体"/>
          <w:color w:val="auto"/>
          <w:kern w:val="0"/>
          <w:sz w:val="24"/>
        </w:rPr>
      </w:pPr>
      <w:r>
        <w:rPr>
          <w:rFonts w:hint="eastAsia" w:ascii="宋体"/>
          <w:color w:val="auto"/>
          <w:kern w:val="0"/>
          <w:sz w:val="24"/>
        </w:rPr>
        <w:t>□</w:t>
      </w:r>
      <w:r>
        <w:rPr>
          <w:rFonts w:hint="eastAsia" w:ascii="宋体" w:hAnsi="宋体"/>
          <w:color w:val="auto"/>
          <w:kern w:val="0"/>
          <w:sz w:val="24"/>
        </w:rPr>
        <w:t>发包人供应材料和工程设备的，应与承包人约定“发包人供应材料和工程设备一览表”，作为本合同的附件。</w:t>
      </w:r>
    </w:p>
    <w:p w14:paraId="579AE76A">
      <w:pPr>
        <w:spacing w:line="360" w:lineRule="auto"/>
        <w:rPr>
          <w:rFonts w:ascii="宋体"/>
          <w:color w:val="auto"/>
          <w:kern w:val="0"/>
          <w:sz w:val="24"/>
        </w:rPr>
      </w:pPr>
      <w:r>
        <w:rPr>
          <w:rFonts w:hint="eastAsia" w:ascii="宋体" w:hAnsi="宋体"/>
          <w:color w:val="auto"/>
          <w:kern w:val="0"/>
          <w:sz w:val="24"/>
        </w:rPr>
        <w:t>4</w:t>
      </w:r>
      <w:r>
        <w:rPr>
          <w:rFonts w:ascii="宋体" w:hAnsi="宋体"/>
          <w:color w:val="auto"/>
          <w:kern w:val="0"/>
          <w:sz w:val="24"/>
        </w:rPr>
        <w:t>8.</w:t>
      </w:r>
      <w:r>
        <w:rPr>
          <w:rFonts w:hint="eastAsia" w:ascii="宋体" w:hAnsi="宋体"/>
          <w:color w:val="auto"/>
          <w:kern w:val="0"/>
          <w:sz w:val="24"/>
        </w:rPr>
        <w:t>8发包人供应材料和工程设备的结算方式：</w:t>
      </w:r>
      <w:r>
        <w:rPr>
          <w:rFonts w:ascii="宋体" w:hAnsi="宋体"/>
          <w:color w:val="auto"/>
          <w:kern w:val="0"/>
          <w:sz w:val="24"/>
          <w:u w:val="single"/>
        </w:rPr>
        <w:t xml:space="preserve">               /                   </w:t>
      </w:r>
    </w:p>
    <w:p w14:paraId="5BA70D38">
      <w:pPr>
        <w:spacing w:line="360" w:lineRule="auto"/>
        <w:rPr>
          <w:rFonts w:ascii="宋体"/>
          <w:color w:val="auto"/>
          <w:kern w:val="0"/>
          <w:sz w:val="24"/>
        </w:rPr>
      </w:pPr>
    </w:p>
    <w:p w14:paraId="72EDE712">
      <w:pPr>
        <w:spacing w:line="360" w:lineRule="auto"/>
        <w:rPr>
          <w:rFonts w:ascii="宋体"/>
          <w:b/>
          <w:color w:val="auto"/>
          <w:kern w:val="0"/>
          <w:sz w:val="24"/>
        </w:rPr>
      </w:pPr>
      <w:r>
        <w:rPr>
          <w:rFonts w:hint="eastAsia" w:ascii="宋体" w:hAnsi="宋体"/>
          <w:b/>
          <w:color w:val="auto"/>
          <w:kern w:val="0"/>
          <w:sz w:val="24"/>
        </w:rPr>
        <w:t>49</w:t>
      </w:r>
      <w:r>
        <w:rPr>
          <w:rFonts w:ascii="宋体" w:hAnsi="宋体"/>
          <w:b/>
          <w:color w:val="auto"/>
          <w:kern w:val="0"/>
          <w:sz w:val="24"/>
        </w:rPr>
        <w:t xml:space="preserve">. </w:t>
      </w:r>
      <w:r>
        <w:rPr>
          <w:rFonts w:hint="eastAsia" w:ascii="宋体" w:hAnsi="宋体"/>
          <w:b/>
          <w:color w:val="auto"/>
          <w:kern w:val="0"/>
          <w:sz w:val="24"/>
        </w:rPr>
        <w:t>承包人采购材料和工程设备</w:t>
      </w:r>
    </w:p>
    <w:p w14:paraId="17ECAAC4">
      <w:pPr>
        <w:spacing w:line="360" w:lineRule="auto"/>
        <w:ind w:firstLine="120" w:firstLineChars="50"/>
        <w:rPr>
          <w:rFonts w:ascii="宋体"/>
          <w:color w:val="auto"/>
          <w:kern w:val="0"/>
          <w:sz w:val="24"/>
        </w:rPr>
      </w:pPr>
    </w:p>
    <w:p w14:paraId="1934C011">
      <w:pPr>
        <w:spacing w:line="360" w:lineRule="auto"/>
        <w:rPr>
          <w:rFonts w:ascii="宋体"/>
          <w:color w:val="auto"/>
          <w:kern w:val="0"/>
          <w:sz w:val="24"/>
        </w:rPr>
      </w:pPr>
      <w:r>
        <w:rPr>
          <w:rFonts w:hint="eastAsia" w:ascii="宋体" w:hAnsi="宋体"/>
          <w:color w:val="auto"/>
          <w:kern w:val="0"/>
          <w:sz w:val="24"/>
        </w:rPr>
        <w:t>4</w:t>
      </w:r>
      <w:r>
        <w:rPr>
          <w:rFonts w:ascii="宋体" w:hAnsi="宋体"/>
          <w:color w:val="auto"/>
          <w:kern w:val="0"/>
          <w:sz w:val="24"/>
        </w:rPr>
        <w:t xml:space="preserve">9.1 </w:t>
      </w:r>
      <w:r>
        <w:rPr>
          <w:rFonts w:hint="eastAsia" w:ascii="宋体" w:hAnsi="宋体"/>
          <w:color w:val="auto"/>
          <w:kern w:val="0"/>
          <w:sz w:val="24"/>
        </w:rPr>
        <w:t>承包人采购材料和工程设备</w:t>
      </w:r>
    </w:p>
    <w:p w14:paraId="3AC22209">
      <w:pPr>
        <w:spacing w:line="360" w:lineRule="auto"/>
        <w:rPr>
          <w:rFonts w:ascii="宋体"/>
          <w:color w:val="auto"/>
          <w:kern w:val="0"/>
          <w:sz w:val="24"/>
        </w:rPr>
      </w:pPr>
      <w:r>
        <w:rPr>
          <w:rFonts w:hint="eastAsia" w:ascii="宋体" w:hAnsi="宋体"/>
          <w:color w:val="auto"/>
          <w:kern w:val="0"/>
          <w:sz w:val="24"/>
        </w:rPr>
        <w:t>■按通用条款规定，由承包人负责运输和保管。</w:t>
      </w:r>
    </w:p>
    <w:p w14:paraId="05305989">
      <w:pPr>
        <w:spacing w:line="360" w:lineRule="auto"/>
        <w:rPr>
          <w:rFonts w:ascii="宋体"/>
          <w:color w:val="auto"/>
          <w:kern w:val="0"/>
          <w:sz w:val="24"/>
        </w:rPr>
      </w:pPr>
      <w:r>
        <w:rPr>
          <w:rFonts w:hint="eastAsia" w:ascii="宋体"/>
          <w:color w:val="auto"/>
          <w:kern w:val="0"/>
          <w:sz w:val="24"/>
        </w:rPr>
        <w:t>□</w:t>
      </w:r>
      <w:r>
        <w:rPr>
          <w:rFonts w:hint="eastAsia" w:ascii="宋体" w:hAnsi="宋体"/>
          <w:color w:val="auto"/>
          <w:kern w:val="0"/>
          <w:sz w:val="24"/>
        </w:rPr>
        <w:t>另作约定：</w:t>
      </w:r>
      <w:r>
        <w:rPr>
          <w:rFonts w:ascii="宋体" w:hAnsi="宋体"/>
          <w:color w:val="auto"/>
          <w:kern w:val="0"/>
          <w:sz w:val="24"/>
          <w:u w:val="single"/>
        </w:rPr>
        <w:t xml:space="preserve">                             /                                  </w:t>
      </w:r>
    </w:p>
    <w:p w14:paraId="7ECFBF08">
      <w:pPr>
        <w:spacing w:line="360" w:lineRule="auto"/>
        <w:rPr>
          <w:color w:val="auto"/>
          <w:kern w:val="0"/>
        </w:rPr>
      </w:pPr>
      <w:r>
        <w:rPr>
          <w:rFonts w:hint="eastAsia" w:ascii="宋体" w:hAnsi="宋体"/>
          <w:color w:val="auto"/>
          <w:kern w:val="0"/>
          <w:sz w:val="24"/>
        </w:rPr>
        <w:t>4</w:t>
      </w:r>
      <w:r>
        <w:rPr>
          <w:rFonts w:ascii="宋体" w:hAnsi="宋体"/>
          <w:color w:val="auto"/>
          <w:kern w:val="0"/>
          <w:sz w:val="24"/>
        </w:rPr>
        <w:t xml:space="preserve">9.2 </w:t>
      </w:r>
      <w:r>
        <w:rPr>
          <w:rFonts w:hint="eastAsia" w:ascii="宋体" w:hAnsi="宋体"/>
          <w:color w:val="auto"/>
          <w:kern w:val="0"/>
          <w:sz w:val="24"/>
        </w:rPr>
        <w:t>承包人供货要求：</w:t>
      </w:r>
      <w:r>
        <w:rPr>
          <w:rFonts w:hint="eastAsia" w:ascii="宋体" w:hAnsi="宋体"/>
          <w:vanish/>
          <w:color w:val="auto"/>
          <w:kern w:val="0"/>
          <w:sz w:val="24"/>
          <w:u w:val="single"/>
        </w:rPr>
        <w:t>令，自然灾害，其他不可预见、不可避免、不可克服的情况。</w:t>
      </w:r>
      <w:r>
        <w:rPr>
          <w:rFonts w:ascii="宋体" w:hAnsi="宋体"/>
          <w:vanish/>
          <w:color w:val="auto"/>
          <w:kern w:val="0"/>
          <w:sz w:val="24"/>
          <w:u w:val="single"/>
        </w:rPr>
        <w:pgNum/>
      </w:r>
      <w:r>
        <w:rPr>
          <w:rFonts w:ascii="宋体" w:hAnsi="宋体"/>
          <w:vanish/>
          <w:color w:val="auto"/>
          <w:kern w:val="0"/>
          <w:sz w:val="24"/>
          <w:u w:val="single"/>
        </w:rPr>
        <w:pgNum/>
      </w:r>
      <w:r>
        <w:rPr>
          <w:rFonts w:ascii="宋体" w:hAnsi="宋体"/>
          <w:vanish/>
          <w:color w:val="auto"/>
          <w:kern w:val="0"/>
          <w:sz w:val="24"/>
          <w:u w:val="single"/>
        </w:rPr>
        <w:pgNum/>
      </w:r>
      <w:r>
        <w:rPr>
          <w:rFonts w:ascii="宋体" w:hAnsi="宋体"/>
          <w:vanish/>
          <w:color w:val="auto"/>
          <w:kern w:val="0"/>
          <w:sz w:val="24"/>
          <w:u w:val="single"/>
        </w:rPr>
        <w:pgNum/>
      </w:r>
      <w:r>
        <w:rPr>
          <w:rFonts w:ascii="宋体" w:hAnsi="宋体"/>
          <w:vanish/>
          <w:color w:val="auto"/>
          <w:kern w:val="0"/>
          <w:sz w:val="24"/>
          <w:u w:val="single"/>
        </w:rPr>
        <w:pgNum/>
      </w:r>
      <w:r>
        <w:rPr>
          <w:rFonts w:ascii="宋体" w:hAnsi="宋体"/>
          <w:vanish/>
          <w:color w:val="auto"/>
          <w:kern w:val="0"/>
          <w:sz w:val="24"/>
          <w:u w:val="single"/>
        </w:rPr>
        <w:pgNum/>
      </w:r>
      <w:r>
        <w:rPr>
          <w:rFonts w:ascii="宋体" w:hAnsi="宋体"/>
          <w:vanish/>
          <w:color w:val="auto"/>
          <w:kern w:val="0"/>
          <w:sz w:val="24"/>
          <w:u w:val="single"/>
        </w:rPr>
        <w:pgNum/>
      </w:r>
      <w:r>
        <w:rPr>
          <w:rFonts w:ascii="宋体" w:hAnsi="宋体"/>
          <w:vanish/>
          <w:color w:val="auto"/>
          <w:kern w:val="0"/>
          <w:sz w:val="24"/>
          <w:u w:val="single"/>
        </w:rPr>
        <w:pgNum/>
      </w:r>
      <w:r>
        <w:rPr>
          <w:rFonts w:ascii="宋体" w:hAnsi="宋体"/>
          <w:vanish/>
          <w:color w:val="auto"/>
          <w:kern w:val="0"/>
          <w:sz w:val="24"/>
          <w:u w:val="single"/>
        </w:rPr>
        <w:pgNum/>
      </w:r>
      <w:r>
        <w:rPr>
          <w:rFonts w:ascii="宋体" w:hAnsi="宋体"/>
          <w:vanish/>
          <w:color w:val="auto"/>
          <w:kern w:val="0"/>
          <w:sz w:val="24"/>
          <w:u w:val="single"/>
        </w:rPr>
        <w:pgNum/>
      </w:r>
      <w:r>
        <w:rPr>
          <w:rFonts w:ascii="宋体" w:hAnsi="宋体"/>
          <w:vanish/>
          <w:color w:val="auto"/>
          <w:kern w:val="0"/>
          <w:sz w:val="24"/>
          <w:u w:val="single"/>
        </w:rPr>
        <w:pgNum/>
      </w:r>
      <w:r>
        <w:rPr>
          <w:rFonts w:ascii="宋体" w:hAnsi="宋体"/>
          <w:vanish/>
          <w:color w:val="auto"/>
          <w:kern w:val="0"/>
          <w:sz w:val="24"/>
          <w:u w:val="single"/>
        </w:rPr>
        <w:pgNum/>
      </w:r>
      <w:r>
        <w:rPr>
          <w:rFonts w:ascii="宋体" w:hAnsi="宋体"/>
          <w:vanish/>
          <w:color w:val="auto"/>
          <w:kern w:val="0"/>
          <w:sz w:val="24"/>
          <w:u w:val="single"/>
        </w:rPr>
        <w:pgNum/>
      </w:r>
      <w:r>
        <w:rPr>
          <w:rFonts w:ascii="宋体" w:hAnsi="宋体"/>
          <w:vanish/>
          <w:color w:val="auto"/>
          <w:kern w:val="0"/>
          <w:sz w:val="24"/>
          <w:u w:val="single"/>
        </w:rPr>
        <w:pgNum/>
      </w:r>
      <w:r>
        <w:rPr>
          <w:rFonts w:ascii="宋体" w:hAnsi="宋体"/>
          <w:vanish/>
          <w:color w:val="auto"/>
          <w:kern w:val="0"/>
          <w:sz w:val="24"/>
          <w:u w:val="single"/>
        </w:rPr>
        <w:pgNum/>
      </w:r>
      <w:r>
        <w:rPr>
          <w:rFonts w:ascii="宋体" w:hAnsi="宋体"/>
          <w:vanish/>
          <w:color w:val="auto"/>
          <w:kern w:val="0"/>
          <w:sz w:val="24"/>
          <w:u w:val="single"/>
        </w:rPr>
        <w:pgNum/>
      </w:r>
      <w:r>
        <w:rPr>
          <w:rFonts w:ascii="宋体" w:hAnsi="宋体"/>
          <w:vanish/>
          <w:color w:val="auto"/>
          <w:kern w:val="0"/>
          <w:sz w:val="24"/>
          <w:u w:val="single"/>
        </w:rPr>
        <w:pgNum/>
      </w:r>
      <w:r>
        <w:rPr>
          <w:rFonts w:ascii="宋体" w:hAnsi="宋体"/>
          <w:vanish/>
          <w:color w:val="auto"/>
          <w:kern w:val="0"/>
          <w:sz w:val="24"/>
          <w:u w:val="single"/>
        </w:rPr>
        <w:pgNum/>
      </w:r>
      <w:r>
        <w:rPr>
          <w:rFonts w:ascii="宋体" w:hAnsi="宋体"/>
          <w:vanish/>
          <w:color w:val="auto"/>
          <w:kern w:val="0"/>
          <w:sz w:val="24"/>
          <w:u w:val="single"/>
        </w:rPr>
        <w:pgNum/>
      </w:r>
      <w:r>
        <w:rPr>
          <w:rFonts w:ascii="宋体" w:hAnsi="宋体"/>
          <w:vanish/>
          <w:color w:val="auto"/>
          <w:kern w:val="0"/>
          <w:sz w:val="24"/>
          <w:u w:val="single"/>
        </w:rPr>
        <w:pgNum/>
      </w:r>
      <w:r>
        <w:rPr>
          <w:rFonts w:ascii="宋体" w:hAnsi="宋体"/>
          <w:vanish/>
          <w:color w:val="auto"/>
          <w:kern w:val="0"/>
          <w:sz w:val="24"/>
          <w:u w:val="single"/>
        </w:rPr>
        <w:pgNum/>
      </w:r>
      <w:r>
        <w:rPr>
          <w:rFonts w:ascii="宋体" w:hAnsi="宋体"/>
          <w:vanish/>
          <w:color w:val="auto"/>
          <w:kern w:val="0"/>
          <w:sz w:val="24"/>
          <w:u w:val="single"/>
        </w:rPr>
        <w:pgNum/>
      </w:r>
      <w:r>
        <w:rPr>
          <w:rFonts w:ascii="宋体" w:hAnsi="宋体"/>
          <w:vanish/>
          <w:color w:val="auto"/>
          <w:kern w:val="0"/>
          <w:sz w:val="24"/>
          <w:u w:val="single"/>
        </w:rPr>
        <w:pgNum/>
      </w:r>
      <w:r>
        <w:rPr>
          <w:rFonts w:ascii="宋体" w:hAnsi="宋体"/>
          <w:vanish/>
          <w:color w:val="auto"/>
          <w:kern w:val="0"/>
          <w:sz w:val="24"/>
          <w:u w:val="single"/>
        </w:rPr>
        <w:pgNum/>
      </w:r>
      <w:r>
        <w:rPr>
          <w:rFonts w:ascii="宋体" w:hAnsi="宋体"/>
          <w:vanish/>
          <w:color w:val="auto"/>
          <w:kern w:val="0"/>
          <w:sz w:val="24"/>
          <w:u w:val="single"/>
        </w:rPr>
        <w:pgNum/>
      </w:r>
      <w:r>
        <w:rPr>
          <w:rFonts w:ascii="宋体" w:hAnsi="宋体"/>
          <w:vanish/>
          <w:color w:val="auto"/>
          <w:kern w:val="0"/>
          <w:sz w:val="24"/>
          <w:u w:val="single"/>
        </w:rPr>
        <w:pgNum/>
      </w:r>
      <w:r>
        <w:rPr>
          <w:rFonts w:ascii="宋体" w:hAnsi="宋体"/>
          <w:vanish/>
          <w:color w:val="auto"/>
          <w:kern w:val="0"/>
          <w:sz w:val="24"/>
          <w:u w:val="single"/>
        </w:rPr>
        <w:pgNum/>
      </w:r>
      <w:r>
        <w:rPr>
          <w:rFonts w:ascii="宋体" w:hAnsi="宋体"/>
          <w:vanish/>
          <w:color w:val="auto"/>
          <w:kern w:val="0"/>
          <w:sz w:val="24"/>
          <w:u w:val="single"/>
        </w:rPr>
        <w:pgNum/>
      </w:r>
      <w:r>
        <w:rPr>
          <w:rFonts w:ascii="宋体" w:hAnsi="宋体"/>
          <w:vanish/>
          <w:color w:val="auto"/>
          <w:kern w:val="0"/>
          <w:sz w:val="24"/>
          <w:u w:val="single"/>
        </w:rPr>
        <w:pgNum/>
      </w:r>
      <w:r>
        <w:rPr>
          <w:rFonts w:ascii="宋体" w:hAnsi="宋体"/>
          <w:vanish/>
          <w:color w:val="auto"/>
          <w:kern w:val="0"/>
          <w:sz w:val="24"/>
          <w:u w:val="single"/>
        </w:rPr>
        <w:pgNum/>
      </w:r>
      <w:r>
        <w:rPr>
          <w:rFonts w:ascii="宋体" w:hAnsi="宋体"/>
          <w:vanish/>
          <w:color w:val="auto"/>
          <w:kern w:val="0"/>
          <w:sz w:val="24"/>
          <w:u w:val="single"/>
        </w:rPr>
        <w:pgNum/>
      </w:r>
      <w:r>
        <w:rPr>
          <w:rFonts w:ascii="宋体" w:hAnsi="宋体"/>
          <w:vanish/>
          <w:color w:val="auto"/>
          <w:kern w:val="0"/>
          <w:sz w:val="24"/>
          <w:u w:val="single"/>
        </w:rPr>
        <w:pgNum/>
      </w:r>
      <w:r>
        <w:rPr>
          <w:rFonts w:ascii="宋体" w:hAnsi="宋体"/>
          <w:vanish/>
          <w:color w:val="auto"/>
          <w:kern w:val="0"/>
          <w:sz w:val="24"/>
          <w:u w:val="single"/>
        </w:rPr>
        <w:pgNum/>
      </w:r>
      <w:r>
        <w:rPr>
          <w:rFonts w:ascii="宋体" w:hAnsi="宋体"/>
          <w:vanish/>
          <w:color w:val="auto"/>
          <w:kern w:val="0"/>
          <w:sz w:val="24"/>
          <w:u w:val="single"/>
        </w:rPr>
        <w:pgNum/>
      </w:r>
      <w:r>
        <w:rPr>
          <w:rFonts w:ascii="宋体" w:hAnsi="宋体"/>
          <w:vanish/>
          <w:color w:val="auto"/>
          <w:kern w:val="0"/>
          <w:sz w:val="24"/>
          <w:u w:val="single"/>
        </w:rPr>
        <w:pgNum/>
      </w:r>
      <w:r>
        <w:rPr>
          <w:rFonts w:ascii="宋体" w:hAnsi="宋体"/>
          <w:vanish/>
          <w:color w:val="auto"/>
          <w:kern w:val="0"/>
          <w:sz w:val="24"/>
          <w:u w:val="single"/>
        </w:rPr>
        <w:pgNum/>
      </w:r>
      <w:r>
        <w:rPr>
          <w:rFonts w:ascii="宋体" w:hAnsi="宋体"/>
          <w:vanish/>
          <w:color w:val="auto"/>
          <w:kern w:val="0"/>
          <w:sz w:val="24"/>
          <w:u w:val="single"/>
        </w:rPr>
        <w:pgNum/>
      </w:r>
      <w:r>
        <w:rPr>
          <w:rFonts w:ascii="宋体" w:hAnsi="宋体"/>
          <w:vanish/>
          <w:color w:val="auto"/>
          <w:kern w:val="0"/>
          <w:sz w:val="24"/>
          <w:u w:val="single"/>
        </w:rPr>
        <w:pgNum/>
      </w:r>
      <w:r>
        <w:rPr>
          <w:rFonts w:ascii="宋体" w:hAnsi="宋体"/>
          <w:vanish/>
          <w:color w:val="auto"/>
          <w:kern w:val="0"/>
          <w:sz w:val="24"/>
          <w:u w:val="single"/>
        </w:rPr>
        <w:pgNum/>
      </w:r>
      <w:r>
        <w:rPr>
          <w:rFonts w:ascii="宋体" w:hAnsi="宋体"/>
          <w:vanish/>
          <w:color w:val="auto"/>
          <w:kern w:val="0"/>
          <w:sz w:val="24"/>
          <w:u w:val="single"/>
        </w:rPr>
        <w:pgNum/>
      </w:r>
      <w:r>
        <w:rPr>
          <w:rFonts w:ascii="宋体" w:hAnsi="宋体"/>
          <w:vanish/>
          <w:color w:val="auto"/>
          <w:kern w:val="0"/>
          <w:sz w:val="24"/>
          <w:u w:val="single"/>
        </w:rPr>
        <w:pgNum/>
      </w:r>
      <w:r>
        <w:rPr>
          <w:rFonts w:ascii="宋体" w:hAnsi="宋体"/>
          <w:vanish/>
          <w:color w:val="auto"/>
          <w:kern w:val="0"/>
          <w:sz w:val="24"/>
          <w:u w:val="single"/>
        </w:rPr>
        <w:pgNum/>
      </w:r>
      <w:r>
        <w:rPr>
          <w:rFonts w:ascii="宋体" w:hAnsi="宋体"/>
          <w:vanish/>
          <w:color w:val="auto"/>
          <w:kern w:val="0"/>
          <w:sz w:val="24"/>
          <w:u w:val="single"/>
        </w:rPr>
        <w:pgNum/>
      </w:r>
      <w:r>
        <w:rPr>
          <w:rFonts w:ascii="宋体" w:hAnsi="宋体"/>
          <w:vanish/>
          <w:color w:val="auto"/>
          <w:kern w:val="0"/>
          <w:sz w:val="24"/>
          <w:u w:val="single"/>
        </w:rPr>
        <w:pgNum/>
      </w:r>
      <w:r>
        <w:rPr>
          <w:rFonts w:ascii="宋体" w:hAnsi="宋体"/>
          <w:vanish/>
          <w:color w:val="auto"/>
          <w:kern w:val="0"/>
          <w:sz w:val="24"/>
          <w:u w:val="single"/>
        </w:rPr>
        <w:pgNum/>
      </w:r>
      <w:r>
        <w:rPr>
          <w:rFonts w:ascii="宋体" w:hAnsi="宋体"/>
          <w:vanish/>
          <w:color w:val="auto"/>
          <w:kern w:val="0"/>
          <w:sz w:val="24"/>
          <w:u w:val="single"/>
        </w:rPr>
        <w:pgNum/>
      </w:r>
      <w:r>
        <w:rPr>
          <w:rFonts w:ascii="宋体" w:hAnsi="宋体"/>
          <w:vanish/>
          <w:color w:val="auto"/>
          <w:kern w:val="0"/>
          <w:sz w:val="24"/>
          <w:u w:val="single"/>
        </w:rPr>
        <w:pgNum/>
      </w:r>
      <w:r>
        <w:rPr>
          <w:rFonts w:ascii="宋体" w:hAnsi="宋体"/>
          <w:vanish/>
          <w:color w:val="auto"/>
          <w:kern w:val="0"/>
          <w:sz w:val="24"/>
          <w:u w:val="single"/>
        </w:rPr>
        <w:pgNum/>
      </w:r>
      <w:r>
        <w:rPr>
          <w:rFonts w:ascii="宋体" w:hAnsi="宋体"/>
          <w:vanish/>
          <w:color w:val="auto"/>
          <w:kern w:val="0"/>
          <w:sz w:val="24"/>
          <w:u w:val="single"/>
        </w:rPr>
        <w:pgNum/>
      </w:r>
      <w:r>
        <w:rPr>
          <w:rFonts w:ascii="宋体" w:hAnsi="宋体"/>
          <w:vanish/>
          <w:color w:val="auto"/>
          <w:kern w:val="0"/>
          <w:sz w:val="24"/>
          <w:u w:val="single"/>
        </w:rPr>
        <w:pgNum/>
      </w:r>
      <w:r>
        <w:rPr>
          <w:rFonts w:ascii="宋体" w:hAnsi="宋体"/>
          <w:vanish/>
          <w:color w:val="auto"/>
          <w:kern w:val="0"/>
          <w:sz w:val="24"/>
          <w:u w:val="single"/>
        </w:rPr>
        <w:pgNum/>
      </w:r>
      <w:r>
        <w:rPr>
          <w:rFonts w:ascii="宋体" w:hAnsi="宋体"/>
          <w:vanish/>
          <w:color w:val="auto"/>
          <w:kern w:val="0"/>
          <w:sz w:val="24"/>
          <w:u w:val="single"/>
        </w:rPr>
        <w:pgNum/>
      </w:r>
      <w:r>
        <w:rPr>
          <w:rFonts w:ascii="宋体" w:hAnsi="宋体"/>
          <w:vanish/>
          <w:color w:val="auto"/>
          <w:kern w:val="0"/>
          <w:sz w:val="24"/>
          <w:u w:val="single"/>
        </w:rPr>
        <w:pgNum/>
      </w:r>
      <w:r>
        <w:rPr>
          <w:rFonts w:ascii="宋体" w:hAnsi="宋体"/>
          <w:vanish/>
          <w:color w:val="auto"/>
          <w:kern w:val="0"/>
          <w:sz w:val="24"/>
          <w:u w:val="single"/>
        </w:rPr>
        <w:pgNum/>
      </w:r>
      <w:r>
        <w:rPr>
          <w:rFonts w:ascii="宋体" w:hAnsi="宋体"/>
          <w:vanish/>
          <w:color w:val="auto"/>
          <w:kern w:val="0"/>
          <w:sz w:val="24"/>
          <w:u w:val="single"/>
        </w:rPr>
        <w:pgNum/>
      </w:r>
      <w:r>
        <w:rPr>
          <w:rFonts w:ascii="宋体" w:hAnsi="宋体"/>
          <w:vanish/>
          <w:color w:val="auto"/>
          <w:kern w:val="0"/>
          <w:sz w:val="24"/>
          <w:u w:val="single"/>
        </w:rPr>
        <w:pgNum/>
      </w:r>
      <w:r>
        <w:rPr>
          <w:rFonts w:ascii="宋体" w:hAnsi="宋体"/>
          <w:vanish/>
          <w:color w:val="auto"/>
          <w:kern w:val="0"/>
          <w:sz w:val="24"/>
          <w:u w:val="single"/>
        </w:rPr>
        <w:pgNum/>
      </w:r>
      <w:r>
        <w:rPr>
          <w:rFonts w:ascii="宋体" w:hAnsi="宋体"/>
          <w:vanish/>
          <w:color w:val="auto"/>
          <w:kern w:val="0"/>
          <w:sz w:val="24"/>
          <w:u w:val="single"/>
        </w:rPr>
        <w:pgNum/>
      </w:r>
      <w:r>
        <w:rPr>
          <w:rFonts w:ascii="宋体" w:hAnsi="宋体"/>
          <w:vanish/>
          <w:color w:val="auto"/>
          <w:kern w:val="0"/>
          <w:sz w:val="24"/>
          <w:u w:val="single"/>
        </w:rPr>
        <w:pgNum/>
      </w:r>
      <w:r>
        <w:rPr>
          <w:rFonts w:ascii="宋体" w:hAnsi="宋体"/>
          <w:vanish/>
          <w:color w:val="auto"/>
          <w:kern w:val="0"/>
          <w:sz w:val="24"/>
          <w:u w:val="single"/>
        </w:rPr>
        <w:pgNum/>
      </w:r>
      <w:r>
        <w:rPr>
          <w:rFonts w:ascii="宋体" w:hAnsi="宋体"/>
          <w:vanish/>
          <w:color w:val="auto"/>
          <w:kern w:val="0"/>
          <w:sz w:val="24"/>
          <w:u w:val="single"/>
        </w:rPr>
        <w:pgNum/>
      </w:r>
      <w:r>
        <w:rPr>
          <w:rFonts w:ascii="宋体" w:hAnsi="宋体"/>
          <w:vanish/>
          <w:color w:val="auto"/>
          <w:kern w:val="0"/>
          <w:sz w:val="24"/>
          <w:u w:val="single"/>
        </w:rPr>
        <w:pgNum/>
      </w:r>
      <w:r>
        <w:rPr>
          <w:rFonts w:ascii="宋体" w:hAnsi="宋体"/>
          <w:vanish/>
          <w:color w:val="auto"/>
          <w:kern w:val="0"/>
          <w:sz w:val="24"/>
          <w:u w:val="single"/>
        </w:rPr>
        <w:pgNum/>
      </w:r>
      <w:r>
        <w:rPr>
          <w:rFonts w:ascii="宋体" w:hAnsi="宋体"/>
          <w:vanish/>
          <w:color w:val="auto"/>
          <w:kern w:val="0"/>
          <w:sz w:val="24"/>
          <w:u w:val="single"/>
        </w:rPr>
        <w:pgNum/>
      </w:r>
      <w:r>
        <w:rPr>
          <w:rFonts w:ascii="宋体" w:hAnsi="宋体"/>
          <w:vanish/>
          <w:color w:val="auto"/>
          <w:kern w:val="0"/>
          <w:sz w:val="24"/>
          <w:u w:val="single"/>
        </w:rPr>
        <w:pgNum/>
      </w:r>
      <w:r>
        <w:rPr>
          <w:rFonts w:ascii="宋体" w:hAnsi="宋体"/>
          <w:vanish/>
          <w:color w:val="auto"/>
          <w:kern w:val="0"/>
          <w:sz w:val="24"/>
          <w:u w:val="single"/>
        </w:rPr>
        <w:pgNum/>
      </w:r>
      <w:r>
        <w:rPr>
          <w:rFonts w:ascii="宋体" w:hAnsi="宋体"/>
          <w:vanish/>
          <w:color w:val="auto"/>
          <w:kern w:val="0"/>
          <w:sz w:val="24"/>
          <w:u w:val="single"/>
        </w:rPr>
        <w:pgNum/>
      </w:r>
      <w:r>
        <w:rPr>
          <w:rFonts w:ascii="宋体" w:hAnsi="宋体"/>
          <w:vanish/>
          <w:color w:val="auto"/>
          <w:kern w:val="0"/>
          <w:sz w:val="24"/>
          <w:u w:val="single"/>
        </w:rPr>
        <w:pgNum/>
      </w:r>
      <w:r>
        <w:rPr>
          <w:rFonts w:ascii="宋体" w:hAnsi="宋体"/>
          <w:vanish/>
          <w:color w:val="auto"/>
          <w:kern w:val="0"/>
          <w:sz w:val="24"/>
          <w:u w:val="single"/>
        </w:rPr>
        <w:pgNum/>
      </w:r>
      <w:r>
        <w:rPr>
          <w:rFonts w:ascii="宋体" w:hAnsi="宋体"/>
          <w:vanish/>
          <w:color w:val="auto"/>
          <w:kern w:val="0"/>
          <w:sz w:val="24"/>
          <w:u w:val="single"/>
        </w:rPr>
        <w:pgNum/>
      </w:r>
      <w:r>
        <w:rPr>
          <w:rFonts w:ascii="宋体" w:hAnsi="宋体"/>
          <w:vanish/>
          <w:color w:val="auto"/>
          <w:kern w:val="0"/>
          <w:sz w:val="24"/>
          <w:u w:val="single"/>
        </w:rPr>
        <w:pgNum/>
      </w:r>
      <w:r>
        <w:rPr>
          <w:rFonts w:ascii="宋体" w:hAnsi="宋体"/>
          <w:vanish/>
          <w:color w:val="auto"/>
          <w:kern w:val="0"/>
          <w:sz w:val="24"/>
          <w:u w:val="single"/>
        </w:rPr>
        <w:pgNum/>
      </w:r>
      <w:r>
        <w:rPr>
          <w:rFonts w:ascii="宋体" w:hAnsi="宋体"/>
          <w:vanish/>
          <w:color w:val="auto"/>
          <w:kern w:val="0"/>
          <w:sz w:val="24"/>
          <w:u w:val="single"/>
        </w:rPr>
        <w:pgNum/>
      </w:r>
      <w:r>
        <w:rPr>
          <w:rFonts w:ascii="宋体" w:hAnsi="宋体"/>
          <w:vanish/>
          <w:color w:val="auto"/>
          <w:kern w:val="0"/>
          <w:sz w:val="24"/>
          <w:u w:val="single"/>
        </w:rPr>
        <w:pgNum/>
      </w:r>
      <w:r>
        <w:rPr>
          <w:rFonts w:ascii="宋体" w:hAnsi="宋体"/>
          <w:vanish/>
          <w:color w:val="auto"/>
          <w:kern w:val="0"/>
          <w:sz w:val="24"/>
          <w:u w:val="single"/>
        </w:rPr>
        <w:pgNum/>
      </w:r>
      <w:r>
        <w:rPr>
          <w:rFonts w:ascii="宋体" w:hAnsi="宋体"/>
          <w:vanish/>
          <w:color w:val="auto"/>
          <w:kern w:val="0"/>
          <w:sz w:val="24"/>
          <w:u w:val="single"/>
        </w:rPr>
        <w:pgNum/>
      </w:r>
      <w:r>
        <w:rPr>
          <w:rFonts w:ascii="宋体" w:hAnsi="宋体"/>
          <w:vanish/>
          <w:color w:val="auto"/>
          <w:kern w:val="0"/>
          <w:sz w:val="24"/>
          <w:u w:val="single"/>
        </w:rPr>
        <w:pgNum/>
      </w:r>
      <w:r>
        <w:rPr>
          <w:rFonts w:ascii="宋体" w:hAnsi="宋体"/>
          <w:vanish/>
          <w:color w:val="auto"/>
          <w:kern w:val="0"/>
          <w:sz w:val="24"/>
          <w:u w:val="single"/>
        </w:rPr>
        <w:pgNum/>
      </w:r>
      <w:r>
        <w:rPr>
          <w:rFonts w:ascii="宋体" w:hAnsi="宋体"/>
          <w:vanish/>
          <w:color w:val="auto"/>
          <w:kern w:val="0"/>
          <w:sz w:val="24"/>
          <w:u w:val="single"/>
        </w:rPr>
        <w:pgNum/>
      </w:r>
      <w:r>
        <w:rPr>
          <w:rFonts w:ascii="宋体" w:hAnsi="宋体"/>
          <w:vanish/>
          <w:color w:val="auto"/>
          <w:kern w:val="0"/>
          <w:sz w:val="24"/>
          <w:u w:val="single"/>
        </w:rPr>
        <w:pgNum/>
      </w:r>
      <w:r>
        <w:rPr>
          <w:rFonts w:ascii="宋体" w:hAnsi="宋体"/>
          <w:vanish/>
          <w:color w:val="auto"/>
          <w:kern w:val="0"/>
          <w:sz w:val="24"/>
          <w:u w:val="single"/>
        </w:rPr>
        <w:pgNum/>
      </w:r>
      <w:r>
        <w:rPr>
          <w:rFonts w:ascii="宋体" w:hAnsi="宋体"/>
          <w:vanish/>
          <w:color w:val="auto"/>
          <w:kern w:val="0"/>
          <w:sz w:val="24"/>
          <w:u w:val="single"/>
        </w:rPr>
        <w:pgNum/>
      </w:r>
      <w:r>
        <w:rPr>
          <w:rFonts w:ascii="宋体" w:hAnsi="宋体"/>
          <w:vanish/>
          <w:color w:val="auto"/>
          <w:kern w:val="0"/>
          <w:sz w:val="24"/>
          <w:u w:val="single"/>
        </w:rPr>
        <w:pgNum/>
      </w:r>
      <w:r>
        <w:rPr>
          <w:rFonts w:ascii="宋体" w:hAnsi="宋体"/>
          <w:vanish/>
          <w:color w:val="auto"/>
          <w:kern w:val="0"/>
          <w:sz w:val="24"/>
          <w:u w:val="single"/>
        </w:rPr>
        <w:pgNum/>
      </w:r>
      <w:r>
        <w:rPr>
          <w:rFonts w:ascii="宋体" w:hAnsi="宋体"/>
          <w:vanish/>
          <w:color w:val="auto"/>
          <w:kern w:val="0"/>
          <w:sz w:val="24"/>
          <w:u w:val="single"/>
        </w:rPr>
        <w:pgNum/>
      </w:r>
      <w:r>
        <w:rPr>
          <w:rFonts w:ascii="宋体" w:hAnsi="宋体"/>
          <w:vanish/>
          <w:color w:val="auto"/>
          <w:kern w:val="0"/>
          <w:sz w:val="24"/>
          <w:u w:val="single"/>
        </w:rPr>
        <w:pgNum/>
      </w:r>
      <w:r>
        <w:rPr>
          <w:rFonts w:ascii="宋体" w:hAnsi="宋体"/>
          <w:vanish/>
          <w:color w:val="auto"/>
          <w:kern w:val="0"/>
          <w:sz w:val="24"/>
          <w:u w:val="single"/>
        </w:rPr>
        <w:pgNum/>
      </w:r>
      <w:r>
        <w:rPr>
          <w:rFonts w:ascii="宋体" w:hAnsi="宋体"/>
          <w:vanish/>
          <w:color w:val="auto"/>
          <w:kern w:val="0"/>
          <w:sz w:val="24"/>
          <w:u w:val="single"/>
        </w:rPr>
        <w:pgNum/>
      </w:r>
      <w:r>
        <w:rPr>
          <w:rFonts w:ascii="宋体" w:hAnsi="宋体"/>
          <w:vanish/>
          <w:color w:val="auto"/>
          <w:kern w:val="0"/>
          <w:sz w:val="24"/>
          <w:u w:val="single"/>
        </w:rPr>
        <w:pgNum/>
      </w:r>
      <w:r>
        <w:rPr>
          <w:rFonts w:ascii="宋体" w:hAnsi="宋体"/>
          <w:vanish/>
          <w:color w:val="auto"/>
          <w:kern w:val="0"/>
          <w:sz w:val="24"/>
          <w:u w:val="single"/>
        </w:rPr>
        <w:pgNum/>
      </w:r>
      <w:r>
        <w:rPr>
          <w:rFonts w:ascii="宋体" w:hAnsi="宋体"/>
          <w:vanish/>
          <w:color w:val="auto"/>
          <w:kern w:val="0"/>
          <w:sz w:val="24"/>
          <w:u w:val="single"/>
        </w:rPr>
        <w:pgNum/>
      </w:r>
      <w:r>
        <w:rPr>
          <w:rFonts w:ascii="宋体" w:hAnsi="宋体"/>
          <w:vanish/>
          <w:color w:val="auto"/>
          <w:kern w:val="0"/>
          <w:sz w:val="24"/>
          <w:u w:val="single"/>
        </w:rPr>
        <w:pgNum/>
      </w:r>
      <w:r>
        <w:rPr>
          <w:rFonts w:ascii="宋体" w:hAnsi="宋体"/>
          <w:vanish/>
          <w:color w:val="auto"/>
          <w:kern w:val="0"/>
          <w:sz w:val="24"/>
          <w:u w:val="single"/>
        </w:rPr>
        <w:pgNum/>
      </w:r>
      <w:r>
        <w:rPr>
          <w:rFonts w:ascii="宋体" w:hAnsi="宋体"/>
          <w:vanish/>
          <w:color w:val="auto"/>
          <w:kern w:val="0"/>
          <w:sz w:val="24"/>
          <w:u w:val="single"/>
        </w:rPr>
        <w:pgNum/>
      </w:r>
      <w:r>
        <w:rPr>
          <w:rFonts w:ascii="宋体" w:hAnsi="宋体"/>
          <w:vanish/>
          <w:color w:val="auto"/>
          <w:kern w:val="0"/>
          <w:sz w:val="24"/>
          <w:u w:val="single"/>
        </w:rPr>
        <w:pgNum/>
      </w:r>
      <w:r>
        <w:rPr>
          <w:rFonts w:ascii="宋体" w:hAnsi="宋体"/>
          <w:vanish/>
          <w:color w:val="auto"/>
          <w:kern w:val="0"/>
          <w:sz w:val="24"/>
          <w:u w:val="single"/>
        </w:rPr>
        <w:pgNum/>
      </w:r>
      <w:r>
        <w:rPr>
          <w:rFonts w:hint="eastAsia" w:ascii="宋体" w:hAnsi="宋体"/>
          <w:color w:val="auto"/>
          <w:kern w:val="0"/>
          <w:sz w:val="24"/>
          <w:u w:val="single"/>
        </w:rPr>
        <w:t>除发包人另外采购的材料设备外，本工程中的承包人工作范围内的所有材料设备均由承包人按设计图纸技术效果要求、规范要求将材料设备品牌报发包人审批同意后方可进行采购，该材料或设备的价格在结算时不得进行任何调整，材料或设备的装卸、运输、存储、质检和验收均由承包人负责。</w:t>
      </w:r>
    </w:p>
    <w:p w14:paraId="24943C71">
      <w:pPr>
        <w:spacing w:line="360" w:lineRule="auto"/>
        <w:rPr>
          <w:rFonts w:ascii="宋体"/>
          <w:color w:val="auto"/>
          <w:kern w:val="0"/>
          <w:sz w:val="24"/>
        </w:rPr>
      </w:pPr>
      <w:r>
        <w:rPr>
          <w:rFonts w:hint="eastAsia" w:ascii="宋体"/>
          <w:color w:val="auto"/>
          <w:kern w:val="0"/>
          <w:sz w:val="24"/>
        </w:rPr>
        <w:t>4</w:t>
      </w:r>
      <w:r>
        <w:rPr>
          <w:rFonts w:ascii="宋体" w:hAnsi="宋体"/>
          <w:color w:val="auto"/>
          <w:kern w:val="0"/>
          <w:sz w:val="24"/>
        </w:rPr>
        <w:t>9.</w:t>
      </w:r>
      <w:r>
        <w:rPr>
          <w:rFonts w:hint="eastAsia" w:ascii="宋体" w:hAnsi="宋体"/>
          <w:color w:val="auto"/>
          <w:kern w:val="0"/>
          <w:sz w:val="24"/>
        </w:rPr>
        <w:t>8发包人依法指定的生产厂家和供应商：</w:t>
      </w:r>
      <w:r>
        <w:rPr>
          <w:rFonts w:ascii="宋体" w:hAnsi="宋体"/>
          <w:color w:val="auto"/>
          <w:kern w:val="0"/>
          <w:sz w:val="24"/>
          <w:u w:val="single"/>
        </w:rPr>
        <w:t xml:space="preserve">                 /                </w:t>
      </w:r>
    </w:p>
    <w:p w14:paraId="77BE3326">
      <w:pPr>
        <w:spacing w:line="360" w:lineRule="auto"/>
        <w:rPr>
          <w:rFonts w:ascii="宋体"/>
          <w:b/>
          <w:color w:val="auto"/>
          <w:kern w:val="0"/>
          <w:sz w:val="24"/>
        </w:rPr>
      </w:pPr>
      <w:r>
        <w:rPr>
          <w:rFonts w:ascii="宋体" w:hAnsi="宋体"/>
          <w:b/>
          <w:color w:val="auto"/>
          <w:kern w:val="0"/>
          <w:sz w:val="24"/>
        </w:rPr>
        <w:t xml:space="preserve">50. </w:t>
      </w:r>
      <w:r>
        <w:rPr>
          <w:rFonts w:hint="eastAsia" w:ascii="宋体" w:hAnsi="宋体"/>
          <w:b/>
          <w:color w:val="auto"/>
          <w:kern w:val="0"/>
          <w:sz w:val="24"/>
        </w:rPr>
        <w:t>材料和工程设备的检验试验</w:t>
      </w:r>
    </w:p>
    <w:p w14:paraId="37F7B31B">
      <w:pPr>
        <w:spacing w:line="360" w:lineRule="auto"/>
        <w:rPr>
          <w:rFonts w:ascii="宋体"/>
          <w:color w:val="auto"/>
          <w:kern w:val="0"/>
          <w:sz w:val="24"/>
        </w:rPr>
      </w:pPr>
      <w:r>
        <w:rPr>
          <w:rFonts w:ascii="宋体" w:hAnsi="宋体"/>
          <w:color w:val="auto"/>
          <w:kern w:val="0"/>
          <w:sz w:val="24"/>
        </w:rPr>
        <w:t xml:space="preserve">50.2 </w:t>
      </w:r>
      <w:r>
        <w:rPr>
          <w:rFonts w:hint="eastAsia" w:ascii="宋体" w:hAnsi="宋体"/>
          <w:color w:val="auto"/>
          <w:kern w:val="0"/>
          <w:sz w:val="24"/>
        </w:rPr>
        <w:t>见证取样检验试验的材料和工程设备</w:t>
      </w:r>
    </w:p>
    <w:p w14:paraId="0BB7E7FB">
      <w:pPr>
        <w:spacing w:line="360" w:lineRule="auto"/>
        <w:ind w:firstLine="120" w:firstLineChars="50"/>
        <w:rPr>
          <w:rFonts w:ascii="宋体"/>
          <w:color w:val="auto"/>
          <w:kern w:val="0"/>
          <w:sz w:val="24"/>
        </w:rPr>
      </w:pPr>
      <w:r>
        <w:rPr>
          <w:rFonts w:hint="eastAsia" w:ascii="宋体" w:hAnsi="宋体"/>
          <w:color w:val="auto"/>
          <w:kern w:val="0"/>
          <w:sz w:val="24"/>
        </w:rPr>
        <w:t>（</w:t>
      </w:r>
      <w:r>
        <w:rPr>
          <w:rFonts w:ascii="宋体" w:hAnsi="宋体"/>
          <w:color w:val="auto"/>
          <w:kern w:val="0"/>
          <w:sz w:val="24"/>
        </w:rPr>
        <w:t>1</w:t>
      </w:r>
      <w:r>
        <w:rPr>
          <w:rFonts w:hint="eastAsia" w:ascii="宋体" w:hAnsi="宋体"/>
          <w:color w:val="auto"/>
          <w:kern w:val="0"/>
          <w:sz w:val="24"/>
        </w:rPr>
        <w:t>）种类：</w:t>
      </w:r>
      <w:r>
        <w:rPr>
          <w:rFonts w:ascii="宋体" w:hAnsi="宋体"/>
          <w:color w:val="auto"/>
          <w:kern w:val="0"/>
          <w:sz w:val="24"/>
          <w:u w:val="single"/>
        </w:rPr>
        <w:t xml:space="preserve">                               /                              </w:t>
      </w:r>
    </w:p>
    <w:p w14:paraId="60DEFF81">
      <w:pPr>
        <w:spacing w:line="360" w:lineRule="auto"/>
        <w:ind w:firstLine="120" w:firstLineChars="50"/>
        <w:rPr>
          <w:rFonts w:ascii="宋体" w:hAnsi="宋体"/>
          <w:color w:val="auto"/>
          <w:kern w:val="0"/>
          <w:sz w:val="24"/>
          <w:u w:val="single"/>
        </w:rPr>
      </w:pPr>
      <w:r>
        <w:rPr>
          <w:rFonts w:hint="eastAsia" w:ascii="宋体" w:hAnsi="宋体"/>
          <w:color w:val="auto"/>
          <w:kern w:val="0"/>
          <w:sz w:val="24"/>
        </w:rPr>
        <w:t>（</w:t>
      </w:r>
      <w:r>
        <w:rPr>
          <w:rFonts w:ascii="宋体" w:hAnsi="宋体"/>
          <w:color w:val="auto"/>
          <w:kern w:val="0"/>
          <w:sz w:val="24"/>
        </w:rPr>
        <w:t>2</w:t>
      </w:r>
      <w:r>
        <w:rPr>
          <w:rFonts w:hint="eastAsia" w:ascii="宋体" w:hAnsi="宋体"/>
          <w:color w:val="auto"/>
          <w:kern w:val="0"/>
          <w:sz w:val="24"/>
        </w:rPr>
        <w:t>）检测机构：</w:t>
      </w:r>
      <w:r>
        <w:rPr>
          <w:rFonts w:ascii="宋体" w:hAnsi="宋体"/>
          <w:color w:val="auto"/>
          <w:kern w:val="0"/>
          <w:sz w:val="24"/>
          <w:u w:val="single"/>
        </w:rPr>
        <w:t xml:space="preserve">                          /                               </w:t>
      </w:r>
    </w:p>
    <w:p w14:paraId="58206CD6">
      <w:pPr>
        <w:adjustRightInd w:val="0"/>
        <w:spacing w:line="360" w:lineRule="auto"/>
        <w:ind w:firstLine="240" w:firstLineChars="100"/>
        <w:rPr>
          <w:rFonts w:ascii="宋体" w:hAnsi="Calibri" w:cs="宋体"/>
          <w:color w:val="auto"/>
          <w:kern w:val="0"/>
          <w:sz w:val="24"/>
          <w:u w:val="single"/>
        </w:rPr>
      </w:pPr>
      <w:r>
        <w:rPr>
          <w:rFonts w:hint="eastAsia" w:ascii="宋体" w:hAnsi="Calibri" w:cs="宋体"/>
          <w:color w:val="auto"/>
          <w:kern w:val="0"/>
          <w:sz w:val="24"/>
        </w:rPr>
        <w:t>(3)</w:t>
      </w:r>
      <w:r>
        <w:rPr>
          <w:rFonts w:hint="eastAsia" w:ascii="宋体" w:hAnsi="Calibri" w:cs="宋体"/>
          <w:color w:val="auto"/>
          <w:kern w:val="0"/>
          <w:sz w:val="24"/>
          <w:u w:val="single"/>
        </w:rPr>
        <w:t xml:space="preserve"> 发包人安排第三方专业机构对建设内容进行检测，如检测不合格，承包人须无条件整改至合格并没收履约保证金。</w:t>
      </w:r>
    </w:p>
    <w:p w14:paraId="545EBB45">
      <w:pPr>
        <w:spacing w:line="360" w:lineRule="auto"/>
        <w:rPr>
          <w:rFonts w:ascii="宋体"/>
          <w:b/>
          <w:color w:val="auto"/>
          <w:sz w:val="24"/>
        </w:rPr>
      </w:pPr>
      <w:r>
        <w:rPr>
          <w:rFonts w:ascii="宋体" w:hAnsi="宋体"/>
          <w:b/>
          <w:color w:val="auto"/>
          <w:sz w:val="24"/>
        </w:rPr>
        <w:t xml:space="preserve">51. </w:t>
      </w:r>
      <w:r>
        <w:rPr>
          <w:rFonts w:hint="eastAsia" w:ascii="宋体" w:hAnsi="宋体"/>
          <w:b/>
          <w:color w:val="auto"/>
          <w:sz w:val="24"/>
        </w:rPr>
        <w:t>施工设备和临时设施</w:t>
      </w:r>
    </w:p>
    <w:p w14:paraId="47DB0CB2">
      <w:pPr>
        <w:spacing w:line="360" w:lineRule="auto"/>
        <w:rPr>
          <w:rFonts w:ascii="宋体"/>
          <w:color w:val="auto"/>
          <w:sz w:val="24"/>
        </w:rPr>
      </w:pPr>
      <w:r>
        <w:rPr>
          <w:rFonts w:ascii="宋体" w:hAnsi="宋体"/>
          <w:color w:val="auto"/>
          <w:sz w:val="24"/>
        </w:rPr>
        <w:t xml:space="preserve">51.1 </w:t>
      </w:r>
      <w:r>
        <w:rPr>
          <w:rFonts w:hint="eastAsia" w:ascii="宋体" w:hAnsi="宋体"/>
          <w:color w:val="auto"/>
          <w:sz w:val="24"/>
        </w:rPr>
        <w:t>承包人配置施工设备和临时设施</w:t>
      </w:r>
    </w:p>
    <w:p w14:paraId="325D4256">
      <w:pPr>
        <w:spacing w:line="360" w:lineRule="auto"/>
        <w:rPr>
          <w:rFonts w:ascii="宋体"/>
          <w:color w:val="auto"/>
          <w:kern w:val="0"/>
          <w:sz w:val="24"/>
        </w:rPr>
      </w:pPr>
      <w:r>
        <w:rPr>
          <w:rFonts w:hint="eastAsia" w:ascii="宋体" w:hAnsi="宋体"/>
          <w:color w:val="auto"/>
          <w:sz w:val="24"/>
        </w:rPr>
        <w:t>■</w:t>
      </w:r>
      <w:r>
        <w:rPr>
          <w:rFonts w:hint="eastAsia" w:ascii="宋体" w:hAnsi="宋体"/>
          <w:color w:val="auto"/>
          <w:kern w:val="0"/>
          <w:sz w:val="24"/>
        </w:rPr>
        <w:t>按通用条款规定，承包人承担修建临时设施的费用。</w:t>
      </w:r>
    </w:p>
    <w:p w14:paraId="18E2DEC9">
      <w:pPr>
        <w:spacing w:line="360" w:lineRule="auto"/>
        <w:rPr>
          <w:rFonts w:ascii="宋体"/>
          <w:color w:val="auto"/>
          <w:kern w:val="0"/>
          <w:sz w:val="24"/>
        </w:rPr>
      </w:pPr>
      <w:r>
        <w:rPr>
          <w:rFonts w:hint="eastAsia" w:ascii="宋体"/>
          <w:color w:val="auto"/>
          <w:kern w:val="0"/>
          <w:sz w:val="24"/>
        </w:rPr>
        <w:t>□</w:t>
      </w:r>
      <w:r>
        <w:rPr>
          <w:rFonts w:hint="eastAsia" w:ascii="宋体" w:hAnsi="宋体"/>
          <w:color w:val="auto"/>
          <w:kern w:val="0"/>
          <w:sz w:val="24"/>
        </w:rPr>
        <w:t>另作约定：</w:t>
      </w:r>
      <w:r>
        <w:rPr>
          <w:rFonts w:ascii="宋体" w:hAnsi="宋体"/>
          <w:color w:val="auto"/>
          <w:sz w:val="24"/>
          <w:u w:val="single"/>
        </w:rPr>
        <w:t xml:space="preserve">                  /                    </w:t>
      </w:r>
    </w:p>
    <w:p w14:paraId="2D46A562">
      <w:pPr>
        <w:spacing w:line="360" w:lineRule="auto"/>
        <w:rPr>
          <w:rFonts w:ascii="宋体"/>
          <w:color w:val="auto"/>
          <w:kern w:val="0"/>
          <w:sz w:val="24"/>
        </w:rPr>
      </w:pPr>
      <w:r>
        <w:rPr>
          <w:rFonts w:ascii="宋体" w:hAnsi="宋体"/>
          <w:color w:val="auto"/>
          <w:kern w:val="0"/>
          <w:sz w:val="24"/>
        </w:rPr>
        <w:t xml:space="preserve">51.2 </w:t>
      </w:r>
      <w:r>
        <w:rPr>
          <w:rFonts w:hint="eastAsia" w:ascii="宋体" w:hAnsi="宋体"/>
          <w:color w:val="auto"/>
          <w:kern w:val="0"/>
          <w:sz w:val="24"/>
        </w:rPr>
        <w:t>发包人提供的施工设备和临时设施：</w:t>
      </w:r>
      <w:r>
        <w:rPr>
          <w:rFonts w:hint="eastAsia" w:ascii="宋体" w:hAnsi="宋体"/>
          <w:color w:val="auto"/>
          <w:kern w:val="0"/>
          <w:sz w:val="24"/>
          <w:u w:val="single"/>
        </w:rPr>
        <w:t>无</w:t>
      </w:r>
    </w:p>
    <w:p w14:paraId="1089E38B">
      <w:pPr>
        <w:spacing w:line="360" w:lineRule="auto"/>
        <w:rPr>
          <w:rFonts w:ascii="宋体"/>
          <w:b/>
          <w:color w:val="auto"/>
          <w:kern w:val="0"/>
          <w:sz w:val="24"/>
        </w:rPr>
      </w:pPr>
      <w:r>
        <w:rPr>
          <w:rFonts w:ascii="宋体" w:hAnsi="宋体"/>
          <w:b/>
          <w:color w:val="auto"/>
          <w:kern w:val="0"/>
          <w:sz w:val="24"/>
        </w:rPr>
        <w:t xml:space="preserve">53. </w:t>
      </w:r>
      <w:r>
        <w:rPr>
          <w:rFonts w:hint="eastAsia" w:ascii="宋体" w:hAnsi="宋体"/>
          <w:b/>
          <w:color w:val="auto"/>
          <w:kern w:val="0"/>
          <w:sz w:val="24"/>
        </w:rPr>
        <w:t>隐蔽工程和中间验收</w:t>
      </w:r>
    </w:p>
    <w:p w14:paraId="7B8656AE">
      <w:pPr>
        <w:spacing w:line="360" w:lineRule="auto"/>
        <w:rPr>
          <w:rFonts w:ascii="宋体"/>
          <w:color w:val="auto"/>
          <w:kern w:val="0"/>
          <w:sz w:val="24"/>
        </w:rPr>
      </w:pPr>
      <w:r>
        <w:rPr>
          <w:rFonts w:ascii="宋体" w:hAnsi="宋体"/>
          <w:color w:val="auto"/>
          <w:kern w:val="0"/>
          <w:sz w:val="24"/>
        </w:rPr>
        <w:t xml:space="preserve">53.1 </w:t>
      </w:r>
      <w:r>
        <w:rPr>
          <w:rFonts w:hint="eastAsia" w:ascii="宋体" w:hAnsi="宋体"/>
          <w:color w:val="auto"/>
          <w:kern w:val="0"/>
          <w:sz w:val="24"/>
        </w:rPr>
        <w:t>中间验收的部位有：</w:t>
      </w:r>
      <w:r>
        <w:rPr>
          <w:rFonts w:ascii="宋体" w:hAnsi="宋体"/>
          <w:color w:val="auto"/>
          <w:kern w:val="0"/>
          <w:sz w:val="24"/>
          <w:u w:val="single"/>
        </w:rPr>
        <w:t xml:space="preserve">                          /                        </w:t>
      </w:r>
    </w:p>
    <w:p w14:paraId="4AB43336">
      <w:pPr>
        <w:spacing w:line="360" w:lineRule="auto"/>
        <w:rPr>
          <w:rFonts w:ascii="宋体"/>
          <w:color w:val="auto"/>
          <w:kern w:val="0"/>
          <w:sz w:val="24"/>
        </w:rPr>
      </w:pPr>
    </w:p>
    <w:p w14:paraId="7975B8BE">
      <w:pPr>
        <w:spacing w:line="360" w:lineRule="auto"/>
        <w:rPr>
          <w:rFonts w:ascii="宋体"/>
          <w:b/>
          <w:color w:val="auto"/>
          <w:kern w:val="0"/>
          <w:sz w:val="24"/>
        </w:rPr>
      </w:pPr>
      <w:r>
        <w:rPr>
          <w:rFonts w:ascii="宋体" w:hAnsi="宋体"/>
          <w:b/>
          <w:color w:val="auto"/>
          <w:kern w:val="0"/>
          <w:sz w:val="24"/>
        </w:rPr>
        <w:t xml:space="preserve">55. </w:t>
      </w:r>
      <w:r>
        <w:rPr>
          <w:rFonts w:hint="eastAsia" w:ascii="宋体" w:hAnsi="宋体"/>
          <w:b/>
          <w:color w:val="auto"/>
          <w:kern w:val="0"/>
          <w:sz w:val="24"/>
        </w:rPr>
        <w:t>工程试车</w:t>
      </w:r>
    </w:p>
    <w:p w14:paraId="6DD1EC76">
      <w:pPr>
        <w:spacing w:line="360" w:lineRule="auto"/>
        <w:ind w:firstLine="120" w:firstLineChars="50"/>
        <w:rPr>
          <w:rFonts w:ascii="宋体"/>
          <w:color w:val="auto"/>
          <w:kern w:val="0"/>
          <w:sz w:val="24"/>
        </w:rPr>
      </w:pPr>
    </w:p>
    <w:p w14:paraId="7463560C">
      <w:pPr>
        <w:spacing w:line="360" w:lineRule="auto"/>
        <w:rPr>
          <w:rFonts w:ascii="宋体"/>
          <w:color w:val="auto"/>
          <w:kern w:val="0"/>
          <w:sz w:val="24"/>
        </w:rPr>
      </w:pPr>
      <w:r>
        <w:rPr>
          <w:rFonts w:ascii="宋体" w:hAnsi="宋体"/>
          <w:color w:val="auto"/>
          <w:kern w:val="0"/>
          <w:sz w:val="24"/>
        </w:rPr>
        <w:t xml:space="preserve">55.1 </w:t>
      </w:r>
      <w:r>
        <w:rPr>
          <w:rFonts w:hint="eastAsia" w:ascii="宋体" w:hAnsi="宋体"/>
          <w:color w:val="auto"/>
          <w:kern w:val="0"/>
          <w:sz w:val="24"/>
        </w:rPr>
        <w:t>试车内容</w:t>
      </w:r>
    </w:p>
    <w:p w14:paraId="4DE5755A">
      <w:pPr>
        <w:spacing w:line="360" w:lineRule="auto"/>
        <w:rPr>
          <w:rFonts w:ascii="宋体"/>
          <w:color w:val="auto"/>
          <w:kern w:val="0"/>
          <w:sz w:val="24"/>
        </w:rPr>
      </w:pPr>
      <w:r>
        <w:rPr>
          <w:rFonts w:hint="eastAsia" w:ascii="宋体" w:hAnsi="宋体"/>
          <w:color w:val="auto"/>
          <w:kern w:val="0"/>
          <w:sz w:val="24"/>
        </w:rPr>
        <w:t>■不需要试车的，本条不适用。</w:t>
      </w:r>
    </w:p>
    <w:p w14:paraId="005ECC76">
      <w:pPr>
        <w:spacing w:line="360" w:lineRule="auto"/>
        <w:rPr>
          <w:rFonts w:ascii="宋体"/>
          <w:color w:val="auto"/>
          <w:kern w:val="0"/>
          <w:sz w:val="24"/>
          <w:u w:val="single"/>
        </w:rPr>
      </w:pPr>
      <w:r>
        <w:rPr>
          <w:rFonts w:hint="eastAsia" w:ascii="宋体"/>
          <w:color w:val="auto"/>
          <w:kern w:val="0"/>
          <w:sz w:val="24"/>
        </w:rPr>
        <w:t>□</w:t>
      </w:r>
      <w:r>
        <w:rPr>
          <w:rFonts w:hint="eastAsia" w:ascii="宋体" w:hAnsi="宋体"/>
          <w:color w:val="auto"/>
          <w:kern w:val="0"/>
          <w:sz w:val="24"/>
        </w:rPr>
        <w:t>需要试车的，试车的内容和要求：</w:t>
      </w:r>
      <w:r>
        <w:rPr>
          <w:rFonts w:ascii="宋体" w:hAnsi="宋体"/>
          <w:color w:val="auto"/>
          <w:kern w:val="0"/>
          <w:sz w:val="24"/>
          <w:u w:val="single"/>
        </w:rPr>
        <w:t xml:space="preserve">                   /                    </w:t>
      </w:r>
    </w:p>
    <w:p w14:paraId="16AE84B0">
      <w:pPr>
        <w:spacing w:line="360" w:lineRule="auto"/>
        <w:rPr>
          <w:rFonts w:ascii="宋体"/>
          <w:color w:val="auto"/>
          <w:kern w:val="0"/>
          <w:sz w:val="24"/>
        </w:rPr>
      </w:pPr>
    </w:p>
    <w:p w14:paraId="40C95C6B">
      <w:pPr>
        <w:spacing w:line="360" w:lineRule="auto"/>
        <w:rPr>
          <w:rFonts w:ascii="宋体"/>
          <w:b/>
          <w:color w:val="auto"/>
          <w:kern w:val="0"/>
          <w:sz w:val="24"/>
        </w:rPr>
      </w:pPr>
      <w:r>
        <w:rPr>
          <w:rFonts w:ascii="宋体" w:hAnsi="宋体"/>
          <w:b/>
          <w:color w:val="auto"/>
          <w:kern w:val="0"/>
          <w:sz w:val="24"/>
        </w:rPr>
        <w:t>56</w:t>
      </w:r>
      <w:r>
        <w:rPr>
          <w:rFonts w:hint="eastAsia" w:ascii="宋体" w:hAnsi="宋体"/>
          <w:b/>
          <w:color w:val="auto"/>
          <w:kern w:val="0"/>
          <w:sz w:val="24"/>
        </w:rPr>
        <w:t>．工程变更</w:t>
      </w:r>
    </w:p>
    <w:p w14:paraId="6AE2DB10">
      <w:pPr>
        <w:spacing w:line="360" w:lineRule="auto"/>
        <w:ind w:firstLine="120" w:firstLineChars="50"/>
        <w:rPr>
          <w:rFonts w:ascii="宋体"/>
          <w:color w:val="auto"/>
          <w:kern w:val="0"/>
          <w:sz w:val="24"/>
        </w:rPr>
      </w:pPr>
    </w:p>
    <w:p w14:paraId="415ED5CA">
      <w:pPr>
        <w:spacing w:line="360" w:lineRule="auto"/>
        <w:rPr>
          <w:rFonts w:ascii="宋体"/>
          <w:color w:val="auto"/>
          <w:kern w:val="0"/>
          <w:sz w:val="24"/>
        </w:rPr>
      </w:pPr>
      <w:r>
        <w:rPr>
          <w:rFonts w:ascii="宋体" w:hAnsi="宋体"/>
          <w:color w:val="auto"/>
          <w:kern w:val="0"/>
          <w:sz w:val="24"/>
        </w:rPr>
        <w:t xml:space="preserve">56.4 </w:t>
      </w:r>
      <w:r>
        <w:rPr>
          <w:rFonts w:hint="eastAsia" w:ascii="宋体" w:hAnsi="宋体"/>
          <w:color w:val="auto"/>
          <w:kern w:val="0"/>
          <w:sz w:val="24"/>
        </w:rPr>
        <w:t>承包人提出工程变更建议</w:t>
      </w:r>
    </w:p>
    <w:p w14:paraId="68542577">
      <w:pPr>
        <w:spacing w:line="360" w:lineRule="auto"/>
        <w:ind w:firstLine="120" w:firstLineChars="50"/>
        <w:rPr>
          <w:rFonts w:ascii="宋体"/>
          <w:color w:val="auto"/>
          <w:kern w:val="0"/>
          <w:sz w:val="24"/>
          <w:u w:val="single"/>
        </w:rPr>
      </w:pPr>
      <w:r>
        <w:rPr>
          <w:rFonts w:hint="eastAsia" w:ascii="宋体" w:hAnsi="宋体"/>
          <w:color w:val="auto"/>
          <w:kern w:val="0"/>
          <w:sz w:val="24"/>
        </w:rPr>
        <w:t>发包人采纳承包人建议带来利益的计奖方法：</w:t>
      </w:r>
      <w:r>
        <w:rPr>
          <w:rFonts w:ascii="宋体" w:hAnsi="宋体"/>
          <w:color w:val="auto"/>
          <w:kern w:val="0"/>
          <w:sz w:val="24"/>
          <w:u w:val="single"/>
        </w:rPr>
        <w:t xml:space="preserve">             /                  </w:t>
      </w:r>
    </w:p>
    <w:p w14:paraId="66D0A9C4">
      <w:pPr>
        <w:spacing w:line="360" w:lineRule="auto"/>
        <w:rPr>
          <w:rFonts w:ascii="宋体"/>
          <w:color w:val="auto"/>
          <w:kern w:val="0"/>
          <w:sz w:val="24"/>
        </w:rPr>
      </w:pPr>
    </w:p>
    <w:p w14:paraId="4E175943">
      <w:pPr>
        <w:spacing w:line="360" w:lineRule="auto"/>
        <w:rPr>
          <w:rFonts w:ascii="宋体"/>
          <w:b/>
          <w:color w:val="auto"/>
          <w:kern w:val="0"/>
          <w:sz w:val="24"/>
        </w:rPr>
      </w:pPr>
      <w:r>
        <w:rPr>
          <w:rFonts w:ascii="宋体" w:hAnsi="宋体"/>
          <w:b/>
          <w:color w:val="auto"/>
          <w:kern w:val="0"/>
          <w:sz w:val="24"/>
        </w:rPr>
        <w:t xml:space="preserve">58. </w:t>
      </w:r>
      <w:r>
        <w:rPr>
          <w:rFonts w:hint="eastAsia" w:ascii="宋体" w:hAnsi="宋体"/>
          <w:b/>
          <w:color w:val="auto"/>
          <w:kern w:val="0"/>
          <w:sz w:val="24"/>
        </w:rPr>
        <w:t>竣工验收</w:t>
      </w:r>
    </w:p>
    <w:p w14:paraId="2F1AB78F">
      <w:pPr>
        <w:spacing w:line="360" w:lineRule="auto"/>
        <w:ind w:firstLine="120" w:firstLineChars="50"/>
        <w:rPr>
          <w:rFonts w:ascii="宋体"/>
          <w:color w:val="auto"/>
          <w:kern w:val="0"/>
          <w:sz w:val="24"/>
        </w:rPr>
      </w:pPr>
    </w:p>
    <w:p w14:paraId="7388A335">
      <w:pPr>
        <w:spacing w:line="360" w:lineRule="auto"/>
        <w:rPr>
          <w:rFonts w:ascii="宋体"/>
          <w:color w:val="auto"/>
          <w:kern w:val="0"/>
          <w:sz w:val="24"/>
        </w:rPr>
      </w:pPr>
      <w:r>
        <w:rPr>
          <w:rFonts w:ascii="宋体" w:hAnsi="宋体"/>
          <w:color w:val="auto"/>
          <w:kern w:val="0"/>
          <w:sz w:val="24"/>
        </w:rPr>
        <w:t xml:space="preserve">58.1 </w:t>
      </w:r>
      <w:r>
        <w:rPr>
          <w:rFonts w:hint="eastAsia" w:ascii="宋体" w:hAnsi="宋体"/>
          <w:color w:val="auto"/>
          <w:kern w:val="0"/>
          <w:sz w:val="24"/>
        </w:rPr>
        <w:t>竣工验收标准</w:t>
      </w:r>
    </w:p>
    <w:p w14:paraId="4D21E776">
      <w:pPr>
        <w:spacing w:line="360" w:lineRule="auto"/>
        <w:ind w:firstLine="120" w:firstLineChars="50"/>
        <w:rPr>
          <w:rFonts w:ascii="宋体"/>
          <w:color w:val="auto"/>
          <w:kern w:val="0"/>
          <w:sz w:val="24"/>
        </w:rPr>
      </w:pPr>
      <w:r>
        <w:rPr>
          <w:rFonts w:hint="eastAsia" w:ascii="宋体" w:hAnsi="宋体"/>
          <w:color w:val="auto"/>
          <w:kern w:val="0"/>
          <w:sz w:val="24"/>
        </w:rPr>
        <w:t>合同工程竣工验收标准：</w:t>
      </w:r>
      <w:r>
        <w:rPr>
          <w:rFonts w:hint="eastAsia" w:ascii="宋体" w:hAnsi="宋体"/>
          <w:color w:val="auto"/>
          <w:kern w:val="0"/>
          <w:sz w:val="24"/>
          <w:u w:val="single"/>
        </w:rPr>
        <w:t>符合国家施工验收规范及供电局验收规范达合格标准。</w:t>
      </w:r>
    </w:p>
    <w:p w14:paraId="006962B4">
      <w:pPr>
        <w:spacing w:line="360" w:lineRule="auto"/>
        <w:rPr>
          <w:rFonts w:ascii="宋体"/>
          <w:color w:val="auto"/>
          <w:kern w:val="0"/>
          <w:sz w:val="24"/>
        </w:rPr>
      </w:pPr>
      <w:r>
        <w:rPr>
          <w:rFonts w:ascii="宋体" w:hAnsi="宋体"/>
          <w:color w:val="auto"/>
          <w:kern w:val="0"/>
          <w:sz w:val="24"/>
        </w:rPr>
        <w:t xml:space="preserve">58.8 </w:t>
      </w:r>
      <w:r>
        <w:rPr>
          <w:rFonts w:hint="eastAsia" w:ascii="宋体" w:hAnsi="宋体"/>
          <w:color w:val="auto"/>
          <w:kern w:val="0"/>
          <w:sz w:val="24"/>
        </w:rPr>
        <w:t>单位工程和工程部位验收</w:t>
      </w:r>
    </w:p>
    <w:p w14:paraId="04CA0254">
      <w:pPr>
        <w:spacing w:line="360" w:lineRule="auto"/>
        <w:rPr>
          <w:rFonts w:ascii="宋体"/>
          <w:color w:val="auto"/>
          <w:kern w:val="0"/>
          <w:sz w:val="24"/>
        </w:rPr>
      </w:pPr>
      <w:r>
        <w:rPr>
          <w:rFonts w:hint="eastAsia" w:ascii="宋体"/>
          <w:color w:val="auto"/>
          <w:kern w:val="0"/>
          <w:sz w:val="24"/>
        </w:rPr>
        <w:t>□</w:t>
      </w:r>
      <w:r>
        <w:rPr>
          <w:rFonts w:hint="eastAsia" w:ascii="宋体" w:hAnsi="宋体"/>
          <w:color w:val="auto"/>
          <w:kern w:val="0"/>
          <w:sz w:val="24"/>
        </w:rPr>
        <w:t>合同工程无单位工程、无工程部位提前验收的，本款不适用。</w:t>
      </w:r>
    </w:p>
    <w:p w14:paraId="27658573">
      <w:pPr>
        <w:spacing w:line="360" w:lineRule="auto"/>
        <w:rPr>
          <w:rFonts w:ascii="宋体"/>
          <w:color w:val="auto"/>
          <w:kern w:val="0"/>
          <w:sz w:val="24"/>
        </w:rPr>
      </w:pPr>
      <w:r>
        <w:rPr>
          <w:rFonts w:hint="eastAsia" w:ascii="宋体" w:hAnsi="宋体"/>
          <w:color w:val="auto"/>
          <w:kern w:val="0"/>
          <w:sz w:val="24"/>
        </w:rPr>
        <w:t>■合同工程单位工程或工程部位需提前验收的，各单位工程或工程部位的名称、竣工验收时间和范围如下：</w:t>
      </w:r>
    </w:p>
    <w:p w14:paraId="76DB5FC0">
      <w:pPr>
        <w:spacing w:line="360" w:lineRule="auto"/>
        <w:ind w:left="240" w:leftChars="57" w:hanging="120" w:hangingChars="50"/>
        <w:rPr>
          <w:rFonts w:ascii="宋体"/>
          <w:color w:val="auto"/>
          <w:kern w:val="0"/>
          <w:sz w:val="24"/>
          <w:u w:val="single"/>
        </w:rPr>
      </w:pPr>
      <w:r>
        <w:rPr>
          <w:rFonts w:hint="eastAsia" w:ascii="宋体" w:hAnsi="宋体"/>
          <w:color w:val="auto"/>
          <w:kern w:val="0"/>
          <w:sz w:val="24"/>
        </w:rPr>
        <w:t>（</w:t>
      </w:r>
      <w:r>
        <w:rPr>
          <w:rFonts w:ascii="宋体" w:hAnsi="宋体"/>
          <w:color w:val="auto"/>
          <w:kern w:val="0"/>
          <w:sz w:val="24"/>
        </w:rPr>
        <w:t>1</w:t>
      </w:r>
      <w:r>
        <w:rPr>
          <w:rFonts w:hint="eastAsia" w:ascii="宋体" w:hAnsi="宋体"/>
          <w:color w:val="auto"/>
          <w:kern w:val="0"/>
          <w:sz w:val="24"/>
        </w:rPr>
        <w:t>）</w:t>
      </w:r>
      <w:r>
        <w:rPr>
          <w:rFonts w:hint="eastAsia" w:ascii="宋体" w:hAnsi="宋体"/>
          <w:color w:val="auto"/>
          <w:kern w:val="0"/>
          <w:sz w:val="24"/>
          <w:lang w:val="en-US" w:eastAsia="zh-CN"/>
        </w:rPr>
        <w:t xml:space="preserve">           </w:t>
      </w:r>
      <w:r>
        <w:rPr>
          <w:rFonts w:hint="eastAsia" w:ascii="宋体" w:hAnsi="宋体"/>
          <w:color w:val="auto"/>
          <w:kern w:val="0"/>
          <w:sz w:val="24"/>
        </w:rPr>
        <w:t>工程或部位，竣工验收时间为</w:t>
      </w:r>
      <w:r>
        <w:rPr>
          <w:rFonts w:hint="eastAsia" w:ascii="宋体" w:hAnsi="宋体"/>
          <w:color w:val="auto"/>
          <w:kern w:val="0"/>
          <w:sz w:val="24"/>
          <w:u w:val="single"/>
        </w:rPr>
        <w:t xml:space="preserve"> </w:t>
      </w:r>
      <w:r>
        <w:rPr>
          <w:rFonts w:ascii="宋体" w:hAnsi="宋体"/>
          <w:color w:val="auto"/>
          <w:kern w:val="0"/>
          <w:sz w:val="24"/>
          <w:u w:val="single"/>
        </w:rPr>
        <w:t xml:space="preserve"> </w:t>
      </w:r>
      <w:r>
        <w:rPr>
          <w:rFonts w:hint="eastAsia" w:ascii="宋体" w:hAnsi="宋体"/>
          <w:color w:val="auto"/>
          <w:kern w:val="0"/>
          <w:sz w:val="24"/>
          <w:u w:val="single"/>
        </w:rPr>
        <w:t xml:space="preserve"> </w:t>
      </w:r>
      <w:r>
        <w:rPr>
          <w:rFonts w:ascii="宋体" w:hAnsi="宋体"/>
          <w:color w:val="auto"/>
          <w:kern w:val="0"/>
          <w:sz w:val="24"/>
          <w:u w:val="single"/>
        </w:rPr>
        <w:t xml:space="preserve"> </w:t>
      </w:r>
      <w:r>
        <w:rPr>
          <w:rFonts w:hint="eastAsia" w:ascii="宋体" w:hAnsi="宋体"/>
          <w:color w:val="auto"/>
          <w:kern w:val="0"/>
          <w:sz w:val="24"/>
          <w:u w:val="single"/>
        </w:rPr>
        <w:t>年   月</w:t>
      </w:r>
      <w:r>
        <w:rPr>
          <w:rFonts w:hint="eastAsia" w:ascii="宋体" w:hAnsi="宋体"/>
          <w:color w:val="auto"/>
          <w:kern w:val="0"/>
          <w:sz w:val="24"/>
        </w:rPr>
        <w:t>，其范围包括：</w:t>
      </w:r>
      <w:r>
        <w:rPr>
          <w:rFonts w:hint="eastAsia" w:ascii="宋体" w:hAnsi="宋体"/>
          <w:color w:val="auto"/>
          <w:kern w:val="0"/>
          <w:sz w:val="24"/>
          <w:u w:val="single"/>
        </w:rPr>
        <w:t>详见本合同第一部分协议书工程内容。</w:t>
      </w:r>
    </w:p>
    <w:p w14:paraId="1C8AACC0">
      <w:pPr>
        <w:spacing w:line="360" w:lineRule="auto"/>
        <w:rPr>
          <w:rFonts w:ascii="宋体"/>
          <w:color w:val="auto"/>
          <w:kern w:val="0"/>
          <w:sz w:val="24"/>
        </w:rPr>
      </w:pPr>
      <w:r>
        <w:rPr>
          <w:rFonts w:hint="eastAsia" w:ascii="宋体" w:hAnsi="宋体"/>
          <w:color w:val="auto"/>
          <w:kern w:val="0"/>
          <w:sz w:val="24"/>
        </w:rPr>
        <w:t>（</w:t>
      </w:r>
      <w:r>
        <w:rPr>
          <w:rFonts w:ascii="宋体" w:hAnsi="宋体"/>
          <w:color w:val="auto"/>
          <w:kern w:val="0"/>
          <w:sz w:val="24"/>
        </w:rPr>
        <w:t>2</w:t>
      </w:r>
      <w:r>
        <w:rPr>
          <w:rFonts w:hint="eastAsia" w:ascii="宋体" w:hAnsi="宋体"/>
          <w:color w:val="auto"/>
          <w:kern w:val="0"/>
          <w:sz w:val="24"/>
        </w:rPr>
        <w:t>）</w:t>
      </w:r>
      <w:r>
        <w:rPr>
          <w:rFonts w:hint="eastAsia" w:ascii="宋体" w:hAnsi="宋体"/>
          <w:color w:val="auto"/>
          <w:sz w:val="24"/>
          <w:u w:val="single"/>
          <w:lang w:val="en-US" w:eastAsia="zh-CN"/>
        </w:rPr>
        <w:t xml:space="preserve">            </w:t>
      </w:r>
      <w:r>
        <w:rPr>
          <w:rFonts w:hint="eastAsia" w:ascii="宋体" w:hAnsi="宋体"/>
          <w:color w:val="auto"/>
          <w:kern w:val="0"/>
          <w:sz w:val="24"/>
        </w:rPr>
        <w:t>工程或部位，竣工验收时间为</w:t>
      </w:r>
      <w:r>
        <w:rPr>
          <w:rFonts w:hint="eastAsia" w:ascii="宋体" w:hAnsi="宋体"/>
          <w:color w:val="auto"/>
          <w:kern w:val="0"/>
          <w:sz w:val="24"/>
          <w:u w:val="single"/>
        </w:rPr>
        <w:t xml:space="preserve">  </w:t>
      </w:r>
      <w:r>
        <w:rPr>
          <w:rFonts w:ascii="宋体" w:hAnsi="宋体"/>
          <w:color w:val="auto"/>
          <w:kern w:val="0"/>
          <w:sz w:val="24"/>
          <w:u w:val="single"/>
        </w:rPr>
        <w:t xml:space="preserve">   </w:t>
      </w:r>
      <w:r>
        <w:rPr>
          <w:rFonts w:hint="eastAsia" w:ascii="宋体" w:hAnsi="宋体"/>
          <w:color w:val="auto"/>
          <w:kern w:val="0"/>
          <w:sz w:val="24"/>
          <w:u w:val="single"/>
        </w:rPr>
        <w:t xml:space="preserve">年 </w:t>
      </w:r>
      <w:r>
        <w:rPr>
          <w:rFonts w:ascii="宋体" w:hAnsi="宋体"/>
          <w:color w:val="auto"/>
          <w:kern w:val="0"/>
          <w:sz w:val="24"/>
          <w:u w:val="single"/>
        </w:rPr>
        <w:t xml:space="preserve">   </w:t>
      </w:r>
      <w:r>
        <w:rPr>
          <w:rFonts w:hint="eastAsia" w:ascii="宋体" w:hAnsi="宋体"/>
          <w:color w:val="auto"/>
          <w:kern w:val="0"/>
          <w:sz w:val="24"/>
          <w:u w:val="single"/>
        </w:rPr>
        <w:t xml:space="preserve"> 月</w:t>
      </w:r>
      <w:r>
        <w:rPr>
          <w:rFonts w:hint="eastAsia" w:ascii="宋体" w:hAnsi="宋体"/>
          <w:color w:val="auto"/>
          <w:kern w:val="0"/>
          <w:sz w:val="24"/>
        </w:rPr>
        <w:t>，其范围包括：</w:t>
      </w:r>
      <w:r>
        <w:rPr>
          <w:rFonts w:hint="eastAsia" w:ascii="宋体" w:hAnsi="宋体"/>
          <w:color w:val="auto"/>
          <w:kern w:val="0"/>
          <w:sz w:val="24"/>
          <w:u w:val="single"/>
        </w:rPr>
        <w:t>详见本合同第一部分协议书工程内容。</w:t>
      </w:r>
    </w:p>
    <w:p w14:paraId="1489A5C6">
      <w:pPr>
        <w:spacing w:line="360" w:lineRule="auto"/>
        <w:rPr>
          <w:rFonts w:ascii="宋体"/>
          <w:color w:val="auto"/>
          <w:kern w:val="0"/>
          <w:sz w:val="24"/>
        </w:rPr>
      </w:pPr>
    </w:p>
    <w:p w14:paraId="324611F4">
      <w:pPr>
        <w:spacing w:line="360" w:lineRule="auto"/>
        <w:rPr>
          <w:rFonts w:ascii="宋体"/>
          <w:color w:val="auto"/>
          <w:kern w:val="0"/>
          <w:sz w:val="24"/>
        </w:rPr>
      </w:pPr>
      <w:r>
        <w:rPr>
          <w:rFonts w:ascii="宋体" w:hAnsi="宋体"/>
          <w:color w:val="auto"/>
          <w:kern w:val="0"/>
          <w:sz w:val="24"/>
        </w:rPr>
        <w:t xml:space="preserve">58.9 </w:t>
      </w:r>
      <w:r>
        <w:rPr>
          <w:rFonts w:hint="eastAsia" w:ascii="宋体" w:hAnsi="宋体"/>
          <w:color w:val="auto"/>
          <w:kern w:val="0"/>
          <w:sz w:val="24"/>
        </w:rPr>
        <w:t>施工期运行</w:t>
      </w:r>
    </w:p>
    <w:p w14:paraId="7148EF18">
      <w:pPr>
        <w:spacing w:line="360" w:lineRule="auto"/>
        <w:rPr>
          <w:rFonts w:ascii="宋体"/>
          <w:color w:val="auto"/>
          <w:kern w:val="0"/>
          <w:sz w:val="24"/>
        </w:rPr>
      </w:pPr>
      <w:r>
        <w:rPr>
          <w:rFonts w:hint="eastAsia" w:ascii="宋体" w:hAnsi="宋体"/>
          <w:color w:val="auto"/>
          <w:kern w:val="0"/>
          <w:sz w:val="24"/>
        </w:rPr>
        <w:t>■合同工程无单位工程、无工程部位在施工期运行的，本款不适用。</w:t>
      </w:r>
    </w:p>
    <w:p w14:paraId="1131C6C4">
      <w:pPr>
        <w:spacing w:line="360" w:lineRule="auto"/>
        <w:rPr>
          <w:rFonts w:ascii="宋体"/>
          <w:color w:val="auto"/>
          <w:kern w:val="0"/>
          <w:sz w:val="24"/>
        </w:rPr>
      </w:pPr>
      <w:r>
        <w:rPr>
          <w:rFonts w:hint="eastAsia" w:ascii="宋体"/>
          <w:color w:val="auto"/>
          <w:kern w:val="0"/>
          <w:sz w:val="24"/>
        </w:rPr>
        <w:t>□</w:t>
      </w:r>
      <w:r>
        <w:rPr>
          <w:rFonts w:hint="eastAsia" w:ascii="宋体" w:hAnsi="宋体"/>
          <w:color w:val="auto"/>
          <w:kern w:val="0"/>
          <w:sz w:val="24"/>
        </w:rPr>
        <w:t>合同工程单位工程或工程部位需在施工期运行的，各单位工程或工程部位的名称、运行时间如下：</w:t>
      </w:r>
    </w:p>
    <w:p w14:paraId="11EEB59C">
      <w:pPr>
        <w:spacing w:line="360" w:lineRule="auto"/>
        <w:ind w:right="-359" w:rightChars="-171"/>
        <w:rPr>
          <w:rFonts w:ascii="宋体"/>
          <w:color w:val="auto"/>
          <w:kern w:val="0"/>
          <w:sz w:val="24"/>
        </w:rPr>
      </w:pPr>
      <w:r>
        <w:rPr>
          <w:rFonts w:hint="eastAsia" w:ascii="宋体" w:hAnsi="宋体"/>
          <w:color w:val="auto"/>
          <w:kern w:val="0"/>
          <w:sz w:val="24"/>
        </w:rPr>
        <w:t>（</w:t>
      </w:r>
      <w:r>
        <w:rPr>
          <w:rFonts w:ascii="宋体" w:hAnsi="宋体"/>
          <w:color w:val="auto"/>
          <w:kern w:val="0"/>
          <w:sz w:val="24"/>
        </w:rPr>
        <w:t>1</w:t>
      </w:r>
      <w:r>
        <w:rPr>
          <w:rFonts w:hint="eastAsia" w:ascii="宋体" w:hAnsi="宋体"/>
          <w:color w:val="auto"/>
          <w:kern w:val="0"/>
          <w:sz w:val="24"/>
        </w:rPr>
        <w:t>）</w:t>
      </w:r>
      <w:r>
        <w:rPr>
          <w:rFonts w:ascii="宋体" w:hAnsi="宋体"/>
          <w:color w:val="auto"/>
          <w:kern w:val="0"/>
          <w:sz w:val="24"/>
          <w:u w:val="single"/>
        </w:rPr>
        <w:t xml:space="preserve">         /         </w:t>
      </w:r>
      <w:r>
        <w:rPr>
          <w:rFonts w:hint="eastAsia" w:ascii="宋体" w:hAnsi="宋体"/>
          <w:color w:val="auto"/>
          <w:kern w:val="0"/>
          <w:sz w:val="24"/>
        </w:rPr>
        <w:t>（名称）工程或部位，运行时间为</w:t>
      </w:r>
      <w:r>
        <w:rPr>
          <w:rFonts w:ascii="宋体" w:hAnsi="宋体"/>
          <w:color w:val="auto"/>
          <w:kern w:val="0"/>
          <w:sz w:val="24"/>
          <w:u w:val="single"/>
        </w:rPr>
        <w:t xml:space="preserve">          /            </w:t>
      </w:r>
      <w:r>
        <w:rPr>
          <w:rFonts w:hint="eastAsia" w:ascii="宋体" w:hAnsi="宋体"/>
          <w:color w:val="auto"/>
          <w:kern w:val="0"/>
          <w:sz w:val="24"/>
        </w:rPr>
        <w:t>；</w:t>
      </w:r>
    </w:p>
    <w:p w14:paraId="6BC5D6CD">
      <w:pPr>
        <w:spacing w:line="360" w:lineRule="auto"/>
        <w:rPr>
          <w:rFonts w:ascii="宋体"/>
          <w:color w:val="auto"/>
          <w:kern w:val="0"/>
          <w:sz w:val="24"/>
        </w:rPr>
      </w:pPr>
      <w:r>
        <w:rPr>
          <w:rFonts w:hint="eastAsia" w:ascii="宋体" w:hAnsi="宋体"/>
          <w:color w:val="auto"/>
          <w:kern w:val="0"/>
          <w:sz w:val="24"/>
        </w:rPr>
        <w:t>（</w:t>
      </w:r>
      <w:r>
        <w:rPr>
          <w:rFonts w:ascii="宋体" w:hAnsi="宋体"/>
          <w:color w:val="auto"/>
          <w:kern w:val="0"/>
          <w:sz w:val="24"/>
        </w:rPr>
        <w:t>2</w:t>
      </w:r>
      <w:r>
        <w:rPr>
          <w:rFonts w:hint="eastAsia" w:ascii="宋体" w:hAnsi="宋体"/>
          <w:color w:val="auto"/>
          <w:kern w:val="0"/>
          <w:sz w:val="24"/>
        </w:rPr>
        <w:t>）</w:t>
      </w:r>
      <w:r>
        <w:rPr>
          <w:rFonts w:ascii="宋体" w:hAnsi="宋体"/>
          <w:color w:val="auto"/>
          <w:kern w:val="0"/>
          <w:sz w:val="24"/>
          <w:u w:val="single"/>
        </w:rPr>
        <w:t xml:space="preserve">         /         </w:t>
      </w:r>
      <w:r>
        <w:rPr>
          <w:rFonts w:hint="eastAsia" w:ascii="宋体" w:hAnsi="宋体"/>
          <w:color w:val="auto"/>
          <w:kern w:val="0"/>
          <w:sz w:val="24"/>
        </w:rPr>
        <w:t>（名称）工程或部位，运行时间为</w:t>
      </w:r>
      <w:r>
        <w:rPr>
          <w:rFonts w:ascii="宋体" w:hAnsi="宋体"/>
          <w:color w:val="auto"/>
          <w:kern w:val="0"/>
          <w:sz w:val="24"/>
          <w:u w:val="single"/>
        </w:rPr>
        <w:t xml:space="preserve">          /            </w:t>
      </w:r>
      <w:r>
        <w:rPr>
          <w:rFonts w:hint="eastAsia" w:ascii="宋体" w:hAnsi="宋体"/>
          <w:color w:val="auto"/>
          <w:kern w:val="0"/>
          <w:sz w:val="24"/>
        </w:rPr>
        <w:t>。</w:t>
      </w:r>
    </w:p>
    <w:p w14:paraId="5296A555">
      <w:pPr>
        <w:spacing w:line="360" w:lineRule="auto"/>
        <w:rPr>
          <w:rFonts w:ascii="宋体"/>
          <w:color w:val="auto"/>
          <w:kern w:val="0"/>
          <w:sz w:val="24"/>
        </w:rPr>
      </w:pPr>
    </w:p>
    <w:p w14:paraId="382B4BE9">
      <w:pPr>
        <w:spacing w:line="360" w:lineRule="auto"/>
        <w:rPr>
          <w:rFonts w:ascii="宋体"/>
          <w:color w:val="auto"/>
          <w:kern w:val="0"/>
          <w:sz w:val="24"/>
        </w:rPr>
      </w:pPr>
      <w:r>
        <w:rPr>
          <w:rFonts w:ascii="宋体" w:hAnsi="宋体"/>
          <w:color w:val="auto"/>
          <w:kern w:val="0"/>
          <w:sz w:val="24"/>
        </w:rPr>
        <w:t xml:space="preserve">58.10 </w:t>
      </w:r>
      <w:r>
        <w:rPr>
          <w:rFonts w:hint="eastAsia" w:ascii="宋体" w:hAnsi="宋体"/>
          <w:color w:val="auto"/>
          <w:kern w:val="0"/>
          <w:sz w:val="24"/>
        </w:rPr>
        <w:t>竣工清场</w:t>
      </w:r>
    </w:p>
    <w:p w14:paraId="61D691DE">
      <w:pPr>
        <w:spacing w:line="360" w:lineRule="auto"/>
        <w:rPr>
          <w:rFonts w:ascii="宋体"/>
          <w:color w:val="auto"/>
          <w:kern w:val="0"/>
          <w:sz w:val="24"/>
        </w:rPr>
      </w:pPr>
      <w:r>
        <w:rPr>
          <w:rFonts w:hint="eastAsia" w:ascii="宋体" w:hAnsi="宋体"/>
          <w:color w:val="auto"/>
          <w:kern w:val="0"/>
          <w:sz w:val="24"/>
        </w:rPr>
        <w:t>■按通用条款规定。</w:t>
      </w:r>
    </w:p>
    <w:p w14:paraId="5703C1A5">
      <w:pPr>
        <w:spacing w:line="360" w:lineRule="auto"/>
        <w:rPr>
          <w:rFonts w:ascii="宋体"/>
          <w:color w:val="auto"/>
          <w:kern w:val="0"/>
          <w:sz w:val="24"/>
        </w:rPr>
      </w:pPr>
      <w:r>
        <w:rPr>
          <w:rFonts w:hint="eastAsia" w:ascii="宋体"/>
          <w:color w:val="auto"/>
          <w:kern w:val="0"/>
          <w:sz w:val="24"/>
        </w:rPr>
        <w:t>□</w:t>
      </w:r>
      <w:r>
        <w:rPr>
          <w:rFonts w:hint="eastAsia" w:ascii="宋体" w:hAnsi="宋体"/>
          <w:color w:val="auto"/>
          <w:kern w:val="0"/>
          <w:sz w:val="24"/>
        </w:rPr>
        <w:t>另作约定：</w:t>
      </w:r>
      <w:r>
        <w:rPr>
          <w:rFonts w:ascii="宋体" w:hAnsi="宋体"/>
          <w:color w:val="auto"/>
          <w:kern w:val="0"/>
          <w:sz w:val="24"/>
          <w:u w:val="single"/>
        </w:rPr>
        <w:t xml:space="preserve">                               /                                 </w:t>
      </w:r>
    </w:p>
    <w:p w14:paraId="72A38997">
      <w:pPr>
        <w:spacing w:line="360" w:lineRule="auto"/>
        <w:rPr>
          <w:rFonts w:ascii="宋体"/>
          <w:color w:val="auto"/>
          <w:kern w:val="0"/>
          <w:sz w:val="24"/>
        </w:rPr>
      </w:pPr>
    </w:p>
    <w:p w14:paraId="4CD02754">
      <w:pPr>
        <w:spacing w:line="360" w:lineRule="auto"/>
        <w:rPr>
          <w:rFonts w:ascii="宋体"/>
          <w:color w:val="auto"/>
          <w:kern w:val="0"/>
          <w:sz w:val="24"/>
        </w:rPr>
      </w:pPr>
      <w:r>
        <w:rPr>
          <w:rFonts w:ascii="宋体" w:hAnsi="宋体"/>
          <w:color w:val="auto"/>
          <w:kern w:val="0"/>
          <w:sz w:val="24"/>
        </w:rPr>
        <w:t xml:space="preserve">58.11 </w:t>
      </w:r>
      <w:r>
        <w:rPr>
          <w:rFonts w:hint="eastAsia" w:ascii="宋体" w:hAnsi="宋体"/>
          <w:color w:val="auto"/>
          <w:kern w:val="0"/>
          <w:sz w:val="24"/>
        </w:rPr>
        <w:t>施工队伍的撤离</w:t>
      </w:r>
    </w:p>
    <w:p w14:paraId="09E115BF">
      <w:pPr>
        <w:spacing w:line="360" w:lineRule="auto"/>
        <w:rPr>
          <w:rFonts w:ascii="宋体"/>
          <w:color w:val="auto"/>
          <w:kern w:val="0"/>
          <w:sz w:val="24"/>
        </w:rPr>
      </w:pPr>
      <w:r>
        <w:rPr>
          <w:rFonts w:hint="eastAsia" w:ascii="宋体" w:hAnsi="宋体"/>
          <w:color w:val="auto"/>
          <w:kern w:val="0"/>
          <w:sz w:val="24"/>
        </w:rPr>
        <w:t>■按通用条款规定，承包人的人员和施工设备全部撤离施工现场。</w:t>
      </w:r>
    </w:p>
    <w:p w14:paraId="3D9B91F7">
      <w:pPr>
        <w:spacing w:line="360" w:lineRule="auto"/>
        <w:rPr>
          <w:rFonts w:ascii="宋体"/>
          <w:color w:val="auto"/>
          <w:kern w:val="0"/>
          <w:sz w:val="24"/>
          <w:u w:val="single"/>
        </w:rPr>
      </w:pPr>
      <w:r>
        <w:rPr>
          <w:rFonts w:hint="eastAsia" w:ascii="宋体"/>
          <w:color w:val="auto"/>
          <w:kern w:val="0"/>
          <w:sz w:val="24"/>
        </w:rPr>
        <w:t>□</w:t>
      </w:r>
      <w:r>
        <w:rPr>
          <w:rFonts w:hint="eastAsia" w:ascii="宋体" w:hAnsi="宋体"/>
          <w:color w:val="auto"/>
          <w:kern w:val="0"/>
          <w:sz w:val="24"/>
        </w:rPr>
        <w:t>另作约定：</w:t>
      </w:r>
      <w:r>
        <w:rPr>
          <w:rFonts w:ascii="宋体" w:hAnsi="宋体"/>
          <w:color w:val="auto"/>
          <w:kern w:val="0"/>
          <w:sz w:val="24"/>
          <w:u w:val="single"/>
        </w:rPr>
        <w:t xml:space="preserve">                               /                                 </w:t>
      </w:r>
    </w:p>
    <w:p w14:paraId="03F9867C">
      <w:pPr>
        <w:spacing w:line="360" w:lineRule="auto"/>
        <w:rPr>
          <w:rFonts w:ascii="宋体"/>
          <w:color w:val="auto"/>
          <w:kern w:val="0"/>
          <w:sz w:val="24"/>
        </w:rPr>
      </w:pPr>
    </w:p>
    <w:p w14:paraId="09162FF6">
      <w:pPr>
        <w:spacing w:line="360" w:lineRule="auto"/>
        <w:rPr>
          <w:rFonts w:ascii="宋体"/>
          <w:b/>
          <w:color w:val="auto"/>
          <w:kern w:val="0"/>
          <w:sz w:val="24"/>
        </w:rPr>
      </w:pPr>
      <w:r>
        <w:rPr>
          <w:rFonts w:ascii="宋体" w:hAnsi="宋体"/>
          <w:b/>
          <w:color w:val="auto"/>
          <w:kern w:val="0"/>
          <w:sz w:val="24"/>
        </w:rPr>
        <w:t xml:space="preserve">59. </w:t>
      </w:r>
      <w:r>
        <w:rPr>
          <w:rFonts w:hint="eastAsia" w:ascii="宋体" w:hAnsi="宋体"/>
          <w:b/>
          <w:color w:val="auto"/>
          <w:kern w:val="0"/>
          <w:sz w:val="24"/>
        </w:rPr>
        <w:t>缺陷责任与质量保修</w:t>
      </w:r>
    </w:p>
    <w:p w14:paraId="6BE12418">
      <w:pPr>
        <w:spacing w:line="360" w:lineRule="auto"/>
        <w:rPr>
          <w:rFonts w:ascii="宋体"/>
          <w:color w:val="auto"/>
          <w:kern w:val="0"/>
          <w:sz w:val="24"/>
        </w:rPr>
      </w:pPr>
    </w:p>
    <w:p w14:paraId="46F8D724">
      <w:pPr>
        <w:spacing w:line="360" w:lineRule="auto"/>
        <w:rPr>
          <w:rFonts w:ascii="宋体"/>
          <w:color w:val="auto"/>
          <w:kern w:val="0"/>
          <w:sz w:val="24"/>
        </w:rPr>
      </w:pPr>
      <w:r>
        <w:rPr>
          <w:rFonts w:ascii="宋体" w:hAnsi="宋体"/>
          <w:color w:val="auto"/>
          <w:kern w:val="0"/>
          <w:sz w:val="24"/>
        </w:rPr>
        <w:t xml:space="preserve">59.1 </w:t>
      </w:r>
      <w:r>
        <w:rPr>
          <w:rFonts w:hint="eastAsia" w:ascii="宋体" w:hAnsi="宋体"/>
          <w:color w:val="auto"/>
          <w:kern w:val="0"/>
          <w:sz w:val="24"/>
        </w:rPr>
        <w:t>缺陷责任期计算</w:t>
      </w:r>
    </w:p>
    <w:p w14:paraId="564AD2D7">
      <w:pPr>
        <w:spacing w:line="360" w:lineRule="auto"/>
        <w:rPr>
          <w:rFonts w:ascii="宋体"/>
          <w:color w:val="auto"/>
          <w:kern w:val="0"/>
          <w:sz w:val="24"/>
        </w:rPr>
      </w:pPr>
      <w:r>
        <w:rPr>
          <w:rFonts w:hint="eastAsia" w:ascii="宋体" w:hAnsi="宋体"/>
          <w:color w:val="auto"/>
          <w:kern w:val="0"/>
          <w:sz w:val="24"/>
        </w:rPr>
        <w:t>缺陷责任期：</w:t>
      </w:r>
      <w:r>
        <w:rPr>
          <w:rFonts w:ascii="宋体" w:hAnsi="宋体"/>
          <w:color w:val="auto"/>
          <w:kern w:val="0"/>
          <w:sz w:val="24"/>
          <w:u w:val="single"/>
        </w:rPr>
        <w:t xml:space="preserve">         /                       </w:t>
      </w:r>
    </w:p>
    <w:p w14:paraId="3601497F">
      <w:pPr>
        <w:spacing w:line="360" w:lineRule="auto"/>
        <w:rPr>
          <w:rFonts w:ascii="宋体"/>
          <w:color w:val="auto"/>
          <w:kern w:val="0"/>
          <w:sz w:val="24"/>
        </w:rPr>
      </w:pPr>
    </w:p>
    <w:p w14:paraId="1562E76B">
      <w:pPr>
        <w:spacing w:line="360" w:lineRule="auto"/>
        <w:rPr>
          <w:rFonts w:ascii="宋体"/>
          <w:color w:val="auto"/>
          <w:kern w:val="0"/>
          <w:sz w:val="24"/>
        </w:rPr>
      </w:pPr>
      <w:r>
        <w:rPr>
          <w:rFonts w:ascii="宋体" w:hAnsi="宋体"/>
          <w:color w:val="auto"/>
          <w:kern w:val="0"/>
          <w:sz w:val="24"/>
        </w:rPr>
        <w:t xml:space="preserve">59.8 </w:t>
      </w:r>
      <w:r>
        <w:rPr>
          <w:rFonts w:hint="eastAsia" w:ascii="宋体" w:hAnsi="宋体"/>
          <w:color w:val="auto"/>
          <w:kern w:val="0"/>
          <w:sz w:val="24"/>
        </w:rPr>
        <w:t>质量保修期计算</w:t>
      </w:r>
    </w:p>
    <w:p w14:paraId="73C2C4DB">
      <w:pPr>
        <w:spacing w:line="360" w:lineRule="auto"/>
        <w:rPr>
          <w:rFonts w:ascii="宋体"/>
          <w:color w:val="auto"/>
          <w:kern w:val="0"/>
          <w:sz w:val="24"/>
          <w:u w:val="single"/>
        </w:rPr>
      </w:pPr>
      <w:r>
        <w:rPr>
          <w:rFonts w:hint="eastAsia" w:ascii="宋体" w:hAnsi="宋体"/>
          <w:color w:val="auto"/>
          <w:kern w:val="0"/>
          <w:sz w:val="24"/>
        </w:rPr>
        <w:t>质量保修期：</w:t>
      </w:r>
      <w:r>
        <w:rPr>
          <w:rFonts w:hint="eastAsia" w:ascii="宋体" w:hAnsi="宋体"/>
          <w:color w:val="auto"/>
          <w:kern w:val="0"/>
          <w:sz w:val="24"/>
          <w:u w:val="single"/>
        </w:rPr>
        <w:t>按《建设工程质量管理条例》规定。</w:t>
      </w:r>
    </w:p>
    <w:p w14:paraId="097D3AAA">
      <w:pPr>
        <w:spacing w:line="360" w:lineRule="auto"/>
        <w:rPr>
          <w:rFonts w:ascii="宋体"/>
          <w:color w:val="auto"/>
          <w:kern w:val="0"/>
          <w:sz w:val="24"/>
        </w:rPr>
      </w:pPr>
    </w:p>
    <w:p w14:paraId="09512E7F">
      <w:pPr>
        <w:spacing w:line="360" w:lineRule="auto"/>
        <w:rPr>
          <w:rFonts w:ascii="宋体"/>
          <w:b/>
          <w:color w:val="auto"/>
          <w:kern w:val="0"/>
          <w:sz w:val="24"/>
        </w:rPr>
      </w:pPr>
      <w:r>
        <w:rPr>
          <w:rFonts w:ascii="宋体" w:hAnsi="宋体"/>
          <w:b/>
          <w:color w:val="auto"/>
          <w:kern w:val="0"/>
          <w:sz w:val="24"/>
        </w:rPr>
        <w:t xml:space="preserve">61. </w:t>
      </w:r>
      <w:r>
        <w:rPr>
          <w:rFonts w:hint="eastAsia" w:ascii="宋体" w:hAnsi="宋体"/>
          <w:b/>
          <w:color w:val="auto"/>
          <w:kern w:val="0"/>
          <w:sz w:val="24"/>
        </w:rPr>
        <w:t>工程量</w:t>
      </w:r>
    </w:p>
    <w:p w14:paraId="30DCCB09">
      <w:pPr>
        <w:spacing w:line="360" w:lineRule="auto"/>
        <w:rPr>
          <w:rFonts w:ascii="宋体"/>
          <w:color w:val="auto"/>
          <w:kern w:val="0"/>
          <w:sz w:val="24"/>
        </w:rPr>
      </w:pPr>
    </w:p>
    <w:p w14:paraId="3BBD945C">
      <w:pPr>
        <w:spacing w:line="360" w:lineRule="auto"/>
        <w:rPr>
          <w:rFonts w:ascii="宋体"/>
          <w:color w:val="auto"/>
          <w:kern w:val="0"/>
          <w:sz w:val="24"/>
        </w:rPr>
      </w:pPr>
      <w:r>
        <w:rPr>
          <w:rFonts w:ascii="宋体" w:hAnsi="宋体"/>
          <w:color w:val="auto"/>
          <w:kern w:val="0"/>
          <w:sz w:val="24"/>
        </w:rPr>
        <w:t xml:space="preserve">61.1 </w:t>
      </w:r>
      <w:r>
        <w:rPr>
          <w:rFonts w:hint="eastAsia" w:ascii="宋体" w:hAnsi="宋体"/>
          <w:color w:val="auto"/>
          <w:kern w:val="0"/>
          <w:sz w:val="24"/>
        </w:rPr>
        <w:t>清单工程量包括的工作内容</w:t>
      </w:r>
    </w:p>
    <w:p w14:paraId="7BA29BFC">
      <w:pPr>
        <w:spacing w:line="360" w:lineRule="auto"/>
        <w:rPr>
          <w:rFonts w:ascii="宋体"/>
          <w:color w:val="auto"/>
          <w:kern w:val="0"/>
          <w:sz w:val="24"/>
        </w:rPr>
      </w:pPr>
      <w:r>
        <w:rPr>
          <w:rFonts w:hint="eastAsia" w:ascii="宋体" w:hAnsi="宋体"/>
          <w:color w:val="auto"/>
          <w:kern w:val="0"/>
          <w:sz w:val="24"/>
        </w:rPr>
        <w:t>■按通用条款规定。</w:t>
      </w:r>
    </w:p>
    <w:p w14:paraId="14C079BE">
      <w:pPr>
        <w:spacing w:line="360" w:lineRule="auto"/>
        <w:rPr>
          <w:rFonts w:ascii="宋体"/>
          <w:color w:val="auto"/>
          <w:kern w:val="0"/>
          <w:sz w:val="24"/>
        </w:rPr>
      </w:pPr>
      <w:r>
        <w:rPr>
          <w:rFonts w:hint="eastAsia" w:ascii="宋体"/>
          <w:color w:val="auto"/>
          <w:kern w:val="0"/>
          <w:sz w:val="24"/>
        </w:rPr>
        <w:t>□</w:t>
      </w:r>
      <w:r>
        <w:rPr>
          <w:rFonts w:hint="eastAsia" w:ascii="宋体" w:hAnsi="宋体"/>
          <w:color w:val="auto"/>
          <w:kern w:val="0"/>
          <w:sz w:val="24"/>
        </w:rPr>
        <w:t>另作约定：</w:t>
      </w:r>
      <w:r>
        <w:rPr>
          <w:rFonts w:ascii="宋体" w:hAnsi="宋体"/>
          <w:color w:val="auto"/>
          <w:kern w:val="0"/>
          <w:sz w:val="24"/>
          <w:u w:val="single"/>
        </w:rPr>
        <w:t xml:space="preserve">        /        </w:t>
      </w:r>
    </w:p>
    <w:p w14:paraId="023CF58B">
      <w:pPr>
        <w:spacing w:line="360" w:lineRule="auto"/>
        <w:rPr>
          <w:rFonts w:ascii="宋体"/>
          <w:color w:val="auto"/>
          <w:kern w:val="0"/>
          <w:sz w:val="24"/>
        </w:rPr>
      </w:pPr>
    </w:p>
    <w:p w14:paraId="4930C7DE">
      <w:pPr>
        <w:spacing w:line="360" w:lineRule="auto"/>
        <w:rPr>
          <w:rFonts w:ascii="宋体"/>
          <w:b/>
          <w:color w:val="auto"/>
          <w:kern w:val="0"/>
          <w:sz w:val="24"/>
        </w:rPr>
      </w:pPr>
      <w:r>
        <w:rPr>
          <w:rFonts w:ascii="宋体" w:hAnsi="宋体"/>
          <w:b/>
          <w:color w:val="auto"/>
          <w:kern w:val="0"/>
          <w:sz w:val="24"/>
        </w:rPr>
        <w:t xml:space="preserve">63. </w:t>
      </w:r>
      <w:r>
        <w:rPr>
          <w:rFonts w:hint="eastAsia" w:ascii="宋体" w:hAnsi="宋体"/>
          <w:b/>
          <w:color w:val="auto"/>
          <w:kern w:val="0"/>
          <w:sz w:val="24"/>
        </w:rPr>
        <w:t>暂列金额</w:t>
      </w:r>
    </w:p>
    <w:p w14:paraId="05940CC3">
      <w:pPr>
        <w:spacing w:line="360" w:lineRule="auto"/>
        <w:rPr>
          <w:rFonts w:ascii="宋体"/>
          <w:color w:val="auto"/>
          <w:kern w:val="0"/>
          <w:sz w:val="24"/>
        </w:rPr>
      </w:pPr>
    </w:p>
    <w:p w14:paraId="053B20F5">
      <w:pPr>
        <w:pStyle w:val="4"/>
        <w:rPr>
          <w:color w:val="auto"/>
        </w:rPr>
      </w:pPr>
      <w:r>
        <w:rPr>
          <w:rFonts w:ascii="宋体" w:hAnsi="宋体"/>
          <w:color w:val="auto"/>
          <w:kern w:val="0"/>
        </w:rPr>
        <w:t xml:space="preserve">63.1 </w:t>
      </w:r>
      <w:r>
        <w:rPr>
          <w:rFonts w:hint="eastAsia" w:ascii="宋体" w:hAnsi="宋体"/>
          <w:color w:val="auto"/>
          <w:kern w:val="0"/>
        </w:rPr>
        <w:t>合同工程的暂列金额为</w:t>
      </w:r>
      <w:r>
        <w:rPr>
          <w:rFonts w:ascii="宋体" w:hAnsi="宋体"/>
          <w:color w:val="auto"/>
          <w:kern w:val="0"/>
          <w:u w:val="single"/>
        </w:rPr>
        <w:t xml:space="preserve">           </w:t>
      </w:r>
      <w:r>
        <w:rPr>
          <w:rFonts w:hint="eastAsia" w:ascii="宋体" w:hAnsi="宋体"/>
          <w:color w:val="auto"/>
          <w:kern w:val="0"/>
        </w:rPr>
        <w:t>。</w:t>
      </w:r>
    </w:p>
    <w:p w14:paraId="2CDA09B8">
      <w:pPr>
        <w:spacing w:line="360" w:lineRule="auto"/>
        <w:rPr>
          <w:rFonts w:ascii="宋体"/>
          <w:color w:val="auto"/>
          <w:kern w:val="0"/>
          <w:sz w:val="24"/>
        </w:rPr>
      </w:pPr>
    </w:p>
    <w:p w14:paraId="28FBD383">
      <w:pPr>
        <w:spacing w:line="360" w:lineRule="auto"/>
        <w:rPr>
          <w:rFonts w:ascii="宋体"/>
          <w:b/>
          <w:color w:val="auto"/>
          <w:kern w:val="0"/>
          <w:sz w:val="24"/>
        </w:rPr>
      </w:pPr>
      <w:r>
        <w:rPr>
          <w:rFonts w:ascii="宋体" w:hAnsi="宋体"/>
          <w:b/>
          <w:color w:val="auto"/>
          <w:kern w:val="0"/>
          <w:sz w:val="24"/>
        </w:rPr>
        <w:t xml:space="preserve">65. </w:t>
      </w:r>
      <w:r>
        <w:rPr>
          <w:rFonts w:hint="eastAsia" w:ascii="宋体" w:hAnsi="宋体"/>
          <w:b/>
          <w:color w:val="auto"/>
          <w:kern w:val="0"/>
          <w:sz w:val="24"/>
        </w:rPr>
        <w:t>暂估价</w:t>
      </w:r>
    </w:p>
    <w:p w14:paraId="448C6EE2">
      <w:pPr>
        <w:spacing w:line="360" w:lineRule="auto"/>
        <w:rPr>
          <w:rFonts w:ascii="宋体"/>
          <w:color w:val="auto"/>
          <w:kern w:val="0"/>
          <w:sz w:val="24"/>
        </w:rPr>
      </w:pPr>
    </w:p>
    <w:p w14:paraId="5E307167">
      <w:pPr>
        <w:spacing w:line="360" w:lineRule="auto"/>
        <w:rPr>
          <w:rFonts w:ascii="宋体"/>
          <w:color w:val="auto"/>
          <w:kern w:val="0"/>
          <w:sz w:val="24"/>
        </w:rPr>
      </w:pPr>
      <w:r>
        <w:rPr>
          <w:rFonts w:ascii="宋体" w:hAnsi="宋体"/>
          <w:color w:val="auto"/>
          <w:kern w:val="0"/>
          <w:sz w:val="24"/>
        </w:rPr>
        <w:t xml:space="preserve">65.1 </w:t>
      </w:r>
      <w:r>
        <w:rPr>
          <w:rFonts w:hint="eastAsia" w:ascii="宋体" w:hAnsi="宋体"/>
          <w:color w:val="auto"/>
          <w:kern w:val="0"/>
          <w:sz w:val="24"/>
        </w:rPr>
        <w:t>招标暂估价项目</w:t>
      </w:r>
    </w:p>
    <w:p w14:paraId="1BBEABA8">
      <w:pPr>
        <w:spacing w:line="360" w:lineRule="auto"/>
        <w:rPr>
          <w:rFonts w:ascii="宋体"/>
          <w:color w:val="auto"/>
          <w:kern w:val="0"/>
          <w:sz w:val="24"/>
        </w:rPr>
      </w:pPr>
      <w:r>
        <w:rPr>
          <w:rFonts w:hint="eastAsia" w:ascii="宋体" w:hAnsi="宋体"/>
          <w:color w:val="auto"/>
          <w:kern w:val="0"/>
          <w:sz w:val="24"/>
        </w:rPr>
        <w:t>必须招标暂估价项目合同双方当事人的权利、义务</w:t>
      </w:r>
    </w:p>
    <w:p w14:paraId="67782934">
      <w:pPr>
        <w:spacing w:line="360" w:lineRule="auto"/>
        <w:rPr>
          <w:rFonts w:ascii="宋体"/>
          <w:color w:val="auto"/>
          <w:kern w:val="0"/>
          <w:sz w:val="24"/>
        </w:rPr>
      </w:pPr>
      <w:r>
        <w:rPr>
          <w:rFonts w:hint="eastAsia" w:ascii="宋体"/>
          <w:color w:val="auto"/>
          <w:kern w:val="0"/>
          <w:sz w:val="24"/>
        </w:rPr>
        <w:t>□</w:t>
      </w:r>
      <w:r>
        <w:rPr>
          <w:rFonts w:hint="eastAsia" w:ascii="宋体" w:hAnsi="宋体"/>
          <w:color w:val="auto"/>
          <w:kern w:val="0"/>
          <w:sz w:val="24"/>
        </w:rPr>
        <w:t>材料、工程设备：</w:t>
      </w:r>
      <w:r>
        <w:rPr>
          <w:rFonts w:ascii="宋体" w:hAnsi="宋体"/>
          <w:color w:val="auto"/>
          <w:kern w:val="0"/>
          <w:sz w:val="24"/>
          <w:u w:val="single"/>
        </w:rPr>
        <w:t xml:space="preserve">                          /                          </w:t>
      </w:r>
    </w:p>
    <w:p w14:paraId="3CD0377F">
      <w:pPr>
        <w:spacing w:line="360" w:lineRule="auto"/>
        <w:rPr>
          <w:rFonts w:ascii="宋体"/>
          <w:color w:val="auto"/>
          <w:kern w:val="0"/>
          <w:sz w:val="24"/>
        </w:rPr>
      </w:pPr>
      <w:r>
        <w:rPr>
          <w:rFonts w:hint="eastAsia" w:ascii="宋体"/>
          <w:color w:val="auto"/>
          <w:kern w:val="0"/>
          <w:sz w:val="24"/>
        </w:rPr>
        <w:t>□</w:t>
      </w:r>
      <w:r>
        <w:rPr>
          <w:rFonts w:hint="eastAsia" w:ascii="宋体" w:hAnsi="宋体"/>
          <w:color w:val="auto"/>
          <w:kern w:val="0"/>
          <w:sz w:val="24"/>
        </w:rPr>
        <w:t>专业工程：</w:t>
      </w:r>
      <w:r>
        <w:rPr>
          <w:rFonts w:ascii="宋体" w:hAnsi="宋体"/>
          <w:color w:val="auto"/>
          <w:kern w:val="0"/>
          <w:sz w:val="24"/>
          <w:u w:val="single"/>
        </w:rPr>
        <w:t xml:space="preserve">                              /                            </w:t>
      </w:r>
    </w:p>
    <w:p w14:paraId="42D247BE">
      <w:pPr>
        <w:spacing w:line="360" w:lineRule="auto"/>
        <w:rPr>
          <w:rFonts w:ascii="宋体"/>
          <w:color w:val="auto"/>
          <w:kern w:val="0"/>
          <w:sz w:val="24"/>
        </w:rPr>
      </w:pPr>
      <w:r>
        <w:rPr>
          <w:rFonts w:ascii="宋体" w:hAnsi="宋体"/>
          <w:color w:val="auto"/>
          <w:kern w:val="0"/>
          <w:sz w:val="24"/>
        </w:rPr>
        <w:t xml:space="preserve">65.3 </w:t>
      </w:r>
      <w:r>
        <w:rPr>
          <w:rFonts w:hint="eastAsia" w:ascii="宋体" w:hAnsi="宋体"/>
          <w:color w:val="auto"/>
          <w:kern w:val="0"/>
          <w:sz w:val="24"/>
        </w:rPr>
        <w:t>非招标专业工程款的确定</w:t>
      </w:r>
    </w:p>
    <w:p w14:paraId="4D83D28B">
      <w:pPr>
        <w:spacing w:line="360" w:lineRule="auto"/>
        <w:rPr>
          <w:rFonts w:ascii="宋体"/>
          <w:color w:val="auto"/>
          <w:kern w:val="0"/>
          <w:sz w:val="24"/>
        </w:rPr>
      </w:pPr>
      <w:r>
        <w:rPr>
          <w:rFonts w:hint="eastAsia" w:ascii="宋体"/>
          <w:color w:val="auto"/>
          <w:kern w:val="0"/>
          <w:sz w:val="24"/>
        </w:rPr>
        <w:t>□</w:t>
      </w:r>
      <w:r>
        <w:rPr>
          <w:rFonts w:hint="eastAsia" w:ascii="宋体" w:hAnsi="宋体"/>
          <w:color w:val="auto"/>
          <w:kern w:val="0"/>
          <w:sz w:val="24"/>
        </w:rPr>
        <w:t>按通用条款规定，由造价工程师与分包人确定。</w:t>
      </w:r>
    </w:p>
    <w:p w14:paraId="597BD14C">
      <w:pPr>
        <w:spacing w:line="360" w:lineRule="auto"/>
        <w:rPr>
          <w:rFonts w:ascii="宋体"/>
          <w:color w:val="auto"/>
          <w:kern w:val="0"/>
          <w:sz w:val="24"/>
        </w:rPr>
      </w:pPr>
      <w:r>
        <w:rPr>
          <w:rFonts w:hint="eastAsia" w:ascii="宋体"/>
          <w:color w:val="auto"/>
          <w:kern w:val="0"/>
          <w:sz w:val="24"/>
        </w:rPr>
        <w:t>□</w:t>
      </w:r>
      <w:r>
        <w:rPr>
          <w:rFonts w:hint="eastAsia" w:ascii="宋体" w:hAnsi="宋体"/>
          <w:color w:val="auto"/>
          <w:kern w:val="0"/>
          <w:sz w:val="24"/>
        </w:rPr>
        <w:t>另作约定：</w:t>
      </w:r>
      <w:r>
        <w:rPr>
          <w:rFonts w:ascii="宋体" w:hAnsi="宋体"/>
          <w:color w:val="auto"/>
          <w:kern w:val="0"/>
          <w:sz w:val="24"/>
          <w:u w:val="single"/>
        </w:rPr>
        <w:t xml:space="preserve">                               /                                </w:t>
      </w:r>
    </w:p>
    <w:p w14:paraId="05A169C4">
      <w:pPr>
        <w:spacing w:line="360" w:lineRule="auto"/>
        <w:rPr>
          <w:rFonts w:ascii="宋体"/>
          <w:color w:val="auto"/>
          <w:kern w:val="0"/>
          <w:sz w:val="24"/>
        </w:rPr>
      </w:pPr>
    </w:p>
    <w:p w14:paraId="42F92A02">
      <w:pPr>
        <w:spacing w:line="360" w:lineRule="auto"/>
        <w:rPr>
          <w:rFonts w:ascii="宋体"/>
          <w:color w:val="auto"/>
          <w:kern w:val="0"/>
          <w:sz w:val="24"/>
        </w:rPr>
      </w:pPr>
      <w:r>
        <w:rPr>
          <w:rFonts w:ascii="宋体" w:hAnsi="宋体"/>
          <w:b/>
          <w:color w:val="auto"/>
          <w:kern w:val="0"/>
          <w:sz w:val="24"/>
        </w:rPr>
        <w:t xml:space="preserve">66. </w:t>
      </w:r>
      <w:r>
        <w:rPr>
          <w:rFonts w:hint="eastAsia" w:ascii="宋体" w:hAnsi="宋体"/>
          <w:b/>
          <w:color w:val="auto"/>
          <w:kern w:val="0"/>
          <w:sz w:val="24"/>
        </w:rPr>
        <w:t>提前竣工奖与误期赔偿费</w:t>
      </w:r>
    </w:p>
    <w:p w14:paraId="20CCFF7B">
      <w:pPr>
        <w:spacing w:line="360" w:lineRule="auto"/>
        <w:rPr>
          <w:rFonts w:ascii="宋体"/>
          <w:color w:val="auto"/>
          <w:kern w:val="0"/>
          <w:sz w:val="24"/>
        </w:rPr>
      </w:pPr>
      <w:r>
        <w:rPr>
          <w:rFonts w:ascii="宋体" w:hAnsi="宋体"/>
          <w:color w:val="auto"/>
          <w:kern w:val="0"/>
          <w:sz w:val="24"/>
        </w:rPr>
        <w:t xml:space="preserve">66.1 </w:t>
      </w:r>
      <w:r>
        <w:rPr>
          <w:rFonts w:hint="eastAsia" w:ascii="宋体" w:hAnsi="宋体"/>
          <w:color w:val="auto"/>
          <w:kern w:val="0"/>
          <w:sz w:val="24"/>
        </w:rPr>
        <w:t>提前竣工奖</w:t>
      </w:r>
    </w:p>
    <w:p w14:paraId="680A8E63">
      <w:pPr>
        <w:spacing w:line="360" w:lineRule="auto"/>
        <w:rPr>
          <w:rFonts w:ascii="宋体"/>
          <w:color w:val="auto"/>
          <w:kern w:val="0"/>
          <w:sz w:val="24"/>
        </w:rPr>
      </w:pPr>
      <w:r>
        <w:rPr>
          <w:rFonts w:hint="eastAsia" w:ascii="宋体" w:hAnsi="宋体"/>
          <w:color w:val="auto"/>
          <w:kern w:val="0"/>
          <w:sz w:val="24"/>
        </w:rPr>
        <w:t>（</w:t>
      </w:r>
      <w:r>
        <w:rPr>
          <w:rFonts w:ascii="宋体" w:hAnsi="宋体"/>
          <w:color w:val="auto"/>
          <w:kern w:val="0"/>
          <w:sz w:val="24"/>
        </w:rPr>
        <w:t>1</w:t>
      </w:r>
      <w:r>
        <w:rPr>
          <w:rFonts w:hint="eastAsia" w:ascii="宋体" w:hAnsi="宋体"/>
          <w:color w:val="auto"/>
          <w:kern w:val="0"/>
          <w:sz w:val="24"/>
        </w:rPr>
        <w:t>）提起竣工奖额度</w:t>
      </w:r>
    </w:p>
    <w:p w14:paraId="4F592EC0">
      <w:pPr>
        <w:spacing w:line="360" w:lineRule="auto"/>
        <w:rPr>
          <w:rFonts w:ascii="宋体"/>
          <w:color w:val="auto"/>
          <w:kern w:val="0"/>
          <w:sz w:val="24"/>
        </w:rPr>
      </w:pPr>
      <w:r>
        <w:rPr>
          <w:rFonts w:hint="eastAsia" w:ascii="宋体" w:hAnsi="宋体"/>
          <w:color w:val="auto"/>
          <w:sz w:val="24"/>
        </w:rPr>
        <w:t>■</w:t>
      </w:r>
      <w:r>
        <w:rPr>
          <w:rFonts w:hint="eastAsia" w:ascii="宋体" w:hAnsi="宋体"/>
          <w:color w:val="auto"/>
          <w:kern w:val="0"/>
          <w:sz w:val="24"/>
        </w:rPr>
        <w:t>没约定提前竣工奖的，本款不适用。</w:t>
      </w:r>
    </w:p>
    <w:p w14:paraId="1C05E175">
      <w:pPr>
        <w:spacing w:line="360" w:lineRule="auto"/>
        <w:rPr>
          <w:rFonts w:ascii="宋体"/>
          <w:color w:val="auto"/>
          <w:kern w:val="0"/>
          <w:sz w:val="24"/>
        </w:rPr>
      </w:pPr>
      <w:r>
        <w:rPr>
          <w:rFonts w:hint="eastAsia" w:ascii="宋体"/>
          <w:color w:val="auto"/>
          <w:kern w:val="0"/>
          <w:sz w:val="24"/>
        </w:rPr>
        <w:t>□</w:t>
      </w:r>
      <w:r>
        <w:rPr>
          <w:rFonts w:hint="eastAsia" w:ascii="宋体" w:hAnsi="宋体"/>
          <w:color w:val="auto"/>
          <w:kern w:val="0"/>
          <w:sz w:val="24"/>
        </w:rPr>
        <w:t>约定提前竣工奖的，每日历天应奖额度为</w:t>
      </w:r>
      <w:r>
        <w:rPr>
          <w:rFonts w:ascii="宋体" w:hAnsi="宋体"/>
          <w:color w:val="auto"/>
          <w:kern w:val="0"/>
          <w:sz w:val="24"/>
          <w:u w:val="single"/>
        </w:rPr>
        <w:t xml:space="preserve">          /           </w:t>
      </w:r>
      <w:r>
        <w:rPr>
          <w:rFonts w:hint="eastAsia" w:ascii="宋体" w:hAnsi="宋体"/>
          <w:color w:val="auto"/>
          <w:kern w:val="0"/>
          <w:sz w:val="24"/>
        </w:rPr>
        <w:t>元。</w:t>
      </w:r>
    </w:p>
    <w:p w14:paraId="3A20FDBB">
      <w:pPr>
        <w:spacing w:line="360" w:lineRule="auto"/>
        <w:rPr>
          <w:rFonts w:ascii="宋体"/>
          <w:color w:val="auto"/>
          <w:kern w:val="0"/>
          <w:sz w:val="24"/>
        </w:rPr>
      </w:pPr>
      <w:r>
        <w:rPr>
          <w:rFonts w:hint="eastAsia" w:ascii="宋体" w:hAnsi="宋体"/>
          <w:color w:val="auto"/>
          <w:kern w:val="0"/>
          <w:sz w:val="24"/>
        </w:rPr>
        <w:t>（</w:t>
      </w:r>
      <w:r>
        <w:rPr>
          <w:rFonts w:ascii="宋体" w:hAnsi="宋体"/>
          <w:color w:val="auto"/>
          <w:kern w:val="0"/>
          <w:sz w:val="24"/>
        </w:rPr>
        <w:t>2</w:t>
      </w:r>
      <w:r>
        <w:rPr>
          <w:rFonts w:hint="eastAsia" w:ascii="宋体" w:hAnsi="宋体"/>
          <w:color w:val="auto"/>
          <w:kern w:val="0"/>
          <w:sz w:val="24"/>
        </w:rPr>
        <w:t>）提前竣工奖的最高限额</w:t>
      </w:r>
    </w:p>
    <w:p w14:paraId="5D854865">
      <w:pPr>
        <w:spacing w:line="360" w:lineRule="auto"/>
        <w:rPr>
          <w:rFonts w:ascii="宋体"/>
          <w:color w:val="auto"/>
          <w:kern w:val="0"/>
          <w:sz w:val="24"/>
        </w:rPr>
      </w:pPr>
      <w:r>
        <w:rPr>
          <w:rFonts w:hint="eastAsia" w:ascii="宋体"/>
          <w:color w:val="auto"/>
          <w:kern w:val="0"/>
          <w:sz w:val="24"/>
        </w:rPr>
        <w:t>□</w:t>
      </w:r>
      <w:r>
        <w:rPr>
          <w:rFonts w:hint="eastAsia" w:ascii="宋体" w:hAnsi="宋体"/>
          <w:color w:val="auto"/>
          <w:kern w:val="0"/>
          <w:sz w:val="24"/>
        </w:rPr>
        <w:t>按通用条款规定为合同价款的</w:t>
      </w:r>
      <w:r>
        <w:rPr>
          <w:rFonts w:ascii="宋体" w:hAnsi="宋体"/>
          <w:color w:val="auto"/>
          <w:kern w:val="0"/>
          <w:sz w:val="24"/>
        </w:rPr>
        <w:t>5%</w:t>
      </w:r>
      <w:r>
        <w:rPr>
          <w:rFonts w:hint="eastAsia" w:ascii="宋体" w:hAnsi="宋体"/>
          <w:color w:val="auto"/>
          <w:kern w:val="0"/>
          <w:sz w:val="24"/>
        </w:rPr>
        <w:t>，即</w:t>
      </w:r>
      <w:r>
        <w:rPr>
          <w:rFonts w:ascii="宋体" w:hAnsi="宋体"/>
          <w:color w:val="auto"/>
          <w:kern w:val="0"/>
          <w:sz w:val="24"/>
          <w:u w:val="single"/>
        </w:rPr>
        <w:t xml:space="preserve">          /         </w:t>
      </w:r>
      <w:r>
        <w:rPr>
          <w:rFonts w:hint="eastAsia" w:ascii="宋体" w:hAnsi="宋体"/>
          <w:color w:val="auto"/>
          <w:kern w:val="0"/>
          <w:sz w:val="24"/>
        </w:rPr>
        <w:t>元。</w:t>
      </w:r>
    </w:p>
    <w:p w14:paraId="76EAF5CD">
      <w:pPr>
        <w:spacing w:line="360" w:lineRule="auto"/>
        <w:rPr>
          <w:rFonts w:ascii="宋体"/>
          <w:color w:val="auto"/>
          <w:kern w:val="0"/>
          <w:sz w:val="24"/>
        </w:rPr>
      </w:pPr>
      <w:r>
        <w:rPr>
          <w:rFonts w:hint="eastAsia" w:ascii="宋体" w:hAnsi="宋体"/>
          <w:color w:val="auto"/>
          <w:kern w:val="0"/>
          <w:sz w:val="24"/>
        </w:rPr>
        <w:t>■另作约定：</w:t>
      </w:r>
      <w:r>
        <w:rPr>
          <w:rFonts w:ascii="宋体" w:hAnsi="宋体"/>
          <w:color w:val="auto"/>
          <w:kern w:val="0"/>
          <w:sz w:val="24"/>
          <w:u w:val="single"/>
        </w:rPr>
        <w:t xml:space="preserve">                              /                                 </w:t>
      </w:r>
    </w:p>
    <w:p w14:paraId="31064972">
      <w:pPr>
        <w:spacing w:line="360" w:lineRule="auto"/>
        <w:rPr>
          <w:rFonts w:ascii="宋体"/>
          <w:color w:val="auto"/>
          <w:kern w:val="0"/>
          <w:sz w:val="24"/>
        </w:rPr>
      </w:pPr>
      <w:r>
        <w:rPr>
          <w:rFonts w:ascii="宋体" w:hAnsi="宋体"/>
          <w:color w:val="auto"/>
          <w:kern w:val="0"/>
          <w:sz w:val="24"/>
        </w:rPr>
        <w:t xml:space="preserve">66.2 </w:t>
      </w:r>
      <w:r>
        <w:rPr>
          <w:rFonts w:hint="eastAsia" w:ascii="宋体" w:hAnsi="宋体"/>
          <w:color w:val="auto"/>
          <w:kern w:val="0"/>
          <w:sz w:val="24"/>
        </w:rPr>
        <w:t>误期赔偿费</w:t>
      </w:r>
    </w:p>
    <w:p w14:paraId="78ED96DD">
      <w:pPr>
        <w:spacing w:line="360" w:lineRule="auto"/>
        <w:rPr>
          <w:rFonts w:ascii="宋体"/>
          <w:color w:val="auto"/>
          <w:kern w:val="0"/>
          <w:sz w:val="24"/>
        </w:rPr>
      </w:pPr>
      <w:r>
        <w:rPr>
          <w:rFonts w:hint="eastAsia" w:ascii="宋体" w:hAnsi="宋体"/>
          <w:color w:val="auto"/>
          <w:kern w:val="0"/>
          <w:sz w:val="24"/>
        </w:rPr>
        <w:t>（</w:t>
      </w:r>
      <w:r>
        <w:rPr>
          <w:rFonts w:ascii="宋体" w:hAnsi="宋体"/>
          <w:color w:val="auto"/>
          <w:kern w:val="0"/>
          <w:sz w:val="24"/>
        </w:rPr>
        <w:t>1</w:t>
      </w:r>
      <w:r>
        <w:rPr>
          <w:rFonts w:hint="eastAsia" w:ascii="宋体" w:hAnsi="宋体"/>
          <w:color w:val="auto"/>
          <w:kern w:val="0"/>
          <w:sz w:val="24"/>
        </w:rPr>
        <w:t>）每日历天应赔偿额度为</w:t>
      </w:r>
      <w:r>
        <w:rPr>
          <w:rFonts w:ascii="宋体" w:hAnsi="宋体"/>
          <w:color w:val="auto"/>
          <w:kern w:val="0"/>
          <w:sz w:val="24"/>
          <w:u w:val="single"/>
        </w:rPr>
        <w:t xml:space="preserve">        /        </w:t>
      </w:r>
      <w:r>
        <w:rPr>
          <w:rFonts w:hint="eastAsia" w:ascii="宋体" w:hAnsi="宋体"/>
          <w:color w:val="auto"/>
          <w:kern w:val="0"/>
          <w:sz w:val="24"/>
        </w:rPr>
        <w:t>元。</w:t>
      </w:r>
    </w:p>
    <w:p w14:paraId="22C7FEC9">
      <w:pPr>
        <w:spacing w:line="360" w:lineRule="auto"/>
        <w:rPr>
          <w:rFonts w:ascii="宋体"/>
          <w:color w:val="auto"/>
          <w:kern w:val="0"/>
          <w:sz w:val="24"/>
        </w:rPr>
      </w:pPr>
      <w:r>
        <w:rPr>
          <w:rFonts w:hint="eastAsia" w:ascii="宋体" w:hAnsi="宋体"/>
          <w:color w:val="auto"/>
          <w:kern w:val="0"/>
          <w:sz w:val="24"/>
        </w:rPr>
        <w:t>（</w:t>
      </w:r>
      <w:r>
        <w:rPr>
          <w:rFonts w:ascii="宋体" w:hAnsi="宋体"/>
          <w:color w:val="auto"/>
          <w:kern w:val="0"/>
          <w:sz w:val="24"/>
        </w:rPr>
        <w:t>2</w:t>
      </w:r>
      <w:r>
        <w:rPr>
          <w:rFonts w:hint="eastAsia" w:ascii="宋体" w:hAnsi="宋体"/>
          <w:color w:val="auto"/>
          <w:kern w:val="0"/>
          <w:sz w:val="24"/>
        </w:rPr>
        <w:t>）误期赔偿费的最高限额</w:t>
      </w:r>
    </w:p>
    <w:p w14:paraId="0D55DAF1">
      <w:pPr>
        <w:spacing w:line="360" w:lineRule="auto"/>
        <w:rPr>
          <w:rFonts w:ascii="宋体"/>
          <w:color w:val="auto"/>
          <w:kern w:val="0"/>
          <w:sz w:val="24"/>
        </w:rPr>
      </w:pPr>
      <w:r>
        <w:rPr>
          <w:rFonts w:hint="eastAsia" w:ascii="宋体"/>
          <w:color w:val="auto"/>
          <w:kern w:val="0"/>
          <w:sz w:val="24"/>
        </w:rPr>
        <w:t>□</w:t>
      </w:r>
      <w:r>
        <w:rPr>
          <w:rFonts w:hint="eastAsia" w:ascii="宋体" w:hAnsi="宋体"/>
          <w:color w:val="auto"/>
          <w:kern w:val="0"/>
          <w:sz w:val="24"/>
        </w:rPr>
        <w:t>按通用条款规定为合同价款的</w:t>
      </w:r>
      <w:r>
        <w:rPr>
          <w:rFonts w:ascii="宋体" w:hAnsi="宋体"/>
          <w:color w:val="auto"/>
          <w:kern w:val="0"/>
          <w:sz w:val="24"/>
        </w:rPr>
        <w:t>5%</w:t>
      </w:r>
      <w:r>
        <w:rPr>
          <w:rFonts w:hint="eastAsia" w:ascii="宋体" w:hAnsi="宋体"/>
          <w:color w:val="auto"/>
          <w:kern w:val="0"/>
          <w:sz w:val="24"/>
        </w:rPr>
        <w:t>，即</w:t>
      </w:r>
      <w:r>
        <w:rPr>
          <w:rFonts w:ascii="宋体" w:hAnsi="宋体"/>
          <w:color w:val="auto"/>
          <w:kern w:val="0"/>
          <w:sz w:val="24"/>
          <w:u w:val="single"/>
        </w:rPr>
        <w:t xml:space="preserve">           /          </w:t>
      </w:r>
      <w:r>
        <w:rPr>
          <w:rFonts w:hint="eastAsia" w:ascii="宋体" w:hAnsi="宋体"/>
          <w:color w:val="auto"/>
          <w:kern w:val="0"/>
          <w:sz w:val="24"/>
        </w:rPr>
        <w:t>元。</w:t>
      </w:r>
    </w:p>
    <w:p w14:paraId="4A793B7E">
      <w:pPr>
        <w:spacing w:line="360" w:lineRule="auto"/>
        <w:rPr>
          <w:rFonts w:ascii="宋体"/>
          <w:color w:val="auto"/>
          <w:kern w:val="0"/>
          <w:sz w:val="24"/>
          <w:u w:val="single"/>
        </w:rPr>
      </w:pPr>
      <w:r>
        <w:rPr>
          <w:rFonts w:hint="eastAsia" w:ascii="宋体" w:hAnsi="宋体"/>
          <w:color w:val="auto"/>
          <w:kern w:val="0"/>
          <w:sz w:val="24"/>
        </w:rPr>
        <w:t>■另作约定：</w:t>
      </w:r>
      <w:r>
        <w:rPr>
          <w:rFonts w:hint="eastAsia" w:ascii="宋体" w:hAnsi="宋体"/>
          <w:color w:val="auto"/>
          <w:sz w:val="24"/>
          <w:u w:val="single"/>
        </w:rPr>
        <w:t>详见专用条款</w:t>
      </w:r>
      <w:r>
        <w:rPr>
          <w:rFonts w:ascii="宋体" w:hAnsi="宋体"/>
          <w:color w:val="auto"/>
          <w:sz w:val="24"/>
          <w:u w:val="single"/>
        </w:rPr>
        <w:t xml:space="preserve"> 95.2</w:t>
      </w:r>
      <w:r>
        <w:rPr>
          <w:rFonts w:hint="eastAsia" w:ascii="宋体" w:hAnsi="宋体"/>
          <w:color w:val="auto"/>
          <w:kern w:val="0"/>
          <w:sz w:val="24"/>
          <w:u w:val="single"/>
        </w:rPr>
        <w:t>条。</w:t>
      </w:r>
    </w:p>
    <w:p w14:paraId="6CB76A95">
      <w:pPr>
        <w:spacing w:line="360" w:lineRule="auto"/>
        <w:rPr>
          <w:rFonts w:ascii="宋体"/>
          <w:color w:val="auto"/>
          <w:kern w:val="0"/>
          <w:sz w:val="24"/>
        </w:rPr>
      </w:pPr>
    </w:p>
    <w:p w14:paraId="41C0E8BE">
      <w:pPr>
        <w:spacing w:line="360" w:lineRule="auto"/>
        <w:rPr>
          <w:rFonts w:ascii="宋体"/>
          <w:color w:val="auto"/>
          <w:kern w:val="0"/>
          <w:sz w:val="24"/>
        </w:rPr>
      </w:pPr>
      <w:r>
        <w:rPr>
          <w:rFonts w:ascii="宋体" w:hAnsi="宋体"/>
          <w:b/>
          <w:color w:val="auto"/>
          <w:kern w:val="0"/>
          <w:sz w:val="24"/>
        </w:rPr>
        <w:t xml:space="preserve">67. </w:t>
      </w:r>
      <w:r>
        <w:rPr>
          <w:rFonts w:hint="eastAsia" w:ascii="宋体" w:hAnsi="宋体"/>
          <w:b/>
          <w:color w:val="auto"/>
          <w:kern w:val="0"/>
          <w:sz w:val="24"/>
        </w:rPr>
        <w:t>工程优质费</w:t>
      </w:r>
    </w:p>
    <w:p w14:paraId="69A6DDBD">
      <w:pPr>
        <w:spacing w:line="360" w:lineRule="auto"/>
        <w:rPr>
          <w:rFonts w:ascii="宋体"/>
          <w:color w:val="auto"/>
          <w:kern w:val="0"/>
          <w:sz w:val="24"/>
        </w:rPr>
      </w:pPr>
      <w:r>
        <w:rPr>
          <w:rFonts w:ascii="宋体" w:hAnsi="宋体"/>
          <w:color w:val="auto"/>
          <w:kern w:val="0"/>
          <w:sz w:val="24"/>
        </w:rPr>
        <w:t xml:space="preserve">67.1 </w:t>
      </w:r>
      <w:r>
        <w:rPr>
          <w:rFonts w:hint="eastAsia" w:ascii="宋体" w:hAnsi="宋体"/>
          <w:color w:val="auto"/>
          <w:kern w:val="0"/>
          <w:sz w:val="24"/>
        </w:rPr>
        <w:t>工程优质费的计算方法</w:t>
      </w:r>
    </w:p>
    <w:p w14:paraId="32620C9A">
      <w:pPr>
        <w:spacing w:line="360" w:lineRule="auto"/>
        <w:rPr>
          <w:rFonts w:ascii="宋体"/>
          <w:color w:val="auto"/>
          <w:kern w:val="0"/>
          <w:sz w:val="24"/>
        </w:rPr>
      </w:pPr>
      <w:r>
        <w:rPr>
          <w:rFonts w:hint="eastAsia" w:ascii="宋体" w:hAnsi="宋体"/>
          <w:color w:val="auto"/>
          <w:kern w:val="0"/>
          <w:sz w:val="24"/>
        </w:rPr>
        <w:t>■没约定工程优质费的，本款不适用。</w:t>
      </w:r>
    </w:p>
    <w:p w14:paraId="64F95565">
      <w:pPr>
        <w:spacing w:line="360" w:lineRule="auto"/>
        <w:rPr>
          <w:rFonts w:ascii="宋体"/>
          <w:color w:val="auto"/>
          <w:kern w:val="0"/>
          <w:sz w:val="24"/>
        </w:rPr>
      </w:pPr>
      <w:r>
        <w:rPr>
          <w:rFonts w:hint="eastAsia" w:ascii="宋体"/>
          <w:color w:val="auto"/>
          <w:kern w:val="0"/>
          <w:sz w:val="24"/>
        </w:rPr>
        <w:t>□</w:t>
      </w:r>
      <w:r>
        <w:rPr>
          <w:rFonts w:hint="eastAsia" w:ascii="宋体" w:hAnsi="宋体"/>
          <w:color w:val="auto"/>
          <w:kern w:val="0"/>
          <w:sz w:val="24"/>
        </w:rPr>
        <w:t>约定工程优质费的，其计算方法：</w:t>
      </w:r>
      <w:r>
        <w:rPr>
          <w:rFonts w:ascii="宋体" w:hAnsi="宋体"/>
          <w:color w:val="auto"/>
          <w:kern w:val="0"/>
          <w:sz w:val="24"/>
          <w:u w:val="single"/>
        </w:rPr>
        <w:t xml:space="preserve">                    /                     </w:t>
      </w:r>
    </w:p>
    <w:p w14:paraId="5497B7FF">
      <w:pPr>
        <w:spacing w:line="360" w:lineRule="auto"/>
        <w:rPr>
          <w:rFonts w:ascii="宋体"/>
          <w:color w:val="auto"/>
          <w:kern w:val="0"/>
          <w:sz w:val="24"/>
        </w:rPr>
      </w:pPr>
      <w:r>
        <w:rPr>
          <w:rFonts w:ascii="宋体" w:hAnsi="宋体"/>
          <w:color w:val="auto"/>
          <w:kern w:val="0"/>
          <w:sz w:val="24"/>
        </w:rPr>
        <w:t xml:space="preserve">67.2 </w:t>
      </w:r>
      <w:r>
        <w:rPr>
          <w:rFonts w:hint="eastAsia" w:ascii="宋体" w:hAnsi="宋体"/>
          <w:color w:val="auto"/>
          <w:kern w:val="0"/>
          <w:sz w:val="24"/>
        </w:rPr>
        <w:t>工程优质费的计算额度：</w:t>
      </w:r>
    </w:p>
    <w:p w14:paraId="4D1D095B">
      <w:pPr>
        <w:spacing w:line="360" w:lineRule="auto"/>
        <w:rPr>
          <w:rFonts w:ascii="宋体"/>
          <w:color w:val="auto"/>
          <w:kern w:val="0"/>
          <w:sz w:val="24"/>
        </w:rPr>
      </w:pPr>
      <w:r>
        <w:rPr>
          <w:rFonts w:hint="eastAsia" w:ascii="宋体"/>
          <w:color w:val="auto"/>
          <w:kern w:val="0"/>
          <w:sz w:val="24"/>
        </w:rPr>
        <w:t>□</w:t>
      </w:r>
      <w:r>
        <w:rPr>
          <w:rFonts w:hint="eastAsia" w:ascii="宋体" w:hAnsi="宋体"/>
          <w:color w:val="auto"/>
          <w:kern w:val="0"/>
          <w:sz w:val="24"/>
        </w:rPr>
        <w:t>按通用条款规定计算。</w:t>
      </w:r>
    </w:p>
    <w:p w14:paraId="7977ECF3">
      <w:pPr>
        <w:spacing w:line="360" w:lineRule="auto"/>
        <w:rPr>
          <w:rFonts w:ascii="宋体"/>
          <w:color w:val="auto"/>
          <w:kern w:val="0"/>
          <w:sz w:val="24"/>
        </w:rPr>
      </w:pPr>
      <w:r>
        <w:rPr>
          <w:rFonts w:hint="eastAsia" w:ascii="宋体" w:hAnsi="宋体"/>
          <w:color w:val="auto"/>
          <w:kern w:val="0"/>
          <w:sz w:val="24"/>
        </w:rPr>
        <w:t>■另作约定（合同工程同时获得下列多个奖项的，只按最高奖项的额度计算）：</w:t>
      </w:r>
    </w:p>
    <w:p w14:paraId="3570F6C7">
      <w:pPr>
        <w:spacing w:line="360" w:lineRule="auto"/>
        <w:rPr>
          <w:rFonts w:ascii="宋体"/>
          <w:color w:val="auto"/>
          <w:kern w:val="0"/>
          <w:sz w:val="24"/>
        </w:rPr>
      </w:pPr>
      <w:r>
        <w:rPr>
          <w:rFonts w:hint="eastAsia" w:ascii="宋体" w:hAnsi="宋体"/>
          <w:color w:val="auto"/>
          <w:kern w:val="0"/>
          <w:sz w:val="24"/>
        </w:rPr>
        <w:t>国家级质量奖，合同价款的</w:t>
      </w:r>
      <w:r>
        <w:rPr>
          <w:rFonts w:ascii="宋体" w:hAnsi="宋体"/>
          <w:color w:val="auto"/>
          <w:kern w:val="0"/>
          <w:sz w:val="24"/>
          <w:u w:val="single"/>
        </w:rPr>
        <w:t xml:space="preserve">       /      </w:t>
      </w:r>
      <w:r>
        <w:rPr>
          <w:rFonts w:ascii="宋体" w:hAnsi="宋体"/>
          <w:color w:val="auto"/>
          <w:kern w:val="0"/>
          <w:sz w:val="24"/>
        </w:rPr>
        <w:t xml:space="preserve"> %</w:t>
      </w:r>
      <w:r>
        <w:rPr>
          <w:rFonts w:hint="eastAsia" w:ascii="宋体" w:hAnsi="宋体"/>
          <w:color w:val="auto"/>
          <w:kern w:val="0"/>
          <w:sz w:val="24"/>
        </w:rPr>
        <w:t>；</w:t>
      </w:r>
    </w:p>
    <w:p w14:paraId="70760895">
      <w:pPr>
        <w:spacing w:line="360" w:lineRule="auto"/>
        <w:rPr>
          <w:rFonts w:ascii="宋体"/>
          <w:color w:val="auto"/>
          <w:kern w:val="0"/>
          <w:sz w:val="24"/>
        </w:rPr>
      </w:pPr>
      <w:r>
        <w:rPr>
          <w:rFonts w:hint="eastAsia" w:ascii="宋体" w:hAnsi="宋体"/>
          <w:color w:val="auto"/>
          <w:kern w:val="0"/>
          <w:sz w:val="24"/>
        </w:rPr>
        <w:t>省级质量奖，合同价款的</w:t>
      </w:r>
      <w:r>
        <w:rPr>
          <w:rFonts w:ascii="宋体" w:hAnsi="宋体"/>
          <w:color w:val="auto"/>
          <w:kern w:val="0"/>
          <w:sz w:val="24"/>
          <w:u w:val="single"/>
        </w:rPr>
        <w:t xml:space="preserve">         /       </w:t>
      </w:r>
      <w:r>
        <w:rPr>
          <w:rFonts w:ascii="宋体" w:hAnsi="宋体"/>
          <w:color w:val="auto"/>
          <w:kern w:val="0"/>
          <w:sz w:val="24"/>
        </w:rPr>
        <w:t>%</w:t>
      </w:r>
      <w:r>
        <w:rPr>
          <w:rFonts w:hint="eastAsia" w:ascii="宋体" w:hAnsi="宋体"/>
          <w:color w:val="auto"/>
          <w:kern w:val="0"/>
          <w:sz w:val="24"/>
        </w:rPr>
        <w:t>；</w:t>
      </w:r>
    </w:p>
    <w:p w14:paraId="40BCEC21">
      <w:pPr>
        <w:spacing w:line="360" w:lineRule="auto"/>
        <w:rPr>
          <w:rFonts w:ascii="宋体"/>
          <w:color w:val="auto"/>
          <w:kern w:val="0"/>
          <w:sz w:val="24"/>
        </w:rPr>
      </w:pPr>
      <w:r>
        <w:rPr>
          <w:rFonts w:hint="eastAsia" w:ascii="宋体" w:hAnsi="宋体"/>
          <w:color w:val="auto"/>
          <w:kern w:val="0"/>
          <w:sz w:val="24"/>
        </w:rPr>
        <w:t>市级质量奖，合同价款的</w:t>
      </w:r>
      <w:r>
        <w:rPr>
          <w:rFonts w:ascii="宋体" w:hAnsi="宋体"/>
          <w:color w:val="auto"/>
          <w:kern w:val="0"/>
          <w:sz w:val="24"/>
          <w:u w:val="single"/>
        </w:rPr>
        <w:t xml:space="preserve">         /      </w:t>
      </w:r>
      <w:r>
        <w:rPr>
          <w:rFonts w:ascii="宋体" w:hAnsi="宋体"/>
          <w:color w:val="auto"/>
          <w:kern w:val="0"/>
          <w:sz w:val="24"/>
        </w:rPr>
        <w:t xml:space="preserve"> %</w:t>
      </w:r>
      <w:r>
        <w:rPr>
          <w:rFonts w:hint="eastAsia" w:ascii="宋体" w:hAnsi="宋体"/>
          <w:color w:val="auto"/>
          <w:kern w:val="0"/>
          <w:sz w:val="24"/>
        </w:rPr>
        <w:t>。</w:t>
      </w:r>
    </w:p>
    <w:p w14:paraId="44DC3E8F">
      <w:pPr>
        <w:keepNext/>
        <w:keepLines/>
        <w:spacing w:before="260" w:line="416" w:lineRule="auto"/>
        <w:ind w:firstLine="482" w:firstLineChars="200"/>
        <w:outlineLvl w:val="1"/>
        <w:rPr>
          <w:rFonts w:ascii="宋体" w:hAnsi="宋体" w:cs="宋体"/>
          <w:b/>
          <w:bCs/>
          <w:color w:val="auto"/>
          <w:sz w:val="24"/>
        </w:rPr>
      </w:pPr>
      <w:r>
        <w:rPr>
          <w:rFonts w:ascii="宋体" w:hAnsi="宋体"/>
          <w:b/>
          <w:color w:val="auto"/>
          <w:kern w:val="0"/>
          <w:sz w:val="24"/>
        </w:rPr>
        <w:t xml:space="preserve">68. </w:t>
      </w:r>
      <w:r>
        <w:rPr>
          <w:rFonts w:hint="eastAsia" w:ascii="宋体" w:hAnsi="宋体" w:cs="宋体"/>
          <w:b/>
          <w:bCs/>
          <w:color w:val="auto"/>
          <w:sz w:val="24"/>
        </w:rPr>
        <w:t>变更和合同价格调整</w:t>
      </w:r>
    </w:p>
    <w:p w14:paraId="6BCF74C2">
      <w:pPr>
        <w:spacing w:line="360" w:lineRule="auto"/>
        <w:ind w:firstLine="480" w:firstLineChars="200"/>
        <w:rPr>
          <w:rFonts w:ascii="宋体"/>
          <w:color w:val="auto"/>
          <w:kern w:val="0"/>
          <w:sz w:val="24"/>
        </w:rPr>
      </w:pPr>
      <w:r>
        <w:rPr>
          <w:rFonts w:hint="eastAsia" w:ascii="宋体"/>
          <w:color w:val="auto"/>
          <w:kern w:val="0"/>
          <w:sz w:val="24"/>
        </w:rPr>
        <w:sym w:font="Wingdings 2" w:char="00A3"/>
      </w:r>
      <w:r>
        <w:rPr>
          <w:rFonts w:hint="eastAsia" w:ascii="宋体" w:hAnsi="宋体"/>
          <w:color w:val="auto"/>
          <w:kern w:val="0"/>
          <w:sz w:val="24"/>
        </w:rPr>
        <w:t>按通用条款规定的调整事件。</w:t>
      </w:r>
    </w:p>
    <w:p w14:paraId="18A74FEC">
      <w:pPr>
        <w:adjustRightInd w:val="0"/>
        <w:snapToGrid w:val="0"/>
        <w:spacing w:line="360" w:lineRule="auto"/>
        <w:ind w:firstLine="480" w:firstLineChars="200"/>
        <w:rPr>
          <w:rFonts w:ascii="宋体"/>
          <w:color w:val="auto"/>
          <w:sz w:val="24"/>
        </w:rPr>
      </w:pPr>
      <w:r>
        <w:rPr>
          <w:rFonts w:hint="eastAsia" w:ascii="宋体" w:hAnsi="宋体"/>
          <w:color w:val="auto"/>
          <w:sz w:val="24"/>
        </w:rPr>
        <w:t>■另作约定：</w:t>
      </w:r>
    </w:p>
    <w:p w14:paraId="78FA491E">
      <w:pPr>
        <w:spacing w:before="120" w:beforeLines="50" w:after="120" w:afterLines="50" w:line="300" w:lineRule="auto"/>
        <w:ind w:firstLine="482" w:firstLineChars="200"/>
        <w:rPr>
          <w:b/>
          <w:bCs/>
          <w:color w:val="auto"/>
          <w:sz w:val="24"/>
        </w:rPr>
      </w:pPr>
      <w:r>
        <w:rPr>
          <w:rFonts w:hint="eastAsia"/>
          <w:b/>
          <w:bCs/>
          <w:color w:val="auto"/>
          <w:sz w:val="24"/>
        </w:rPr>
        <w:t>68.1</w:t>
      </w:r>
      <w:r>
        <w:rPr>
          <w:b/>
          <w:bCs/>
          <w:color w:val="auto"/>
          <w:sz w:val="24"/>
        </w:rPr>
        <w:t xml:space="preserve"> </w:t>
      </w:r>
      <w:r>
        <w:rPr>
          <w:rFonts w:hint="eastAsia" w:cs="宋体"/>
          <w:b/>
          <w:bCs/>
          <w:color w:val="auto"/>
          <w:sz w:val="24"/>
        </w:rPr>
        <w:t>变更范围</w:t>
      </w:r>
    </w:p>
    <w:p w14:paraId="75E57D9E">
      <w:pPr>
        <w:spacing w:line="300" w:lineRule="auto"/>
        <w:ind w:firstLine="480" w:firstLineChars="200"/>
        <w:rPr>
          <w:color w:val="auto"/>
          <w:sz w:val="24"/>
        </w:rPr>
      </w:pPr>
      <w:r>
        <w:rPr>
          <w:rFonts w:hint="eastAsia" w:cs="宋体"/>
          <w:color w:val="auto"/>
          <w:sz w:val="24"/>
        </w:rPr>
        <w:t>双方根据本工程特点，商定的其他变更范围：</w:t>
      </w:r>
      <w:r>
        <w:rPr>
          <w:rFonts w:hint="eastAsia" w:hAnsi="宋体" w:cs="宋体"/>
          <w:color w:val="auto"/>
          <w:sz w:val="24"/>
          <w:u w:val="single"/>
        </w:rPr>
        <w:t>改变合同工程的施工时间和已批准的施工工艺或顺序。</w:t>
      </w:r>
    </w:p>
    <w:p w14:paraId="4F57B4E8">
      <w:pPr>
        <w:spacing w:before="120" w:beforeLines="50" w:after="120" w:afterLines="50" w:line="300" w:lineRule="auto"/>
        <w:ind w:firstLine="482" w:firstLineChars="200"/>
        <w:rPr>
          <w:b/>
          <w:bCs/>
          <w:color w:val="auto"/>
          <w:sz w:val="24"/>
        </w:rPr>
      </w:pPr>
      <w:r>
        <w:rPr>
          <w:rFonts w:hint="eastAsia"/>
          <w:b/>
          <w:bCs/>
          <w:color w:val="auto"/>
          <w:sz w:val="24"/>
        </w:rPr>
        <w:t>68.2</w:t>
      </w:r>
      <w:r>
        <w:rPr>
          <w:b/>
          <w:bCs/>
          <w:color w:val="auto"/>
          <w:sz w:val="24"/>
        </w:rPr>
        <w:t xml:space="preserve"> </w:t>
      </w:r>
      <w:r>
        <w:rPr>
          <w:rFonts w:hint="eastAsia" w:cs="宋体"/>
          <w:b/>
          <w:bCs/>
          <w:color w:val="auto"/>
          <w:sz w:val="24"/>
        </w:rPr>
        <w:t>变更程序</w:t>
      </w:r>
    </w:p>
    <w:p w14:paraId="40A8B6EC">
      <w:pPr>
        <w:spacing w:line="360" w:lineRule="auto"/>
        <w:ind w:firstLine="480" w:firstLineChars="200"/>
        <w:rPr>
          <w:color w:val="auto"/>
          <w:sz w:val="24"/>
        </w:rPr>
      </w:pPr>
      <w:r>
        <w:rPr>
          <w:rFonts w:hint="eastAsia" w:cs="宋体"/>
          <w:color w:val="auto"/>
          <w:sz w:val="24"/>
        </w:rPr>
        <w:t>工程变更导致合同价款和工期的调整</w:t>
      </w:r>
    </w:p>
    <w:p w14:paraId="4C452E02">
      <w:pPr>
        <w:spacing w:line="360" w:lineRule="auto"/>
        <w:ind w:firstLine="480" w:firstLineChars="200"/>
        <w:rPr>
          <w:color w:val="auto"/>
          <w:sz w:val="24"/>
        </w:rPr>
      </w:pPr>
      <w:r>
        <w:rPr>
          <w:rFonts w:hint="eastAsia" w:cs="宋体"/>
          <w:color w:val="auto"/>
          <w:sz w:val="24"/>
        </w:rPr>
        <w:t>工程变更不应使合同作废或无效。工程变更应按照第</w:t>
      </w:r>
      <w:r>
        <w:rPr>
          <w:rFonts w:hint="eastAsia"/>
          <w:color w:val="auto"/>
          <w:sz w:val="24"/>
        </w:rPr>
        <w:t>68.4</w:t>
      </w:r>
      <w:r>
        <w:rPr>
          <w:rFonts w:hint="eastAsia" w:cs="宋体"/>
          <w:color w:val="auto"/>
          <w:sz w:val="24"/>
        </w:rPr>
        <w:t>条规定确定变更的工程款；影响工期的，工期应相应调整。但由于下列原因引起的变更，承包人无权要求任何额外或附加的费用，工期不予顺延：</w:t>
      </w:r>
    </w:p>
    <w:p w14:paraId="31BEE4A7">
      <w:pPr>
        <w:spacing w:line="360" w:lineRule="auto"/>
        <w:ind w:firstLine="480" w:firstLineChars="200"/>
        <w:rPr>
          <w:color w:val="auto"/>
          <w:sz w:val="24"/>
        </w:rPr>
      </w:pPr>
      <w:r>
        <w:rPr>
          <w:color w:val="auto"/>
          <w:sz w:val="24"/>
        </w:rPr>
        <w:t xml:space="preserve">(1) </w:t>
      </w:r>
      <w:r>
        <w:rPr>
          <w:rFonts w:hint="eastAsia" w:cs="宋体"/>
          <w:color w:val="auto"/>
          <w:sz w:val="24"/>
        </w:rPr>
        <w:t>为了便于组织施工而采取的技术措施变更或临时工程变更；</w:t>
      </w:r>
    </w:p>
    <w:p w14:paraId="7AF41683">
      <w:pPr>
        <w:spacing w:line="360" w:lineRule="auto"/>
        <w:ind w:firstLine="480" w:firstLineChars="200"/>
        <w:rPr>
          <w:color w:val="auto"/>
          <w:sz w:val="24"/>
        </w:rPr>
      </w:pPr>
      <w:r>
        <w:rPr>
          <w:color w:val="auto"/>
          <w:sz w:val="24"/>
        </w:rPr>
        <w:t xml:space="preserve">(2) </w:t>
      </w:r>
      <w:r>
        <w:rPr>
          <w:rFonts w:hint="eastAsia" w:cs="宋体"/>
          <w:color w:val="auto"/>
          <w:sz w:val="24"/>
        </w:rPr>
        <w:t>为了施工安全、避免干扰等原因而采取的技术措施变更或临时工程变更；</w:t>
      </w:r>
    </w:p>
    <w:p w14:paraId="25DBA77B">
      <w:pPr>
        <w:spacing w:line="360" w:lineRule="auto"/>
        <w:ind w:firstLine="480" w:firstLineChars="200"/>
        <w:rPr>
          <w:rFonts w:cs="宋体"/>
          <w:color w:val="auto"/>
          <w:sz w:val="24"/>
        </w:rPr>
      </w:pPr>
      <w:r>
        <w:rPr>
          <w:color w:val="auto"/>
          <w:sz w:val="24"/>
        </w:rPr>
        <w:t>(</w:t>
      </w:r>
      <w:r>
        <w:rPr>
          <w:rFonts w:hint="eastAsia"/>
          <w:color w:val="auto"/>
          <w:sz w:val="24"/>
        </w:rPr>
        <w:t>3</w:t>
      </w:r>
      <w:r>
        <w:rPr>
          <w:color w:val="auto"/>
          <w:sz w:val="24"/>
        </w:rPr>
        <w:t>)</w:t>
      </w:r>
      <w:r>
        <w:rPr>
          <w:rFonts w:hint="eastAsia"/>
          <w:color w:val="auto"/>
        </w:rPr>
        <w:t xml:space="preserve"> </w:t>
      </w:r>
      <w:r>
        <w:rPr>
          <w:rFonts w:hint="eastAsia" w:cs="宋体"/>
          <w:color w:val="auto"/>
          <w:sz w:val="24"/>
        </w:rPr>
        <w:t>施工图经供电部门审核通过后，因承包人原因（包括错、漏、碰、缺等设计失误）产生的设计变更。施工图即使通过审查备案，但如未达到国家、地方的行业标准、规范等及发包人需求和设计任务书规定标准和深度，发包人要求完善的，属于设计失误（由发包人牵头认定是否设计失误）引起的变更。</w:t>
      </w:r>
    </w:p>
    <w:p w14:paraId="704F480C">
      <w:pPr>
        <w:spacing w:line="360" w:lineRule="auto"/>
        <w:ind w:firstLine="480" w:firstLineChars="200"/>
        <w:rPr>
          <w:rFonts w:cs="宋体"/>
          <w:color w:val="auto"/>
          <w:sz w:val="24"/>
        </w:rPr>
      </w:pPr>
      <w:r>
        <w:rPr>
          <w:color w:val="auto"/>
          <w:sz w:val="24"/>
        </w:rPr>
        <w:t>(</w:t>
      </w:r>
      <w:r>
        <w:rPr>
          <w:rFonts w:hint="eastAsia"/>
          <w:color w:val="auto"/>
          <w:sz w:val="24"/>
        </w:rPr>
        <w:t>4</w:t>
      </w:r>
      <w:r>
        <w:rPr>
          <w:color w:val="auto"/>
          <w:sz w:val="24"/>
        </w:rPr>
        <w:t xml:space="preserve">) </w:t>
      </w:r>
      <w:r>
        <w:rPr>
          <w:rFonts w:hint="eastAsia" w:cs="宋体"/>
          <w:color w:val="auto"/>
          <w:sz w:val="24"/>
        </w:rPr>
        <w:t>因承包人违约、过错或承包人引起的其他变更。</w:t>
      </w:r>
    </w:p>
    <w:p w14:paraId="72077562">
      <w:pPr>
        <w:spacing w:line="360" w:lineRule="auto"/>
        <w:ind w:firstLine="480" w:firstLineChars="200"/>
        <w:rPr>
          <w:color w:val="auto"/>
          <w:sz w:val="24"/>
        </w:rPr>
      </w:pPr>
      <w:r>
        <w:rPr>
          <w:rFonts w:hint="eastAsia"/>
          <w:color w:val="auto"/>
          <w:sz w:val="24"/>
        </w:rPr>
        <w:t>承包人承诺：</w:t>
      </w:r>
      <w:r>
        <w:rPr>
          <w:rFonts w:hint="eastAsia" w:hAnsi="宋体"/>
          <w:color w:val="auto"/>
          <w:sz w:val="24"/>
          <w:u w:val="single"/>
        </w:rPr>
        <w:t>在承包人收到发包人书面指令的情况下，所有变更工程和新增工程引起的计价、计量调整、报批和审批过程，均不得影响变更的执行，承包人不得以此为理由公开或变相拖延或延误新增或变更工程，否则，承包人将承担由此造成的经济损失及工期延误的责任。</w:t>
      </w:r>
    </w:p>
    <w:p w14:paraId="25E79EE5">
      <w:pPr>
        <w:spacing w:before="120" w:beforeLines="50" w:after="120" w:afterLines="50" w:line="300" w:lineRule="auto"/>
        <w:ind w:firstLine="482" w:firstLineChars="200"/>
        <w:rPr>
          <w:b/>
          <w:bCs/>
          <w:color w:val="auto"/>
          <w:sz w:val="24"/>
        </w:rPr>
      </w:pPr>
      <w:r>
        <w:rPr>
          <w:rFonts w:hint="eastAsia"/>
          <w:b/>
          <w:bCs/>
          <w:color w:val="auto"/>
          <w:sz w:val="24"/>
        </w:rPr>
        <w:t>68.4</w:t>
      </w:r>
      <w:r>
        <w:rPr>
          <w:b/>
          <w:bCs/>
          <w:color w:val="auto"/>
          <w:sz w:val="24"/>
        </w:rPr>
        <w:t xml:space="preserve">  </w:t>
      </w:r>
      <w:r>
        <w:rPr>
          <w:rFonts w:hint="eastAsia" w:cs="宋体"/>
          <w:b/>
          <w:bCs/>
          <w:color w:val="auto"/>
          <w:sz w:val="24"/>
        </w:rPr>
        <w:t>变更价款确定</w:t>
      </w:r>
    </w:p>
    <w:p w14:paraId="5EFB9BFD">
      <w:pPr>
        <w:spacing w:before="120" w:beforeLines="50" w:after="120" w:afterLines="50" w:line="300" w:lineRule="auto"/>
        <w:ind w:firstLine="480" w:firstLineChars="200"/>
        <w:rPr>
          <w:color w:val="auto"/>
          <w:sz w:val="24"/>
          <w:u w:val="single"/>
        </w:rPr>
      </w:pPr>
      <w:r>
        <w:rPr>
          <w:rFonts w:hint="eastAsia" w:cs="宋体"/>
          <w:color w:val="auto"/>
          <w:sz w:val="24"/>
        </w:rPr>
        <w:t>变更价款约定的其他方法：</w:t>
      </w:r>
      <w:r>
        <w:rPr>
          <w:rFonts w:hint="eastAsia" w:cs="宋体"/>
          <w:color w:val="auto"/>
          <w:sz w:val="24"/>
          <w:u w:val="single"/>
        </w:rPr>
        <w:t>变更价款确定不按通用条款执行，按以下方法确定：</w:t>
      </w:r>
    </w:p>
    <w:p w14:paraId="24636A87">
      <w:pPr>
        <w:pStyle w:val="7"/>
        <w:spacing w:line="360" w:lineRule="auto"/>
        <w:ind w:firstLine="480" w:firstLineChars="200"/>
        <w:rPr>
          <w:rFonts w:hAnsi="宋体"/>
          <w:color w:val="auto"/>
          <w:sz w:val="24"/>
          <w:szCs w:val="24"/>
          <w:u w:val="single"/>
        </w:rPr>
      </w:pPr>
      <w:r>
        <w:rPr>
          <w:rFonts w:hint="eastAsia" w:hAnsi="宋体"/>
          <w:color w:val="auto"/>
          <w:sz w:val="24"/>
          <w:szCs w:val="24"/>
        </w:rPr>
        <w:t>1、</w:t>
      </w:r>
      <w:r>
        <w:rPr>
          <w:rFonts w:hint="eastAsia" w:hAnsi="宋体"/>
          <w:color w:val="auto"/>
          <w:sz w:val="24"/>
          <w:szCs w:val="24"/>
          <w:u w:val="single"/>
        </w:rPr>
        <w:t>在项目实施期间，</w:t>
      </w:r>
      <w:r>
        <w:rPr>
          <w:rFonts w:hint="eastAsia" w:hAnsi="宋体"/>
          <w:color w:val="auto"/>
          <w:sz w:val="24"/>
          <w:u w:val="single"/>
        </w:rPr>
        <w:t>因签证及发包人原因导致的项目增加，其工程量以工程师依据中华人民共和国国家标准《建设工程工程量清单计价规范》（</w:t>
      </w:r>
      <w:r>
        <w:rPr>
          <w:rFonts w:hAnsi="宋体"/>
          <w:color w:val="auto"/>
          <w:sz w:val="24"/>
          <w:u w:val="single"/>
        </w:rPr>
        <w:t>GB50500—2013</w:t>
      </w:r>
      <w:r>
        <w:rPr>
          <w:rFonts w:hint="eastAsia" w:hAnsi="宋体"/>
          <w:color w:val="auto"/>
          <w:sz w:val="24"/>
          <w:u w:val="single"/>
        </w:rPr>
        <w:t>）、计价办法、工程量计算规则、图纸等规定计量确认的实际工程量为准；其综合单价计算方法为：</w:t>
      </w:r>
    </w:p>
    <w:p w14:paraId="7EB6F178">
      <w:pPr>
        <w:spacing w:line="360" w:lineRule="auto"/>
        <w:ind w:firstLine="480" w:firstLineChars="200"/>
        <w:rPr>
          <w:rFonts w:ascii="宋体"/>
          <w:color w:val="auto"/>
          <w:kern w:val="0"/>
          <w:sz w:val="24"/>
          <w:u w:val="single"/>
        </w:rPr>
      </w:pPr>
      <w:r>
        <w:rPr>
          <w:rFonts w:hint="eastAsia" w:ascii="宋体" w:hAnsi="宋体"/>
          <w:color w:val="auto"/>
          <w:kern w:val="0"/>
          <w:sz w:val="24"/>
          <w:u w:val="single"/>
        </w:rPr>
        <w:t>（1）施工图预算的工程量清单中已有相同项目的适用的综合单价，则沿用。</w:t>
      </w:r>
    </w:p>
    <w:p w14:paraId="6C7B9FF6">
      <w:pPr>
        <w:spacing w:line="360" w:lineRule="auto"/>
        <w:ind w:firstLine="480" w:firstLineChars="200"/>
        <w:rPr>
          <w:rFonts w:hint="eastAsia" w:ascii="宋体" w:hAnsi="宋体"/>
          <w:color w:val="auto"/>
          <w:kern w:val="0"/>
          <w:sz w:val="24"/>
          <w:u w:val="single"/>
        </w:rPr>
      </w:pPr>
      <w:r>
        <w:rPr>
          <w:rFonts w:hint="eastAsia" w:ascii="宋体" w:hAnsi="宋体"/>
          <w:color w:val="auto"/>
          <w:kern w:val="0"/>
          <w:sz w:val="24"/>
          <w:u w:val="single"/>
        </w:rPr>
        <w:t>（2）施工图预算的工程量清单中已有类似项目的，则按类似项目的综合单价对相应子目、消耗量、单价等进行调整换算，原管理费、利润水平不变（若施工图预算的工程量清单列出多个同类项目，而施工图预算有不同的综合单价，则该类项目的单价换算取工料机水平最高即消耗量最少的、管理费和利润取费最低的综合单价进行分析换算）。</w:t>
      </w:r>
    </w:p>
    <w:p w14:paraId="1642F552">
      <w:pPr>
        <w:spacing w:line="360" w:lineRule="auto"/>
        <w:ind w:firstLine="480" w:firstLineChars="200"/>
        <w:rPr>
          <w:color w:val="auto"/>
        </w:rPr>
      </w:pPr>
      <w:r>
        <w:rPr>
          <w:rFonts w:hint="eastAsia" w:ascii="宋体" w:hAnsi="宋体"/>
          <w:color w:val="auto"/>
          <w:kern w:val="0"/>
          <w:sz w:val="24"/>
          <w:u w:val="single"/>
        </w:rPr>
        <w:t>（3）施工图预算工程量清单中没有相同项目或类似项目的，则作为新增项目，采用清单计价方式，套用相对应现行最新定额（</w:t>
      </w:r>
      <w:r>
        <w:rPr>
          <w:rFonts w:ascii="宋体" w:hAnsi="宋体"/>
          <w:color w:val="auto"/>
          <w:kern w:val="0"/>
          <w:sz w:val="24"/>
          <w:u w:val="single"/>
        </w:rPr>
        <w:t>2018</w:t>
      </w:r>
      <w:r>
        <w:rPr>
          <w:rFonts w:hint="eastAsia" w:ascii="宋体" w:hAnsi="宋体"/>
          <w:color w:val="auto"/>
          <w:kern w:val="0"/>
          <w:sz w:val="24"/>
          <w:u w:val="single"/>
        </w:rPr>
        <w:t>）计价子目。新增材料单价执行“</w:t>
      </w:r>
      <w:r>
        <w:rPr>
          <w:rFonts w:hint="eastAsia" w:ascii="宋体" w:hAnsi="宋体"/>
          <w:color w:val="auto"/>
          <w:kern w:val="0"/>
          <w:sz w:val="24"/>
          <w:u w:val="single"/>
          <w:lang w:val="en-US" w:eastAsia="zh-CN"/>
        </w:rPr>
        <w:t>施工期</w:t>
      </w:r>
      <w:r>
        <w:rPr>
          <w:rFonts w:hint="eastAsia" w:ascii="宋体" w:hAnsi="宋体"/>
          <w:color w:val="auto"/>
          <w:kern w:val="0"/>
          <w:sz w:val="24"/>
          <w:u w:val="single"/>
        </w:rPr>
        <w:t>”的《广州地区建设工程常用材料综合价格》</w:t>
      </w:r>
      <w:r>
        <w:rPr>
          <w:rFonts w:hint="eastAsia" w:ascii="宋体" w:hAnsi="宋体" w:cs="宋体"/>
          <w:color w:val="auto"/>
          <w:sz w:val="24"/>
          <w:lang w:val="en-US" w:eastAsia="zh-CN"/>
        </w:rPr>
        <w:t>或</w:t>
      </w:r>
      <w:r>
        <w:rPr>
          <w:rFonts w:ascii="宋体" w:hAnsi="宋体" w:cs="宋体"/>
          <w:color w:val="auto"/>
          <w:sz w:val="24"/>
        </w:rPr>
        <w:t>《广州地区建设工程常用材料综合价格》没有的则由承包人选定满足设计要求并符合国家（行业）产品标准的厂家和品牌后报发包人批准，其价格按《广州地区建设工程材料（设备）厂商价格信息》下浮</w:t>
      </w:r>
      <w:r>
        <w:rPr>
          <w:rFonts w:hint="eastAsia" w:ascii="宋体" w:hAnsi="宋体" w:cs="宋体"/>
          <w:color w:val="auto"/>
          <w:sz w:val="24"/>
          <w:lang w:val="en-US" w:eastAsia="zh-CN"/>
        </w:rPr>
        <w:t>1</w:t>
      </w:r>
      <w:r>
        <w:rPr>
          <w:rFonts w:ascii="宋体" w:hAnsi="宋体" w:cs="宋体"/>
          <w:color w:val="auto"/>
          <w:sz w:val="24"/>
        </w:rPr>
        <w:t>0%执行。若上述文件没有价格的主材，则以市场询价方式，由承包人申报三个厂家（品牌）及报价给监理单位和发包人审核确定</w:t>
      </w:r>
      <w:r>
        <w:rPr>
          <w:rFonts w:hint="eastAsia" w:ascii="宋体" w:hAnsi="宋体" w:cs="宋体"/>
          <w:color w:val="auto"/>
          <w:sz w:val="24"/>
        </w:rPr>
        <w:t>。</w:t>
      </w:r>
    </w:p>
    <w:p w14:paraId="09ED4C04">
      <w:pPr>
        <w:spacing w:line="360" w:lineRule="auto"/>
        <w:ind w:firstLine="480" w:firstLineChars="200"/>
        <w:rPr>
          <w:rFonts w:hint="default" w:eastAsia="宋体"/>
          <w:color w:val="auto"/>
          <w:lang w:val="en-US" w:eastAsia="zh-CN"/>
        </w:rPr>
      </w:pPr>
      <w:r>
        <w:rPr>
          <w:rFonts w:hint="eastAsia" w:ascii="宋体" w:hAnsi="宋体"/>
          <w:color w:val="auto"/>
          <w:kern w:val="0"/>
          <w:sz w:val="24"/>
          <w:u w:val="single"/>
        </w:rPr>
        <w:t>按上述方法计算后乘以（1-投标下浮率）作为变更价款。</w:t>
      </w:r>
      <w:r>
        <w:rPr>
          <w:rFonts w:hint="eastAsia" w:ascii="宋体" w:hAnsi="宋体"/>
          <w:color w:val="auto"/>
          <w:kern w:val="0"/>
          <w:sz w:val="24"/>
          <w:u w:val="single"/>
          <w:lang w:val="en-US" w:eastAsia="zh-CN"/>
        </w:rPr>
        <w:t>措施项目费及其他项目费不作调整。</w:t>
      </w:r>
    </w:p>
    <w:p w14:paraId="6F384CA9">
      <w:pPr>
        <w:pStyle w:val="3"/>
        <w:rPr>
          <w:color w:val="auto"/>
        </w:rPr>
      </w:pPr>
    </w:p>
    <w:p w14:paraId="3F636504">
      <w:pPr>
        <w:pStyle w:val="4"/>
        <w:spacing w:line="360" w:lineRule="auto"/>
        <w:ind w:firstLine="360" w:firstLineChars="150"/>
        <w:rPr>
          <w:rFonts w:ascii="宋体"/>
          <w:color w:val="auto"/>
          <w:kern w:val="0"/>
          <w:u w:val="single"/>
        </w:rPr>
      </w:pPr>
      <w:r>
        <w:rPr>
          <w:rFonts w:ascii="宋体" w:hAnsi="宋体"/>
          <w:color w:val="auto"/>
          <w:kern w:val="0"/>
        </w:rPr>
        <w:t>4</w:t>
      </w:r>
      <w:r>
        <w:rPr>
          <w:rFonts w:hint="eastAsia" w:ascii="宋体" w:hAnsi="宋体"/>
          <w:color w:val="auto"/>
          <w:kern w:val="0"/>
        </w:rPr>
        <w:t>2、</w:t>
      </w:r>
      <w:r>
        <w:rPr>
          <w:rFonts w:hint="eastAsia" w:ascii="宋体" w:hAnsi="宋体"/>
          <w:color w:val="auto"/>
          <w:kern w:val="0"/>
          <w:u w:val="single"/>
        </w:rPr>
        <w:t>施工费（含变更）结算严格控制在经审定的预算范围内，如超过审定预算金额，应由承包方进行优化。</w:t>
      </w:r>
    </w:p>
    <w:p w14:paraId="72408205">
      <w:pPr>
        <w:spacing w:line="360" w:lineRule="auto"/>
        <w:rPr>
          <w:rFonts w:ascii="宋体"/>
          <w:color w:val="auto"/>
          <w:kern w:val="0"/>
          <w:sz w:val="24"/>
          <w:u w:val="single"/>
        </w:rPr>
      </w:pPr>
      <w:r>
        <w:rPr>
          <w:rFonts w:ascii="宋体" w:hAnsi="宋体"/>
          <w:color w:val="auto"/>
          <w:kern w:val="0"/>
          <w:sz w:val="24"/>
        </w:rPr>
        <w:t>68.2</w:t>
      </w:r>
      <w:r>
        <w:rPr>
          <w:rFonts w:hint="eastAsia" w:ascii="宋体" w:hAnsi="宋体"/>
          <w:color w:val="auto"/>
          <w:kern w:val="0"/>
          <w:sz w:val="24"/>
        </w:rPr>
        <w:t>（</w:t>
      </w:r>
      <w:r>
        <w:rPr>
          <w:rFonts w:ascii="宋体" w:hAnsi="宋体"/>
          <w:color w:val="auto"/>
          <w:kern w:val="0"/>
          <w:sz w:val="24"/>
        </w:rPr>
        <w:t>9</w:t>
      </w:r>
      <w:r>
        <w:rPr>
          <w:rFonts w:hint="eastAsia" w:ascii="宋体" w:hAnsi="宋体"/>
          <w:color w:val="auto"/>
          <w:kern w:val="0"/>
          <w:sz w:val="24"/>
        </w:rPr>
        <w:t>）调整合同价款的其他事件：</w:t>
      </w:r>
      <w:r>
        <w:rPr>
          <w:rFonts w:ascii="宋体" w:hAnsi="宋体"/>
          <w:color w:val="auto"/>
          <w:kern w:val="0"/>
          <w:sz w:val="24"/>
          <w:u w:val="single"/>
        </w:rPr>
        <w:t xml:space="preserve">                     /                    </w:t>
      </w:r>
    </w:p>
    <w:p w14:paraId="7A68F45E">
      <w:pPr>
        <w:spacing w:line="360" w:lineRule="auto"/>
        <w:rPr>
          <w:rFonts w:ascii="宋体"/>
          <w:color w:val="auto"/>
          <w:kern w:val="0"/>
          <w:sz w:val="24"/>
        </w:rPr>
      </w:pPr>
    </w:p>
    <w:p w14:paraId="6842EFBD">
      <w:pPr>
        <w:spacing w:line="360" w:lineRule="auto"/>
        <w:rPr>
          <w:rFonts w:ascii="宋体"/>
          <w:b/>
          <w:color w:val="auto"/>
          <w:kern w:val="0"/>
          <w:sz w:val="24"/>
        </w:rPr>
      </w:pPr>
      <w:r>
        <w:rPr>
          <w:rFonts w:ascii="宋体" w:hAnsi="宋体"/>
          <w:b/>
          <w:color w:val="auto"/>
          <w:kern w:val="0"/>
          <w:sz w:val="24"/>
        </w:rPr>
        <w:t xml:space="preserve">72. </w:t>
      </w:r>
      <w:r>
        <w:rPr>
          <w:rFonts w:hint="eastAsia" w:ascii="宋体" w:hAnsi="宋体"/>
          <w:b/>
          <w:color w:val="auto"/>
          <w:kern w:val="0"/>
          <w:sz w:val="24"/>
        </w:rPr>
        <w:t>工程变更事件</w:t>
      </w:r>
    </w:p>
    <w:p w14:paraId="294C715C">
      <w:pPr>
        <w:spacing w:line="360" w:lineRule="auto"/>
        <w:rPr>
          <w:rFonts w:ascii="宋体"/>
          <w:color w:val="auto"/>
          <w:kern w:val="0"/>
          <w:sz w:val="24"/>
        </w:rPr>
      </w:pPr>
      <w:r>
        <w:rPr>
          <w:rFonts w:ascii="宋体" w:hAnsi="宋体"/>
          <w:color w:val="auto"/>
          <w:kern w:val="0"/>
          <w:sz w:val="24"/>
        </w:rPr>
        <w:t xml:space="preserve">72.4 </w:t>
      </w:r>
      <w:r>
        <w:rPr>
          <w:rFonts w:hint="eastAsia" w:ascii="宋体" w:hAnsi="宋体"/>
          <w:color w:val="auto"/>
          <w:kern w:val="0"/>
          <w:sz w:val="24"/>
        </w:rPr>
        <w:t>调整承包人报价偏差的方法</w:t>
      </w:r>
    </w:p>
    <w:p w14:paraId="362786AE">
      <w:pPr>
        <w:spacing w:line="360" w:lineRule="auto"/>
        <w:rPr>
          <w:rFonts w:ascii="宋体"/>
          <w:color w:val="auto"/>
          <w:kern w:val="0"/>
          <w:sz w:val="24"/>
        </w:rPr>
      </w:pPr>
      <w:r>
        <w:rPr>
          <w:rFonts w:hint="eastAsia" w:ascii="宋体" w:hAnsi="宋体"/>
          <w:color w:val="auto"/>
          <w:kern w:val="0"/>
          <w:sz w:val="24"/>
        </w:rPr>
        <w:t>■按通用条款的规定调整。</w:t>
      </w:r>
    </w:p>
    <w:p w14:paraId="0A6ACEDC">
      <w:pPr>
        <w:spacing w:line="360" w:lineRule="auto"/>
        <w:rPr>
          <w:rFonts w:ascii="宋体"/>
          <w:color w:val="auto"/>
          <w:kern w:val="0"/>
          <w:sz w:val="24"/>
          <w:u w:val="single"/>
        </w:rPr>
      </w:pPr>
      <w:r>
        <w:rPr>
          <w:rFonts w:hint="eastAsia" w:ascii="宋体"/>
          <w:color w:val="auto"/>
          <w:kern w:val="0"/>
          <w:sz w:val="24"/>
        </w:rPr>
        <w:t>□</w:t>
      </w:r>
      <w:r>
        <w:rPr>
          <w:rFonts w:hint="eastAsia" w:ascii="宋体" w:hAnsi="宋体"/>
          <w:color w:val="auto"/>
          <w:kern w:val="0"/>
          <w:sz w:val="24"/>
        </w:rPr>
        <w:t>按照下列方法调整：</w:t>
      </w:r>
      <w:r>
        <w:rPr>
          <w:rFonts w:ascii="宋体" w:hAnsi="宋体"/>
          <w:color w:val="auto"/>
          <w:kern w:val="0"/>
          <w:sz w:val="24"/>
          <w:u w:val="single"/>
        </w:rPr>
        <w:t xml:space="preserve">                           /                             </w:t>
      </w:r>
    </w:p>
    <w:p w14:paraId="7C38105F">
      <w:pPr>
        <w:spacing w:line="360" w:lineRule="auto"/>
        <w:rPr>
          <w:rFonts w:ascii="宋体"/>
          <w:color w:val="auto"/>
          <w:kern w:val="0"/>
          <w:sz w:val="24"/>
        </w:rPr>
      </w:pPr>
    </w:p>
    <w:p w14:paraId="334EFC3C">
      <w:pPr>
        <w:spacing w:line="360" w:lineRule="auto"/>
        <w:rPr>
          <w:rFonts w:ascii="宋体"/>
          <w:b/>
          <w:color w:val="auto"/>
          <w:kern w:val="0"/>
          <w:sz w:val="24"/>
        </w:rPr>
      </w:pPr>
      <w:r>
        <w:rPr>
          <w:rFonts w:ascii="宋体" w:hAnsi="宋体"/>
          <w:b/>
          <w:color w:val="auto"/>
          <w:kern w:val="0"/>
          <w:sz w:val="24"/>
        </w:rPr>
        <w:t xml:space="preserve">73. </w:t>
      </w:r>
      <w:r>
        <w:rPr>
          <w:rFonts w:hint="eastAsia" w:ascii="宋体" w:hAnsi="宋体"/>
          <w:b/>
          <w:color w:val="auto"/>
          <w:kern w:val="0"/>
          <w:sz w:val="24"/>
        </w:rPr>
        <w:t>工程量偏差事件</w:t>
      </w:r>
    </w:p>
    <w:p w14:paraId="067F20DD">
      <w:pPr>
        <w:spacing w:line="360" w:lineRule="auto"/>
        <w:rPr>
          <w:rFonts w:ascii="宋体"/>
          <w:color w:val="auto"/>
          <w:kern w:val="0"/>
          <w:sz w:val="24"/>
        </w:rPr>
      </w:pPr>
      <w:r>
        <w:rPr>
          <w:rFonts w:ascii="宋体" w:hAnsi="宋体"/>
          <w:color w:val="auto"/>
          <w:kern w:val="0"/>
          <w:sz w:val="24"/>
        </w:rPr>
        <w:t xml:space="preserve">73.2 </w:t>
      </w:r>
      <w:r>
        <w:rPr>
          <w:rFonts w:hint="eastAsia" w:ascii="宋体" w:hAnsi="宋体"/>
          <w:color w:val="auto"/>
          <w:kern w:val="0"/>
          <w:sz w:val="24"/>
        </w:rPr>
        <w:t>调整分部分项工程费的方法</w:t>
      </w:r>
    </w:p>
    <w:p w14:paraId="4DA48D3A">
      <w:pPr>
        <w:spacing w:line="360" w:lineRule="auto"/>
        <w:rPr>
          <w:rFonts w:ascii="宋体"/>
          <w:color w:val="auto"/>
          <w:kern w:val="0"/>
          <w:sz w:val="24"/>
        </w:rPr>
      </w:pPr>
      <w:r>
        <w:rPr>
          <w:rFonts w:hint="eastAsia" w:ascii="宋体" w:hAnsi="宋体"/>
          <w:color w:val="auto"/>
          <w:kern w:val="0"/>
          <w:sz w:val="24"/>
        </w:rPr>
        <w:t>调整结算分部分项工程费：</w:t>
      </w:r>
    </w:p>
    <w:p w14:paraId="158659CE">
      <w:pPr>
        <w:spacing w:line="360" w:lineRule="auto"/>
        <w:rPr>
          <w:rFonts w:ascii="宋体"/>
          <w:color w:val="auto"/>
          <w:kern w:val="0"/>
          <w:sz w:val="24"/>
        </w:rPr>
      </w:pPr>
      <w:r>
        <w:rPr>
          <w:rFonts w:hint="eastAsia" w:ascii="宋体"/>
          <w:color w:val="auto"/>
          <w:kern w:val="0"/>
          <w:sz w:val="24"/>
        </w:rPr>
        <w:t>□</w:t>
      </w:r>
      <w:r>
        <w:rPr>
          <w:rFonts w:hint="eastAsia" w:ascii="宋体" w:hAnsi="宋体"/>
          <w:color w:val="auto"/>
          <w:kern w:val="0"/>
          <w:sz w:val="24"/>
        </w:rPr>
        <w:t>按通用条款的规定调整。</w:t>
      </w:r>
    </w:p>
    <w:p w14:paraId="4C7392BA">
      <w:pPr>
        <w:spacing w:line="360" w:lineRule="auto"/>
        <w:rPr>
          <w:rFonts w:ascii="宋体"/>
          <w:color w:val="auto"/>
          <w:kern w:val="0"/>
          <w:sz w:val="24"/>
          <w:u w:val="single"/>
        </w:rPr>
      </w:pPr>
      <w:r>
        <w:rPr>
          <w:rFonts w:hint="eastAsia" w:ascii="宋体" w:hAnsi="宋体"/>
          <w:color w:val="auto"/>
          <w:sz w:val="24"/>
        </w:rPr>
        <w:t>■</w:t>
      </w:r>
      <w:r>
        <w:rPr>
          <w:rFonts w:hint="eastAsia" w:ascii="宋体" w:hAnsi="宋体"/>
          <w:color w:val="auto"/>
          <w:kern w:val="0"/>
          <w:sz w:val="24"/>
        </w:rPr>
        <w:t>按照下列方法调整：</w:t>
      </w:r>
      <w:r>
        <w:rPr>
          <w:rFonts w:hint="eastAsia" w:ascii="宋体" w:hAnsi="宋体"/>
          <w:color w:val="auto"/>
          <w:sz w:val="24"/>
          <w:lang w:val="en-US" w:eastAsia="zh-CN"/>
        </w:rPr>
        <w:t>以</w:t>
      </w:r>
      <w:r>
        <w:rPr>
          <w:rFonts w:hint="eastAsia" w:ascii="宋体" w:hAnsi="宋体"/>
          <w:color w:val="auto"/>
          <w:sz w:val="24"/>
        </w:rPr>
        <w:t>施工图为依据编制的预算经审定后采用</w:t>
      </w:r>
      <w:r>
        <w:rPr>
          <w:rFonts w:hint="eastAsia" w:ascii="宋体" w:hAnsi="宋体"/>
          <w:color w:val="auto"/>
          <w:sz w:val="24"/>
          <w:lang w:val="en-US" w:eastAsia="zh-CN"/>
        </w:rPr>
        <w:t>总</w:t>
      </w:r>
      <w:r>
        <w:rPr>
          <w:rFonts w:hint="eastAsia" w:ascii="宋体" w:hAnsi="宋体"/>
          <w:color w:val="auto"/>
          <w:sz w:val="24"/>
        </w:rPr>
        <w:t>价包干，</w:t>
      </w:r>
      <w:r>
        <w:rPr>
          <w:rFonts w:hint="eastAsia" w:ascii="宋体" w:hAnsi="Calibri" w:cs="宋体"/>
          <w:color w:val="auto"/>
          <w:kern w:val="0"/>
          <w:sz w:val="24"/>
          <w:lang w:eastAsia="zh-CN"/>
        </w:rPr>
        <w:t>除根据实际需要由发包人提出的工程变更</w:t>
      </w:r>
      <w:r>
        <w:rPr>
          <w:rFonts w:hint="eastAsia" w:ascii="宋体" w:hAnsi="Calibri" w:cs="宋体"/>
          <w:color w:val="auto"/>
          <w:kern w:val="0"/>
          <w:sz w:val="24"/>
        </w:rPr>
        <w:t>外</w:t>
      </w:r>
      <w:r>
        <w:rPr>
          <w:rFonts w:hint="eastAsia" w:ascii="宋体" w:hAnsi="宋体"/>
          <w:color w:val="auto"/>
          <w:sz w:val="24"/>
          <w:lang w:eastAsia="zh-CN"/>
        </w:rPr>
        <w:t>，</w:t>
      </w:r>
      <w:r>
        <w:rPr>
          <w:rFonts w:hint="eastAsia" w:ascii="宋体" w:hAnsi="宋体"/>
          <w:color w:val="auto"/>
          <w:sz w:val="24"/>
          <w:lang w:val="en-US" w:eastAsia="zh-CN"/>
        </w:rPr>
        <w:t>不作调整</w:t>
      </w:r>
      <w:r>
        <w:rPr>
          <w:rFonts w:hint="eastAsia" w:ascii="宋体" w:hAnsi="宋体"/>
          <w:color w:val="auto"/>
          <w:kern w:val="0"/>
          <w:sz w:val="24"/>
        </w:rPr>
        <w:t>。</w:t>
      </w:r>
    </w:p>
    <w:p w14:paraId="393C7346">
      <w:pPr>
        <w:spacing w:line="360" w:lineRule="auto"/>
        <w:rPr>
          <w:rFonts w:ascii="宋体"/>
          <w:color w:val="auto"/>
          <w:kern w:val="0"/>
          <w:sz w:val="24"/>
        </w:rPr>
      </w:pPr>
      <w:r>
        <w:rPr>
          <w:rFonts w:ascii="宋体" w:hAnsi="宋体"/>
          <w:color w:val="auto"/>
          <w:kern w:val="0"/>
          <w:sz w:val="24"/>
        </w:rPr>
        <w:t xml:space="preserve">73.3 </w:t>
      </w:r>
      <w:r>
        <w:rPr>
          <w:rFonts w:hint="eastAsia" w:ascii="宋体" w:hAnsi="宋体"/>
          <w:color w:val="auto"/>
          <w:kern w:val="0"/>
          <w:sz w:val="24"/>
        </w:rPr>
        <w:t>调整措施项目费的方法</w:t>
      </w:r>
    </w:p>
    <w:p w14:paraId="26D18F4E">
      <w:pPr>
        <w:spacing w:line="360" w:lineRule="auto"/>
        <w:rPr>
          <w:rFonts w:ascii="宋体"/>
          <w:color w:val="auto"/>
          <w:kern w:val="0"/>
          <w:sz w:val="24"/>
        </w:rPr>
      </w:pPr>
      <w:r>
        <w:rPr>
          <w:rFonts w:hint="eastAsia" w:ascii="宋体" w:hAnsi="宋体"/>
          <w:color w:val="auto"/>
          <w:kern w:val="0"/>
          <w:sz w:val="24"/>
        </w:rPr>
        <w:t>调整结算措施项目费：</w:t>
      </w:r>
    </w:p>
    <w:p w14:paraId="0B0717D3">
      <w:pPr>
        <w:spacing w:line="360" w:lineRule="auto"/>
        <w:rPr>
          <w:rFonts w:ascii="宋体"/>
          <w:color w:val="auto"/>
          <w:kern w:val="0"/>
          <w:sz w:val="24"/>
        </w:rPr>
      </w:pPr>
      <w:r>
        <w:rPr>
          <w:rFonts w:hint="eastAsia" w:ascii="宋体"/>
          <w:color w:val="auto"/>
          <w:kern w:val="0"/>
          <w:sz w:val="24"/>
        </w:rPr>
        <w:t>□</w:t>
      </w:r>
      <w:r>
        <w:rPr>
          <w:rFonts w:hint="eastAsia" w:ascii="宋体" w:hAnsi="宋体"/>
          <w:color w:val="auto"/>
          <w:kern w:val="0"/>
          <w:sz w:val="24"/>
        </w:rPr>
        <w:t>按通用条款的规定调整。</w:t>
      </w:r>
    </w:p>
    <w:p w14:paraId="65EB38F2">
      <w:pPr>
        <w:adjustRightInd w:val="0"/>
        <w:snapToGrid w:val="0"/>
        <w:spacing w:line="360" w:lineRule="auto"/>
        <w:rPr>
          <w:rFonts w:ascii="宋体"/>
          <w:color w:val="auto"/>
          <w:kern w:val="0"/>
          <w:sz w:val="24"/>
        </w:rPr>
      </w:pPr>
      <w:r>
        <w:rPr>
          <w:rFonts w:hint="eastAsia" w:ascii="宋体" w:hAnsi="宋体"/>
          <w:color w:val="auto"/>
          <w:sz w:val="24"/>
        </w:rPr>
        <w:t>■</w:t>
      </w:r>
      <w:r>
        <w:rPr>
          <w:rFonts w:hint="eastAsia" w:ascii="宋体" w:hAnsi="宋体"/>
          <w:color w:val="auto"/>
          <w:kern w:val="0"/>
          <w:sz w:val="24"/>
        </w:rPr>
        <w:t>按照下列方法调整：</w:t>
      </w:r>
      <w:r>
        <w:rPr>
          <w:rFonts w:hint="eastAsia" w:ascii="宋体" w:hAnsi="Calibri" w:cs="宋体"/>
          <w:color w:val="auto"/>
          <w:kern w:val="0"/>
          <w:sz w:val="24"/>
          <w:u w:val="single"/>
        </w:rPr>
        <w:t>本项目措施项目费包干，结算不再调整</w:t>
      </w:r>
      <w:r>
        <w:rPr>
          <w:rFonts w:hint="eastAsia" w:ascii="宋体" w:hAnsi="宋体"/>
          <w:color w:val="auto"/>
          <w:kern w:val="0"/>
          <w:sz w:val="24"/>
        </w:rPr>
        <w:t>。</w:t>
      </w:r>
    </w:p>
    <w:p w14:paraId="1504DE43">
      <w:pPr>
        <w:spacing w:line="360" w:lineRule="auto"/>
        <w:ind w:firstLine="120" w:firstLineChars="50"/>
        <w:rPr>
          <w:rFonts w:ascii="宋体"/>
          <w:color w:val="auto"/>
          <w:kern w:val="0"/>
          <w:sz w:val="24"/>
        </w:rPr>
      </w:pPr>
    </w:p>
    <w:p w14:paraId="341AAEE0">
      <w:pPr>
        <w:spacing w:line="360" w:lineRule="auto"/>
        <w:rPr>
          <w:rFonts w:ascii="宋体"/>
          <w:color w:val="auto"/>
          <w:kern w:val="0"/>
          <w:sz w:val="24"/>
        </w:rPr>
      </w:pPr>
      <w:r>
        <w:rPr>
          <w:rFonts w:ascii="宋体" w:hAnsi="宋体"/>
          <w:b/>
          <w:color w:val="auto"/>
          <w:kern w:val="0"/>
          <w:sz w:val="24"/>
        </w:rPr>
        <w:t xml:space="preserve">75. </w:t>
      </w:r>
      <w:r>
        <w:rPr>
          <w:rFonts w:hint="eastAsia" w:ascii="宋体" w:hAnsi="宋体"/>
          <w:b/>
          <w:color w:val="auto"/>
          <w:kern w:val="0"/>
          <w:sz w:val="24"/>
        </w:rPr>
        <w:t>现场签证事件</w:t>
      </w:r>
    </w:p>
    <w:p w14:paraId="2B70E90C">
      <w:pPr>
        <w:spacing w:line="360" w:lineRule="auto"/>
        <w:rPr>
          <w:rFonts w:ascii="宋体"/>
          <w:color w:val="auto"/>
          <w:kern w:val="0"/>
          <w:sz w:val="24"/>
        </w:rPr>
      </w:pPr>
      <w:r>
        <w:rPr>
          <w:rFonts w:ascii="宋体" w:hAnsi="宋体"/>
          <w:color w:val="auto"/>
          <w:kern w:val="0"/>
          <w:sz w:val="24"/>
        </w:rPr>
        <w:t xml:space="preserve">75.3 </w:t>
      </w:r>
      <w:r>
        <w:rPr>
          <w:rFonts w:hint="eastAsia" w:ascii="宋体" w:hAnsi="宋体"/>
          <w:color w:val="auto"/>
          <w:kern w:val="0"/>
          <w:sz w:val="24"/>
        </w:rPr>
        <w:t>现场签证报告的确认</w:t>
      </w:r>
    </w:p>
    <w:p w14:paraId="1F6825A7">
      <w:pPr>
        <w:spacing w:line="360" w:lineRule="auto"/>
        <w:rPr>
          <w:rFonts w:ascii="宋体"/>
          <w:color w:val="auto"/>
          <w:kern w:val="0"/>
          <w:sz w:val="24"/>
        </w:rPr>
      </w:pPr>
      <w:r>
        <w:rPr>
          <w:rFonts w:hint="eastAsia" w:ascii="宋体" w:hAnsi="宋体"/>
          <w:color w:val="auto"/>
          <w:kern w:val="0"/>
          <w:sz w:val="24"/>
        </w:rPr>
        <w:t>提交现场签证报告的时间：</w:t>
      </w:r>
    </w:p>
    <w:p w14:paraId="4368C2DC">
      <w:pPr>
        <w:spacing w:line="360" w:lineRule="auto"/>
        <w:rPr>
          <w:rFonts w:ascii="宋体"/>
          <w:color w:val="auto"/>
          <w:kern w:val="0"/>
          <w:sz w:val="24"/>
        </w:rPr>
      </w:pPr>
      <w:r>
        <w:rPr>
          <w:rFonts w:hint="eastAsia" w:ascii="宋体" w:hAnsi="宋体"/>
          <w:color w:val="auto"/>
          <w:kern w:val="0"/>
          <w:sz w:val="24"/>
        </w:rPr>
        <w:t>■按通用条款的规定的时间提交。</w:t>
      </w:r>
    </w:p>
    <w:p w14:paraId="1DE40DDE">
      <w:pPr>
        <w:spacing w:line="360" w:lineRule="auto"/>
        <w:rPr>
          <w:rFonts w:ascii="宋体"/>
          <w:color w:val="auto"/>
          <w:kern w:val="0"/>
          <w:sz w:val="24"/>
        </w:rPr>
      </w:pPr>
      <w:r>
        <w:rPr>
          <w:rFonts w:hint="eastAsia" w:ascii="宋体"/>
          <w:color w:val="auto"/>
          <w:kern w:val="0"/>
          <w:sz w:val="24"/>
        </w:rPr>
        <w:t>□</w:t>
      </w:r>
      <w:r>
        <w:rPr>
          <w:rFonts w:hint="eastAsia" w:ascii="宋体" w:hAnsi="宋体"/>
          <w:color w:val="auto"/>
          <w:kern w:val="0"/>
          <w:sz w:val="24"/>
        </w:rPr>
        <w:t>另作约定：</w:t>
      </w:r>
      <w:r>
        <w:rPr>
          <w:rFonts w:ascii="宋体" w:hAnsi="宋体"/>
          <w:color w:val="auto"/>
          <w:kern w:val="0"/>
          <w:sz w:val="24"/>
          <w:u w:val="single"/>
        </w:rPr>
        <w:t xml:space="preserve">                            /                                   </w:t>
      </w:r>
    </w:p>
    <w:p w14:paraId="272C871B">
      <w:pPr>
        <w:spacing w:line="360" w:lineRule="auto"/>
        <w:ind w:firstLine="120" w:firstLineChars="50"/>
        <w:rPr>
          <w:rFonts w:ascii="宋体"/>
          <w:color w:val="auto"/>
          <w:kern w:val="0"/>
          <w:sz w:val="24"/>
        </w:rPr>
      </w:pPr>
    </w:p>
    <w:p w14:paraId="2D1AD094">
      <w:pPr>
        <w:spacing w:line="360" w:lineRule="auto"/>
        <w:rPr>
          <w:rFonts w:ascii="宋体"/>
          <w:color w:val="auto"/>
          <w:kern w:val="0"/>
          <w:sz w:val="24"/>
        </w:rPr>
      </w:pPr>
      <w:r>
        <w:rPr>
          <w:rFonts w:ascii="宋体" w:hAnsi="宋体"/>
          <w:b/>
          <w:color w:val="auto"/>
          <w:kern w:val="0"/>
          <w:sz w:val="24"/>
        </w:rPr>
        <w:t xml:space="preserve">76. </w:t>
      </w:r>
      <w:r>
        <w:rPr>
          <w:rFonts w:hint="eastAsia" w:ascii="宋体" w:hAnsi="宋体"/>
          <w:b/>
          <w:color w:val="auto"/>
          <w:kern w:val="0"/>
          <w:sz w:val="24"/>
        </w:rPr>
        <w:t>物价涨落事件</w:t>
      </w:r>
    </w:p>
    <w:p w14:paraId="31E48A44">
      <w:pPr>
        <w:spacing w:line="360" w:lineRule="auto"/>
        <w:rPr>
          <w:rFonts w:ascii="宋体"/>
          <w:color w:val="auto"/>
          <w:kern w:val="0"/>
          <w:sz w:val="24"/>
        </w:rPr>
      </w:pPr>
      <w:r>
        <w:rPr>
          <w:rFonts w:ascii="宋体" w:hAnsi="宋体"/>
          <w:color w:val="auto"/>
          <w:kern w:val="0"/>
          <w:sz w:val="24"/>
        </w:rPr>
        <w:t xml:space="preserve">76.3 </w:t>
      </w:r>
      <w:r>
        <w:rPr>
          <w:rFonts w:hint="eastAsia" w:ascii="宋体" w:hAnsi="宋体"/>
          <w:color w:val="auto"/>
          <w:kern w:val="0"/>
          <w:sz w:val="24"/>
        </w:rPr>
        <w:t>承包人采购材料和工程设备的材料设备费、施工机械费调整方法：</w:t>
      </w:r>
      <w:r>
        <w:rPr>
          <w:rFonts w:ascii="宋体" w:hAnsi="宋体" w:eastAsia="宋体" w:cs="宋体"/>
          <w:color w:val="auto"/>
          <w:sz w:val="24"/>
          <w:szCs w:val="24"/>
        </w:rPr>
        <w:t>不作调整</w:t>
      </w:r>
    </w:p>
    <w:p w14:paraId="086C8FF6">
      <w:pPr>
        <w:spacing w:line="360" w:lineRule="auto"/>
        <w:rPr>
          <w:rFonts w:ascii="宋体"/>
          <w:b/>
          <w:color w:val="auto"/>
          <w:kern w:val="0"/>
          <w:sz w:val="24"/>
        </w:rPr>
      </w:pPr>
      <w:r>
        <w:rPr>
          <w:rFonts w:ascii="宋体" w:hAnsi="宋体"/>
          <w:b/>
          <w:color w:val="auto"/>
          <w:kern w:val="0"/>
          <w:sz w:val="24"/>
        </w:rPr>
        <w:t xml:space="preserve">78. </w:t>
      </w:r>
      <w:r>
        <w:rPr>
          <w:rFonts w:hint="eastAsia" w:ascii="宋体" w:hAnsi="宋体"/>
          <w:b/>
          <w:color w:val="auto"/>
          <w:kern w:val="0"/>
          <w:sz w:val="24"/>
        </w:rPr>
        <w:t>支付事项</w:t>
      </w:r>
    </w:p>
    <w:p w14:paraId="57B310A1">
      <w:pPr>
        <w:spacing w:line="360" w:lineRule="auto"/>
        <w:rPr>
          <w:rFonts w:ascii="宋体"/>
          <w:color w:val="auto"/>
          <w:kern w:val="0"/>
          <w:sz w:val="24"/>
        </w:rPr>
      </w:pPr>
      <w:r>
        <w:rPr>
          <w:rFonts w:ascii="宋体" w:hAnsi="宋体"/>
          <w:color w:val="auto"/>
          <w:kern w:val="0"/>
          <w:sz w:val="24"/>
        </w:rPr>
        <w:t xml:space="preserve">78.2 </w:t>
      </w:r>
      <w:r>
        <w:rPr>
          <w:rFonts w:hint="eastAsia" w:ascii="宋体" w:hAnsi="宋体"/>
          <w:color w:val="auto"/>
          <w:kern w:val="0"/>
          <w:sz w:val="24"/>
        </w:rPr>
        <w:t>计算利息的利率</w:t>
      </w:r>
    </w:p>
    <w:p w14:paraId="19A44600">
      <w:pPr>
        <w:spacing w:line="360" w:lineRule="auto"/>
        <w:rPr>
          <w:rFonts w:ascii="宋体"/>
          <w:color w:val="auto"/>
          <w:kern w:val="0"/>
          <w:sz w:val="24"/>
        </w:rPr>
      </w:pPr>
      <w:r>
        <w:rPr>
          <w:rFonts w:hint="eastAsia" w:ascii="宋体"/>
          <w:color w:val="auto"/>
          <w:kern w:val="0"/>
          <w:sz w:val="24"/>
        </w:rPr>
        <w:t>□</w:t>
      </w:r>
      <w:r>
        <w:rPr>
          <w:rFonts w:hint="eastAsia" w:ascii="宋体" w:hAnsi="宋体"/>
          <w:color w:val="auto"/>
          <w:kern w:val="0"/>
          <w:sz w:val="24"/>
        </w:rPr>
        <w:t>按照中国人民银行发布的同期同类贷款利率。</w:t>
      </w:r>
    </w:p>
    <w:p w14:paraId="70D0FDCC">
      <w:pPr>
        <w:spacing w:line="360" w:lineRule="auto"/>
        <w:rPr>
          <w:rFonts w:ascii="宋体"/>
          <w:color w:val="auto"/>
          <w:kern w:val="0"/>
          <w:sz w:val="24"/>
          <w:u w:val="single"/>
        </w:rPr>
      </w:pPr>
      <w:r>
        <w:rPr>
          <w:rFonts w:hint="eastAsia" w:ascii="宋体" w:hAnsi="宋体"/>
          <w:color w:val="auto"/>
          <w:sz w:val="24"/>
        </w:rPr>
        <w:t>■</w:t>
      </w:r>
      <w:r>
        <w:rPr>
          <w:rFonts w:hint="eastAsia" w:ascii="宋体" w:hAnsi="宋体"/>
          <w:color w:val="auto"/>
          <w:kern w:val="0"/>
          <w:sz w:val="24"/>
        </w:rPr>
        <w:t>另作约定：</w:t>
      </w:r>
      <w:r>
        <w:rPr>
          <w:rFonts w:hint="eastAsia" w:ascii="宋体" w:hAnsi="宋体"/>
          <w:color w:val="auto"/>
          <w:kern w:val="0"/>
          <w:sz w:val="24"/>
          <w:u w:val="single"/>
        </w:rPr>
        <w:t>不计取。</w:t>
      </w:r>
    </w:p>
    <w:p w14:paraId="735FEDFA">
      <w:pPr>
        <w:spacing w:line="360" w:lineRule="auto"/>
        <w:ind w:firstLine="482" w:firstLineChars="200"/>
        <w:rPr>
          <w:rFonts w:ascii="宋体"/>
          <w:b/>
          <w:bCs/>
          <w:color w:val="auto"/>
          <w:kern w:val="0"/>
          <w:sz w:val="24"/>
        </w:rPr>
      </w:pPr>
    </w:p>
    <w:p w14:paraId="004FBBA2">
      <w:pPr>
        <w:spacing w:line="360" w:lineRule="auto"/>
        <w:rPr>
          <w:rFonts w:ascii="宋体"/>
          <w:color w:val="auto"/>
          <w:kern w:val="0"/>
          <w:sz w:val="24"/>
          <w:u w:val="single"/>
        </w:rPr>
      </w:pPr>
    </w:p>
    <w:p w14:paraId="7B25C81E">
      <w:pPr>
        <w:spacing w:line="360" w:lineRule="auto"/>
        <w:rPr>
          <w:rFonts w:ascii="宋体"/>
          <w:b/>
          <w:color w:val="auto"/>
          <w:kern w:val="0"/>
          <w:sz w:val="24"/>
        </w:rPr>
      </w:pPr>
      <w:r>
        <w:rPr>
          <w:rFonts w:ascii="宋体" w:hAnsi="宋体"/>
          <w:b/>
          <w:color w:val="auto"/>
          <w:kern w:val="0"/>
          <w:sz w:val="24"/>
        </w:rPr>
        <w:t xml:space="preserve">79. </w:t>
      </w:r>
      <w:r>
        <w:rPr>
          <w:rFonts w:hint="eastAsia" w:ascii="宋体" w:hAnsi="宋体"/>
          <w:b/>
          <w:color w:val="auto"/>
          <w:kern w:val="0"/>
          <w:sz w:val="24"/>
        </w:rPr>
        <w:t>预付款</w:t>
      </w:r>
    </w:p>
    <w:p w14:paraId="15F4F489">
      <w:pPr>
        <w:spacing w:line="360" w:lineRule="auto"/>
        <w:rPr>
          <w:rFonts w:ascii="宋体"/>
          <w:color w:val="auto"/>
          <w:kern w:val="0"/>
          <w:sz w:val="24"/>
        </w:rPr>
      </w:pPr>
    </w:p>
    <w:p w14:paraId="58EF59D2">
      <w:pPr>
        <w:spacing w:line="360" w:lineRule="auto"/>
        <w:rPr>
          <w:rFonts w:ascii="宋体"/>
          <w:color w:val="auto"/>
          <w:kern w:val="0"/>
          <w:sz w:val="24"/>
        </w:rPr>
      </w:pPr>
      <w:r>
        <w:rPr>
          <w:rFonts w:ascii="宋体" w:hAnsi="宋体"/>
          <w:color w:val="auto"/>
          <w:kern w:val="0"/>
          <w:sz w:val="24"/>
        </w:rPr>
        <w:t xml:space="preserve">79.1 </w:t>
      </w:r>
      <w:r>
        <w:rPr>
          <w:rFonts w:hint="eastAsia" w:ascii="宋体" w:hAnsi="宋体"/>
          <w:color w:val="auto"/>
          <w:kern w:val="0"/>
          <w:sz w:val="24"/>
        </w:rPr>
        <w:t>预付款的约定及管理</w:t>
      </w:r>
    </w:p>
    <w:p w14:paraId="2F53CBB8">
      <w:pPr>
        <w:spacing w:line="360" w:lineRule="auto"/>
        <w:rPr>
          <w:rFonts w:ascii="宋体"/>
          <w:color w:val="auto"/>
          <w:kern w:val="0"/>
          <w:sz w:val="24"/>
        </w:rPr>
      </w:pPr>
      <w:r>
        <w:rPr>
          <w:rFonts w:hint="eastAsia" w:ascii="宋体" w:hAnsi="宋体"/>
          <w:color w:val="auto"/>
          <w:kern w:val="0"/>
          <w:sz w:val="24"/>
        </w:rPr>
        <w:t>（</w:t>
      </w:r>
      <w:r>
        <w:rPr>
          <w:rFonts w:ascii="宋体" w:hAnsi="宋体"/>
          <w:color w:val="auto"/>
          <w:kern w:val="0"/>
          <w:sz w:val="24"/>
        </w:rPr>
        <w:t>1</w:t>
      </w:r>
      <w:r>
        <w:rPr>
          <w:rFonts w:hint="eastAsia" w:ascii="宋体" w:hAnsi="宋体"/>
          <w:color w:val="auto"/>
          <w:kern w:val="0"/>
          <w:sz w:val="24"/>
        </w:rPr>
        <w:t>）预付款的约定</w:t>
      </w:r>
    </w:p>
    <w:p w14:paraId="202BC26F">
      <w:pPr>
        <w:spacing w:line="360" w:lineRule="auto"/>
        <w:rPr>
          <w:rFonts w:ascii="宋体"/>
          <w:color w:val="auto"/>
          <w:kern w:val="0"/>
          <w:sz w:val="24"/>
        </w:rPr>
      </w:pPr>
      <w:r>
        <w:rPr>
          <w:rFonts w:hint="eastAsia" w:ascii="宋体"/>
          <w:color w:val="auto"/>
          <w:kern w:val="0"/>
          <w:sz w:val="24"/>
        </w:rPr>
        <w:t>□</w:t>
      </w:r>
      <w:r>
        <w:rPr>
          <w:rFonts w:hint="eastAsia" w:ascii="宋体" w:hAnsi="宋体"/>
          <w:color w:val="auto"/>
          <w:kern w:val="0"/>
          <w:sz w:val="24"/>
        </w:rPr>
        <w:t>没约定预付款的，本条不适用。</w:t>
      </w:r>
    </w:p>
    <w:p w14:paraId="262CC050">
      <w:pPr>
        <w:spacing w:line="360" w:lineRule="auto"/>
        <w:rPr>
          <w:rFonts w:ascii="宋体"/>
          <w:color w:val="auto"/>
          <w:kern w:val="0"/>
          <w:sz w:val="24"/>
        </w:rPr>
      </w:pPr>
      <w:r>
        <w:rPr>
          <w:rFonts w:hint="eastAsia" w:ascii="宋体" w:hAnsi="宋体"/>
          <w:color w:val="auto"/>
          <w:sz w:val="24"/>
        </w:rPr>
        <w:t>■</w:t>
      </w:r>
      <w:r>
        <w:rPr>
          <w:rFonts w:hint="eastAsia" w:ascii="宋体" w:hAnsi="宋体"/>
          <w:color w:val="auto"/>
          <w:kern w:val="0"/>
          <w:sz w:val="24"/>
        </w:rPr>
        <w:t>约定预付款的，按</w:t>
      </w:r>
      <w:r>
        <w:rPr>
          <w:rFonts w:hint="eastAsia" w:ascii="宋体" w:hAnsi="宋体"/>
          <w:color w:val="auto"/>
          <w:kern w:val="0"/>
          <w:sz w:val="24"/>
          <w:u w:val="none"/>
          <w:lang w:val="en-US" w:eastAsia="zh-CN"/>
        </w:rPr>
        <w:t>合同暂定价中</w:t>
      </w:r>
      <w:r>
        <w:rPr>
          <w:rFonts w:hint="eastAsia" w:ascii="宋体" w:hAnsi="宋体"/>
          <w:color w:val="auto"/>
          <w:kern w:val="0"/>
          <w:sz w:val="24"/>
        </w:rPr>
        <w:t>施工费金额扣除暂列金后的30%，其支付办法和抵扣方式，按本条有关专用条款的约定。</w:t>
      </w:r>
    </w:p>
    <w:p w14:paraId="42C0FA09">
      <w:pPr>
        <w:spacing w:line="360" w:lineRule="auto"/>
        <w:rPr>
          <w:rFonts w:ascii="宋体"/>
          <w:color w:val="auto"/>
          <w:kern w:val="0"/>
          <w:sz w:val="24"/>
        </w:rPr>
      </w:pPr>
      <w:r>
        <w:rPr>
          <w:rFonts w:hint="eastAsia" w:ascii="宋体" w:hAnsi="宋体"/>
          <w:color w:val="auto"/>
          <w:kern w:val="0"/>
          <w:sz w:val="24"/>
        </w:rPr>
        <w:t>（</w:t>
      </w:r>
      <w:r>
        <w:rPr>
          <w:rFonts w:ascii="宋体" w:hAnsi="宋体"/>
          <w:color w:val="auto"/>
          <w:kern w:val="0"/>
          <w:sz w:val="24"/>
        </w:rPr>
        <w:t>2</w:t>
      </w:r>
      <w:r>
        <w:rPr>
          <w:rFonts w:hint="eastAsia" w:ascii="宋体" w:hAnsi="宋体"/>
          <w:color w:val="auto"/>
          <w:kern w:val="0"/>
          <w:sz w:val="24"/>
        </w:rPr>
        <w:t>）预付款的最高限额</w:t>
      </w:r>
    </w:p>
    <w:p w14:paraId="4DB58466">
      <w:pPr>
        <w:spacing w:line="360" w:lineRule="auto"/>
        <w:rPr>
          <w:rFonts w:ascii="宋体"/>
          <w:color w:val="auto"/>
          <w:kern w:val="0"/>
          <w:sz w:val="24"/>
        </w:rPr>
      </w:pPr>
      <w:r>
        <w:rPr>
          <w:rFonts w:hint="eastAsia" w:ascii="宋体" w:hAnsi="宋体"/>
          <w:color w:val="auto"/>
          <w:sz w:val="24"/>
        </w:rPr>
        <w:t>■</w:t>
      </w:r>
      <w:r>
        <w:rPr>
          <w:rFonts w:hint="eastAsia" w:ascii="宋体" w:hAnsi="宋体"/>
          <w:color w:val="auto"/>
          <w:kern w:val="0"/>
          <w:sz w:val="24"/>
        </w:rPr>
        <w:t>通用条款规定为合同价款的</w:t>
      </w:r>
      <w:r>
        <w:rPr>
          <w:rFonts w:ascii="宋体" w:hAnsi="宋体"/>
          <w:color w:val="auto"/>
          <w:kern w:val="0"/>
          <w:sz w:val="24"/>
        </w:rPr>
        <w:t xml:space="preserve">30% </w:t>
      </w:r>
      <w:r>
        <w:rPr>
          <w:rFonts w:hint="eastAsia" w:ascii="宋体" w:hAnsi="宋体"/>
          <w:color w:val="auto"/>
          <w:kern w:val="0"/>
          <w:sz w:val="24"/>
        </w:rPr>
        <w:t>，即</w:t>
      </w:r>
      <w:r>
        <w:rPr>
          <w:rFonts w:ascii="宋体" w:hAnsi="宋体"/>
          <w:color w:val="auto"/>
          <w:kern w:val="0"/>
          <w:sz w:val="24"/>
          <w:u w:val="single"/>
        </w:rPr>
        <w:t xml:space="preserve">                       </w:t>
      </w:r>
      <w:r>
        <w:rPr>
          <w:rFonts w:hint="eastAsia" w:ascii="宋体" w:hAnsi="宋体"/>
          <w:color w:val="auto"/>
          <w:kern w:val="0"/>
          <w:sz w:val="24"/>
        </w:rPr>
        <w:t>元。</w:t>
      </w:r>
    </w:p>
    <w:p w14:paraId="4385B825">
      <w:pPr>
        <w:spacing w:line="360" w:lineRule="auto"/>
        <w:rPr>
          <w:rFonts w:ascii="宋体"/>
          <w:color w:val="auto"/>
          <w:kern w:val="0"/>
          <w:sz w:val="24"/>
        </w:rPr>
      </w:pPr>
      <w:r>
        <w:rPr>
          <w:rFonts w:hint="eastAsia" w:ascii="宋体"/>
          <w:color w:val="auto"/>
          <w:kern w:val="0"/>
          <w:sz w:val="24"/>
        </w:rPr>
        <w:t>□</w:t>
      </w:r>
      <w:r>
        <w:rPr>
          <w:rFonts w:hint="eastAsia" w:ascii="宋体" w:hAnsi="宋体"/>
          <w:color w:val="auto"/>
          <w:kern w:val="0"/>
          <w:sz w:val="24"/>
        </w:rPr>
        <w:t>另作约定。</w:t>
      </w:r>
    </w:p>
    <w:p w14:paraId="7DC25CF0">
      <w:pPr>
        <w:spacing w:line="360" w:lineRule="auto"/>
        <w:rPr>
          <w:rFonts w:ascii="宋体"/>
          <w:color w:val="auto"/>
          <w:kern w:val="0"/>
          <w:sz w:val="24"/>
        </w:rPr>
      </w:pPr>
      <w:r>
        <w:rPr>
          <w:rFonts w:ascii="宋体" w:hAnsi="宋体"/>
          <w:color w:val="auto"/>
          <w:kern w:val="0"/>
          <w:sz w:val="24"/>
        </w:rPr>
        <w:t xml:space="preserve">79.2 </w:t>
      </w:r>
      <w:r>
        <w:rPr>
          <w:rFonts w:hint="eastAsia" w:ascii="宋体" w:hAnsi="宋体"/>
          <w:color w:val="auto"/>
          <w:kern w:val="0"/>
          <w:sz w:val="24"/>
        </w:rPr>
        <w:t>提交预付款支付申请期限：</w:t>
      </w:r>
    </w:p>
    <w:p w14:paraId="03490208">
      <w:pPr>
        <w:spacing w:line="360" w:lineRule="auto"/>
        <w:rPr>
          <w:rFonts w:ascii="宋体"/>
          <w:color w:val="auto"/>
          <w:kern w:val="0"/>
          <w:sz w:val="24"/>
        </w:rPr>
      </w:pPr>
      <w:r>
        <w:rPr>
          <w:rFonts w:hint="eastAsia" w:ascii="宋体"/>
          <w:color w:val="auto"/>
          <w:kern w:val="0"/>
          <w:sz w:val="24"/>
        </w:rPr>
        <w:t>□</w:t>
      </w:r>
      <w:r>
        <w:rPr>
          <w:rFonts w:hint="eastAsia" w:ascii="宋体" w:hAnsi="宋体"/>
          <w:color w:val="auto"/>
          <w:kern w:val="0"/>
          <w:sz w:val="24"/>
        </w:rPr>
        <w:t>按承包人在完成本款三项工作后的</w:t>
      </w:r>
      <w:r>
        <w:rPr>
          <w:rFonts w:ascii="宋体" w:hAnsi="宋体"/>
          <w:color w:val="auto"/>
          <w:kern w:val="0"/>
          <w:sz w:val="24"/>
        </w:rPr>
        <w:t>7</w:t>
      </w:r>
      <w:r>
        <w:rPr>
          <w:rFonts w:hint="eastAsia" w:ascii="宋体" w:hAnsi="宋体"/>
          <w:color w:val="auto"/>
          <w:kern w:val="0"/>
          <w:sz w:val="24"/>
        </w:rPr>
        <w:t>天内。</w:t>
      </w:r>
    </w:p>
    <w:p w14:paraId="4480E747">
      <w:pPr>
        <w:spacing w:line="360" w:lineRule="auto"/>
        <w:rPr>
          <w:rFonts w:ascii="宋体"/>
          <w:color w:val="auto"/>
          <w:kern w:val="0"/>
          <w:sz w:val="24"/>
          <w:u w:val="single"/>
        </w:rPr>
      </w:pPr>
      <w:r>
        <w:rPr>
          <w:rFonts w:hint="eastAsia" w:ascii="宋体"/>
          <w:color w:val="auto"/>
          <w:kern w:val="0"/>
          <w:sz w:val="24"/>
        </w:rPr>
        <w:t>□</w:t>
      </w:r>
      <w:r>
        <w:rPr>
          <w:rFonts w:hint="eastAsia" w:ascii="宋体" w:hAnsi="宋体"/>
          <w:color w:val="auto"/>
          <w:kern w:val="0"/>
          <w:sz w:val="24"/>
        </w:rPr>
        <w:t>另作约定：</w:t>
      </w:r>
      <w:r>
        <w:rPr>
          <w:rFonts w:ascii="宋体" w:hAnsi="宋体"/>
          <w:color w:val="auto"/>
          <w:kern w:val="0"/>
          <w:sz w:val="24"/>
          <w:u w:val="single"/>
        </w:rPr>
        <w:t xml:space="preserve">                               /                             </w:t>
      </w:r>
    </w:p>
    <w:p w14:paraId="14E20440">
      <w:pPr>
        <w:spacing w:line="360" w:lineRule="auto"/>
        <w:rPr>
          <w:rFonts w:ascii="宋体"/>
          <w:color w:val="auto"/>
          <w:kern w:val="0"/>
          <w:sz w:val="24"/>
        </w:rPr>
      </w:pPr>
      <w:r>
        <w:rPr>
          <w:rFonts w:ascii="宋体" w:hAnsi="宋体"/>
          <w:color w:val="auto"/>
          <w:kern w:val="0"/>
          <w:sz w:val="24"/>
        </w:rPr>
        <w:t xml:space="preserve">79.4 </w:t>
      </w:r>
      <w:r>
        <w:rPr>
          <w:rFonts w:hint="eastAsia" w:ascii="宋体" w:hAnsi="宋体"/>
          <w:color w:val="auto"/>
          <w:kern w:val="0"/>
          <w:sz w:val="24"/>
        </w:rPr>
        <w:t>预付款抵扣方式</w:t>
      </w:r>
    </w:p>
    <w:p w14:paraId="6F1F3CAB">
      <w:pPr>
        <w:spacing w:line="360" w:lineRule="auto"/>
        <w:rPr>
          <w:rFonts w:ascii="宋体"/>
          <w:color w:val="auto"/>
          <w:kern w:val="0"/>
          <w:sz w:val="24"/>
        </w:rPr>
      </w:pPr>
      <w:r>
        <w:rPr>
          <w:rFonts w:hint="eastAsia" w:ascii="宋体"/>
          <w:color w:val="auto"/>
          <w:kern w:val="0"/>
          <w:sz w:val="24"/>
        </w:rPr>
        <w:t>□</w:t>
      </w:r>
      <w:r>
        <w:rPr>
          <w:rFonts w:hint="eastAsia" w:ascii="宋体" w:hAnsi="宋体"/>
          <w:color w:val="auto"/>
          <w:kern w:val="0"/>
          <w:sz w:val="24"/>
        </w:rPr>
        <w:t>预付款按照期中应支付工程款的</w:t>
      </w:r>
      <w:r>
        <w:rPr>
          <w:rFonts w:ascii="宋体" w:hAnsi="宋体"/>
          <w:color w:val="auto"/>
          <w:kern w:val="0"/>
          <w:sz w:val="24"/>
          <w:u w:val="single"/>
        </w:rPr>
        <w:t xml:space="preserve">         /        </w:t>
      </w:r>
      <w:r>
        <w:rPr>
          <w:rFonts w:ascii="宋体" w:hAnsi="宋体"/>
          <w:color w:val="auto"/>
          <w:kern w:val="0"/>
          <w:sz w:val="24"/>
        </w:rPr>
        <w:t>%</w:t>
      </w:r>
      <w:r>
        <w:rPr>
          <w:rFonts w:hint="eastAsia" w:ascii="宋体" w:hAnsi="宋体"/>
          <w:color w:val="auto"/>
          <w:kern w:val="0"/>
          <w:sz w:val="24"/>
        </w:rPr>
        <w:t>扣回，直到扣完为止。</w:t>
      </w:r>
    </w:p>
    <w:p w14:paraId="620BAE19">
      <w:pPr>
        <w:spacing w:line="360" w:lineRule="auto"/>
        <w:rPr>
          <w:rFonts w:ascii="宋体"/>
          <w:color w:val="auto"/>
          <w:kern w:val="0"/>
          <w:sz w:val="24"/>
        </w:rPr>
      </w:pPr>
      <w:r>
        <w:rPr>
          <w:rFonts w:ascii="宋体" w:hAnsi="宋体"/>
          <w:b/>
          <w:color w:val="auto"/>
          <w:kern w:val="0"/>
          <w:sz w:val="24"/>
        </w:rPr>
        <w:t xml:space="preserve">81. </w:t>
      </w:r>
      <w:r>
        <w:rPr>
          <w:rFonts w:hint="eastAsia" w:ascii="宋体" w:hAnsi="宋体"/>
          <w:b/>
          <w:color w:val="auto"/>
          <w:kern w:val="0"/>
          <w:sz w:val="24"/>
        </w:rPr>
        <w:t>进度款</w:t>
      </w:r>
    </w:p>
    <w:p w14:paraId="4DA7E2E9">
      <w:pPr>
        <w:spacing w:line="360" w:lineRule="auto"/>
        <w:rPr>
          <w:rFonts w:ascii="宋体"/>
          <w:color w:val="auto"/>
          <w:kern w:val="0"/>
          <w:sz w:val="24"/>
        </w:rPr>
      </w:pPr>
      <w:r>
        <w:rPr>
          <w:rFonts w:ascii="宋体" w:hAnsi="宋体"/>
          <w:color w:val="auto"/>
          <w:kern w:val="0"/>
          <w:sz w:val="24"/>
        </w:rPr>
        <w:t xml:space="preserve">81.1 </w:t>
      </w:r>
      <w:r>
        <w:rPr>
          <w:rFonts w:hint="eastAsia" w:ascii="宋体" w:hAnsi="宋体"/>
          <w:color w:val="auto"/>
          <w:kern w:val="0"/>
          <w:sz w:val="24"/>
        </w:rPr>
        <w:t>约定支付期限和提交支付申请</w:t>
      </w:r>
    </w:p>
    <w:p w14:paraId="4ED9C543">
      <w:pPr>
        <w:spacing w:line="360" w:lineRule="auto"/>
        <w:rPr>
          <w:rFonts w:ascii="宋体"/>
          <w:color w:val="auto"/>
          <w:kern w:val="0"/>
          <w:sz w:val="24"/>
        </w:rPr>
      </w:pPr>
      <w:r>
        <w:rPr>
          <w:rFonts w:hint="eastAsia" w:ascii="宋体" w:hAnsi="宋体"/>
          <w:color w:val="auto"/>
          <w:kern w:val="0"/>
          <w:sz w:val="24"/>
        </w:rPr>
        <w:t>（</w:t>
      </w:r>
      <w:r>
        <w:rPr>
          <w:rFonts w:ascii="宋体" w:hAnsi="宋体"/>
          <w:color w:val="auto"/>
          <w:kern w:val="0"/>
          <w:sz w:val="24"/>
        </w:rPr>
        <w:t>1</w:t>
      </w:r>
      <w:r>
        <w:rPr>
          <w:rFonts w:hint="eastAsia" w:ascii="宋体" w:hAnsi="宋体"/>
          <w:color w:val="auto"/>
          <w:kern w:val="0"/>
          <w:sz w:val="24"/>
        </w:rPr>
        <w:t>）支付期限</w:t>
      </w:r>
    </w:p>
    <w:p w14:paraId="666A8E1F">
      <w:pPr>
        <w:spacing w:line="360" w:lineRule="auto"/>
        <w:rPr>
          <w:rFonts w:ascii="宋体"/>
          <w:color w:val="auto"/>
          <w:kern w:val="0"/>
          <w:sz w:val="24"/>
        </w:rPr>
      </w:pPr>
      <w:r>
        <w:rPr>
          <w:rFonts w:hint="eastAsia" w:ascii="宋体"/>
          <w:color w:val="auto"/>
          <w:kern w:val="0"/>
          <w:sz w:val="24"/>
        </w:rPr>
        <w:t>□</w:t>
      </w:r>
      <w:r>
        <w:rPr>
          <w:rFonts w:hint="eastAsia" w:ascii="宋体" w:hAnsi="宋体"/>
          <w:color w:val="auto"/>
          <w:kern w:val="0"/>
          <w:sz w:val="24"/>
        </w:rPr>
        <w:t>以月为单位。</w:t>
      </w:r>
    </w:p>
    <w:p w14:paraId="14024428">
      <w:pPr>
        <w:spacing w:line="360" w:lineRule="auto"/>
        <w:rPr>
          <w:rFonts w:ascii="宋体"/>
          <w:color w:val="auto"/>
          <w:kern w:val="0"/>
          <w:sz w:val="24"/>
        </w:rPr>
      </w:pPr>
      <w:r>
        <w:rPr>
          <w:rFonts w:hint="eastAsia" w:ascii="宋体"/>
          <w:color w:val="auto"/>
          <w:kern w:val="0"/>
          <w:sz w:val="24"/>
        </w:rPr>
        <w:t>□</w:t>
      </w:r>
      <w:r>
        <w:rPr>
          <w:rFonts w:hint="eastAsia" w:ascii="宋体" w:hAnsi="宋体"/>
          <w:color w:val="auto"/>
          <w:kern w:val="0"/>
          <w:sz w:val="24"/>
        </w:rPr>
        <w:t>以季度为单位。</w:t>
      </w:r>
    </w:p>
    <w:p w14:paraId="6AB0D75D">
      <w:pPr>
        <w:spacing w:line="360" w:lineRule="auto"/>
        <w:rPr>
          <w:rFonts w:ascii="宋体" w:cs="宋体"/>
          <w:color w:val="auto"/>
          <w:kern w:val="0"/>
          <w:szCs w:val="21"/>
        </w:rPr>
      </w:pPr>
      <w:r>
        <w:rPr>
          <w:rFonts w:hint="eastAsia" w:ascii="宋体" w:hAnsi="宋体"/>
          <w:color w:val="auto"/>
          <w:sz w:val="24"/>
        </w:rPr>
        <w:t>■</w:t>
      </w:r>
      <w:r>
        <w:rPr>
          <w:rFonts w:hint="eastAsia" w:ascii="宋体" w:hAnsi="宋体"/>
          <w:color w:val="auto"/>
          <w:kern w:val="0"/>
          <w:sz w:val="24"/>
        </w:rPr>
        <w:t>以形象进度为准，具体为：</w:t>
      </w:r>
    </w:p>
    <w:p w14:paraId="4C6BCD38">
      <w:pPr>
        <w:autoSpaceDE w:val="0"/>
        <w:autoSpaceDN w:val="0"/>
        <w:adjustRightInd w:val="0"/>
        <w:spacing w:line="360" w:lineRule="auto"/>
        <w:ind w:firstLine="480" w:firstLineChars="200"/>
        <w:jc w:val="left"/>
        <w:rPr>
          <w:rFonts w:hint="eastAsia" w:ascii="宋体" w:hAnsi="宋体"/>
          <w:color w:val="auto"/>
          <w:kern w:val="0"/>
          <w:sz w:val="24"/>
          <w:u w:val="single"/>
        </w:rPr>
      </w:pPr>
      <w:r>
        <w:rPr>
          <w:rFonts w:hint="eastAsia" w:ascii="宋体" w:hAnsi="宋体"/>
          <w:color w:val="auto"/>
          <w:kern w:val="0"/>
          <w:sz w:val="24"/>
          <w:u w:val="single"/>
        </w:rPr>
        <w:t>工程进度款按照发包人审定后的施工图预算作为支付依据。</w:t>
      </w:r>
    </w:p>
    <w:p w14:paraId="255773AC">
      <w:pPr>
        <w:autoSpaceDE w:val="0"/>
        <w:autoSpaceDN w:val="0"/>
        <w:adjustRightInd w:val="0"/>
        <w:spacing w:line="360" w:lineRule="auto"/>
        <w:ind w:firstLine="420" w:firstLineChars="175"/>
        <w:jc w:val="left"/>
        <w:rPr>
          <w:rFonts w:hint="eastAsia" w:ascii="宋体" w:hAnsi="宋体"/>
          <w:color w:val="auto"/>
          <w:kern w:val="0"/>
          <w:sz w:val="24"/>
          <w:u w:val="single"/>
          <w:lang w:eastAsia="zh-CN"/>
        </w:rPr>
      </w:pPr>
      <w:r>
        <w:rPr>
          <w:rFonts w:hint="eastAsia" w:ascii="宋体" w:hAnsi="宋体"/>
          <w:color w:val="auto"/>
          <w:kern w:val="0"/>
          <w:sz w:val="24"/>
          <w:u w:val="single"/>
        </w:rPr>
        <w:t>第1次进度款在</w:t>
      </w:r>
      <w:r>
        <w:rPr>
          <w:rFonts w:hint="eastAsia" w:ascii="宋体" w:hAnsi="宋体" w:eastAsia="宋体" w:cs="Times New Roman"/>
          <w:color w:val="auto"/>
          <w:kern w:val="0"/>
          <w:sz w:val="24"/>
          <w:u w:val="single"/>
          <w:lang w:val="en-US" w:eastAsia="zh-CN"/>
        </w:rPr>
        <w:t>土建部分工程完成、变压器和高低压柜设备进场</w:t>
      </w:r>
      <w:r>
        <w:rPr>
          <w:rFonts w:hint="eastAsia" w:ascii="宋体" w:hAnsi="宋体" w:eastAsia="宋体" w:cs="Times New Roman"/>
          <w:color w:val="auto"/>
          <w:kern w:val="0"/>
          <w:sz w:val="24"/>
          <w:u w:val="single"/>
        </w:rPr>
        <w:t>后</w:t>
      </w:r>
      <w:r>
        <w:rPr>
          <w:rFonts w:hint="eastAsia" w:ascii="宋体" w:hAnsi="宋体"/>
          <w:color w:val="auto"/>
          <w:kern w:val="0"/>
          <w:sz w:val="24"/>
          <w:u w:val="single"/>
        </w:rPr>
        <w:t>支付施工图预算</w:t>
      </w:r>
      <w:r>
        <w:rPr>
          <w:rFonts w:hint="eastAsia" w:ascii="宋体" w:hAnsi="宋体"/>
          <w:color w:val="auto"/>
          <w:kern w:val="0"/>
          <w:sz w:val="24"/>
          <w:u w:val="single"/>
          <w:lang w:val="en-US" w:eastAsia="zh-CN"/>
        </w:rPr>
        <w:t>施工费</w:t>
      </w:r>
      <w:r>
        <w:rPr>
          <w:rFonts w:hint="eastAsia" w:ascii="宋体" w:hAnsi="宋体"/>
          <w:color w:val="auto"/>
          <w:kern w:val="0"/>
          <w:sz w:val="24"/>
          <w:u w:val="single"/>
        </w:rPr>
        <w:t>（不含暂列金）的</w:t>
      </w:r>
      <w:r>
        <w:rPr>
          <w:rFonts w:hint="eastAsia" w:ascii="宋体" w:hAnsi="宋体"/>
          <w:color w:val="auto"/>
          <w:kern w:val="0"/>
          <w:sz w:val="24"/>
          <w:u w:val="single"/>
          <w:lang w:val="en-US" w:eastAsia="zh-CN"/>
        </w:rPr>
        <w:t>3</w:t>
      </w:r>
      <w:r>
        <w:rPr>
          <w:rFonts w:hint="eastAsia" w:ascii="宋体" w:hAnsi="宋体"/>
          <w:color w:val="auto"/>
          <w:kern w:val="0"/>
          <w:sz w:val="24"/>
          <w:u w:val="single"/>
        </w:rPr>
        <w:t>0%</w:t>
      </w:r>
      <w:r>
        <w:rPr>
          <w:rFonts w:hint="eastAsia" w:ascii="宋体" w:hAnsi="宋体"/>
          <w:color w:val="auto"/>
          <w:kern w:val="0"/>
          <w:sz w:val="24"/>
          <w:u w:val="single"/>
          <w:lang w:eastAsia="zh-CN"/>
        </w:rPr>
        <w:t>；</w:t>
      </w:r>
    </w:p>
    <w:p w14:paraId="6063A529">
      <w:pPr>
        <w:autoSpaceDE w:val="0"/>
        <w:autoSpaceDN w:val="0"/>
        <w:adjustRightInd w:val="0"/>
        <w:spacing w:line="360" w:lineRule="auto"/>
        <w:ind w:firstLine="420" w:firstLineChars="175"/>
        <w:jc w:val="left"/>
        <w:rPr>
          <w:rFonts w:hint="eastAsia" w:ascii="宋体" w:hAnsi="宋体"/>
          <w:color w:val="auto"/>
          <w:kern w:val="0"/>
          <w:sz w:val="24"/>
          <w:u w:val="single"/>
          <w:lang w:eastAsia="zh-CN"/>
        </w:rPr>
      </w:pPr>
      <w:r>
        <w:rPr>
          <w:rFonts w:hint="eastAsia" w:ascii="宋体" w:hAnsi="宋体"/>
          <w:color w:val="auto"/>
          <w:kern w:val="0"/>
          <w:sz w:val="24"/>
          <w:u w:val="single"/>
        </w:rPr>
        <w:t>第2次进度款在</w:t>
      </w:r>
      <w:r>
        <w:rPr>
          <w:rFonts w:hint="eastAsia" w:ascii="宋体" w:hAnsi="宋体" w:eastAsia="宋体" w:cs="Times New Roman"/>
          <w:color w:val="auto"/>
          <w:kern w:val="0"/>
          <w:sz w:val="24"/>
          <w:u w:val="single"/>
        </w:rPr>
        <w:t>本工程施工完毕具备</w:t>
      </w:r>
      <w:r>
        <w:rPr>
          <w:rFonts w:hint="eastAsia" w:ascii="宋体" w:hAnsi="宋体" w:eastAsia="宋体" w:cs="Times New Roman"/>
          <w:color w:val="auto"/>
          <w:kern w:val="0"/>
          <w:sz w:val="24"/>
          <w:u w:val="single"/>
          <w:lang w:val="en-US" w:eastAsia="zh-CN"/>
        </w:rPr>
        <w:t>送电</w:t>
      </w:r>
      <w:r>
        <w:rPr>
          <w:rFonts w:hint="eastAsia" w:ascii="宋体" w:hAnsi="宋体" w:eastAsia="宋体" w:cs="Times New Roman"/>
          <w:color w:val="auto"/>
          <w:kern w:val="0"/>
          <w:sz w:val="24"/>
          <w:u w:val="single"/>
        </w:rPr>
        <w:t>条件</w:t>
      </w:r>
      <w:r>
        <w:rPr>
          <w:rFonts w:hint="eastAsia" w:ascii="宋体" w:hAnsi="宋体"/>
          <w:color w:val="auto"/>
          <w:kern w:val="0"/>
          <w:sz w:val="24"/>
          <w:u w:val="single"/>
        </w:rPr>
        <w:t>后支付施工图预算</w:t>
      </w:r>
      <w:r>
        <w:rPr>
          <w:rFonts w:hint="eastAsia" w:ascii="宋体" w:hAnsi="宋体"/>
          <w:color w:val="auto"/>
          <w:kern w:val="0"/>
          <w:sz w:val="24"/>
          <w:u w:val="single"/>
          <w:lang w:val="en-US" w:eastAsia="zh-CN"/>
        </w:rPr>
        <w:t>施工费</w:t>
      </w:r>
      <w:r>
        <w:rPr>
          <w:rFonts w:hint="eastAsia" w:ascii="宋体" w:hAnsi="宋体"/>
          <w:color w:val="auto"/>
          <w:kern w:val="0"/>
          <w:sz w:val="24"/>
          <w:u w:val="single"/>
        </w:rPr>
        <w:t>（不含暂列金）的</w:t>
      </w:r>
      <w:r>
        <w:rPr>
          <w:rFonts w:hint="eastAsia" w:ascii="宋体" w:hAnsi="宋体"/>
          <w:color w:val="auto"/>
          <w:kern w:val="0"/>
          <w:sz w:val="24"/>
          <w:u w:val="single"/>
          <w:lang w:val="en-US" w:eastAsia="zh-CN"/>
        </w:rPr>
        <w:t>30</w:t>
      </w:r>
      <w:r>
        <w:rPr>
          <w:rFonts w:hint="eastAsia" w:ascii="宋体" w:hAnsi="宋体"/>
          <w:color w:val="auto"/>
          <w:kern w:val="0"/>
          <w:sz w:val="24"/>
          <w:u w:val="single"/>
        </w:rPr>
        <w:t>%</w:t>
      </w:r>
      <w:r>
        <w:rPr>
          <w:rFonts w:hint="eastAsia" w:ascii="宋体" w:hAnsi="宋体"/>
          <w:color w:val="auto"/>
          <w:kern w:val="0"/>
          <w:sz w:val="24"/>
          <w:u w:val="single"/>
          <w:lang w:eastAsia="zh-CN"/>
        </w:rPr>
        <w:t>；</w:t>
      </w:r>
    </w:p>
    <w:p w14:paraId="45060FDB">
      <w:pPr>
        <w:autoSpaceDE w:val="0"/>
        <w:autoSpaceDN w:val="0"/>
        <w:adjustRightInd w:val="0"/>
        <w:spacing w:line="360" w:lineRule="auto"/>
        <w:ind w:firstLine="420" w:firstLineChars="175"/>
        <w:jc w:val="left"/>
        <w:rPr>
          <w:rFonts w:ascii="宋体"/>
          <w:color w:val="auto"/>
          <w:kern w:val="0"/>
          <w:sz w:val="24"/>
          <w:u w:val="single"/>
        </w:rPr>
      </w:pPr>
      <w:r>
        <w:rPr>
          <w:rFonts w:hint="eastAsia" w:ascii="宋体" w:hAnsi="宋体"/>
          <w:color w:val="auto"/>
          <w:kern w:val="0"/>
          <w:sz w:val="24"/>
          <w:u w:val="single"/>
        </w:rPr>
        <w:t>第3次进度款在</w:t>
      </w:r>
      <w:r>
        <w:rPr>
          <w:rFonts w:hint="eastAsia" w:ascii="宋体" w:hAnsi="宋体" w:eastAsia="宋体" w:cs="Times New Roman"/>
          <w:color w:val="auto"/>
          <w:kern w:val="0"/>
          <w:sz w:val="24"/>
          <w:u w:val="single"/>
        </w:rPr>
        <w:t>本工程结算完毕支付结算金额的</w:t>
      </w:r>
      <w:r>
        <w:rPr>
          <w:rFonts w:hint="eastAsia" w:ascii="宋体" w:hAnsi="宋体" w:eastAsia="宋体" w:cs="Times New Roman"/>
          <w:color w:val="auto"/>
          <w:kern w:val="0"/>
          <w:sz w:val="24"/>
          <w:u w:val="single"/>
          <w:lang w:eastAsia="zh-CN"/>
        </w:rPr>
        <w:t>1</w:t>
      </w:r>
      <w:r>
        <w:rPr>
          <w:rFonts w:hint="eastAsia" w:ascii="宋体" w:hAnsi="宋体" w:cs="Times New Roman"/>
          <w:color w:val="auto"/>
          <w:kern w:val="0"/>
          <w:sz w:val="24"/>
          <w:u w:val="single"/>
          <w:lang w:val="en-US" w:eastAsia="zh-CN"/>
        </w:rPr>
        <w:t>0</w:t>
      </w:r>
      <w:r>
        <w:rPr>
          <w:rFonts w:hint="eastAsia" w:ascii="宋体" w:hAnsi="宋体" w:eastAsia="宋体" w:cs="Times New Roman"/>
          <w:color w:val="auto"/>
          <w:kern w:val="0"/>
          <w:sz w:val="24"/>
          <w:u w:val="single"/>
        </w:rPr>
        <w:t>%</w:t>
      </w:r>
      <w:r>
        <w:rPr>
          <w:rFonts w:hint="eastAsia" w:ascii="宋体" w:hAnsi="宋体" w:eastAsia="宋体" w:cs="Times New Roman"/>
          <w:color w:val="auto"/>
          <w:kern w:val="0"/>
          <w:sz w:val="24"/>
          <w:u w:val="single"/>
          <w:lang w:eastAsia="zh-CN"/>
        </w:rPr>
        <w:t>；</w:t>
      </w:r>
    </w:p>
    <w:p w14:paraId="74A9C024">
      <w:pPr>
        <w:spacing w:line="360" w:lineRule="auto"/>
        <w:ind w:firstLine="480" w:firstLineChars="200"/>
        <w:rPr>
          <w:rFonts w:ascii="宋体"/>
          <w:color w:val="auto"/>
          <w:kern w:val="0"/>
          <w:sz w:val="24"/>
          <w:u w:val="single"/>
        </w:rPr>
      </w:pPr>
      <w:r>
        <w:rPr>
          <w:rFonts w:hint="eastAsia" w:ascii="宋体" w:hAnsi="宋体"/>
          <w:color w:val="auto"/>
          <w:kern w:val="0"/>
          <w:sz w:val="24"/>
          <w:u w:val="single"/>
        </w:rPr>
        <w:t>结算：经发包人审定后付清结算尾款，</w:t>
      </w:r>
      <w:r>
        <w:rPr>
          <w:rFonts w:hint="eastAsia" w:ascii="宋体" w:hAnsi="Calibri" w:cs="宋体"/>
          <w:bCs/>
          <w:color w:val="auto"/>
          <w:kern w:val="0"/>
          <w:sz w:val="24"/>
        </w:rPr>
        <w:t>工程质量保证金为工程结算价的3％。在结算尾款结清前提供质保金银行保函或现金保证。</w:t>
      </w:r>
    </w:p>
    <w:p w14:paraId="1D6BFFA0">
      <w:pPr>
        <w:spacing w:line="360" w:lineRule="auto"/>
        <w:ind w:firstLine="480" w:firstLineChars="200"/>
        <w:rPr>
          <w:rFonts w:ascii="宋体"/>
          <w:color w:val="auto"/>
          <w:kern w:val="0"/>
          <w:sz w:val="24"/>
          <w:u w:val="single"/>
        </w:rPr>
      </w:pPr>
    </w:p>
    <w:p w14:paraId="7268EC57">
      <w:pPr>
        <w:spacing w:line="360" w:lineRule="auto"/>
        <w:rPr>
          <w:rFonts w:ascii="宋体"/>
          <w:color w:val="auto"/>
          <w:kern w:val="0"/>
          <w:sz w:val="24"/>
        </w:rPr>
      </w:pPr>
      <w:r>
        <w:rPr>
          <w:rFonts w:ascii="宋体" w:hAnsi="宋体"/>
          <w:color w:val="auto"/>
          <w:kern w:val="0"/>
          <w:sz w:val="24"/>
        </w:rPr>
        <w:t xml:space="preserve">81.1 </w:t>
      </w:r>
      <w:r>
        <w:rPr>
          <w:rFonts w:hint="eastAsia" w:ascii="宋体" w:hAnsi="宋体"/>
          <w:color w:val="auto"/>
          <w:kern w:val="0"/>
          <w:sz w:val="24"/>
        </w:rPr>
        <w:t>（</w:t>
      </w:r>
      <w:r>
        <w:rPr>
          <w:rFonts w:ascii="宋体" w:hAnsi="宋体"/>
          <w:color w:val="auto"/>
          <w:kern w:val="0"/>
          <w:sz w:val="24"/>
        </w:rPr>
        <w:t>11</w:t>
      </w:r>
      <w:r>
        <w:rPr>
          <w:rFonts w:hint="eastAsia" w:ascii="宋体" w:hAnsi="宋体"/>
          <w:color w:val="auto"/>
          <w:kern w:val="0"/>
          <w:sz w:val="24"/>
        </w:rPr>
        <w:t>）本期间应支付或扣留（回）的其他款项：</w:t>
      </w:r>
    </w:p>
    <w:p w14:paraId="7C36D579">
      <w:pPr>
        <w:spacing w:line="360" w:lineRule="auto"/>
        <w:rPr>
          <w:rFonts w:ascii="宋体"/>
          <w:color w:val="auto"/>
          <w:kern w:val="0"/>
          <w:sz w:val="24"/>
        </w:rPr>
      </w:pPr>
      <w:r>
        <w:rPr>
          <w:rFonts w:hint="eastAsia" w:ascii="宋体" w:hAnsi="宋体"/>
          <w:color w:val="auto"/>
          <w:kern w:val="0"/>
          <w:sz w:val="24"/>
        </w:rPr>
        <w:t>（</w:t>
      </w:r>
      <w:r>
        <w:rPr>
          <w:rFonts w:ascii="宋体" w:hAnsi="宋体"/>
          <w:color w:val="auto"/>
          <w:kern w:val="0"/>
          <w:sz w:val="24"/>
        </w:rPr>
        <w:t>2</w:t>
      </w:r>
      <w:r>
        <w:rPr>
          <w:rFonts w:hint="eastAsia" w:ascii="宋体" w:hAnsi="宋体"/>
          <w:color w:val="auto"/>
          <w:kern w:val="0"/>
          <w:sz w:val="24"/>
        </w:rPr>
        <w:t>）政府资金投资工程的支付期、支付办法</w:t>
      </w:r>
    </w:p>
    <w:p w14:paraId="1222B0B5">
      <w:pPr>
        <w:spacing w:line="360" w:lineRule="auto"/>
        <w:rPr>
          <w:rFonts w:ascii="宋体"/>
          <w:color w:val="auto"/>
          <w:kern w:val="0"/>
          <w:sz w:val="24"/>
        </w:rPr>
      </w:pPr>
      <w:r>
        <w:rPr>
          <w:rFonts w:hint="eastAsia" w:ascii="宋体" w:hAnsi="宋体"/>
          <w:color w:val="auto"/>
          <w:kern w:val="0"/>
          <w:sz w:val="24"/>
        </w:rPr>
        <w:t>■按通用条款的规定。</w:t>
      </w:r>
    </w:p>
    <w:p w14:paraId="4752885A">
      <w:pPr>
        <w:spacing w:line="360" w:lineRule="auto"/>
        <w:rPr>
          <w:rFonts w:ascii="宋体"/>
          <w:color w:val="auto"/>
          <w:kern w:val="0"/>
          <w:sz w:val="24"/>
        </w:rPr>
      </w:pPr>
      <w:r>
        <w:rPr>
          <w:rFonts w:hint="eastAsia" w:ascii="宋体" w:hAnsi="Wingdings 2"/>
          <w:color w:val="auto"/>
          <w:kern w:val="0"/>
          <w:sz w:val="24"/>
        </w:rPr>
        <w:sym w:font="Wingdings 2" w:char="F0A3"/>
      </w:r>
      <w:r>
        <w:rPr>
          <w:rFonts w:hint="eastAsia" w:ascii="宋体" w:hAnsi="宋体"/>
          <w:color w:val="auto"/>
          <w:kern w:val="0"/>
          <w:sz w:val="24"/>
        </w:rPr>
        <w:t>另作约定：</w:t>
      </w:r>
      <w:r>
        <w:rPr>
          <w:rFonts w:ascii="宋体" w:hAnsi="宋体"/>
          <w:color w:val="auto"/>
          <w:kern w:val="0"/>
          <w:sz w:val="24"/>
          <w:u w:val="single"/>
        </w:rPr>
        <w:t xml:space="preserve">                              /                   </w:t>
      </w:r>
    </w:p>
    <w:p w14:paraId="464D24F1">
      <w:pPr>
        <w:spacing w:line="360" w:lineRule="auto"/>
        <w:rPr>
          <w:rFonts w:ascii="宋体"/>
          <w:color w:val="auto"/>
          <w:kern w:val="0"/>
          <w:sz w:val="24"/>
        </w:rPr>
      </w:pPr>
      <w:r>
        <w:rPr>
          <w:rFonts w:ascii="宋体" w:hAnsi="宋体"/>
          <w:color w:val="auto"/>
          <w:kern w:val="0"/>
          <w:sz w:val="24"/>
        </w:rPr>
        <w:t xml:space="preserve">81.2 </w:t>
      </w:r>
      <w:r>
        <w:rPr>
          <w:rFonts w:hint="eastAsia" w:ascii="宋体" w:hAnsi="宋体"/>
          <w:color w:val="auto"/>
          <w:kern w:val="0"/>
          <w:sz w:val="24"/>
        </w:rPr>
        <w:t>期中支付的最低限额为</w:t>
      </w:r>
      <w:r>
        <w:rPr>
          <w:rFonts w:ascii="宋体" w:hAnsi="宋体"/>
          <w:color w:val="auto"/>
          <w:kern w:val="0"/>
          <w:sz w:val="24"/>
          <w:u w:val="single"/>
        </w:rPr>
        <w:t xml:space="preserve">        /       </w:t>
      </w:r>
      <w:r>
        <w:rPr>
          <w:rFonts w:hint="eastAsia" w:ascii="宋体" w:hAnsi="宋体"/>
          <w:color w:val="auto"/>
          <w:kern w:val="0"/>
          <w:sz w:val="24"/>
        </w:rPr>
        <w:t>元。</w:t>
      </w:r>
    </w:p>
    <w:p w14:paraId="5B84BDD7">
      <w:pPr>
        <w:spacing w:line="360" w:lineRule="auto"/>
        <w:rPr>
          <w:rFonts w:ascii="宋体"/>
          <w:color w:val="auto"/>
          <w:kern w:val="0"/>
          <w:sz w:val="24"/>
        </w:rPr>
      </w:pPr>
    </w:p>
    <w:p w14:paraId="6A1E5C25">
      <w:pPr>
        <w:spacing w:line="360" w:lineRule="auto"/>
        <w:rPr>
          <w:rFonts w:ascii="宋体"/>
          <w:b/>
          <w:color w:val="auto"/>
          <w:kern w:val="0"/>
          <w:sz w:val="24"/>
        </w:rPr>
      </w:pPr>
      <w:r>
        <w:rPr>
          <w:rFonts w:ascii="宋体" w:hAnsi="宋体"/>
          <w:b/>
          <w:color w:val="auto"/>
          <w:kern w:val="0"/>
          <w:sz w:val="24"/>
        </w:rPr>
        <w:t xml:space="preserve">82. </w:t>
      </w:r>
      <w:r>
        <w:rPr>
          <w:rFonts w:hint="eastAsia" w:ascii="宋体" w:hAnsi="宋体"/>
          <w:b/>
          <w:color w:val="auto"/>
          <w:kern w:val="0"/>
          <w:sz w:val="24"/>
        </w:rPr>
        <w:t>竣工结算</w:t>
      </w:r>
    </w:p>
    <w:p w14:paraId="4BB75B71">
      <w:pPr>
        <w:spacing w:line="360" w:lineRule="auto"/>
        <w:rPr>
          <w:rFonts w:ascii="宋体"/>
          <w:color w:val="auto"/>
          <w:kern w:val="0"/>
          <w:sz w:val="24"/>
        </w:rPr>
      </w:pPr>
      <w:r>
        <w:rPr>
          <w:rFonts w:ascii="宋体" w:hAnsi="宋体"/>
          <w:color w:val="auto"/>
          <w:kern w:val="0"/>
          <w:sz w:val="24"/>
        </w:rPr>
        <w:t xml:space="preserve">82.1 </w:t>
      </w:r>
      <w:r>
        <w:rPr>
          <w:rFonts w:hint="eastAsia" w:ascii="宋体" w:hAnsi="宋体"/>
          <w:color w:val="auto"/>
          <w:kern w:val="0"/>
          <w:sz w:val="24"/>
        </w:rPr>
        <w:t>竣工结算的程序和时限：</w:t>
      </w:r>
    </w:p>
    <w:p w14:paraId="7449E2D8">
      <w:pPr>
        <w:spacing w:line="360" w:lineRule="auto"/>
        <w:rPr>
          <w:rFonts w:ascii="宋体"/>
          <w:color w:val="auto"/>
          <w:kern w:val="0"/>
          <w:sz w:val="24"/>
        </w:rPr>
      </w:pPr>
      <w:r>
        <w:rPr>
          <w:rFonts w:hint="eastAsia" w:ascii="宋体" w:hAnsi="Wingdings 2"/>
          <w:color w:val="auto"/>
          <w:kern w:val="0"/>
          <w:sz w:val="24"/>
        </w:rPr>
        <w:sym w:font="Wingdings 2" w:char="F0A3"/>
      </w:r>
      <w:r>
        <w:rPr>
          <w:rFonts w:hint="eastAsia" w:ascii="宋体" w:hAnsi="宋体"/>
          <w:color w:val="auto"/>
          <w:kern w:val="0"/>
          <w:sz w:val="24"/>
        </w:rPr>
        <w:t>按通用条款的规定办理。</w:t>
      </w:r>
    </w:p>
    <w:p w14:paraId="2603DD29">
      <w:pPr>
        <w:spacing w:line="360" w:lineRule="auto"/>
        <w:rPr>
          <w:rFonts w:ascii="宋体"/>
          <w:color w:val="auto"/>
          <w:kern w:val="0"/>
          <w:sz w:val="24"/>
        </w:rPr>
      </w:pPr>
      <w:r>
        <w:rPr>
          <w:rFonts w:hint="eastAsia" w:ascii="宋体" w:hAnsi="宋体"/>
          <w:color w:val="auto"/>
          <w:sz w:val="24"/>
        </w:rPr>
        <w:t>■</w:t>
      </w:r>
      <w:r>
        <w:rPr>
          <w:rFonts w:hint="eastAsia" w:ascii="宋体" w:hAnsi="宋体"/>
          <w:color w:val="auto"/>
          <w:kern w:val="0"/>
          <w:sz w:val="24"/>
        </w:rPr>
        <w:t>另作约定：</w:t>
      </w:r>
      <w:r>
        <w:rPr>
          <w:rFonts w:hint="eastAsia" w:ascii="宋体" w:hAnsi="宋体"/>
          <w:color w:val="auto"/>
          <w:kern w:val="0"/>
          <w:sz w:val="24"/>
          <w:u w:val="single"/>
        </w:rPr>
        <w:t>承包人应在竣工验收后</w:t>
      </w:r>
      <w:r>
        <w:rPr>
          <w:rFonts w:ascii="宋体" w:hAnsi="宋体"/>
          <w:color w:val="auto"/>
          <w:kern w:val="0"/>
          <w:sz w:val="24"/>
          <w:u w:val="single"/>
        </w:rPr>
        <w:t>45</w:t>
      </w:r>
      <w:r>
        <w:rPr>
          <w:rFonts w:hint="eastAsia" w:ascii="宋体" w:hAnsi="宋体"/>
          <w:color w:val="auto"/>
          <w:kern w:val="0"/>
          <w:sz w:val="24"/>
          <w:u w:val="single"/>
        </w:rPr>
        <w:t>天内向发包人提交工程结算书。</w:t>
      </w:r>
    </w:p>
    <w:p w14:paraId="39906D70">
      <w:pPr>
        <w:spacing w:line="360" w:lineRule="auto"/>
        <w:rPr>
          <w:rFonts w:ascii="宋体"/>
          <w:color w:val="auto"/>
          <w:kern w:val="0"/>
          <w:sz w:val="24"/>
        </w:rPr>
      </w:pPr>
    </w:p>
    <w:p w14:paraId="07E3BBF2">
      <w:pPr>
        <w:spacing w:line="360" w:lineRule="auto"/>
        <w:rPr>
          <w:rFonts w:ascii="宋体"/>
          <w:b/>
          <w:color w:val="auto"/>
          <w:kern w:val="0"/>
          <w:sz w:val="24"/>
        </w:rPr>
      </w:pPr>
      <w:r>
        <w:rPr>
          <w:rFonts w:ascii="宋体" w:hAnsi="宋体"/>
          <w:b/>
          <w:color w:val="auto"/>
          <w:kern w:val="0"/>
          <w:sz w:val="24"/>
        </w:rPr>
        <w:t xml:space="preserve">83. </w:t>
      </w:r>
      <w:r>
        <w:rPr>
          <w:rFonts w:hint="eastAsia" w:ascii="宋体" w:hAnsi="宋体"/>
          <w:b/>
          <w:color w:val="auto"/>
          <w:kern w:val="0"/>
          <w:sz w:val="24"/>
        </w:rPr>
        <w:t>结算款</w:t>
      </w:r>
    </w:p>
    <w:p w14:paraId="5671438D">
      <w:pPr>
        <w:spacing w:line="360" w:lineRule="auto"/>
        <w:rPr>
          <w:rFonts w:ascii="宋体"/>
          <w:color w:val="auto"/>
          <w:kern w:val="0"/>
          <w:sz w:val="24"/>
        </w:rPr>
      </w:pPr>
      <w:r>
        <w:rPr>
          <w:rFonts w:ascii="宋体" w:hAnsi="宋体"/>
          <w:color w:val="auto"/>
          <w:kern w:val="0"/>
          <w:sz w:val="24"/>
        </w:rPr>
        <w:t xml:space="preserve">83.1 </w:t>
      </w:r>
      <w:r>
        <w:rPr>
          <w:rFonts w:hint="eastAsia" w:ascii="宋体" w:hAnsi="宋体"/>
          <w:color w:val="auto"/>
          <w:kern w:val="0"/>
          <w:sz w:val="24"/>
        </w:rPr>
        <w:t>提交竣工支付申请</w:t>
      </w:r>
    </w:p>
    <w:p w14:paraId="276055CE">
      <w:pPr>
        <w:spacing w:line="360" w:lineRule="auto"/>
        <w:rPr>
          <w:rFonts w:ascii="宋体"/>
          <w:color w:val="auto"/>
          <w:kern w:val="0"/>
          <w:sz w:val="24"/>
        </w:rPr>
      </w:pPr>
      <w:r>
        <w:rPr>
          <w:rFonts w:hint="eastAsia" w:ascii="宋体" w:hAnsi="宋体"/>
          <w:color w:val="auto"/>
          <w:kern w:val="0"/>
          <w:sz w:val="24"/>
        </w:rPr>
        <w:t>（</w:t>
      </w:r>
      <w:r>
        <w:rPr>
          <w:rFonts w:ascii="宋体" w:hAnsi="宋体"/>
          <w:color w:val="auto"/>
          <w:kern w:val="0"/>
          <w:sz w:val="24"/>
        </w:rPr>
        <w:t>1</w:t>
      </w:r>
      <w:r>
        <w:rPr>
          <w:rFonts w:hint="eastAsia" w:ascii="宋体" w:hAnsi="宋体"/>
          <w:color w:val="auto"/>
          <w:kern w:val="0"/>
          <w:sz w:val="24"/>
        </w:rPr>
        <w:t>）竣工支付期限</w:t>
      </w:r>
    </w:p>
    <w:p w14:paraId="06074D81">
      <w:pPr>
        <w:spacing w:line="360" w:lineRule="auto"/>
        <w:rPr>
          <w:rFonts w:ascii="宋体"/>
          <w:color w:val="auto"/>
          <w:kern w:val="0"/>
          <w:sz w:val="24"/>
        </w:rPr>
      </w:pPr>
      <w:r>
        <w:rPr>
          <w:rFonts w:hint="eastAsia" w:ascii="宋体" w:hAnsi="宋体"/>
          <w:color w:val="auto"/>
          <w:kern w:val="0"/>
          <w:sz w:val="24"/>
        </w:rPr>
        <w:t>■按通用条款的规定，在造价工程师签发竣工结算支付证书后的</w:t>
      </w:r>
      <w:r>
        <w:rPr>
          <w:rFonts w:ascii="宋体" w:hAnsi="宋体"/>
          <w:color w:val="auto"/>
          <w:kern w:val="0"/>
          <w:sz w:val="24"/>
        </w:rPr>
        <w:t>28</w:t>
      </w:r>
      <w:r>
        <w:rPr>
          <w:rFonts w:hint="eastAsia" w:ascii="宋体" w:hAnsi="宋体"/>
          <w:color w:val="auto"/>
          <w:kern w:val="0"/>
          <w:sz w:val="24"/>
        </w:rPr>
        <w:t>天内。</w:t>
      </w:r>
    </w:p>
    <w:p w14:paraId="1C0A2131">
      <w:pPr>
        <w:spacing w:line="360" w:lineRule="auto"/>
        <w:rPr>
          <w:rFonts w:ascii="宋体"/>
          <w:color w:val="auto"/>
          <w:kern w:val="0"/>
          <w:sz w:val="24"/>
        </w:rPr>
      </w:pPr>
      <w:r>
        <w:rPr>
          <w:rFonts w:hint="eastAsia" w:ascii="宋体"/>
          <w:color w:val="auto"/>
          <w:kern w:val="0"/>
          <w:sz w:val="24"/>
        </w:rPr>
        <w:t>□</w:t>
      </w:r>
      <w:r>
        <w:rPr>
          <w:rFonts w:hint="eastAsia" w:ascii="宋体" w:hAnsi="宋体"/>
          <w:color w:val="auto"/>
          <w:kern w:val="0"/>
          <w:sz w:val="24"/>
        </w:rPr>
        <w:t>另有约定。</w:t>
      </w:r>
    </w:p>
    <w:p w14:paraId="1AED6EB9">
      <w:pPr>
        <w:spacing w:line="360" w:lineRule="auto"/>
        <w:rPr>
          <w:rFonts w:ascii="宋体"/>
          <w:color w:val="auto"/>
          <w:kern w:val="0"/>
          <w:sz w:val="24"/>
        </w:rPr>
      </w:pPr>
      <w:r>
        <w:rPr>
          <w:rFonts w:hint="eastAsia" w:ascii="宋体" w:hAnsi="宋体"/>
          <w:color w:val="auto"/>
          <w:kern w:val="0"/>
          <w:sz w:val="24"/>
        </w:rPr>
        <w:t>（</w:t>
      </w:r>
      <w:r>
        <w:rPr>
          <w:rFonts w:ascii="宋体" w:hAnsi="宋体"/>
          <w:color w:val="auto"/>
          <w:kern w:val="0"/>
          <w:sz w:val="24"/>
        </w:rPr>
        <w:t>2</w:t>
      </w:r>
      <w:r>
        <w:rPr>
          <w:rFonts w:hint="eastAsia" w:ascii="宋体" w:hAnsi="宋体"/>
          <w:color w:val="auto"/>
          <w:kern w:val="0"/>
          <w:sz w:val="24"/>
        </w:rPr>
        <w:t>）政府资金投资工程的支付期、支付办法</w:t>
      </w:r>
    </w:p>
    <w:p w14:paraId="72790538">
      <w:pPr>
        <w:spacing w:line="360" w:lineRule="auto"/>
        <w:rPr>
          <w:rFonts w:ascii="宋体"/>
          <w:color w:val="auto"/>
          <w:kern w:val="0"/>
          <w:sz w:val="24"/>
        </w:rPr>
      </w:pPr>
      <w:r>
        <w:rPr>
          <w:rFonts w:hint="eastAsia" w:ascii="宋体" w:hAnsi="宋体"/>
          <w:color w:val="auto"/>
          <w:kern w:val="0"/>
          <w:sz w:val="24"/>
        </w:rPr>
        <w:t>■按通用条款的规定。</w:t>
      </w:r>
    </w:p>
    <w:p w14:paraId="7BD40CCA">
      <w:pPr>
        <w:spacing w:line="360" w:lineRule="auto"/>
        <w:rPr>
          <w:rFonts w:ascii="宋体"/>
          <w:color w:val="auto"/>
          <w:kern w:val="0"/>
          <w:sz w:val="24"/>
          <w:u w:val="single"/>
        </w:rPr>
      </w:pPr>
      <w:r>
        <w:rPr>
          <w:rFonts w:hint="eastAsia" w:ascii="宋体"/>
          <w:color w:val="auto"/>
          <w:kern w:val="0"/>
          <w:sz w:val="24"/>
        </w:rPr>
        <w:t>□</w:t>
      </w:r>
      <w:r>
        <w:rPr>
          <w:rFonts w:hint="eastAsia" w:ascii="宋体" w:hAnsi="宋体"/>
          <w:color w:val="auto"/>
          <w:kern w:val="0"/>
          <w:sz w:val="24"/>
        </w:rPr>
        <w:t>另作约定：</w:t>
      </w:r>
      <w:r>
        <w:rPr>
          <w:rFonts w:ascii="宋体" w:hAnsi="宋体"/>
          <w:color w:val="auto"/>
          <w:kern w:val="0"/>
          <w:sz w:val="24"/>
          <w:u w:val="single"/>
        </w:rPr>
        <w:t xml:space="preserve">                               /                              </w:t>
      </w:r>
    </w:p>
    <w:p w14:paraId="112E1F21">
      <w:pPr>
        <w:spacing w:line="360" w:lineRule="auto"/>
        <w:rPr>
          <w:rFonts w:ascii="宋体"/>
          <w:color w:val="auto"/>
          <w:kern w:val="0"/>
          <w:sz w:val="24"/>
        </w:rPr>
      </w:pPr>
    </w:p>
    <w:p w14:paraId="62D37CF7">
      <w:pPr>
        <w:spacing w:line="360" w:lineRule="auto"/>
        <w:rPr>
          <w:rFonts w:ascii="宋体"/>
          <w:color w:val="auto"/>
          <w:kern w:val="0"/>
          <w:sz w:val="24"/>
        </w:rPr>
      </w:pPr>
      <w:r>
        <w:rPr>
          <w:rFonts w:ascii="宋体" w:hAnsi="宋体"/>
          <w:b/>
          <w:color w:val="auto"/>
          <w:kern w:val="0"/>
          <w:sz w:val="24"/>
        </w:rPr>
        <w:t xml:space="preserve">84. </w:t>
      </w:r>
      <w:r>
        <w:rPr>
          <w:rFonts w:hint="eastAsia" w:ascii="宋体" w:hAnsi="宋体"/>
          <w:b/>
          <w:color w:val="auto"/>
          <w:kern w:val="0"/>
          <w:sz w:val="24"/>
        </w:rPr>
        <w:t>质量保证金</w:t>
      </w:r>
    </w:p>
    <w:p w14:paraId="79DFA0CF">
      <w:pPr>
        <w:spacing w:line="360" w:lineRule="auto"/>
        <w:rPr>
          <w:rFonts w:ascii="宋体"/>
          <w:color w:val="auto"/>
          <w:kern w:val="0"/>
          <w:sz w:val="24"/>
        </w:rPr>
      </w:pPr>
      <w:r>
        <w:rPr>
          <w:rFonts w:ascii="宋体" w:hAnsi="宋体"/>
          <w:color w:val="auto"/>
          <w:kern w:val="0"/>
          <w:sz w:val="24"/>
        </w:rPr>
        <w:t xml:space="preserve">84.2 </w:t>
      </w:r>
      <w:r>
        <w:rPr>
          <w:rFonts w:hint="eastAsia" w:ascii="宋体" w:hAnsi="宋体"/>
          <w:color w:val="auto"/>
          <w:kern w:val="0"/>
          <w:sz w:val="24"/>
        </w:rPr>
        <w:t>质量保证金的约定与扣留</w:t>
      </w:r>
    </w:p>
    <w:p w14:paraId="0D6C7A8E">
      <w:pPr>
        <w:spacing w:line="360" w:lineRule="auto"/>
        <w:rPr>
          <w:rFonts w:ascii="宋体"/>
          <w:color w:val="auto"/>
          <w:kern w:val="0"/>
          <w:sz w:val="24"/>
        </w:rPr>
      </w:pPr>
      <w:r>
        <w:rPr>
          <w:rFonts w:hint="eastAsia" w:ascii="宋体" w:hAnsi="宋体"/>
          <w:color w:val="auto"/>
          <w:kern w:val="0"/>
          <w:sz w:val="24"/>
        </w:rPr>
        <w:t>（</w:t>
      </w:r>
      <w:r>
        <w:rPr>
          <w:rFonts w:ascii="宋体" w:hAnsi="宋体"/>
          <w:color w:val="auto"/>
          <w:kern w:val="0"/>
          <w:sz w:val="24"/>
        </w:rPr>
        <w:t>1</w:t>
      </w:r>
      <w:r>
        <w:rPr>
          <w:rFonts w:hint="eastAsia" w:ascii="宋体" w:hAnsi="宋体"/>
          <w:color w:val="auto"/>
          <w:kern w:val="0"/>
          <w:sz w:val="24"/>
        </w:rPr>
        <w:t>）质量保证金的约定</w:t>
      </w:r>
    </w:p>
    <w:p w14:paraId="2B13A704">
      <w:pPr>
        <w:spacing w:line="360" w:lineRule="auto"/>
        <w:rPr>
          <w:rFonts w:ascii="宋体"/>
          <w:color w:val="auto"/>
          <w:kern w:val="0"/>
          <w:sz w:val="24"/>
        </w:rPr>
      </w:pPr>
      <w:r>
        <w:rPr>
          <w:rFonts w:hint="eastAsia" w:ascii="宋体"/>
          <w:color w:val="auto"/>
          <w:kern w:val="0"/>
          <w:sz w:val="24"/>
        </w:rPr>
        <w:t>□</w:t>
      </w:r>
      <w:r>
        <w:rPr>
          <w:rFonts w:hint="eastAsia" w:ascii="宋体" w:hAnsi="宋体"/>
          <w:color w:val="auto"/>
          <w:kern w:val="0"/>
          <w:sz w:val="24"/>
        </w:rPr>
        <w:t>按通用条款规定为合同条款的</w:t>
      </w:r>
      <w:r>
        <w:rPr>
          <w:rFonts w:ascii="宋体" w:hAnsi="宋体"/>
          <w:color w:val="auto"/>
          <w:kern w:val="0"/>
          <w:sz w:val="24"/>
        </w:rPr>
        <w:t>3%</w:t>
      </w:r>
      <w:r>
        <w:rPr>
          <w:rFonts w:hint="eastAsia" w:ascii="宋体" w:hAnsi="宋体"/>
          <w:color w:val="auto"/>
          <w:kern w:val="0"/>
          <w:sz w:val="24"/>
        </w:rPr>
        <w:t>，即</w:t>
      </w:r>
      <w:r>
        <w:rPr>
          <w:rFonts w:ascii="宋体" w:hAnsi="宋体"/>
          <w:color w:val="auto"/>
          <w:kern w:val="0"/>
          <w:sz w:val="24"/>
          <w:u w:val="single"/>
        </w:rPr>
        <w:t xml:space="preserve">          /          </w:t>
      </w:r>
      <w:r>
        <w:rPr>
          <w:rFonts w:hint="eastAsia" w:ascii="宋体" w:hAnsi="宋体"/>
          <w:color w:val="auto"/>
          <w:kern w:val="0"/>
          <w:sz w:val="24"/>
        </w:rPr>
        <w:t>元。</w:t>
      </w:r>
    </w:p>
    <w:p w14:paraId="2B9AB562">
      <w:pPr>
        <w:spacing w:line="360" w:lineRule="auto"/>
        <w:rPr>
          <w:rFonts w:ascii="宋体"/>
          <w:color w:val="auto"/>
          <w:kern w:val="0"/>
          <w:sz w:val="24"/>
        </w:rPr>
      </w:pPr>
      <w:r>
        <w:rPr>
          <w:rFonts w:hint="eastAsia" w:ascii="宋体" w:hAnsi="宋体"/>
          <w:color w:val="auto"/>
          <w:sz w:val="24"/>
        </w:rPr>
        <w:t>■</w:t>
      </w:r>
      <w:r>
        <w:rPr>
          <w:rFonts w:hint="eastAsia" w:ascii="宋体" w:hAnsi="宋体"/>
          <w:color w:val="auto"/>
          <w:kern w:val="0"/>
          <w:sz w:val="24"/>
        </w:rPr>
        <w:t>另有约定：</w:t>
      </w:r>
      <w:r>
        <w:rPr>
          <w:rFonts w:hint="eastAsia" w:ascii="宋体" w:hAnsi="宋体"/>
          <w:color w:val="auto"/>
          <w:kern w:val="0"/>
          <w:sz w:val="24"/>
          <w:u w:val="single"/>
        </w:rPr>
        <w:t>经第三方造价公司及发包人审定后结算价的</w:t>
      </w:r>
      <w:r>
        <w:rPr>
          <w:rFonts w:ascii="宋体" w:hAnsi="宋体"/>
          <w:color w:val="auto"/>
          <w:kern w:val="0"/>
          <w:sz w:val="24"/>
          <w:u w:val="single"/>
        </w:rPr>
        <w:t xml:space="preserve">3%  </w:t>
      </w:r>
    </w:p>
    <w:p w14:paraId="6971C917">
      <w:pPr>
        <w:spacing w:line="360" w:lineRule="auto"/>
        <w:rPr>
          <w:rFonts w:ascii="宋体"/>
          <w:color w:val="auto"/>
          <w:kern w:val="0"/>
          <w:sz w:val="24"/>
        </w:rPr>
      </w:pPr>
      <w:r>
        <w:rPr>
          <w:rFonts w:hint="eastAsia" w:ascii="宋体" w:hAnsi="宋体"/>
          <w:color w:val="auto"/>
          <w:kern w:val="0"/>
          <w:sz w:val="24"/>
        </w:rPr>
        <w:t>（</w:t>
      </w:r>
      <w:r>
        <w:rPr>
          <w:rFonts w:ascii="宋体" w:hAnsi="宋体"/>
          <w:color w:val="auto"/>
          <w:kern w:val="0"/>
          <w:sz w:val="24"/>
        </w:rPr>
        <w:t>2</w:t>
      </w:r>
      <w:r>
        <w:rPr>
          <w:rFonts w:hint="eastAsia" w:ascii="宋体" w:hAnsi="宋体"/>
          <w:color w:val="auto"/>
          <w:kern w:val="0"/>
          <w:sz w:val="24"/>
        </w:rPr>
        <w:t>）质量保证金</w:t>
      </w:r>
    </w:p>
    <w:p w14:paraId="3C385FDD">
      <w:pPr>
        <w:spacing w:line="360" w:lineRule="auto"/>
        <w:rPr>
          <w:rFonts w:ascii="宋体"/>
          <w:color w:val="auto"/>
          <w:kern w:val="0"/>
          <w:sz w:val="24"/>
        </w:rPr>
      </w:pPr>
      <w:r>
        <w:rPr>
          <w:rFonts w:hint="eastAsia" w:ascii="宋体"/>
          <w:color w:val="auto"/>
          <w:kern w:val="0"/>
          <w:sz w:val="24"/>
        </w:rPr>
        <w:t>□</w:t>
      </w:r>
      <w:r>
        <w:rPr>
          <w:rFonts w:hint="eastAsia" w:ascii="宋体" w:hAnsi="宋体"/>
          <w:color w:val="auto"/>
          <w:kern w:val="0"/>
          <w:sz w:val="24"/>
        </w:rPr>
        <w:t>按通用条款的规定，按每支付期应支付给承包人的进度款和结算款的</w:t>
      </w:r>
      <w:r>
        <w:rPr>
          <w:rFonts w:ascii="宋体" w:hAnsi="宋体"/>
          <w:color w:val="auto"/>
          <w:kern w:val="0"/>
          <w:sz w:val="24"/>
        </w:rPr>
        <w:t>3%</w:t>
      </w:r>
      <w:r>
        <w:rPr>
          <w:rFonts w:hint="eastAsia" w:ascii="宋体" w:hAnsi="宋体"/>
          <w:color w:val="auto"/>
          <w:kern w:val="0"/>
          <w:sz w:val="24"/>
        </w:rPr>
        <w:t>扣留。</w:t>
      </w:r>
    </w:p>
    <w:p w14:paraId="2BF45CAD">
      <w:pPr>
        <w:spacing w:line="360" w:lineRule="auto"/>
        <w:ind w:firstLine="480" w:firstLineChars="200"/>
        <w:rPr>
          <w:rFonts w:ascii="宋体"/>
          <w:color w:val="auto"/>
          <w:kern w:val="0"/>
          <w:sz w:val="24"/>
          <w:u w:val="single"/>
        </w:rPr>
      </w:pPr>
      <w:r>
        <w:rPr>
          <w:rFonts w:hint="eastAsia" w:ascii="宋体" w:hAnsi="宋体"/>
          <w:color w:val="auto"/>
          <w:sz w:val="24"/>
        </w:rPr>
        <w:t>■</w:t>
      </w:r>
      <w:r>
        <w:rPr>
          <w:rFonts w:hint="eastAsia" w:ascii="宋体" w:hAnsi="宋体"/>
          <w:color w:val="auto"/>
          <w:kern w:val="0"/>
          <w:sz w:val="24"/>
        </w:rPr>
        <w:t>另有约定：</w:t>
      </w:r>
      <w:r>
        <w:rPr>
          <w:rFonts w:hint="eastAsia" w:ascii="宋体" w:hAnsi="宋体"/>
          <w:color w:val="auto"/>
          <w:kern w:val="0"/>
          <w:sz w:val="24"/>
          <w:u w:val="single"/>
        </w:rPr>
        <w:t>经发包人审定后付清结算尾款，</w:t>
      </w:r>
      <w:r>
        <w:rPr>
          <w:rFonts w:hint="eastAsia" w:ascii="宋体" w:hAnsi="Calibri" w:cs="宋体"/>
          <w:b/>
          <w:bCs/>
          <w:color w:val="auto"/>
          <w:kern w:val="0"/>
          <w:sz w:val="24"/>
        </w:rPr>
        <w:t>工程质量保证金为工程结算价的3％。在结算尾款结清前提供质保金银行保函或现金保证。</w:t>
      </w:r>
    </w:p>
    <w:p w14:paraId="7E34C7BE">
      <w:pPr>
        <w:spacing w:line="360" w:lineRule="auto"/>
        <w:ind w:firstLine="420" w:firstLineChars="175"/>
        <w:rPr>
          <w:rFonts w:ascii="宋体"/>
          <w:color w:val="auto"/>
          <w:kern w:val="0"/>
          <w:sz w:val="24"/>
        </w:rPr>
      </w:pPr>
      <w:r>
        <w:rPr>
          <w:rFonts w:hint="eastAsia" w:ascii="宋体" w:hAnsi="Calibri" w:cs="宋体"/>
          <w:color w:val="auto"/>
          <w:kern w:val="0"/>
          <w:sz w:val="24"/>
        </w:rPr>
        <w:t>84.3 质量保证金的返还时间：各期</w:t>
      </w:r>
      <w:r>
        <w:rPr>
          <w:rFonts w:hint="eastAsia" w:ascii="宋体" w:hAnsi="Calibri" w:cs="宋体"/>
          <w:color w:val="auto"/>
          <w:kern w:val="0"/>
          <w:sz w:val="24"/>
          <w:u w:val="single"/>
        </w:rPr>
        <w:t>工程质量保修期且缺陷责任期期满后，该期工程不存在质量问题并经发包人和监理</w:t>
      </w:r>
      <w:r>
        <w:rPr>
          <w:rFonts w:ascii="宋体" w:hAnsi="Calibri" w:cs="宋体"/>
          <w:color w:val="auto"/>
          <w:kern w:val="0"/>
          <w:sz w:val="24"/>
          <w:u w:val="single"/>
        </w:rPr>
        <w:t>人</w:t>
      </w:r>
      <w:r>
        <w:rPr>
          <w:rFonts w:hint="eastAsia" w:ascii="宋体" w:hAnsi="Calibri" w:cs="宋体"/>
          <w:color w:val="auto"/>
          <w:kern w:val="0"/>
          <w:sz w:val="24"/>
          <w:u w:val="single"/>
        </w:rPr>
        <w:t>认可后，向承包人无息返还质量保证金。</w:t>
      </w:r>
    </w:p>
    <w:p w14:paraId="4D4C5192">
      <w:pPr>
        <w:spacing w:line="360" w:lineRule="auto"/>
        <w:rPr>
          <w:rFonts w:ascii="宋体"/>
          <w:color w:val="auto"/>
          <w:kern w:val="0"/>
          <w:sz w:val="24"/>
        </w:rPr>
      </w:pPr>
    </w:p>
    <w:p w14:paraId="3EE0A82C">
      <w:pPr>
        <w:spacing w:line="360" w:lineRule="auto"/>
        <w:rPr>
          <w:rFonts w:ascii="宋体"/>
          <w:b/>
          <w:color w:val="auto"/>
          <w:kern w:val="0"/>
          <w:sz w:val="24"/>
        </w:rPr>
      </w:pPr>
      <w:r>
        <w:rPr>
          <w:rFonts w:ascii="宋体" w:hAnsi="宋体"/>
          <w:b/>
          <w:color w:val="auto"/>
          <w:kern w:val="0"/>
          <w:sz w:val="24"/>
        </w:rPr>
        <w:t xml:space="preserve">85. </w:t>
      </w:r>
      <w:r>
        <w:rPr>
          <w:rFonts w:hint="eastAsia" w:ascii="宋体" w:hAnsi="宋体"/>
          <w:b/>
          <w:color w:val="auto"/>
          <w:kern w:val="0"/>
          <w:sz w:val="24"/>
        </w:rPr>
        <w:t>最终清算款</w:t>
      </w:r>
    </w:p>
    <w:p w14:paraId="5E77FF75">
      <w:pPr>
        <w:spacing w:line="360" w:lineRule="auto"/>
        <w:rPr>
          <w:rFonts w:ascii="宋体"/>
          <w:color w:val="auto"/>
          <w:kern w:val="0"/>
          <w:sz w:val="24"/>
        </w:rPr>
      </w:pPr>
      <w:r>
        <w:rPr>
          <w:rFonts w:ascii="宋体" w:hAnsi="宋体"/>
          <w:color w:val="auto"/>
          <w:kern w:val="0"/>
          <w:sz w:val="24"/>
        </w:rPr>
        <w:t xml:space="preserve">85.1 </w:t>
      </w:r>
      <w:r>
        <w:rPr>
          <w:rFonts w:hint="eastAsia" w:ascii="宋体" w:hAnsi="宋体"/>
          <w:color w:val="auto"/>
          <w:kern w:val="0"/>
          <w:sz w:val="24"/>
        </w:rPr>
        <w:t>提交最终清算支付申请</w:t>
      </w:r>
    </w:p>
    <w:p w14:paraId="37CA4903">
      <w:pPr>
        <w:spacing w:line="360" w:lineRule="auto"/>
        <w:rPr>
          <w:rFonts w:ascii="宋体"/>
          <w:color w:val="auto"/>
          <w:kern w:val="0"/>
          <w:sz w:val="24"/>
        </w:rPr>
      </w:pPr>
      <w:r>
        <w:rPr>
          <w:rFonts w:hint="eastAsia" w:ascii="宋体" w:hAnsi="宋体"/>
          <w:color w:val="auto"/>
          <w:kern w:val="0"/>
          <w:sz w:val="24"/>
        </w:rPr>
        <w:t>（</w:t>
      </w:r>
      <w:r>
        <w:rPr>
          <w:rFonts w:ascii="宋体" w:hAnsi="宋体"/>
          <w:color w:val="auto"/>
          <w:kern w:val="0"/>
          <w:sz w:val="24"/>
        </w:rPr>
        <w:t>1</w:t>
      </w:r>
      <w:r>
        <w:rPr>
          <w:rFonts w:hint="eastAsia" w:ascii="宋体" w:hAnsi="宋体"/>
          <w:color w:val="auto"/>
          <w:kern w:val="0"/>
          <w:sz w:val="24"/>
        </w:rPr>
        <w:t>）最终清算支付申请</w:t>
      </w:r>
    </w:p>
    <w:p w14:paraId="3EDBB9D6">
      <w:pPr>
        <w:spacing w:line="360" w:lineRule="auto"/>
        <w:rPr>
          <w:rFonts w:ascii="宋体"/>
          <w:color w:val="auto"/>
          <w:kern w:val="0"/>
          <w:sz w:val="24"/>
        </w:rPr>
      </w:pPr>
      <w:r>
        <w:rPr>
          <w:rFonts w:hint="eastAsia" w:ascii="宋体" w:hAnsi="宋体"/>
          <w:color w:val="auto"/>
          <w:kern w:val="0"/>
          <w:sz w:val="24"/>
        </w:rPr>
        <w:t>提交份数：</w:t>
      </w:r>
      <w:r>
        <w:rPr>
          <w:rFonts w:ascii="宋体" w:hAnsi="宋体"/>
          <w:color w:val="auto"/>
          <w:kern w:val="0"/>
          <w:sz w:val="24"/>
          <w:u w:val="single"/>
        </w:rPr>
        <w:t xml:space="preserve">  3  </w:t>
      </w:r>
    </w:p>
    <w:p w14:paraId="29131B2E">
      <w:pPr>
        <w:spacing w:line="360" w:lineRule="auto"/>
        <w:rPr>
          <w:rFonts w:ascii="宋体"/>
          <w:color w:val="auto"/>
          <w:kern w:val="0"/>
          <w:sz w:val="24"/>
          <w:u w:val="single"/>
        </w:rPr>
      </w:pPr>
      <w:r>
        <w:rPr>
          <w:rFonts w:hint="eastAsia" w:ascii="宋体" w:hAnsi="宋体"/>
          <w:color w:val="auto"/>
          <w:kern w:val="0"/>
          <w:sz w:val="24"/>
        </w:rPr>
        <w:t>提交期限：</w:t>
      </w:r>
    </w:p>
    <w:p w14:paraId="7F394E7E">
      <w:pPr>
        <w:spacing w:line="360" w:lineRule="auto"/>
        <w:rPr>
          <w:rFonts w:ascii="宋体"/>
          <w:color w:val="auto"/>
          <w:kern w:val="0"/>
          <w:sz w:val="24"/>
        </w:rPr>
      </w:pPr>
      <w:r>
        <w:rPr>
          <w:rFonts w:ascii="宋体" w:hAnsi="宋体"/>
          <w:color w:val="auto"/>
          <w:kern w:val="0"/>
          <w:sz w:val="24"/>
        </w:rPr>
        <w:t xml:space="preserve"> (2)  </w:t>
      </w:r>
      <w:r>
        <w:rPr>
          <w:rFonts w:hint="eastAsia" w:ascii="宋体" w:hAnsi="宋体"/>
          <w:color w:val="auto"/>
          <w:kern w:val="0"/>
          <w:sz w:val="24"/>
        </w:rPr>
        <w:t>最终清算支付时限</w:t>
      </w:r>
    </w:p>
    <w:p w14:paraId="1B585CBC">
      <w:pPr>
        <w:spacing w:line="360" w:lineRule="auto"/>
        <w:rPr>
          <w:rFonts w:ascii="宋体"/>
          <w:color w:val="auto"/>
          <w:kern w:val="0"/>
          <w:sz w:val="24"/>
        </w:rPr>
      </w:pPr>
      <w:r>
        <w:rPr>
          <w:rFonts w:hint="eastAsia" w:ascii="宋体"/>
          <w:color w:val="auto"/>
          <w:kern w:val="0"/>
          <w:sz w:val="24"/>
          <w:lang w:eastAsia="zh-CN"/>
        </w:rPr>
        <w:t>□</w:t>
      </w:r>
      <w:r>
        <w:rPr>
          <w:rFonts w:hint="eastAsia" w:ascii="宋体" w:hAnsi="宋体"/>
          <w:color w:val="auto"/>
          <w:kern w:val="0"/>
          <w:sz w:val="24"/>
        </w:rPr>
        <w:t>按通用条款的规定，在造价工程师签发最终清算支付证书后的</w:t>
      </w:r>
      <w:r>
        <w:rPr>
          <w:rFonts w:ascii="宋体" w:hAnsi="宋体"/>
          <w:color w:val="auto"/>
          <w:kern w:val="0"/>
          <w:sz w:val="24"/>
        </w:rPr>
        <w:t>14</w:t>
      </w:r>
      <w:r>
        <w:rPr>
          <w:rFonts w:hint="eastAsia" w:ascii="宋体" w:hAnsi="宋体"/>
          <w:color w:val="auto"/>
          <w:kern w:val="0"/>
          <w:sz w:val="24"/>
        </w:rPr>
        <w:t>天内。</w:t>
      </w:r>
    </w:p>
    <w:p w14:paraId="66583999">
      <w:pPr>
        <w:spacing w:line="360" w:lineRule="auto"/>
        <w:rPr>
          <w:rFonts w:ascii="宋体"/>
          <w:color w:val="auto"/>
          <w:kern w:val="0"/>
          <w:sz w:val="24"/>
        </w:rPr>
      </w:pPr>
      <w:r>
        <w:rPr>
          <w:rFonts w:hint="eastAsia" w:ascii="宋体" w:hAnsi="宋体"/>
          <w:color w:val="auto"/>
          <w:kern w:val="0"/>
          <w:sz w:val="24"/>
        </w:rPr>
        <w:t>■另有约定：</w:t>
      </w:r>
      <w:r>
        <w:rPr>
          <w:rFonts w:ascii="宋体" w:hAnsi="宋体"/>
          <w:color w:val="auto"/>
          <w:kern w:val="0"/>
          <w:sz w:val="24"/>
          <w:u w:val="single"/>
        </w:rPr>
        <w:t xml:space="preserve"> </w:t>
      </w:r>
      <w:r>
        <w:rPr>
          <w:rFonts w:hint="eastAsia" w:ascii="宋体" w:hAnsi="Calibri" w:cs="宋体"/>
          <w:color w:val="auto"/>
          <w:kern w:val="0"/>
          <w:sz w:val="24"/>
          <w:u w:val="single"/>
        </w:rPr>
        <w:t>工程缺陷责任期和</w:t>
      </w:r>
      <w:r>
        <w:rPr>
          <w:rFonts w:ascii="宋体" w:hAnsi="Calibri" w:cs="宋体"/>
          <w:color w:val="auto"/>
          <w:kern w:val="0"/>
          <w:sz w:val="24"/>
          <w:u w:val="single"/>
        </w:rPr>
        <w:t>质量</w:t>
      </w:r>
      <w:r>
        <w:rPr>
          <w:rFonts w:hint="eastAsia" w:ascii="宋体" w:hAnsi="Calibri" w:cs="宋体"/>
          <w:color w:val="auto"/>
          <w:kern w:val="0"/>
          <w:sz w:val="24"/>
          <w:u w:val="single"/>
        </w:rPr>
        <w:t>保修期期满，并取得工程缺陷责任期终止证书后，按工程款支付办法向承包人支付工程结算余款（无息）。</w:t>
      </w:r>
      <w:r>
        <w:rPr>
          <w:rFonts w:ascii="宋体" w:hAnsi="宋体"/>
          <w:color w:val="auto"/>
          <w:kern w:val="0"/>
          <w:sz w:val="24"/>
          <w:u w:val="single"/>
        </w:rPr>
        <w:t xml:space="preserve"> </w:t>
      </w:r>
    </w:p>
    <w:p w14:paraId="1A9DCA7A">
      <w:pPr>
        <w:spacing w:line="360" w:lineRule="auto"/>
        <w:rPr>
          <w:rFonts w:ascii="宋体"/>
          <w:color w:val="auto"/>
          <w:kern w:val="0"/>
          <w:sz w:val="24"/>
        </w:rPr>
      </w:pPr>
    </w:p>
    <w:p w14:paraId="1DD36931">
      <w:pPr>
        <w:spacing w:line="360" w:lineRule="auto"/>
        <w:rPr>
          <w:rFonts w:ascii="宋体"/>
          <w:b/>
          <w:color w:val="auto"/>
          <w:kern w:val="0"/>
          <w:sz w:val="24"/>
        </w:rPr>
      </w:pPr>
      <w:r>
        <w:rPr>
          <w:rFonts w:ascii="宋体" w:hAnsi="宋体"/>
          <w:b/>
          <w:color w:val="auto"/>
          <w:kern w:val="0"/>
          <w:sz w:val="24"/>
        </w:rPr>
        <w:t xml:space="preserve">86. </w:t>
      </w:r>
      <w:r>
        <w:rPr>
          <w:rFonts w:hint="eastAsia" w:ascii="宋体" w:hAnsi="宋体"/>
          <w:b/>
          <w:color w:val="auto"/>
          <w:kern w:val="0"/>
          <w:sz w:val="24"/>
        </w:rPr>
        <w:t>合同争议</w:t>
      </w:r>
    </w:p>
    <w:p w14:paraId="7177EFD2">
      <w:pPr>
        <w:spacing w:line="360" w:lineRule="auto"/>
        <w:rPr>
          <w:rFonts w:ascii="宋体"/>
          <w:color w:val="auto"/>
          <w:kern w:val="0"/>
          <w:sz w:val="24"/>
        </w:rPr>
      </w:pPr>
      <w:r>
        <w:rPr>
          <w:rFonts w:ascii="宋体" w:hAnsi="宋体"/>
          <w:color w:val="auto"/>
          <w:kern w:val="0"/>
          <w:sz w:val="24"/>
        </w:rPr>
        <w:t xml:space="preserve">86.4 </w:t>
      </w:r>
      <w:r>
        <w:rPr>
          <w:rFonts w:hint="eastAsia" w:ascii="宋体" w:hAnsi="宋体"/>
          <w:color w:val="auto"/>
          <w:kern w:val="0"/>
          <w:sz w:val="24"/>
        </w:rPr>
        <w:t>调解或认定</w:t>
      </w:r>
    </w:p>
    <w:p w14:paraId="2576602C">
      <w:pPr>
        <w:spacing w:line="360" w:lineRule="auto"/>
        <w:rPr>
          <w:rFonts w:ascii="宋体"/>
          <w:color w:val="auto"/>
          <w:kern w:val="0"/>
          <w:sz w:val="24"/>
        </w:rPr>
      </w:pPr>
      <w:r>
        <w:rPr>
          <w:rFonts w:hint="eastAsia" w:ascii="宋体" w:hAnsi="宋体"/>
          <w:color w:val="auto"/>
          <w:kern w:val="0"/>
          <w:sz w:val="24"/>
        </w:rPr>
        <w:t>争议调解或认定机构：</w:t>
      </w:r>
    </w:p>
    <w:p w14:paraId="1E7DDF9C">
      <w:pPr>
        <w:spacing w:line="360" w:lineRule="auto"/>
        <w:rPr>
          <w:rFonts w:ascii="宋体"/>
          <w:color w:val="auto"/>
          <w:kern w:val="0"/>
          <w:sz w:val="24"/>
        </w:rPr>
      </w:pPr>
      <w:r>
        <w:rPr>
          <w:rFonts w:hint="eastAsia" w:ascii="宋体"/>
          <w:color w:val="auto"/>
          <w:kern w:val="0"/>
          <w:sz w:val="24"/>
        </w:rPr>
        <w:t>□</w:t>
      </w:r>
      <w:r>
        <w:rPr>
          <w:rFonts w:hint="eastAsia" w:ascii="宋体" w:hAnsi="宋体"/>
          <w:color w:val="auto"/>
          <w:kern w:val="0"/>
          <w:sz w:val="24"/>
        </w:rPr>
        <w:t>按通用条款的规定。</w:t>
      </w:r>
    </w:p>
    <w:p w14:paraId="78C4AC3B">
      <w:pPr>
        <w:spacing w:line="360" w:lineRule="auto"/>
        <w:rPr>
          <w:rFonts w:ascii="宋体"/>
          <w:color w:val="auto"/>
          <w:kern w:val="0"/>
          <w:sz w:val="24"/>
        </w:rPr>
      </w:pPr>
      <w:r>
        <w:rPr>
          <w:rFonts w:hint="eastAsia" w:ascii="宋体" w:hAnsi="宋体"/>
          <w:color w:val="auto"/>
          <w:kern w:val="0"/>
          <w:sz w:val="24"/>
        </w:rPr>
        <w:t>■另有约定：</w:t>
      </w:r>
    </w:p>
    <w:p w14:paraId="56001867">
      <w:pPr>
        <w:spacing w:line="360" w:lineRule="auto"/>
        <w:rPr>
          <w:rFonts w:ascii="宋体"/>
          <w:color w:val="auto"/>
          <w:kern w:val="0"/>
          <w:sz w:val="24"/>
        </w:rPr>
      </w:pPr>
      <w:r>
        <w:rPr>
          <w:rFonts w:ascii="宋体" w:hAnsi="宋体"/>
          <w:color w:val="auto"/>
          <w:kern w:val="0"/>
          <w:sz w:val="24"/>
        </w:rPr>
        <w:t xml:space="preserve">86.6 </w:t>
      </w:r>
      <w:r>
        <w:rPr>
          <w:rFonts w:hint="eastAsia" w:ascii="宋体" w:hAnsi="宋体"/>
          <w:color w:val="auto"/>
          <w:kern w:val="0"/>
          <w:sz w:val="24"/>
        </w:rPr>
        <w:t>仲裁或诉讼</w:t>
      </w:r>
    </w:p>
    <w:p w14:paraId="2C565B64">
      <w:pPr>
        <w:spacing w:line="360" w:lineRule="auto"/>
        <w:rPr>
          <w:rFonts w:ascii="宋体"/>
          <w:color w:val="auto"/>
          <w:kern w:val="0"/>
          <w:sz w:val="24"/>
        </w:rPr>
      </w:pPr>
      <w:r>
        <w:rPr>
          <w:rFonts w:hint="eastAsia" w:ascii="宋体" w:hAnsi="宋体"/>
          <w:color w:val="auto"/>
          <w:kern w:val="0"/>
          <w:sz w:val="24"/>
        </w:rPr>
        <w:t>解决争议的最终方式：</w:t>
      </w:r>
    </w:p>
    <w:p w14:paraId="480C0125">
      <w:pPr>
        <w:spacing w:line="360" w:lineRule="auto"/>
        <w:rPr>
          <w:rFonts w:ascii="宋体"/>
          <w:color w:val="auto"/>
          <w:kern w:val="0"/>
          <w:sz w:val="24"/>
        </w:rPr>
      </w:pPr>
      <w:r>
        <w:rPr>
          <w:rFonts w:hint="eastAsia" w:ascii="宋体"/>
          <w:color w:val="auto"/>
          <w:kern w:val="0"/>
          <w:sz w:val="24"/>
        </w:rPr>
        <w:t>□</w:t>
      </w:r>
      <w:r>
        <w:rPr>
          <w:rFonts w:hint="eastAsia" w:ascii="宋体" w:hAnsi="宋体"/>
          <w:color w:val="auto"/>
          <w:kern w:val="0"/>
          <w:sz w:val="24"/>
        </w:rPr>
        <w:t>向广州仲裁委员会申请仲裁。</w:t>
      </w:r>
    </w:p>
    <w:p w14:paraId="49751C70">
      <w:pPr>
        <w:spacing w:line="360" w:lineRule="auto"/>
        <w:rPr>
          <w:rFonts w:ascii="宋体"/>
          <w:color w:val="auto"/>
          <w:kern w:val="0"/>
          <w:sz w:val="24"/>
        </w:rPr>
      </w:pPr>
      <w:r>
        <w:rPr>
          <w:rFonts w:hint="eastAsia" w:ascii="宋体" w:hAnsi="宋体"/>
          <w:color w:val="auto"/>
          <w:sz w:val="24"/>
        </w:rPr>
        <w:t>■</w:t>
      </w:r>
      <w:r>
        <w:rPr>
          <w:rFonts w:hint="eastAsia" w:ascii="宋体" w:hAnsi="宋体"/>
          <w:color w:val="auto"/>
          <w:kern w:val="0"/>
          <w:sz w:val="24"/>
        </w:rPr>
        <w:t>向有管辖权的人民法院提起诉讼。</w:t>
      </w:r>
    </w:p>
    <w:p w14:paraId="0AA191F5">
      <w:pPr>
        <w:spacing w:line="360" w:lineRule="auto"/>
        <w:rPr>
          <w:rFonts w:ascii="宋体"/>
          <w:color w:val="auto"/>
          <w:kern w:val="0"/>
          <w:sz w:val="24"/>
        </w:rPr>
      </w:pPr>
    </w:p>
    <w:p w14:paraId="23AC012B">
      <w:pPr>
        <w:spacing w:line="360" w:lineRule="auto"/>
        <w:rPr>
          <w:rFonts w:ascii="宋体"/>
          <w:b/>
          <w:color w:val="auto"/>
          <w:kern w:val="0"/>
          <w:sz w:val="24"/>
        </w:rPr>
      </w:pPr>
      <w:r>
        <w:rPr>
          <w:rFonts w:ascii="宋体" w:hAnsi="宋体"/>
          <w:b/>
          <w:color w:val="auto"/>
          <w:kern w:val="0"/>
          <w:sz w:val="24"/>
        </w:rPr>
        <w:t xml:space="preserve">91. </w:t>
      </w:r>
      <w:r>
        <w:rPr>
          <w:rFonts w:hint="eastAsia" w:ascii="宋体" w:hAnsi="宋体"/>
          <w:b/>
          <w:color w:val="auto"/>
          <w:kern w:val="0"/>
          <w:sz w:val="24"/>
        </w:rPr>
        <w:t>保密要求</w:t>
      </w:r>
    </w:p>
    <w:p w14:paraId="0F07A541">
      <w:pPr>
        <w:spacing w:line="360" w:lineRule="auto"/>
        <w:rPr>
          <w:rFonts w:ascii="宋体"/>
          <w:color w:val="auto"/>
          <w:kern w:val="0"/>
          <w:sz w:val="24"/>
        </w:rPr>
      </w:pPr>
      <w:r>
        <w:rPr>
          <w:rFonts w:ascii="宋体" w:hAnsi="宋体"/>
          <w:color w:val="auto"/>
          <w:kern w:val="0"/>
          <w:sz w:val="24"/>
        </w:rPr>
        <w:t xml:space="preserve">91.1 </w:t>
      </w:r>
      <w:r>
        <w:rPr>
          <w:rFonts w:hint="eastAsia" w:ascii="宋体" w:hAnsi="宋体"/>
          <w:color w:val="auto"/>
          <w:kern w:val="0"/>
          <w:sz w:val="24"/>
        </w:rPr>
        <w:t>提供保密信息的期限：</w:t>
      </w:r>
    </w:p>
    <w:p w14:paraId="23B93B06">
      <w:pPr>
        <w:spacing w:line="360" w:lineRule="auto"/>
        <w:rPr>
          <w:rFonts w:ascii="宋体"/>
          <w:color w:val="auto"/>
          <w:kern w:val="0"/>
          <w:sz w:val="24"/>
        </w:rPr>
      </w:pPr>
    </w:p>
    <w:p w14:paraId="4736D336">
      <w:pPr>
        <w:spacing w:line="360" w:lineRule="auto"/>
        <w:rPr>
          <w:rFonts w:ascii="宋体"/>
          <w:b/>
          <w:color w:val="auto"/>
          <w:kern w:val="0"/>
          <w:sz w:val="24"/>
        </w:rPr>
      </w:pPr>
      <w:r>
        <w:rPr>
          <w:rFonts w:ascii="宋体" w:hAnsi="宋体"/>
          <w:b/>
          <w:color w:val="auto"/>
          <w:kern w:val="0"/>
          <w:sz w:val="24"/>
        </w:rPr>
        <w:t xml:space="preserve">94. </w:t>
      </w:r>
      <w:r>
        <w:rPr>
          <w:rFonts w:hint="eastAsia" w:ascii="宋体" w:hAnsi="宋体"/>
          <w:b/>
          <w:color w:val="auto"/>
          <w:kern w:val="0"/>
          <w:sz w:val="24"/>
        </w:rPr>
        <w:t>合同份数</w:t>
      </w:r>
    </w:p>
    <w:p w14:paraId="1C19324A">
      <w:pPr>
        <w:spacing w:line="360" w:lineRule="auto"/>
        <w:rPr>
          <w:rFonts w:ascii="宋体"/>
          <w:color w:val="auto"/>
          <w:kern w:val="0"/>
          <w:sz w:val="24"/>
        </w:rPr>
      </w:pPr>
      <w:r>
        <w:rPr>
          <w:rFonts w:ascii="宋体" w:hAnsi="宋体"/>
          <w:color w:val="auto"/>
          <w:kern w:val="0"/>
          <w:sz w:val="24"/>
        </w:rPr>
        <w:t xml:space="preserve">94.1 </w:t>
      </w:r>
      <w:r>
        <w:rPr>
          <w:rFonts w:hint="eastAsia" w:ascii="宋体" w:hAnsi="宋体"/>
          <w:color w:val="auto"/>
          <w:kern w:val="0"/>
          <w:sz w:val="24"/>
        </w:rPr>
        <w:t>约定提供合同文件</w:t>
      </w:r>
    </w:p>
    <w:p w14:paraId="45EEC0C5">
      <w:pPr>
        <w:spacing w:line="360" w:lineRule="auto"/>
        <w:rPr>
          <w:rFonts w:ascii="宋体"/>
          <w:color w:val="auto"/>
          <w:kern w:val="0"/>
          <w:sz w:val="24"/>
        </w:rPr>
      </w:pPr>
      <w:r>
        <w:rPr>
          <w:rFonts w:hint="eastAsia" w:ascii="宋体" w:hAnsi="宋体"/>
          <w:color w:val="auto"/>
          <w:kern w:val="0"/>
          <w:sz w:val="24"/>
        </w:rPr>
        <w:t>提供合同文本：</w:t>
      </w:r>
    </w:p>
    <w:p w14:paraId="54BA3F54">
      <w:pPr>
        <w:spacing w:line="360" w:lineRule="auto"/>
        <w:rPr>
          <w:rFonts w:ascii="宋体"/>
          <w:color w:val="auto"/>
          <w:kern w:val="0"/>
          <w:sz w:val="24"/>
        </w:rPr>
      </w:pPr>
      <w:r>
        <w:rPr>
          <w:rFonts w:hint="eastAsia" w:ascii="宋体"/>
          <w:color w:val="auto"/>
          <w:kern w:val="0"/>
          <w:sz w:val="24"/>
        </w:rPr>
        <w:t>□</w:t>
      </w:r>
      <w:r>
        <w:rPr>
          <w:rFonts w:hint="eastAsia" w:ascii="宋体" w:hAnsi="宋体"/>
          <w:color w:val="auto"/>
          <w:kern w:val="0"/>
          <w:sz w:val="24"/>
        </w:rPr>
        <w:t>按通用条款的规定，由发包人向承包人提供。</w:t>
      </w:r>
    </w:p>
    <w:p w14:paraId="6916161E">
      <w:pPr>
        <w:spacing w:line="360" w:lineRule="auto"/>
        <w:rPr>
          <w:rFonts w:ascii="宋体"/>
          <w:color w:val="auto"/>
          <w:kern w:val="0"/>
          <w:sz w:val="24"/>
        </w:rPr>
      </w:pPr>
      <w:r>
        <w:rPr>
          <w:rFonts w:hint="eastAsia" w:ascii="宋体"/>
          <w:color w:val="auto"/>
          <w:kern w:val="0"/>
          <w:sz w:val="24"/>
        </w:rPr>
        <w:t>□</w:t>
      </w:r>
      <w:r>
        <w:rPr>
          <w:rFonts w:hint="eastAsia" w:ascii="宋体" w:hAnsi="宋体"/>
          <w:color w:val="auto"/>
          <w:kern w:val="0"/>
          <w:sz w:val="24"/>
        </w:rPr>
        <w:t>另有约定：</w:t>
      </w:r>
      <w:r>
        <w:rPr>
          <w:rFonts w:ascii="宋体" w:hAnsi="宋体"/>
          <w:color w:val="auto"/>
          <w:kern w:val="0"/>
          <w:sz w:val="24"/>
          <w:u w:val="single"/>
        </w:rPr>
        <w:t xml:space="preserve">                               /                                         </w:t>
      </w:r>
    </w:p>
    <w:p w14:paraId="34B8A097">
      <w:pPr>
        <w:spacing w:line="360" w:lineRule="auto"/>
        <w:rPr>
          <w:rFonts w:ascii="宋体"/>
          <w:color w:val="auto"/>
          <w:kern w:val="0"/>
          <w:sz w:val="24"/>
        </w:rPr>
      </w:pPr>
      <w:r>
        <w:rPr>
          <w:rFonts w:ascii="宋体" w:hAnsi="宋体"/>
          <w:color w:val="auto"/>
          <w:kern w:val="0"/>
          <w:sz w:val="24"/>
        </w:rPr>
        <w:t xml:space="preserve">94.2 </w:t>
      </w:r>
      <w:r>
        <w:rPr>
          <w:rFonts w:hint="eastAsia" w:ascii="宋体" w:hAnsi="宋体"/>
          <w:color w:val="auto"/>
          <w:kern w:val="0"/>
          <w:sz w:val="24"/>
        </w:rPr>
        <w:t>正副本效力</w:t>
      </w:r>
    </w:p>
    <w:p w14:paraId="49E93695">
      <w:pPr>
        <w:spacing w:line="360" w:lineRule="auto"/>
        <w:rPr>
          <w:rFonts w:ascii="宋体"/>
          <w:color w:val="auto"/>
          <w:kern w:val="0"/>
          <w:sz w:val="24"/>
        </w:rPr>
      </w:pPr>
      <w:r>
        <w:rPr>
          <w:rFonts w:hint="eastAsia" w:ascii="宋体" w:hAnsi="宋体"/>
          <w:color w:val="auto"/>
          <w:kern w:val="0"/>
          <w:sz w:val="24"/>
        </w:rPr>
        <w:t>合同的份数：</w:t>
      </w:r>
      <w:r>
        <w:rPr>
          <w:rFonts w:ascii="宋体" w:hAnsi="宋体"/>
          <w:color w:val="auto"/>
          <w:kern w:val="0"/>
          <w:sz w:val="24"/>
          <w:u w:val="single"/>
        </w:rPr>
        <w:t xml:space="preserve">  </w:t>
      </w:r>
      <w:r>
        <w:rPr>
          <w:rFonts w:hint="eastAsia" w:ascii="宋体" w:hAnsi="宋体"/>
          <w:color w:val="auto"/>
          <w:kern w:val="0"/>
          <w:sz w:val="24"/>
          <w:u w:val="single"/>
        </w:rPr>
        <w:t xml:space="preserve">  </w:t>
      </w:r>
      <w:r>
        <w:rPr>
          <w:rFonts w:ascii="宋体" w:hAnsi="宋体"/>
          <w:color w:val="auto"/>
          <w:kern w:val="0"/>
          <w:sz w:val="24"/>
          <w:u w:val="single"/>
        </w:rPr>
        <w:t xml:space="preserve">  </w:t>
      </w:r>
      <w:r>
        <w:rPr>
          <w:rFonts w:hint="eastAsia" w:ascii="宋体" w:hAnsi="宋体"/>
          <w:color w:val="auto"/>
          <w:kern w:val="0"/>
          <w:sz w:val="24"/>
        </w:rPr>
        <w:t>份。</w:t>
      </w:r>
    </w:p>
    <w:p w14:paraId="5985CE86">
      <w:pPr>
        <w:spacing w:line="360" w:lineRule="auto"/>
        <w:rPr>
          <w:rFonts w:ascii="宋体"/>
          <w:color w:val="auto"/>
          <w:kern w:val="0"/>
          <w:sz w:val="24"/>
        </w:rPr>
      </w:pPr>
      <w:r>
        <w:rPr>
          <w:rFonts w:hint="eastAsia" w:ascii="宋体" w:hAnsi="宋体"/>
          <w:color w:val="auto"/>
          <w:kern w:val="0"/>
          <w:sz w:val="24"/>
        </w:rPr>
        <w:t>其中：发包人</w:t>
      </w:r>
      <w:r>
        <w:rPr>
          <w:rFonts w:ascii="宋体" w:hAnsi="宋体"/>
          <w:color w:val="auto"/>
          <w:kern w:val="0"/>
          <w:sz w:val="24"/>
          <w:u w:val="single"/>
        </w:rPr>
        <w:t xml:space="preserve"> </w:t>
      </w:r>
      <w:r>
        <w:rPr>
          <w:rFonts w:hint="eastAsia" w:ascii="宋体" w:hAnsi="宋体"/>
          <w:color w:val="auto"/>
          <w:kern w:val="0"/>
          <w:sz w:val="24"/>
          <w:u w:val="single"/>
        </w:rPr>
        <w:t xml:space="preserve">  </w:t>
      </w:r>
      <w:r>
        <w:rPr>
          <w:rFonts w:ascii="宋体" w:hAnsi="宋体"/>
          <w:color w:val="auto"/>
          <w:kern w:val="0"/>
          <w:sz w:val="24"/>
          <w:u w:val="single"/>
        </w:rPr>
        <w:t xml:space="preserve"> </w:t>
      </w:r>
      <w:r>
        <w:rPr>
          <w:rFonts w:hint="eastAsia" w:ascii="宋体" w:hAnsi="宋体"/>
          <w:color w:val="auto"/>
          <w:kern w:val="0"/>
          <w:sz w:val="24"/>
        </w:rPr>
        <w:t>份，承包人</w:t>
      </w:r>
      <w:r>
        <w:rPr>
          <w:rFonts w:ascii="宋体" w:hAnsi="宋体"/>
          <w:color w:val="auto"/>
          <w:kern w:val="0"/>
          <w:sz w:val="24"/>
          <w:u w:val="single"/>
        </w:rPr>
        <w:t xml:space="preserve">  </w:t>
      </w:r>
      <w:r>
        <w:rPr>
          <w:rFonts w:hint="eastAsia" w:ascii="宋体" w:hAnsi="宋体"/>
          <w:color w:val="auto"/>
          <w:kern w:val="0"/>
          <w:sz w:val="24"/>
          <w:u w:val="single"/>
        </w:rPr>
        <w:t xml:space="preserve">  </w:t>
      </w:r>
      <w:r>
        <w:rPr>
          <w:rFonts w:ascii="宋体" w:hAnsi="宋体"/>
          <w:color w:val="auto"/>
          <w:kern w:val="0"/>
          <w:sz w:val="24"/>
          <w:u w:val="single"/>
        </w:rPr>
        <w:t xml:space="preserve">  </w:t>
      </w:r>
      <w:r>
        <w:rPr>
          <w:rFonts w:hint="eastAsia" w:ascii="宋体" w:hAnsi="宋体"/>
          <w:color w:val="auto"/>
          <w:kern w:val="0"/>
          <w:sz w:val="24"/>
        </w:rPr>
        <w:t>份；</w:t>
      </w:r>
    </w:p>
    <w:p w14:paraId="21B7E6A3">
      <w:pPr>
        <w:numPr>
          <w:ilvl w:val="0"/>
          <w:numId w:val="37"/>
        </w:numPr>
        <w:spacing w:line="360" w:lineRule="auto"/>
        <w:rPr>
          <w:rFonts w:hint="eastAsia" w:ascii="宋体" w:hAnsi="宋体"/>
          <w:color w:val="auto"/>
          <w:kern w:val="0"/>
          <w:sz w:val="24"/>
        </w:rPr>
      </w:pPr>
      <w:r>
        <w:rPr>
          <w:rFonts w:hint="eastAsia" w:ascii="宋体" w:hAnsi="宋体"/>
          <w:color w:val="auto"/>
          <w:kern w:val="0"/>
          <w:sz w:val="24"/>
        </w:rPr>
        <w:t>其他</w:t>
      </w:r>
    </w:p>
    <w:p w14:paraId="4E1D9FF8">
      <w:pPr>
        <w:pStyle w:val="4"/>
        <w:rPr>
          <w:rFonts w:hint="default" w:eastAsia="宋体"/>
          <w:b/>
          <w:bCs/>
          <w:color w:val="auto"/>
          <w:highlight w:val="yellow"/>
          <w:lang w:val="en-US" w:eastAsia="zh-CN"/>
        </w:rPr>
      </w:pPr>
      <w:r>
        <w:rPr>
          <w:rFonts w:hint="eastAsia" w:ascii="宋体" w:hAnsi="宋体" w:eastAsia="宋体" w:cs="Times New Roman"/>
          <w:b/>
          <w:bCs/>
          <w:color w:val="auto"/>
          <w:kern w:val="0"/>
          <w:sz w:val="24"/>
          <w:szCs w:val="24"/>
          <w:highlight w:val="yellow"/>
          <w:lang w:val="en-US" w:eastAsia="zh-CN" w:bidi="ar-SA"/>
        </w:rPr>
        <w:t>95.1承包人应具备申请供电部门系统工作票签发的申请资质，如果因不具备相应资质导致无法顺利停电，发包人有权</w:t>
      </w:r>
      <w:r>
        <w:rPr>
          <w:rFonts w:hint="eastAsia"/>
          <w:b/>
          <w:bCs/>
          <w:color w:val="auto"/>
          <w:highlight w:val="yellow"/>
          <w:lang w:val="en-US" w:eastAsia="zh-CN"/>
        </w:rPr>
        <w:t>单方面终止合同并追究</w:t>
      </w:r>
      <w:r>
        <w:rPr>
          <w:rFonts w:hint="eastAsia" w:ascii="宋体" w:hAnsi="宋体" w:eastAsia="宋体" w:cs="Times New Roman"/>
          <w:b/>
          <w:bCs/>
          <w:color w:val="auto"/>
          <w:kern w:val="0"/>
          <w:sz w:val="24"/>
          <w:szCs w:val="24"/>
          <w:highlight w:val="yellow"/>
          <w:lang w:val="en-US" w:eastAsia="zh-CN" w:bidi="ar-SA"/>
        </w:rPr>
        <w:t>承包人</w:t>
      </w:r>
      <w:r>
        <w:rPr>
          <w:rFonts w:hint="eastAsia"/>
          <w:b/>
          <w:bCs/>
          <w:color w:val="auto"/>
          <w:highlight w:val="yellow"/>
          <w:lang w:val="en-US" w:eastAsia="zh-CN"/>
        </w:rPr>
        <w:t>责任。</w:t>
      </w:r>
    </w:p>
    <w:p w14:paraId="358EBB68">
      <w:pPr>
        <w:pStyle w:val="2"/>
        <w:numPr>
          <w:ilvl w:val="0"/>
          <w:numId w:val="0"/>
        </w:numPr>
        <w:rPr>
          <w:rFonts w:hint="default" w:eastAsia="宋体"/>
          <w:color w:val="auto"/>
          <w:lang w:val="en-US" w:eastAsia="zh-CN"/>
        </w:rPr>
      </w:pPr>
    </w:p>
    <w:p w14:paraId="40CA8E84">
      <w:pPr>
        <w:spacing w:line="360" w:lineRule="auto"/>
        <w:ind w:firstLine="470" w:firstLineChars="196"/>
        <w:rPr>
          <w:rFonts w:ascii="宋体"/>
          <w:color w:val="auto"/>
          <w:kern w:val="0"/>
          <w:sz w:val="24"/>
          <w:u w:val="single"/>
        </w:rPr>
      </w:pPr>
      <w:r>
        <w:rPr>
          <w:rFonts w:hint="eastAsia" w:ascii="宋体" w:hAnsi="宋体"/>
          <w:color w:val="auto"/>
          <w:sz w:val="24"/>
        </w:rPr>
        <w:t>（此页以下无正文）</w:t>
      </w:r>
    </w:p>
    <w:p w14:paraId="76C33C46">
      <w:pPr>
        <w:spacing w:line="360" w:lineRule="auto"/>
        <w:outlineLvl w:val="1"/>
        <w:rPr>
          <w:rFonts w:ascii="宋体"/>
          <w:color w:val="auto"/>
          <w:sz w:val="24"/>
        </w:rPr>
        <w:sectPr>
          <w:headerReference r:id="rId11" w:type="first"/>
          <w:headerReference r:id="rId9" w:type="default"/>
          <w:footerReference r:id="rId12" w:type="default"/>
          <w:headerReference r:id="rId10" w:type="even"/>
          <w:footerReference r:id="rId13" w:type="even"/>
          <w:endnotePr>
            <w:numFmt w:val="decimal"/>
          </w:endnotePr>
          <w:pgSz w:w="11906" w:h="16838"/>
          <w:pgMar w:top="1440" w:right="1080" w:bottom="1440" w:left="1080" w:header="0" w:footer="0" w:gutter="0"/>
          <w:pgNumType w:start="1"/>
          <w:cols w:space="720" w:num="1"/>
          <w:docGrid w:linePitch="312" w:charSpace="0"/>
        </w:sectPr>
      </w:pPr>
    </w:p>
    <w:p w14:paraId="3F918269">
      <w:pPr>
        <w:spacing w:line="360" w:lineRule="auto"/>
        <w:ind w:left="1" w:leftChars="-65" w:right="-733" w:rightChars="-349" w:hanging="137" w:hangingChars="57"/>
        <w:rPr>
          <w:rFonts w:ascii="宋体"/>
          <w:color w:val="auto"/>
          <w:sz w:val="24"/>
        </w:rPr>
      </w:pPr>
      <w:r>
        <w:rPr>
          <w:rFonts w:hint="eastAsia" w:ascii="宋体" w:hAnsi="宋体"/>
          <w:b/>
          <w:color w:val="auto"/>
          <w:sz w:val="24"/>
        </w:rPr>
        <w:t>附件一</w:t>
      </w:r>
    </w:p>
    <w:p w14:paraId="0EBF5DE0">
      <w:pPr>
        <w:spacing w:line="360" w:lineRule="auto"/>
        <w:ind w:left="-2"/>
        <w:jc w:val="center"/>
        <w:rPr>
          <w:rFonts w:ascii="宋体"/>
          <w:b/>
          <w:color w:val="auto"/>
          <w:sz w:val="28"/>
          <w:szCs w:val="28"/>
        </w:rPr>
      </w:pPr>
      <w:r>
        <w:rPr>
          <w:rFonts w:hint="eastAsia" w:ascii="宋体" w:hAnsi="宋体"/>
          <w:b/>
          <w:color w:val="auto"/>
          <w:sz w:val="28"/>
          <w:szCs w:val="28"/>
        </w:rPr>
        <w:t>（中标通知书）</w:t>
      </w:r>
    </w:p>
    <w:p w14:paraId="1B218597">
      <w:pPr>
        <w:spacing w:line="360" w:lineRule="auto"/>
        <w:rPr>
          <w:rFonts w:ascii="宋体"/>
          <w:color w:val="auto"/>
          <w:sz w:val="28"/>
          <w:szCs w:val="28"/>
        </w:rPr>
      </w:pPr>
    </w:p>
    <w:p w14:paraId="1D0AD816">
      <w:pPr>
        <w:spacing w:line="360" w:lineRule="auto"/>
        <w:rPr>
          <w:rFonts w:ascii="宋体"/>
          <w:color w:val="auto"/>
          <w:sz w:val="28"/>
          <w:szCs w:val="28"/>
        </w:rPr>
      </w:pPr>
    </w:p>
    <w:p w14:paraId="2900715C">
      <w:pPr>
        <w:spacing w:line="360" w:lineRule="auto"/>
        <w:rPr>
          <w:rFonts w:ascii="宋体"/>
          <w:color w:val="auto"/>
          <w:sz w:val="28"/>
          <w:szCs w:val="28"/>
        </w:rPr>
      </w:pPr>
    </w:p>
    <w:p w14:paraId="4A814D70">
      <w:pPr>
        <w:spacing w:line="360" w:lineRule="auto"/>
        <w:rPr>
          <w:rFonts w:ascii="宋体"/>
          <w:color w:val="auto"/>
          <w:sz w:val="28"/>
          <w:szCs w:val="28"/>
        </w:rPr>
      </w:pPr>
    </w:p>
    <w:p w14:paraId="2A2B495E">
      <w:pPr>
        <w:spacing w:line="360" w:lineRule="auto"/>
        <w:rPr>
          <w:rFonts w:ascii="宋体"/>
          <w:color w:val="auto"/>
          <w:sz w:val="28"/>
          <w:szCs w:val="28"/>
        </w:rPr>
      </w:pPr>
    </w:p>
    <w:p w14:paraId="49294EAC">
      <w:pPr>
        <w:spacing w:line="360" w:lineRule="auto"/>
        <w:rPr>
          <w:rFonts w:ascii="宋体"/>
          <w:color w:val="auto"/>
          <w:sz w:val="28"/>
          <w:szCs w:val="28"/>
        </w:rPr>
      </w:pPr>
    </w:p>
    <w:p w14:paraId="032AA339">
      <w:pPr>
        <w:spacing w:line="360" w:lineRule="auto"/>
        <w:rPr>
          <w:rFonts w:ascii="宋体"/>
          <w:color w:val="auto"/>
          <w:sz w:val="28"/>
          <w:szCs w:val="28"/>
        </w:rPr>
      </w:pPr>
    </w:p>
    <w:p w14:paraId="315089F3">
      <w:pPr>
        <w:spacing w:line="360" w:lineRule="auto"/>
        <w:rPr>
          <w:rFonts w:ascii="宋体"/>
          <w:color w:val="auto"/>
          <w:sz w:val="28"/>
          <w:szCs w:val="28"/>
        </w:rPr>
      </w:pPr>
    </w:p>
    <w:p w14:paraId="3F3F7506">
      <w:pPr>
        <w:spacing w:line="360" w:lineRule="auto"/>
        <w:rPr>
          <w:rFonts w:ascii="宋体"/>
          <w:color w:val="auto"/>
          <w:sz w:val="28"/>
          <w:szCs w:val="28"/>
        </w:rPr>
      </w:pPr>
    </w:p>
    <w:p w14:paraId="37F816C5">
      <w:pPr>
        <w:pStyle w:val="3"/>
        <w:rPr>
          <w:color w:val="auto"/>
        </w:rPr>
      </w:pPr>
    </w:p>
    <w:p w14:paraId="43568645">
      <w:pPr>
        <w:spacing w:line="360" w:lineRule="auto"/>
        <w:rPr>
          <w:rFonts w:ascii="宋体"/>
          <w:color w:val="auto"/>
          <w:sz w:val="28"/>
          <w:szCs w:val="28"/>
        </w:rPr>
      </w:pPr>
    </w:p>
    <w:p w14:paraId="7C3D43CD">
      <w:pPr>
        <w:pStyle w:val="3"/>
        <w:rPr>
          <w:color w:val="auto"/>
        </w:rPr>
      </w:pPr>
    </w:p>
    <w:p w14:paraId="7F1C1C5A">
      <w:pPr>
        <w:pStyle w:val="3"/>
        <w:rPr>
          <w:color w:val="auto"/>
        </w:rPr>
      </w:pPr>
    </w:p>
    <w:p w14:paraId="69327FCC">
      <w:pPr>
        <w:pStyle w:val="3"/>
        <w:rPr>
          <w:color w:val="auto"/>
        </w:rPr>
      </w:pPr>
    </w:p>
    <w:p w14:paraId="75CE8160">
      <w:pPr>
        <w:pStyle w:val="3"/>
        <w:rPr>
          <w:color w:val="auto"/>
        </w:rPr>
      </w:pPr>
    </w:p>
    <w:p w14:paraId="78BE0CFB">
      <w:pPr>
        <w:pStyle w:val="3"/>
        <w:rPr>
          <w:color w:val="auto"/>
        </w:rPr>
      </w:pPr>
    </w:p>
    <w:p w14:paraId="35AA0BD4">
      <w:pPr>
        <w:pStyle w:val="3"/>
        <w:rPr>
          <w:color w:val="auto"/>
        </w:rPr>
      </w:pPr>
    </w:p>
    <w:p w14:paraId="08D2F3A6">
      <w:pPr>
        <w:pStyle w:val="3"/>
        <w:rPr>
          <w:color w:val="auto"/>
        </w:rPr>
      </w:pPr>
    </w:p>
    <w:p w14:paraId="196E866D">
      <w:pPr>
        <w:pStyle w:val="3"/>
        <w:rPr>
          <w:color w:val="auto"/>
        </w:rPr>
      </w:pPr>
    </w:p>
    <w:p w14:paraId="7173C381">
      <w:pPr>
        <w:pStyle w:val="3"/>
        <w:rPr>
          <w:color w:val="auto"/>
        </w:rPr>
      </w:pPr>
    </w:p>
    <w:p w14:paraId="4AA79909">
      <w:pPr>
        <w:pStyle w:val="3"/>
        <w:rPr>
          <w:color w:val="auto"/>
        </w:rPr>
      </w:pPr>
    </w:p>
    <w:p w14:paraId="2B733F79">
      <w:pPr>
        <w:pStyle w:val="3"/>
        <w:rPr>
          <w:color w:val="auto"/>
        </w:rPr>
      </w:pPr>
    </w:p>
    <w:p w14:paraId="0DA47923">
      <w:pPr>
        <w:pStyle w:val="3"/>
        <w:rPr>
          <w:color w:val="auto"/>
        </w:rPr>
      </w:pPr>
    </w:p>
    <w:p w14:paraId="67D3AE2D">
      <w:pPr>
        <w:pStyle w:val="3"/>
        <w:rPr>
          <w:color w:val="auto"/>
        </w:rPr>
      </w:pPr>
    </w:p>
    <w:p w14:paraId="1649C153">
      <w:pPr>
        <w:pStyle w:val="3"/>
        <w:rPr>
          <w:color w:val="auto"/>
        </w:rPr>
      </w:pPr>
    </w:p>
    <w:p w14:paraId="4FFB287C">
      <w:pPr>
        <w:pStyle w:val="3"/>
        <w:rPr>
          <w:color w:val="auto"/>
        </w:rPr>
      </w:pPr>
    </w:p>
    <w:p w14:paraId="3927531D">
      <w:pPr>
        <w:pStyle w:val="3"/>
        <w:rPr>
          <w:color w:val="auto"/>
        </w:rPr>
      </w:pPr>
    </w:p>
    <w:p w14:paraId="3B7458B0">
      <w:pPr>
        <w:pStyle w:val="3"/>
        <w:rPr>
          <w:color w:val="auto"/>
        </w:rPr>
      </w:pPr>
    </w:p>
    <w:p w14:paraId="10C14E5F">
      <w:pPr>
        <w:pStyle w:val="3"/>
        <w:rPr>
          <w:color w:val="auto"/>
        </w:rPr>
      </w:pPr>
    </w:p>
    <w:p w14:paraId="474679BB">
      <w:pPr>
        <w:pStyle w:val="3"/>
        <w:rPr>
          <w:color w:val="auto"/>
        </w:rPr>
      </w:pPr>
    </w:p>
    <w:p w14:paraId="61527E88">
      <w:pPr>
        <w:spacing w:line="360" w:lineRule="auto"/>
        <w:outlineLvl w:val="1"/>
        <w:rPr>
          <w:rFonts w:ascii="宋体"/>
          <w:b/>
          <w:color w:val="auto"/>
          <w:sz w:val="24"/>
        </w:rPr>
      </w:pPr>
      <w:r>
        <w:rPr>
          <w:rFonts w:hint="eastAsia" w:ascii="宋体" w:hAnsi="宋体"/>
          <w:b/>
          <w:color w:val="auto"/>
          <w:sz w:val="24"/>
        </w:rPr>
        <w:t>附件二</w:t>
      </w:r>
    </w:p>
    <w:p w14:paraId="62C43252">
      <w:pPr>
        <w:adjustRightInd w:val="0"/>
        <w:snapToGrid w:val="0"/>
        <w:spacing w:line="360" w:lineRule="auto"/>
        <w:jc w:val="center"/>
        <w:rPr>
          <w:rFonts w:ascii="宋体"/>
          <w:b/>
          <w:color w:val="auto"/>
          <w:spacing w:val="32"/>
          <w:sz w:val="36"/>
          <w:szCs w:val="36"/>
        </w:rPr>
      </w:pPr>
      <w:r>
        <w:rPr>
          <w:rFonts w:hint="eastAsia" w:ascii="宋体" w:hAnsi="宋体"/>
          <w:b/>
          <w:color w:val="auto"/>
          <w:spacing w:val="32"/>
          <w:sz w:val="36"/>
          <w:szCs w:val="36"/>
        </w:rPr>
        <w:t>工程质量保修书</w:t>
      </w:r>
    </w:p>
    <w:p w14:paraId="2D942876">
      <w:pPr>
        <w:adjustRightInd w:val="0"/>
        <w:snapToGrid w:val="0"/>
        <w:spacing w:line="360" w:lineRule="auto"/>
        <w:rPr>
          <w:rFonts w:ascii="宋体"/>
          <w:color w:val="auto"/>
          <w:sz w:val="24"/>
        </w:rPr>
      </w:pPr>
    </w:p>
    <w:p w14:paraId="1FF91276">
      <w:pPr>
        <w:adjustRightInd w:val="0"/>
        <w:snapToGrid w:val="0"/>
        <w:spacing w:line="360" w:lineRule="auto"/>
        <w:ind w:firstLine="480" w:firstLineChars="200"/>
        <w:rPr>
          <w:rFonts w:hint="eastAsia" w:ascii="宋体" w:hAnsi="宋体"/>
          <w:color w:val="auto"/>
          <w:sz w:val="24"/>
          <w:u w:val="single"/>
          <w:lang w:eastAsia="zh-CN"/>
        </w:rPr>
      </w:pPr>
      <w:r>
        <w:rPr>
          <w:rFonts w:hint="eastAsia" w:ascii="宋体" w:hAnsi="宋体"/>
          <w:color w:val="auto"/>
          <w:sz w:val="24"/>
        </w:rPr>
        <w:t>发包人：（全称）</w:t>
      </w:r>
      <w:r>
        <w:rPr>
          <w:rFonts w:hint="eastAsia" w:ascii="宋体" w:hAnsi="宋体"/>
          <w:color w:val="auto"/>
          <w:sz w:val="24"/>
          <w:u w:val="single"/>
          <w:lang w:eastAsia="zh-CN"/>
        </w:rPr>
        <w:t>华南师范大学</w:t>
      </w:r>
    </w:p>
    <w:p w14:paraId="7CFBEC61">
      <w:pPr>
        <w:adjustRightInd w:val="0"/>
        <w:snapToGrid w:val="0"/>
        <w:spacing w:line="360" w:lineRule="auto"/>
        <w:ind w:firstLine="480" w:firstLineChars="200"/>
        <w:rPr>
          <w:rFonts w:ascii="宋体"/>
          <w:color w:val="auto"/>
          <w:sz w:val="24"/>
        </w:rPr>
      </w:pPr>
      <w:r>
        <w:rPr>
          <w:rFonts w:hint="eastAsia" w:ascii="宋体" w:hAnsi="宋体"/>
          <w:color w:val="auto"/>
          <w:sz w:val="24"/>
        </w:rPr>
        <w:t>承包人：（全称）</w:t>
      </w:r>
    </w:p>
    <w:p w14:paraId="6686080B">
      <w:pPr>
        <w:adjustRightInd w:val="0"/>
        <w:snapToGrid w:val="0"/>
        <w:spacing w:line="360" w:lineRule="auto"/>
        <w:ind w:firstLine="480" w:firstLineChars="200"/>
        <w:rPr>
          <w:rFonts w:ascii="宋体"/>
          <w:color w:val="auto"/>
          <w:sz w:val="24"/>
        </w:rPr>
      </w:pPr>
      <w:r>
        <w:rPr>
          <w:rFonts w:hint="eastAsia" w:ascii="宋体" w:hAnsi="宋体"/>
          <w:color w:val="auto"/>
          <w:sz w:val="24"/>
        </w:rPr>
        <w:t>为保证（工程名称）在合理使用期限内正常使用，合同双方当事人根据《中华人民共和国建筑法》、《建设工程质量管理条例》和《房屋建筑工程质量保修办法》等规定，经协商一致，订立本质量保修书。</w:t>
      </w:r>
    </w:p>
    <w:p w14:paraId="67501682">
      <w:pPr>
        <w:numPr>
          <w:ilvl w:val="0"/>
          <w:numId w:val="38"/>
        </w:numPr>
        <w:adjustRightInd w:val="0"/>
        <w:snapToGrid w:val="0"/>
        <w:spacing w:line="360" w:lineRule="auto"/>
        <w:ind w:left="902" w:leftChars="200" w:hanging="482" w:hangingChars="200"/>
        <w:rPr>
          <w:rFonts w:ascii="宋体"/>
          <w:b/>
          <w:color w:val="auto"/>
          <w:sz w:val="24"/>
        </w:rPr>
      </w:pPr>
      <w:r>
        <w:rPr>
          <w:rFonts w:hint="eastAsia" w:ascii="宋体" w:hAnsi="宋体"/>
          <w:b/>
          <w:color w:val="auto"/>
          <w:sz w:val="24"/>
        </w:rPr>
        <w:t>质量保修范围</w:t>
      </w:r>
    </w:p>
    <w:p w14:paraId="31075A3F">
      <w:pPr>
        <w:adjustRightInd w:val="0"/>
        <w:snapToGrid w:val="0"/>
        <w:spacing w:line="360" w:lineRule="auto"/>
        <w:ind w:firstLine="480" w:firstLineChars="200"/>
        <w:rPr>
          <w:rFonts w:ascii="宋体"/>
          <w:color w:val="auto"/>
          <w:sz w:val="24"/>
        </w:rPr>
      </w:pPr>
      <w:r>
        <w:rPr>
          <w:rFonts w:hint="eastAsia" w:ascii="宋体" w:hAnsi="宋体"/>
          <w:color w:val="auto"/>
          <w:sz w:val="24"/>
        </w:rPr>
        <w:t>质量保修范围包括地基基础工程、主体结构工程、屋面防水工程、有防水要求的卫生间、房间、外墙面的防渗漏工程、电气管线工程、给排水管道工程、设备安装工程、供热、供冷系统工程、装饰装修工程以及双方约定其他项目。具体质量保修范围，合同双方当事人约定如下：</w:t>
      </w:r>
    </w:p>
    <w:p w14:paraId="3C943BB2">
      <w:pPr>
        <w:adjustRightInd w:val="0"/>
        <w:snapToGrid w:val="0"/>
        <w:spacing w:line="360" w:lineRule="auto"/>
        <w:ind w:firstLine="480" w:firstLineChars="200"/>
        <w:rPr>
          <w:rFonts w:ascii="宋体"/>
          <w:color w:val="auto"/>
          <w:sz w:val="24"/>
        </w:rPr>
      </w:pPr>
      <w:r>
        <w:rPr>
          <w:rFonts w:ascii="宋体" w:hAnsi="宋体"/>
          <w:color w:val="auto"/>
          <w:sz w:val="24"/>
        </w:rPr>
        <w:t>1</w:t>
      </w:r>
      <w:r>
        <w:rPr>
          <w:rFonts w:hint="eastAsia" w:ascii="宋体" w:hAnsi="宋体"/>
          <w:color w:val="auto"/>
          <w:sz w:val="24"/>
        </w:rPr>
        <w:t>．</w:t>
      </w:r>
      <w:r>
        <w:rPr>
          <w:rFonts w:hint="eastAsia" w:ascii="宋体" w:hAnsi="宋体"/>
          <w:color w:val="auto"/>
          <w:sz w:val="24"/>
          <w:u w:val="single"/>
        </w:rPr>
        <w:t>按协议书第二条规定的承包范围内全部工程内容</w:t>
      </w:r>
      <w:r>
        <w:rPr>
          <w:rFonts w:hint="eastAsia"/>
          <w:color w:val="auto"/>
          <w:sz w:val="24"/>
          <w:u w:val="single"/>
        </w:rPr>
        <w:t>。</w:t>
      </w:r>
    </w:p>
    <w:p w14:paraId="023B207D">
      <w:pPr>
        <w:numPr>
          <w:ilvl w:val="0"/>
          <w:numId w:val="38"/>
        </w:numPr>
        <w:adjustRightInd w:val="0"/>
        <w:snapToGrid w:val="0"/>
        <w:spacing w:line="360" w:lineRule="auto"/>
        <w:ind w:left="902" w:leftChars="200" w:hanging="482" w:hangingChars="200"/>
        <w:rPr>
          <w:rFonts w:ascii="宋体"/>
          <w:b/>
          <w:color w:val="auto"/>
          <w:sz w:val="24"/>
        </w:rPr>
      </w:pPr>
      <w:r>
        <w:rPr>
          <w:rFonts w:hint="eastAsia" w:ascii="宋体" w:hAnsi="宋体"/>
          <w:b/>
          <w:color w:val="auto"/>
          <w:sz w:val="24"/>
        </w:rPr>
        <w:t>质量保修期</w:t>
      </w:r>
    </w:p>
    <w:p w14:paraId="421C8105">
      <w:pPr>
        <w:adjustRightInd w:val="0"/>
        <w:snapToGrid w:val="0"/>
        <w:spacing w:line="360" w:lineRule="auto"/>
        <w:ind w:firstLine="480" w:firstLineChars="200"/>
        <w:rPr>
          <w:rFonts w:ascii="宋体"/>
          <w:color w:val="auto"/>
          <w:sz w:val="24"/>
        </w:rPr>
      </w:pPr>
      <w:r>
        <w:rPr>
          <w:rFonts w:ascii="宋体" w:hAnsi="宋体"/>
          <w:color w:val="auto"/>
          <w:sz w:val="24"/>
        </w:rPr>
        <w:t xml:space="preserve">2.1 </w:t>
      </w:r>
      <w:r>
        <w:rPr>
          <w:rFonts w:hint="eastAsia" w:ascii="宋体" w:hAnsi="宋体"/>
          <w:color w:val="auto"/>
          <w:sz w:val="24"/>
        </w:rPr>
        <w:t>质量保修期从工程实际竣工之日算起。单项竣工验收的工程，按单项工程分别计算质量保修期。</w:t>
      </w:r>
    </w:p>
    <w:p w14:paraId="3277BA6B">
      <w:pPr>
        <w:adjustRightInd w:val="0"/>
        <w:snapToGrid w:val="0"/>
        <w:spacing w:line="360" w:lineRule="auto"/>
        <w:ind w:firstLine="480" w:firstLineChars="200"/>
        <w:rPr>
          <w:rFonts w:ascii="宋体"/>
          <w:color w:val="auto"/>
          <w:sz w:val="24"/>
        </w:rPr>
      </w:pPr>
      <w:r>
        <w:rPr>
          <w:rFonts w:ascii="宋体" w:hAnsi="宋体"/>
          <w:color w:val="auto"/>
          <w:sz w:val="24"/>
        </w:rPr>
        <w:t xml:space="preserve">2.2 </w:t>
      </w:r>
      <w:r>
        <w:rPr>
          <w:rFonts w:hint="eastAsia" w:ascii="宋体" w:hAnsi="宋体" w:cs="宋体"/>
          <w:color w:val="auto"/>
          <w:kern w:val="0"/>
          <w:sz w:val="24"/>
          <w:lang w:val="zh-CN"/>
        </w:rPr>
        <w:t>合同工程质量保修期，合同双方当事人约定如下</w:t>
      </w:r>
      <w:r>
        <w:rPr>
          <w:rFonts w:hint="eastAsia" w:ascii="宋体" w:hAnsi="宋体"/>
          <w:color w:val="auto"/>
          <w:sz w:val="24"/>
        </w:rPr>
        <w:t>：</w:t>
      </w:r>
    </w:p>
    <w:p w14:paraId="26D14157">
      <w:pPr>
        <w:adjustRightInd w:val="0"/>
        <w:snapToGrid w:val="0"/>
        <w:spacing w:line="360" w:lineRule="auto"/>
        <w:ind w:firstLine="480" w:firstLineChars="200"/>
        <w:rPr>
          <w:rFonts w:ascii="宋体"/>
          <w:color w:val="auto"/>
          <w:sz w:val="24"/>
        </w:rPr>
      </w:pPr>
      <w:r>
        <w:rPr>
          <w:rFonts w:ascii="宋体" w:hAnsi="宋体"/>
          <w:color w:val="auto"/>
          <w:sz w:val="24"/>
        </w:rPr>
        <w:t>1</w:t>
      </w:r>
      <w:r>
        <w:rPr>
          <w:rFonts w:hint="eastAsia" w:ascii="宋体" w:hAnsi="宋体"/>
          <w:color w:val="auto"/>
          <w:sz w:val="24"/>
        </w:rPr>
        <w:t>．地基基础工程、主体结构工程为设计文件规定的合理使用年限；</w:t>
      </w:r>
    </w:p>
    <w:p w14:paraId="72934552">
      <w:pPr>
        <w:adjustRightInd w:val="0"/>
        <w:snapToGrid w:val="0"/>
        <w:spacing w:line="360" w:lineRule="auto"/>
        <w:ind w:firstLine="480" w:firstLineChars="200"/>
        <w:rPr>
          <w:rFonts w:ascii="宋体"/>
          <w:color w:val="auto"/>
          <w:sz w:val="24"/>
        </w:rPr>
      </w:pPr>
      <w:r>
        <w:rPr>
          <w:rFonts w:ascii="宋体" w:hAnsi="宋体"/>
          <w:color w:val="auto"/>
          <w:sz w:val="24"/>
        </w:rPr>
        <w:t>2</w:t>
      </w:r>
      <w:r>
        <w:rPr>
          <w:rFonts w:hint="eastAsia" w:ascii="宋体" w:hAnsi="宋体"/>
          <w:color w:val="auto"/>
          <w:sz w:val="24"/>
        </w:rPr>
        <w:t>．屋面防水工程、有防水要求的卫生间、房间和外墙面的防渗漏工程为</w:t>
      </w:r>
      <w:r>
        <w:rPr>
          <w:color w:val="auto"/>
          <w:sz w:val="24"/>
          <w:u w:val="single"/>
        </w:rPr>
        <w:t xml:space="preserve">5 </w:t>
      </w:r>
      <w:r>
        <w:rPr>
          <w:rFonts w:hint="eastAsia" w:ascii="宋体" w:hAnsi="宋体"/>
          <w:color w:val="auto"/>
          <w:sz w:val="24"/>
        </w:rPr>
        <w:t>年；</w:t>
      </w:r>
    </w:p>
    <w:p w14:paraId="080B50AD">
      <w:pPr>
        <w:adjustRightInd w:val="0"/>
        <w:snapToGrid w:val="0"/>
        <w:spacing w:line="360" w:lineRule="auto"/>
        <w:ind w:firstLine="240" w:firstLineChars="100"/>
        <w:rPr>
          <w:rFonts w:ascii="宋体"/>
          <w:color w:val="auto"/>
          <w:sz w:val="24"/>
        </w:rPr>
      </w:pPr>
      <w:r>
        <w:rPr>
          <w:rFonts w:ascii="宋体" w:hAnsi="宋体"/>
          <w:color w:val="auto"/>
          <w:sz w:val="24"/>
        </w:rPr>
        <w:t xml:space="preserve">  3</w:t>
      </w:r>
      <w:r>
        <w:rPr>
          <w:rFonts w:hint="eastAsia" w:ascii="宋体" w:hAnsi="宋体"/>
          <w:color w:val="auto"/>
          <w:sz w:val="24"/>
        </w:rPr>
        <w:t>．电气管线工程、给排水管道工程、设备安装工程为</w:t>
      </w:r>
      <w:r>
        <w:rPr>
          <w:color w:val="auto"/>
          <w:sz w:val="24"/>
          <w:u w:val="single"/>
        </w:rPr>
        <w:t xml:space="preserve">2 </w:t>
      </w:r>
      <w:r>
        <w:rPr>
          <w:rFonts w:hint="eastAsia" w:ascii="宋体" w:hAnsi="宋体"/>
          <w:color w:val="auto"/>
          <w:sz w:val="24"/>
        </w:rPr>
        <w:t>年；</w:t>
      </w:r>
    </w:p>
    <w:p w14:paraId="0106A3E1">
      <w:pPr>
        <w:adjustRightInd w:val="0"/>
        <w:snapToGrid w:val="0"/>
        <w:spacing w:line="360" w:lineRule="auto"/>
        <w:ind w:firstLine="480" w:firstLineChars="200"/>
        <w:rPr>
          <w:rFonts w:ascii="宋体"/>
          <w:color w:val="auto"/>
          <w:sz w:val="24"/>
        </w:rPr>
      </w:pPr>
      <w:r>
        <w:rPr>
          <w:rFonts w:ascii="宋体" w:hAnsi="宋体"/>
          <w:color w:val="auto"/>
          <w:sz w:val="24"/>
        </w:rPr>
        <w:t>4</w:t>
      </w:r>
      <w:r>
        <w:rPr>
          <w:rFonts w:hint="eastAsia" w:ascii="宋体" w:hAnsi="宋体"/>
          <w:color w:val="auto"/>
          <w:sz w:val="24"/>
        </w:rPr>
        <w:t>．供热、供冷系统工程为</w:t>
      </w:r>
      <w:r>
        <w:rPr>
          <w:color w:val="auto"/>
          <w:sz w:val="24"/>
          <w:u w:val="single"/>
        </w:rPr>
        <w:t xml:space="preserve">2 </w:t>
      </w:r>
      <w:r>
        <w:rPr>
          <w:rFonts w:hint="eastAsia" w:ascii="宋体" w:hAnsi="宋体"/>
          <w:color w:val="auto"/>
          <w:sz w:val="24"/>
        </w:rPr>
        <w:t>个采暖期、供冷期；</w:t>
      </w:r>
    </w:p>
    <w:p w14:paraId="535C950C">
      <w:pPr>
        <w:adjustRightInd w:val="0"/>
        <w:snapToGrid w:val="0"/>
        <w:spacing w:line="360" w:lineRule="auto"/>
        <w:ind w:firstLine="480" w:firstLineChars="200"/>
        <w:rPr>
          <w:rFonts w:ascii="宋体"/>
          <w:color w:val="auto"/>
          <w:sz w:val="24"/>
        </w:rPr>
      </w:pPr>
      <w:r>
        <w:rPr>
          <w:rFonts w:ascii="宋体" w:hAnsi="宋体"/>
          <w:color w:val="auto"/>
          <w:sz w:val="24"/>
        </w:rPr>
        <w:t>5</w:t>
      </w:r>
      <w:r>
        <w:rPr>
          <w:rFonts w:hint="eastAsia" w:ascii="宋体" w:hAnsi="宋体"/>
          <w:color w:val="auto"/>
          <w:sz w:val="24"/>
        </w:rPr>
        <w:t>．装饰装修工程为</w:t>
      </w:r>
      <w:r>
        <w:rPr>
          <w:color w:val="auto"/>
          <w:sz w:val="24"/>
          <w:u w:val="single"/>
        </w:rPr>
        <w:t xml:space="preserve">2 </w:t>
      </w:r>
      <w:r>
        <w:rPr>
          <w:rFonts w:hint="eastAsia" w:ascii="宋体" w:hAnsi="宋体"/>
          <w:color w:val="auto"/>
          <w:sz w:val="24"/>
        </w:rPr>
        <w:t>年；</w:t>
      </w:r>
    </w:p>
    <w:p w14:paraId="3BD09D15">
      <w:pPr>
        <w:adjustRightInd w:val="0"/>
        <w:snapToGrid w:val="0"/>
        <w:spacing w:line="360" w:lineRule="auto"/>
        <w:ind w:firstLine="480" w:firstLineChars="200"/>
        <w:rPr>
          <w:rFonts w:ascii="宋体"/>
          <w:color w:val="auto"/>
          <w:sz w:val="24"/>
        </w:rPr>
      </w:pPr>
      <w:r>
        <w:rPr>
          <w:rFonts w:ascii="宋体" w:hAnsi="宋体"/>
          <w:color w:val="auto"/>
          <w:sz w:val="24"/>
        </w:rPr>
        <w:t>6</w:t>
      </w:r>
      <w:r>
        <w:rPr>
          <w:rFonts w:hint="eastAsia" w:ascii="宋体" w:hAnsi="宋体"/>
          <w:color w:val="auto"/>
          <w:sz w:val="24"/>
        </w:rPr>
        <w:t>．园林绿化工程为</w:t>
      </w:r>
      <w:r>
        <w:rPr>
          <w:color w:val="auto"/>
          <w:sz w:val="24"/>
          <w:u w:val="single"/>
        </w:rPr>
        <w:t xml:space="preserve">1 </w:t>
      </w:r>
      <w:r>
        <w:rPr>
          <w:rFonts w:hint="eastAsia" w:ascii="宋体" w:hAnsi="宋体"/>
          <w:color w:val="auto"/>
          <w:sz w:val="24"/>
        </w:rPr>
        <w:t>年；</w:t>
      </w:r>
    </w:p>
    <w:p w14:paraId="5CF38E0D">
      <w:pPr>
        <w:adjustRightInd w:val="0"/>
        <w:snapToGrid w:val="0"/>
        <w:spacing w:line="360" w:lineRule="auto"/>
        <w:ind w:firstLine="480" w:firstLineChars="200"/>
        <w:rPr>
          <w:rFonts w:ascii="宋体"/>
          <w:color w:val="auto"/>
          <w:sz w:val="24"/>
        </w:rPr>
      </w:pPr>
      <w:r>
        <w:rPr>
          <w:rFonts w:ascii="宋体" w:hAnsi="宋体"/>
          <w:color w:val="auto"/>
          <w:sz w:val="24"/>
        </w:rPr>
        <w:t>7</w:t>
      </w:r>
      <w:r>
        <w:rPr>
          <w:rFonts w:hint="eastAsia" w:ascii="宋体" w:hAnsi="宋体"/>
          <w:color w:val="auto"/>
          <w:sz w:val="24"/>
        </w:rPr>
        <w:t>．其他项目：</w:t>
      </w:r>
      <w:r>
        <w:rPr>
          <w:rFonts w:hint="eastAsia" w:ascii="宋体" w:hAnsi="宋体"/>
          <w:color w:val="auto"/>
          <w:sz w:val="24"/>
          <w:u w:val="single"/>
        </w:rPr>
        <w:t>电器及设备维护保修期为2年。</w:t>
      </w:r>
    </w:p>
    <w:p w14:paraId="63A667D7">
      <w:pPr>
        <w:adjustRightInd w:val="0"/>
        <w:snapToGrid w:val="0"/>
        <w:spacing w:line="360" w:lineRule="auto"/>
        <w:ind w:firstLine="480" w:firstLineChars="200"/>
        <w:rPr>
          <w:rFonts w:ascii="宋体"/>
          <w:color w:val="auto"/>
          <w:sz w:val="24"/>
        </w:rPr>
      </w:pPr>
      <w:r>
        <w:rPr>
          <w:rFonts w:ascii="宋体" w:hAnsi="宋体"/>
          <w:color w:val="auto"/>
          <w:sz w:val="24"/>
        </w:rPr>
        <w:t>3</w:t>
      </w:r>
      <w:r>
        <w:rPr>
          <w:rFonts w:hint="eastAsia" w:ascii="宋体" w:hAnsi="宋体"/>
          <w:color w:val="auto"/>
          <w:sz w:val="24"/>
        </w:rPr>
        <w:t>．</w:t>
      </w:r>
      <w:r>
        <w:rPr>
          <w:rFonts w:hint="eastAsia" w:ascii="宋体" w:hAnsi="宋体"/>
          <w:b/>
          <w:color w:val="auto"/>
          <w:sz w:val="24"/>
        </w:rPr>
        <w:t>质量保修责任</w:t>
      </w:r>
    </w:p>
    <w:p w14:paraId="1B2F054A">
      <w:pPr>
        <w:adjustRightInd w:val="0"/>
        <w:snapToGrid w:val="0"/>
        <w:spacing w:line="360" w:lineRule="auto"/>
        <w:ind w:firstLine="480" w:firstLineChars="200"/>
        <w:rPr>
          <w:rFonts w:ascii="宋体"/>
          <w:color w:val="auto"/>
          <w:sz w:val="24"/>
        </w:rPr>
      </w:pPr>
      <w:r>
        <w:rPr>
          <w:rFonts w:ascii="宋体" w:hAnsi="宋体"/>
          <w:color w:val="auto"/>
          <w:sz w:val="24"/>
        </w:rPr>
        <w:t xml:space="preserve">3.1  </w:t>
      </w:r>
      <w:r>
        <w:rPr>
          <w:rFonts w:hint="eastAsia" w:ascii="宋体" w:hAnsi="宋体" w:cs="宋体"/>
          <w:color w:val="auto"/>
          <w:kern w:val="0"/>
          <w:sz w:val="24"/>
          <w:lang w:val="zh-CN"/>
        </w:rPr>
        <w:t>属于保修范围的项目，承包人应在接到发包人通知后的</w:t>
      </w:r>
      <w:r>
        <w:rPr>
          <w:rFonts w:ascii="宋体" w:hAnsi="宋体"/>
          <w:color w:val="auto"/>
          <w:kern w:val="0"/>
          <w:sz w:val="24"/>
        </w:rPr>
        <w:t xml:space="preserve"> 7</w:t>
      </w:r>
      <w:r>
        <w:rPr>
          <w:rFonts w:hint="eastAsia" w:ascii="宋体" w:hAnsi="宋体" w:cs="宋体"/>
          <w:color w:val="auto"/>
          <w:kern w:val="0"/>
          <w:sz w:val="24"/>
          <w:lang w:val="zh-CN"/>
        </w:rPr>
        <w:t>天内派人保修。承包人未能在规定时间内派人保修的，发包人可自行或委托第三方保修</w:t>
      </w:r>
      <w:r>
        <w:rPr>
          <w:rFonts w:hint="eastAsia" w:ascii="宋体" w:hAnsi="宋体"/>
          <w:color w:val="auto"/>
          <w:sz w:val="24"/>
        </w:rPr>
        <w:t>。</w:t>
      </w:r>
    </w:p>
    <w:p w14:paraId="4BFFB7CB">
      <w:pPr>
        <w:adjustRightInd w:val="0"/>
        <w:snapToGrid w:val="0"/>
        <w:spacing w:line="360" w:lineRule="auto"/>
        <w:ind w:firstLine="480" w:firstLineChars="200"/>
        <w:rPr>
          <w:rFonts w:ascii="宋体"/>
          <w:color w:val="auto"/>
          <w:sz w:val="24"/>
        </w:rPr>
      </w:pPr>
      <w:r>
        <w:rPr>
          <w:rFonts w:ascii="宋体" w:hAnsi="宋体"/>
          <w:color w:val="auto"/>
          <w:sz w:val="24"/>
        </w:rPr>
        <w:t xml:space="preserve">3.2  </w:t>
      </w:r>
      <w:r>
        <w:rPr>
          <w:rFonts w:hint="eastAsia" w:ascii="宋体" w:hAnsi="宋体"/>
          <w:color w:val="auto"/>
          <w:sz w:val="24"/>
        </w:rPr>
        <w:t>发生紧急抢修事故的，承包人在接到通知后，应立即到达事故现场抢修。</w:t>
      </w:r>
    </w:p>
    <w:p w14:paraId="282E8183">
      <w:pPr>
        <w:adjustRightInd w:val="0"/>
        <w:snapToGrid w:val="0"/>
        <w:spacing w:line="360" w:lineRule="auto"/>
        <w:ind w:firstLine="480" w:firstLineChars="200"/>
        <w:rPr>
          <w:rFonts w:ascii="宋体"/>
          <w:color w:val="auto"/>
          <w:sz w:val="24"/>
        </w:rPr>
      </w:pPr>
      <w:r>
        <w:rPr>
          <w:rFonts w:ascii="宋体" w:hAnsi="宋体"/>
          <w:color w:val="auto"/>
          <w:sz w:val="24"/>
        </w:rPr>
        <w:t xml:space="preserve">3.3  </w:t>
      </w:r>
      <w:r>
        <w:rPr>
          <w:rFonts w:hint="eastAsia" w:ascii="宋体" w:hAnsi="宋体"/>
          <w:color w:val="auto"/>
          <w:sz w:val="24"/>
        </w:rPr>
        <w:t>在国家规定的工程合理使用期限内，承包人应确保地基基础工程和主体结构的质量和安全。凡出现其质量问题，应立即报告当地建设行政主管部门，经设计人提出保修方案后，承包人应立即实施保修。</w:t>
      </w:r>
    </w:p>
    <w:p w14:paraId="3A3F75B9">
      <w:pPr>
        <w:adjustRightInd w:val="0"/>
        <w:snapToGrid w:val="0"/>
        <w:spacing w:line="360" w:lineRule="auto"/>
        <w:ind w:firstLine="480" w:firstLineChars="200"/>
        <w:rPr>
          <w:rFonts w:ascii="宋体"/>
          <w:color w:val="auto"/>
          <w:sz w:val="24"/>
        </w:rPr>
      </w:pPr>
      <w:r>
        <w:rPr>
          <w:rFonts w:ascii="宋体" w:hAnsi="宋体"/>
          <w:color w:val="auto"/>
          <w:sz w:val="24"/>
        </w:rPr>
        <w:t xml:space="preserve">3.4  </w:t>
      </w:r>
      <w:r>
        <w:rPr>
          <w:rFonts w:hint="eastAsia" w:ascii="宋体" w:hAnsi="宋体"/>
          <w:color w:val="auto"/>
          <w:sz w:val="24"/>
        </w:rPr>
        <w:t>质量保修完成后，由发包人组织验收。</w:t>
      </w:r>
    </w:p>
    <w:p w14:paraId="79A7AD1A">
      <w:pPr>
        <w:adjustRightInd w:val="0"/>
        <w:snapToGrid w:val="0"/>
        <w:spacing w:line="360" w:lineRule="auto"/>
        <w:ind w:left="480"/>
        <w:rPr>
          <w:rFonts w:ascii="宋体"/>
          <w:color w:val="auto"/>
          <w:sz w:val="24"/>
        </w:rPr>
      </w:pPr>
      <w:r>
        <w:rPr>
          <w:rFonts w:ascii="宋体" w:hAnsi="宋体"/>
          <w:color w:val="auto"/>
          <w:sz w:val="24"/>
        </w:rPr>
        <w:t>4</w:t>
      </w:r>
      <w:r>
        <w:rPr>
          <w:rFonts w:hint="eastAsia" w:ascii="宋体" w:hAnsi="宋体"/>
          <w:color w:val="auto"/>
          <w:sz w:val="24"/>
        </w:rPr>
        <w:t>．</w:t>
      </w:r>
      <w:r>
        <w:rPr>
          <w:rFonts w:hint="eastAsia" w:ascii="宋体" w:hAnsi="宋体"/>
          <w:b/>
          <w:color w:val="auto"/>
          <w:sz w:val="24"/>
        </w:rPr>
        <w:t>质量保修费用</w:t>
      </w:r>
    </w:p>
    <w:p w14:paraId="479CD3BB">
      <w:pPr>
        <w:adjustRightInd w:val="0"/>
        <w:snapToGrid w:val="0"/>
        <w:spacing w:line="360" w:lineRule="auto"/>
        <w:ind w:firstLine="480" w:firstLineChars="200"/>
        <w:rPr>
          <w:rFonts w:ascii="宋体"/>
          <w:color w:val="auto"/>
          <w:sz w:val="24"/>
        </w:rPr>
      </w:pPr>
      <w:r>
        <w:rPr>
          <w:rFonts w:hint="eastAsia" w:ascii="宋体" w:hAnsi="宋体" w:cs="宋体"/>
          <w:color w:val="auto"/>
          <w:kern w:val="0"/>
          <w:sz w:val="24"/>
          <w:lang w:val="zh-CN"/>
        </w:rPr>
        <w:t>质量保修等费用，由责任方承担</w:t>
      </w:r>
      <w:r>
        <w:rPr>
          <w:rFonts w:hint="eastAsia" w:ascii="宋体" w:hAnsi="宋体"/>
          <w:color w:val="auto"/>
          <w:sz w:val="24"/>
        </w:rPr>
        <w:t>。</w:t>
      </w:r>
    </w:p>
    <w:p w14:paraId="085F99BF">
      <w:pPr>
        <w:adjustRightInd w:val="0"/>
        <w:snapToGrid w:val="0"/>
        <w:spacing w:line="360" w:lineRule="auto"/>
        <w:ind w:firstLine="480" w:firstLineChars="200"/>
        <w:rPr>
          <w:rFonts w:ascii="宋体"/>
          <w:color w:val="auto"/>
          <w:sz w:val="24"/>
        </w:rPr>
      </w:pPr>
      <w:r>
        <w:rPr>
          <w:rFonts w:ascii="宋体" w:hAnsi="宋体"/>
          <w:color w:val="auto"/>
          <w:sz w:val="24"/>
        </w:rPr>
        <w:t>5</w:t>
      </w:r>
      <w:r>
        <w:rPr>
          <w:rFonts w:hint="eastAsia" w:ascii="宋体" w:hAnsi="宋体"/>
          <w:color w:val="auto"/>
          <w:sz w:val="24"/>
        </w:rPr>
        <w:t>．</w:t>
      </w:r>
      <w:r>
        <w:rPr>
          <w:rFonts w:hint="eastAsia" w:ascii="宋体" w:hAnsi="宋体"/>
          <w:b/>
          <w:color w:val="auto"/>
          <w:sz w:val="24"/>
        </w:rPr>
        <w:t>质量保证金</w:t>
      </w:r>
    </w:p>
    <w:p w14:paraId="358DDC93">
      <w:pPr>
        <w:adjustRightInd w:val="0"/>
        <w:snapToGrid w:val="0"/>
        <w:spacing w:line="360" w:lineRule="auto"/>
        <w:ind w:firstLine="480" w:firstLineChars="200"/>
        <w:rPr>
          <w:rFonts w:ascii="宋体"/>
          <w:color w:val="auto"/>
          <w:sz w:val="24"/>
        </w:rPr>
      </w:pPr>
      <w:r>
        <w:rPr>
          <w:rFonts w:hint="eastAsia" w:ascii="宋体" w:hAnsi="宋体" w:cs="宋体"/>
          <w:color w:val="auto"/>
          <w:kern w:val="0"/>
          <w:sz w:val="24"/>
          <w:lang w:val="zh-CN"/>
        </w:rPr>
        <w:t>质量保证金的约定、支付和使用与本合同第二部分《通用条款》第</w:t>
      </w:r>
      <w:r>
        <w:rPr>
          <w:rFonts w:ascii="宋体" w:hAnsi="宋体"/>
          <w:color w:val="auto"/>
          <w:kern w:val="0"/>
          <w:sz w:val="24"/>
        </w:rPr>
        <w:t xml:space="preserve"> 84</w:t>
      </w:r>
      <w:r>
        <w:rPr>
          <w:rFonts w:hint="eastAsia" w:ascii="宋体" w:hAnsi="宋体" w:cs="宋体"/>
          <w:color w:val="auto"/>
          <w:kern w:val="0"/>
          <w:sz w:val="24"/>
          <w:lang w:val="zh-CN"/>
        </w:rPr>
        <w:t>条赋予的规</w:t>
      </w:r>
      <w:r>
        <w:rPr>
          <w:rFonts w:hint="eastAsia" w:ascii="宋体" w:hAnsi="宋体"/>
          <w:color w:val="auto"/>
          <w:sz w:val="24"/>
        </w:rPr>
        <w:t>定一致。</w:t>
      </w:r>
    </w:p>
    <w:p w14:paraId="710C545A">
      <w:pPr>
        <w:spacing w:line="360" w:lineRule="auto"/>
        <w:ind w:firstLine="480" w:firstLineChars="200"/>
        <w:rPr>
          <w:rFonts w:ascii="宋体" w:cs="宋体"/>
          <w:color w:val="auto"/>
          <w:kern w:val="0"/>
          <w:sz w:val="24"/>
          <w:lang w:val="zh-CN"/>
        </w:rPr>
      </w:pPr>
      <w:r>
        <w:rPr>
          <w:rFonts w:hint="eastAsia" w:ascii="宋体" w:hAnsi="宋体" w:cs="宋体"/>
          <w:color w:val="auto"/>
          <w:kern w:val="0"/>
          <w:sz w:val="24"/>
          <w:lang w:val="zh-CN"/>
        </w:rPr>
        <w:t>工程质量保修金一般不超过施工合同价款的</w:t>
      </w:r>
      <w:r>
        <w:rPr>
          <w:rFonts w:ascii="宋体" w:hAnsi="宋体" w:cs="宋体"/>
          <w:color w:val="auto"/>
          <w:kern w:val="0"/>
          <w:sz w:val="24"/>
        </w:rPr>
        <w:t>3</w:t>
      </w:r>
      <w:r>
        <w:rPr>
          <w:rFonts w:hint="eastAsia" w:ascii="宋体" w:hAnsi="宋体" w:cs="宋体"/>
          <w:color w:val="auto"/>
          <w:kern w:val="0"/>
          <w:sz w:val="24"/>
          <w:lang w:val="zh-CN"/>
        </w:rPr>
        <w:t>％，本工程约定的工程质量保修金为施工结算价款的</w:t>
      </w:r>
      <w:r>
        <w:rPr>
          <w:rFonts w:ascii="宋体" w:hAnsi="宋体" w:cs="宋体"/>
          <w:color w:val="auto"/>
          <w:kern w:val="0"/>
          <w:sz w:val="24"/>
          <w:u w:val="single"/>
        </w:rPr>
        <w:t>3</w:t>
      </w:r>
      <w:r>
        <w:rPr>
          <w:rFonts w:hint="eastAsia" w:ascii="宋体" w:hAnsi="宋体" w:cs="宋体"/>
          <w:color w:val="auto"/>
          <w:kern w:val="0"/>
          <w:sz w:val="24"/>
          <w:lang w:val="zh-CN"/>
        </w:rPr>
        <w:t>％。</w:t>
      </w:r>
    </w:p>
    <w:p w14:paraId="0CA7508C">
      <w:pPr>
        <w:spacing w:line="360" w:lineRule="auto"/>
        <w:rPr>
          <w:rFonts w:ascii="宋体" w:cs="宋体"/>
          <w:color w:val="auto"/>
          <w:kern w:val="0"/>
          <w:sz w:val="24"/>
          <w:lang w:val="zh-CN"/>
        </w:rPr>
      </w:pPr>
      <w:r>
        <w:rPr>
          <w:rFonts w:hint="eastAsia" w:ascii="宋体" w:hAnsi="宋体" w:cs="宋体"/>
          <w:color w:val="auto"/>
          <w:kern w:val="0"/>
          <w:sz w:val="24"/>
          <w:lang w:val="zh-CN"/>
        </w:rPr>
        <w:t>　　本工程双方约定承包人向发包人支付工程质量保修金金额为</w:t>
      </w:r>
      <w:r>
        <w:rPr>
          <w:rFonts w:ascii="宋体" w:hAnsi="宋体" w:cs="宋体"/>
          <w:color w:val="auto"/>
          <w:kern w:val="0"/>
          <w:sz w:val="24"/>
          <w:u w:val="single"/>
          <w:lang w:val="zh-CN"/>
        </w:rPr>
        <w:t xml:space="preserve">  /  </w:t>
      </w:r>
      <w:r>
        <w:rPr>
          <w:rFonts w:hint="eastAsia" w:ascii="宋体" w:hAnsi="宋体" w:cs="宋体"/>
          <w:color w:val="auto"/>
          <w:kern w:val="0"/>
          <w:sz w:val="24"/>
          <w:lang w:val="zh-CN"/>
        </w:rPr>
        <w:t>（大写）。质量保修金银行利率为</w:t>
      </w:r>
      <w:r>
        <w:rPr>
          <w:rFonts w:hint="eastAsia" w:ascii="宋体" w:hAnsi="宋体" w:cs="宋体"/>
          <w:color w:val="auto"/>
          <w:kern w:val="0"/>
          <w:sz w:val="24"/>
          <w:u w:val="single"/>
          <w:lang w:val="zh-CN"/>
        </w:rPr>
        <w:t>零</w:t>
      </w:r>
      <w:r>
        <w:rPr>
          <w:rFonts w:hint="eastAsia" w:ascii="宋体" w:hAnsi="宋体" w:cs="宋体"/>
          <w:color w:val="auto"/>
          <w:kern w:val="0"/>
          <w:sz w:val="24"/>
          <w:lang w:val="zh-CN"/>
        </w:rPr>
        <w:t>。</w:t>
      </w:r>
    </w:p>
    <w:p w14:paraId="0207A52C">
      <w:pPr>
        <w:adjustRightInd w:val="0"/>
        <w:snapToGrid w:val="0"/>
        <w:spacing w:line="360" w:lineRule="auto"/>
        <w:ind w:left="480"/>
        <w:rPr>
          <w:rFonts w:ascii="宋体"/>
          <w:color w:val="auto"/>
          <w:sz w:val="24"/>
        </w:rPr>
      </w:pPr>
      <w:r>
        <w:rPr>
          <w:rFonts w:ascii="宋体" w:hAnsi="宋体"/>
          <w:color w:val="auto"/>
          <w:sz w:val="24"/>
        </w:rPr>
        <w:t>6</w:t>
      </w:r>
      <w:r>
        <w:rPr>
          <w:rFonts w:hint="eastAsia" w:ascii="宋体" w:hAnsi="宋体"/>
          <w:color w:val="auto"/>
          <w:sz w:val="24"/>
        </w:rPr>
        <w:t>．</w:t>
      </w:r>
      <w:r>
        <w:rPr>
          <w:rFonts w:hint="eastAsia" w:ascii="宋体" w:hAnsi="宋体"/>
          <w:b/>
          <w:color w:val="auto"/>
          <w:sz w:val="24"/>
        </w:rPr>
        <w:t>其他</w:t>
      </w:r>
    </w:p>
    <w:p w14:paraId="37881CC5">
      <w:pPr>
        <w:adjustRightInd w:val="0"/>
        <w:snapToGrid w:val="0"/>
        <w:spacing w:line="360" w:lineRule="auto"/>
        <w:ind w:firstLine="480" w:firstLineChars="200"/>
        <w:rPr>
          <w:rFonts w:ascii="宋体"/>
          <w:color w:val="auto"/>
          <w:sz w:val="24"/>
        </w:rPr>
      </w:pPr>
      <w:r>
        <w:rPr>
          <w:rFonts w:ascii="宋体" w:hAnsi="宋体"/>
          <w:color w:val="auto"/>
          <w:sz w:val="24"/>
        </w:rPr>
        <w:t xml:space="preserve">6.1  </w:t>
      </w:r>
      <w:r>
        <w:rPr>
          <w:rFonts w:hint="eastAsia" w:ascii="宋体" w:hAnsi="宋体" w:cs="宋体"/>
          <w:color w:val="auto"/>
          <w:kern w:val="0"/>
          <w:sz w:val="24"/>
          <w:lang w:val="zh-CN"/>
        </w:rPr>
        <w:t>合同双方当事人约定的其他质量保修事</w:t>
      </w:r>
      <w:r>
        <w:rPr>
          <w:rFonts w:hint="eastAsia" w:ascii="宋体" w:hAnsi="宋体"/>
          <w:color w:val="auto"/>
          <w:sz w:val="24"/>
        </w:rPr>
        <w:t>项：</w:t>
      </w:r>
    </w:p>
    <w:p w14:paraId="22A54884">
      <w:pPr>
        <w:spacing w:line="360" w:lineRule="auto"/>
        <w:ind w:left="573"/>
        <w:rPr>
          <w:rFonts w:ascii="宋体" w:cs="宋体"/>
          <w:color w:val="auto"/>
          <w:kern w:val="0"/>
          <w:sz w:val="24"/>
          <w:u w:val="single"/>
          <w:lang w:val="zh-CN"/>
        </w:rPr>
      </w:pPr>
      <w:r>
        <w:rPr>
          <w:rFonts w:ascii="宋体" w:hAnsi="宋体" w:cs="宋体"/>
          <w:color w:val="auto"/>
          <w:kern w:val="0"/>
          <w:sz w:val="24"/>
          <w:lang w:val="zh-CN"/>
        </w:rPr>
        <w:t>1</w:t>
      </w:r>
      <w:r>
        <w:rPr>
          <w:rFonts w:hint="eastAsia" w:ascii="宋体" w:hAnsi="宋体" w:cs="宋体"/>
          <w:color w:val="auto"/>
          <w:kern w:val="0"/>
          <w:sz w:val="24"/>
          <w:lang w:val="zh-CN"/>
        </w:rPr>
        <w:t>．</w:t>
      </w:r>
      <w:r>
        <w:rPr>
          <w:rFonts w:hint="eastAsia" w:ascii="宋体" w:hAnsi="宋体" w:cs="宋体"/>
          <w:color w:val="auto"/>
          <w:kern w:val="0"/>
          <w:sz w:val="24"/>
          <w:u w:val="single"/>
          <w:lang w:val="zh-CN"/>
        </w:rPr>
        <w:t>工程竣工验收送电之日起开始计算保修期。</w:t>
      </w:r>
    </w:p>
    <w:p w14:paraId="699096DC">
      <w:pPr>
        <w:spacing w:line="360" w:lineRule="auto"/>
        <w:ind w:left="573"/>
        <w:rPr>
          <w:rFonts w:ascii="宋体"/>
          <w:color w:val="auto"/>
          <w:sz w:val="24"/>
        </w:rPr>
      </w:pPr>
      <w:r>
        <w:rPr>
          <w:rFonts w:hint="eastAsia" w:ascii="宋体" w:hAnsi="宋体" w:cs="宋体"/>
          <w:color w:val="auto"/>
          <w:kern w:val="0"/>
          <w:sz w:val="24"/>
          <w:lang w:val="zh-CN"/>
        </w:rPr>
        <w:t>2．</w:t>
      </w:r>
      <w:r>
        <w:rPr>
          <w:rFonts w:hint="eastAsia" w:ascii="宋体" w:hAnsi="宋体" w:cs="宋体"/>
          <w:color w:val="auto"/>
          <w:kern w:val="0"/>
          <w:sz w:val="24"/>
          <w:u w:val="single"/>
          <w:lang w:val="zh-CN"/>
        </w:rPr>
        <w:t>在保修期满并经检查验收合格后结算清楚，发包人将剩余保修金无息一次性返还给承包人。</w:t>
      </w:r>
    </w:p>
    <w:p w14:paraId="424AC399">
      <w:pPr>
        <w:adjustRightInd w:val="0"/>
        <w:snapToGrid w:val="0"/>
        <w:spacing w:line="360" w:lineRule="auto"/>
        <w:ind w:firstLine="480" w:firstLineChars="200"/>
        <w:rPr>
          <w:rFonts w:ascii="宋体"/>
          <w:color w:val="auto"/>
          <w:sz w:val="24"/>
        </w:rPr>
      </w:pPr>
      <w:r>
        <w:rPr>
          <w:rFonts w:ascii="宋体" w:hAnsi="宋体"/>
          <w:color w:val="auto"/>
          <w:sz w:val="24"/>
        </w:rPr>
        <w:t xml:space="preserve">6.2  </w:t>
      </w:r>
      <w:r>
        <w:rPr>
          <w:rFonts w:hint="eastAsia" w:ascii="宋体" w:hAnsi="宋体" w:cs="宋体"/>
          <w:color w:val="auto"/>
          <w:kern w:val="0"/>
          <w:sz w:val="24"/>
          <w:lang w:val="zh-CN"/>
        </w:rPr>
        <w:t>本质量保修书，由合同双方当事人在承包人向发包人提交竣工验收申请报告时签署，作为本合同的附件</w:t>
      </w:r>
      <w:r>
        <w:rPr>
          <w:rFonts w:hint="eastAsia" w:ascii="宋体" w:hAnsi="宋体"/>
          <w:color w:val="auto"/>
          <w:sz w:val="24"/>
        </w:rPr>
        <w:t>。</w:t>
      </w:r>
    </w:p>
    <w:p w14:paraId="570D5843">
      <w:pPr>
        <w:adjustRightInd w:val="0"/>
        <w:snapToGrid w:val="0"/>
        <w:spacing w:line="360" w:lineRule="auto"/>
        <w:ind w:firstLine="480" w:firstLineChars="200"/>
        <w:rPr>
          <w:rFonts w:ascii="宋体"/>
          <w:color w:val="auto"/>
          <w:sz w:val="24"/>
        </w:rPr>
      </w:pPr>
      <w:r>
        <w:rPr>
          <w:rFonts w:ascii="宋体" w:hAnsi="宋体"/>
          <w:color w:val="auto"/>
          <w:sz w:val="24"/>
        </w:rPr>
        <w:t xml:space="preserve">6.3  </w:t>
      </w:r>
      <w:r>
        <w:rPr>
          <w:rFonts w:hint="eastAsia" w:ascii="宋体" w:hAnsi="宋体" w:cs="宋体"/>
          <w:color w:val="auto"/>
          <w:kern w:val="0"/>
          <w:sz w:val="24"/>
          <w:lang w:val="zh-CN"/>
        </w:rPr>
        <w:t>本质量保修书，自合同双方当事人签署之日起生效，至质量保修期满后失效。</w:t>
      </w:r>
    </w:p>
    <w:p w14:paraId="7CA2482F">
      <w:pPr>
        <w:adjustRightInd w:val="0"/>
        <w:snapToGrid w:val="0"/>
        <w:spacing w:line="360" w:lineRule="auto"/>
        <w:rPr>
          <w:rFonts w:ascii="宋体"/>
          <w:color w:val="auto"/>
          <w:sz w:val="24"/>
        </w:rPr>
      </w:pPr>
    </w:p>
    <w:p w14:paraId="6BE3A3EC">
      <w:pPr>
        <w:adjustRightInd w:val="0"/>
        <w:snapToGrid w:val="0"/>
        <w:spacing w:line="360" w:lineRule="auto"/>
        <w:ind w:firstLine="480" w:firstLineChars="200"/>
        <w:rPr>
          <w:rFonts w:ascii="宋体"/>
          <w:color w:val="auto"/>
          <w:sz w:val="24"/>
        </w:rPr>
      </w:pPr>
      <w:r>
        <w:rPr>
          <w:rFonts w:hint="eastAsia" w:ascii="宋体" w:hAnsi="宋体"/>
          <w:color w:val="auto"/>
          <w:sz w:val="24"/>
        </w:rPr>
        <w:t>发包人：（盖章）</w:t>
      </w:r>
      <w:r>
        <w:rPr>
          <w:rFonts w:hint="eastAsia" w:ascii="宋体" w:hAnsi="宋体"/>
          <w:color w:val="auto"/>
          <w:sz w:val="24"/>
          <w:lang w:val="en-US" w:eastAsia="zh-CN"/>
        </w:rPr>
        <w:t xml:space="preserve">                   </w:t>
      </w:r>
      <w:r>
        <w:rPr>
          <w:rFonts w:hint="eastAsia" w:ascii="宋体" w:hAnsi="宋体"/>
          <w:color w:val="auto"/>
          <w:sz w:val="24"/>
        </w:rPr>
        <w:t>承包人：（盖章）</w:t>
      </w:r>
    </w:p>
    <w:p w14:paraId="4CCB925E">
      <w:pPr>
        <w:adjustRightInd w:val="0"/>
        <w:snapToGrid w:val="0"/>
        <w:spacing w:line="360" w:lineRule="auto"/>
        <w:ind w:firstLine="480" w:firstLineChars="200"/>
        <w:rPr>
          <w:rFonts w:ascii="宋体"/>
          <w:color w:val="auto"/>
          <w:sz w:val="24"/>
        </w:rPr>
      </w:pPr>
      <w:r>
        <w:rPr>
          <w:rFonts w:hint="eastAsia" w:ascii="宋体" w:hAnsi="宋体"/>
          <w:color w:val="auto"/>
          <w:sz w:val="24"/>
        </w:rPr>
        <w:t>法定代表人：（签字）</w:t>
      </w:r>
      <w:r>
        <w:rPr>
          <w:rFonts w:hint="eastAsia" w:ascii="宋体" w:hAnsi="宋体"/>
          <w:color w:val="auto"/>
          <w:sz w:val="24"/>
          <w:lang w:val="en-US" w:eastAsia="zh-CN"/>
        </w:rPr>
        <w:t xml:space="preserve">               </w:t>
      </w:r>
      <w:r>
        <w:rPr>
          <w:rFonts w:hint="eastAsia" w:ascii="宋体" w:hAnsi="宋体"/>
          <w:color w:val="auto"/>
          <w:sz w:val="24"/>
        </w:rPr>
        <w:t>法定代表人：（签字）</w:t>
      </w:r>
    </w:p>
    <w:p w14:paraId="24E5F64C">
      <w:pPr>
        <w:spacing w:line="360" w:lineRule="auto"/>
        <w:ind w:firstLine="480" w:firstLineChars="200"/>
        <w:jc w:val="left"/>
        <w:rPr>
          <w:rFonts w:ascii="宋体"/>
          <w:color w:val="auto"/>
          <w:sz w:val="24"/>
          <w:u w:val="single"/>
        </w:rPr>
      </w:pPr>
      <w:r>
        <w:rPr>
          <w:rFonts w:hint="eastAsia" w:ascii="宋体" w:hAnsi="宋体"/>
          <w:color w:val="auto"/>
          <w:sz w:val="24"/>
        </w:rPr>
        <w:t>联系电话：</w:t>
      </w:r>
      <w:r>
        <w:rPr>
          <w:rFonts w:hint="eastAsia" w:ascii="宋体" w:hAnsi="宋体"/>
          <w:color w:val="auto"/>
          <w:sz w:val="24"/>
          <w:lang w:val="en-US" w:eastAsia="zh-CN"/>
        </w:rPr>
        <w:t xml:space="preserve">                         </w:t>
      </w:r>
      <w:r>
        <w:rPr>
          <w:rFonts w:hint="eastAsia" w:ascii="宋体" w:hAnsi="宋体"/>
          <w:color w:val="auto"/>
          <w:sz w:val="24"/>
        </w:rPr>
        <w:t>联系电话：</w:t>
      </w:r>
    </w:p>
    <w:p w14:paraId="2F1572E5">
      <w:pPr>
        <w:adjustRightInd w:val="0"/>
        <w:snapToGrid w:val="0"/>
        <w:spacing w:line="360" w:lineRule="auto"/>
        <w:ind w:firstLine="960" w:firstLineChars="400"/>
        <w:rPr>
          <w:rFonts w:ascii="宋体"/>
          <w:color w:val="auto"/>
          <w:sz w:val="24"/>
        </w:rPr>
      </w:pPr>
      <w:r>
        <w:rPr>
          <w:rFonts w:hint="eastAsia" w:ascii="宋体" w:hAnsi="宋体"/>
          <w:color w:val="auto"/>
          <w:sz w:val="24"/>
        </w:rPr>
        <w:t>年</w:t>
      </w:r>
      <w:r>
        <w:rPr>
          <w:rFonts w:hint="eastAsia" w:ascii="宋体" w:hAnsi="宋体"/>
          <w:color w:val="auto"/>
          <w:sz w:val="24"/>
          <w:lang w:val="en-US" w:eastAsia="zh-CN"/>
        </w:rPr>
        <w:t xml:space="preserve">  </w:t>
      </w:r>
      <w:r>
        <w:rPr>
          <w:rFonts w:hint="eastAsia" w:ascii="宋体" w:hAnsi="宋体"/>
          <w:color w:val="auto"/>
          <w:sz w:val="24"/>
        </w:rPr>
        <w:t>月</w:t>
      </w:r>
      <w:r>
        <w:rPr>
          <w:rFonts w:hint="eastAsia" w:ascii="宋体" w:hAnsi="宋体"/>
          <w:color w:val="auto"/>
          <w:sz w:val="24"/>
          <w:lang w:val="en-US" w:eastAsia="zh-CN"/>
        </w:rPr>
        <w:t xml:space="preserve">  </w:t>
      </w:r>
      <w:r>
        <w:rPr>
          <w:rFonts w:hint="eastAsia" w:ascii="宋体" w:hAnsi="宋体"/>
          <w:color w:val="auto"/>
          <w:sz w:val="24"/>
        </w:rPr>
        <w:t>日</w:t>
      </w:r>
      <w:r>
        <w:rPr>
          <w:rFonts w:hint="eastAsia" w:ascii="宋体" w:hAnsi="宋体"/>
          <w:color w:val="auto"/>
          <w:sz w:val="24"/>
          <w:lang w:val="en-US" w:eastAsia="zh-CN"/>
        </w:rPr>
        <w:t xml:space="preserve">                         </w:t>
      </w:r>
      <w:r>
        <w:rPr>
          <w:rFonts w:hint="eastAsia" w:ascii="宋体" w:hAnsi="宋体"/>
          <w:color w:val="auto"/>
          <w:sz w:val="24"/>
        </w:rPr>
        <w:t>年</w:t>
      </w:r>
      <w:r>
        <w:rPr>
          <w:rFonts w:hint="eastAsia" w:ascii="宋体" w:hAnsi="宋体"/>
          <w:color w:val="auto"/>
          <w:sz w:val="24"/>
          <w:lang w:val="en-US" w:eastAsia="zh-CN"/>
        </w:rPr>
        <w:t xml:space="preserve">  </w:t>
      </w:r>
      <w:r>
        <w:rPr>
          <w:rFonts w:hint="eastAsia" w:ascii="宋体" w:hAnsi="宋体"/>
          <w:color w:val="auto"/>
          <w:sz w:val="24"/>
        </w:rPr>
        <w:t>月</w:t>
      </w:r>
      <w:r>
        <w:rPr>
          <w:rFonts w:hint="eastAsia" w:ascii="宋体" w:hAnsi="宋体"/>
          <w:color w:val="auto"/>
          <w:sz w:val="24"/>
          <w:lang w:val="en-US" w:eastAsia="zh-CN"/>
        </w:rPr>
        <w:t xml:space="preserve">  </w:t>
      </w:r>
      <w:r>
        <w:rPr>
          <w:rFonts w:hint="eastAsia" w:ascii="宋体" w:hAnsi="宋体"/>
          <w:color w:val="auto"/>
          <w:sz w:val="24"/>
        </w:rPr>
        <w:t>日</w:t>
      </w:r>
    </w:p>
    <w:p w14:paraId="5A053CFD">
      <w:pPr>
        <w:spacing w:line="360" w:lineRule="auto"/>
        <w:rPr>
          <w:rFonts w:ascii="宋体"/>
          <w:color w:val="auto"/>
          <w:sz w:val="24"/>
        </w:rPr>
      </w:pPr>
    </w:p>
    <w:p w14:paraId="13A07E79">
      <w:pPr>
        <w:spacing w:line="360" w:lineRule="auto"/>
        <w:outlineLvl w:val="1"/>
        <w:rPr>
          <w:rFonts w:ascii="宋体"/>
          <w:b/>
          <w:color w:val="auto"/>
          <w:sz w:val="24"/>
        </w:rPr>
      </w:pPr>
      <w:r>
        <w:rPr>
          <w:rFonts w:ascii="宋体"/>
          <w:color w:val="auto"/>
          <w:sz w:val="24"/>
        </w:rPr>
        <w:br w:type="page"/>
      </w:r>
      <w:r>
        <w:rPr>
          <w:rFonts w:hint="eastAsia" w:ascii="宋体" w:hAnsi="宋体"/>
          <w:b/>
          <w:color w:val="auto"/>
          <w:sz w:val="24"/>
        </w:rPr>
        <w:t>附件三</w:t>
      </w:r>
    </w:p>
    <w:p w14:paraId="03163282">
      <w:pPr>
        <w:spacing w:line="360" w:lineRule="auto"/>
        <w:jc w:val="center"/>
        <w:rPr>
          <w:rFonts w:ascii="宋体"/>
          <w:b/>
          <w:color w:val="auto"/>
          <w:sz w:val="36"/>
          <w:szCs w:val="36"/>
        </w:rPr>
      </w:pPr>
      <w:r>
        <w:rPr>
          <w:rFonts w:hint="eastAsia" w:ascii="宋体" w:hAnsi="宋体"/>
          <w:b/>
          <w:color w:val="auto"/>
          <w:sz w:val="36"/>
          <w:szCs w:val="36"/>
        </w:rPr>
        <w:t>廉政合同</w:t>
      </w:r>
    </w:p>
    <w:p w14:paraId="20BC002A">
      <w:pPr>
        <w:spacing w:line="360" w:lineRule="auto"/>
        <w:rPr>
          <w:rFonts w:hint="eastAsia" w:ascii="宋体" w:hAnsi="宋体"/>
          <w:color w:val="auto"/>
          <w:sz w:val="24"/>
          <w:u w:val="single"/>
          <w:lang w:eastAsia="zh-CN"/>
        </w:rPr>
      </w:pPr>
      <w:r>
        <w:rPr>
          <w:rFonts w:hint="eastAsia" w:ascii="宋体" w:hAnsi="宋体"/>
          <w:color w:val="auto"/>
          <w:sz w:val="24"/>
        </w:rPr>
        <w:t>发包人：（全称）</w:t>
      </w:r>
      <w:r>
        <w:rPr>
          <w:rFonts w:hint="eastAsia" w:ascii="宋体" w:hAnsi="宋体"/>
          <w:color w:val="auto"/>
          <w:sz w:val="24"/>
          <w:u w:val="single"/>
          <w:lang w:eastAsia="zh-CN"/>
        </w:rPr>
        <w:t>华南师范大学</w:t>
      </w:r>
    </w:p>
    <w:p w14:paraId="6AB431DE">
      <w:pPr>
        <w:spacing w:line="360" w:lineRule="auto"/>
        <w:rPr>
          <w:rFonts w:ascii="宋体"/>
          <w:color w:val="auto"/>
          <w:sz w:val="24"/>
          <w:u w:val="single"/>
        </w:rPr>
      </w:pPr>
      <w:r>
        <w:rPr>
          <w:rFonts w:hint="eastAsia" w:ascii="宋体" w:hAnsi="宋体"/>
          <w:color w:val="auto"/>
          <w:sz w:val="24"/>
        </w:rPr>
        <w:t>承包人：（全称）</w:t>
      </w:r>
    </w:p>
    <w:p w14:paraId="5B96DC0D">
      <w:pPr>
        <w:spacing w:line="360" w:lineRule="auto"/>
        <w:ind w:firstLine="1920" w:firstLineChars="800"/>
        <w:rPr>
          <w:rFonts w:ascii="宋体"/>
          <w:color w:val="auto"/>
          <w:sz w:val="24"/>
          <w:u w:val="single"/>
        </w:rPr>
      </w:pPr>
    </w:p>
    <w:p w14:paraId="13C98B7D">
      <w:pPr>
        <w:spacing w:line="360" w:lineRule="auto"/>
        <w:rPr>
          <w:rFonts w:ascii="宋体"/>
          <w:color w:val="auto"/>
          <w:sz w:val="24"/>
        </w:rPr>
      </w:pPr>
      <w:r>
        <w:rPr>
          <w:rFonts w:hint="eastAsia" w:ascii="宋体" w:hAnsi="宋体" w:cs="宋体"/>
          <w:color w:val="auto"/>
          <w:kern w:val="0"/>
          <w:sz w:val="24"/>
          <w:lang w:val="zh-CN"/>
        </w:rPr>
        <w:t>根据国家、省有关廉政建设的规定，为做好合同工程的廉政建设，保证工程质量与施工安全，提高建设资金的有效使用和投资效益，合同双方当事人就加强合同工程的廉政建设，订立本合同</w:t>
      </w:r>
      <w:r>
        <w:rPr>
          <w:rFonts w:hint="eastAsia" w:ascii="宋体" w:hAnsi="宋体"/>
          <w:color w:val="auto"/>
          <w:sz w:val="24"/>
        </w:rPr>
        <w:t>。</w:t>
      </w:r>
    </w:p>
    <w:p w14:paraId="522330E6">
      <w:pPr>
        <w:spacing w:line="360" w:lineRule="auto"/>
        <w:ind w:firstLine="562" w:firstLineChars="200"/>
        <w:jc w:val="left"/>
        <w:rPr>
          <w:rFonts w:ascii="宋体"/>
          <w:b/>
          <w:bCs/>
          <w:color w:val="auto"/>
          <w:sz w:val="28"/>
          <w:szCs w:val="28"/>
        </w:rPr>
      </w:pPr>
      <w:r>
        <w:rPr>
          <w:rFonts w:ascii="宋体" w:hAnsi="宋体"/>
          <w:b/>
          <w:bCs/>
          <w:color w:val="auto"/>
          <w:sz w:val="28"/>
          <w:szCs w:val="28"/>
        </w:rPr>
        <w:t xml:space="preserve">1  </w:t>
      </w:r>
      <w:r>
        <w:rPr>
          <w:rFonts w:hint="eastAsia" w:ascii="宋体" w:hAnsi="宋体"/>
          <w:b/>
          <w:bCs/>
          <w:color w:val="auto"/>
          <w:sz w:val="28"/>
          <w:szCs w:val="28"/>
        </w:rPr>
        <w:t>双方权利和义务</w:t>
      </w:r>
    </w:p>
    <w:p w14:paraId="2E51FC05">
      <w:pPr>
        <w:spacing w:line="360" w:lineRule="auto"/>
        <w:ind w:firstLine="480" w:firstLineChars="200"/>
        <w:jc w:val="left"/>
        <w:rPr>
          <w:rFonts w:ascii="宋体"/>
          <w:color w:val="auto"/>
          <w:sz w:val="24"/>
        </w:rPr>
      </w:pPr>
      <w:r>
        <w:rPr>
          <w:rFonts w:ascii="宋体" w:hAnsi="宋体"/>
          <w:color w:val="auto"/>
          <w:sz w:val="24"/>
        </w:rPr>
        <w:t xml:space="preserve">1.1  </w:t>
      </w:r>
      <w:r>
        <w:rPr>
          <w:rFonts w:hint="eastAsia" w:ascii="宋体" w:hAnsi="宋体"/>
          <w:color w:val="auto"/>
          <w:sz w:val="24"/>
        </w:rPr>
        <w:t>严格遵守国家、省有关法律法规的规定。</w:t>
      </w:r>
    </w:p>
    <w:p w14:paraId="71430956">
      <w:pPr>
        <w:spacing w:line="360" w:lineRule="auto"/>
        <w:ind w:firstLine="480" w:firstLineChars="200"/>
        <w:rPr>
          <w:rFonts w:ascii="宋体"/>
          <w:color w:val="auto"/>
          <w:sz w:val="24"/>
        </w:rPr>
      </w:pPr>
      <w:r>
        <w:rPr>
          <w:rFonts w:ascii="宋体" w:hAnsi="宋体"/>
          <w:color w:val="auto"/>
          <w:sz w:val="24"/>
        </w:rPr>
        <w:t xml:space="preserve">1.2  </w:t>
      </w:r>
      <w:r>
        <w:rPr>
          <w:rFonts w:hint="eastAsia" w:ascii="宋体" w:hAnsi="宋体"/>
          <w:color w:val="auto"/>
          <w:sz w:val="24"/>
        </w:rPr>
        <w:t>严格执行合同工程一切合同文件，自觉按合同办事。</w:t>
      </w:r>
    </w:p>
    <w:p w14:paraId="1018DDC8">
      <w:pPr>
        <w:spacing w:line="360" w:lineRule="auto"/>
        <w:ind w:firstLine="480" w:firstLineChars="200"/>
        <w:rPr>
          <w:rFonts w:ascii="宋体"/>
          <w:color w:val="auto"/>
          <w:sz w:val="24"/>
        </w:rPr>
      </w:pPr>
      <w:r>
        <w:rPr>
          <w:rFonts w:ascii="宋体" w:hAnsi="宋体"/>
          <w:color w:val="auto"/>
          <w:sz w:val="24"/>
        </w:rPr>
        <w:t xml:space="preserve">1.3  </w:t>
      </w:r>
      <w:r>
        <w:rPr>
          <w:rFonts w:hint="eastAsia" w:ascii="宋体" w:hAnsi="宋体" w:cs="宋体"/>
          <w:color w:val="auto"/>
          <w:kern w:val="0"/>
          <w:sz w:val="24"/>
          <w:lang w:val="zh-CN"/>
        </w:rPr>
        <w:t>合同双方当事人的业务活动应坚持公平、公开、公正和诚信的原则（法律认定的商业秘密和合同文件另有规定除外），不得损害国家和集体利益，不得违反工程建设管理规章制度</w:t>
      </w:r>
      <w:r>
        <w:rPr>
          <w:rFonts w:hint="eastAsia" w:ascii="宋体" w:hAnsi="宋体"/>
          <w:color w:val="auto"/>
          <w:sz w:val="24"/>
        </w:rPr>
        <w:t>。</w:t>
      </w:r>
    </w:p>
    <w:p w14:paraId="1FD808E0">
      <w:pPr>
        <w:spacing w:line="360" w:lineRule="auto"/>
        <w:ind w:firstLine="480" w:firstLineChars="200"/>
        <w:rPr>
          <w:rFonts w:ascii="宋体"/>
          <w:color w:val="auto"/>
          <w:sz w:val="24"/>
        </w:rPr>
      </w:pPr>
      <w:r>
        <w:rPr>
          <w:rFonts w:ascii="宋体" w:hAnsi="宋体"/>
          <w:color w:val="auto"/>
          <w:sz w:val="24"/>
        </w:rPr>
        <w:t xml:space="preserve">1.4  </w:t>
      </w:r>
      <w:r>
        <w:rPr>
          <w:rFonts w:hint="eastAsia" w:ascii="宋体" w:hAnsi="宋体"/>
          <w:color w:val="auto"/>
          <w:sz w:val="24"/>
        </w:rPr>
        <w:t>建立健全廉政制度，开展廉政教育，设立廉政告示牌，公布举报电话，监督并认真查处违法违纪行为。</w:t>
      </w:r>
    </w:p>
    <w:p w14:paraId="5192123A">
      <w:pPr>
        <w:spacing w:line="360" w:lineRule="auto"/>
        <w:ind w:firstLine="480" w:firstLineChars="200"/>
        <w:rPr>
          <w:rFonts w:ascii="宋体"/>
          <w:color w:val="auto"/>
          <w:sz w:val="24"/>
        </w:rPr>
      </w:pPr>
      <w:r>
        <w:rPr>
          <w:rFonts w:ascii="宋体" w:hAnsi="宋体"/>
          <w:color w:val="auto"/>
          <w:sz w:val="24"/>
        </w:rPr>
        <w:t xml:space="preserve">1.5  </w:t>
      </w:r>
      <w:r>
        <w:rPr>
          <w:rFonts w:hint="eastAsia" w:ascii="宋体" w:hAnsi="宋体"/>
          <w:color w:val="auto"/>
          <w:sz w:val="24"/>
        </w:rPr>
        <w:t>发现对方在业务活动中有违反廉政建设规定的行为，应及时给予提醒和纠正。</w:t>
      </w:r>
    </w:p>
    <w:p w14:paraId="5C864E38">
      <w:pPr>
        <w:spacing w:line="360" w:lineRule="auto"/>
        <w:ind w:firstLine="480" w:firstLineChars="200"/>
        <w:jc w:val="left"/>
        <w:rPr>
          <w:rFonts w:ascii="宋体"/>
          <w:color w:val="auto"/>
          <w:sz w:val="24"/>
        </w:rPr>
      </w:pPr>
      <w:r>
        <w:rPr>
          <w:rFonts w:ascii="宋体" w:hAnsi="宋体"/>
          <w:color w:val="auto"/>
          <w:sz w:val="24"/>
        </w:rPr>
        <w:t xml:space="preserve">1.6  </w:t>
      </w:r>
      <w:r>
        <w:rPr>
          <w:rFonts w:hint="eastAsia" w:ascii="宋体" w:hAnsi="宋体"/>
          <w:color w:val="auto"/>
          <w:sz w:val="24"/>
        </w:rPr>
        <w:t>发现对方严重违反合同的行为，有向其上级部门举报、建议给予处理并要求告知处理结果的权利。没有上级部门的，</w:t>
      </w:r>
      <w:r>
        <w:rPr>
          <w:rFonts w:hint="eastAsia" w:ascii="宋体" w:hAnsi="宋体" w:cs="宋体"/>
          <w:color w:val="auto"/>
          <w:kern w:val="0"/>
          <w:sz w:val="24"/>
          <w:lang w:val="zh-CN"/>
        </w:rPr>
        <w:t>可按本合同第二部分《通用条款》第</w:t>
      </w:r>
      <w:r>
        <w:rPr>
          <w:rFonts w:ascii="宋体" w:hAnsi="宋体"/>
          <w:color w:val="auto"/>
          <w:kern w:val="0"/>
          <w:sz w:val="24"/>
        </w:rPr>
        <w:t xml:space="preserve"> 87</w:t>
      </w:r>
      <w:r>
        <w:rPr>
          <w:rFonts w:hint="eastAsia" w:ascii="宋体" w:hAnsi="宋体" w:cs="宋体"/>
          <w:color w:val="auto"/>
          <w:kern w:val="0"/>
          <w:sz w:val="24"/>
          <w:lang w:val="zh-CN"/>
        </w:rPr>
        <w:t>条规定处</w:t>
      </w:r>
      <w:r>
        <w:rPr>
          <w:rFonts w:hint="eastAsia" w:ascii="宋体" w:hAnsi="宋体"/>
          <w:color w:val="auto"/>
          <w:sz w:val="24"/>
        </w:rPr>
        <w:t>。</w:t>
      </w:r>
    </w:p>
    <w:p w14:paraId="5E4615DC">
      <w:pPr>
        <w:spacing w:line="360" w:lineRule="auto"/>
        <w:ind w:firstLine="562" w:firstLineChars="200"/>
        <w:jc w:val="left"/>
        <w:rPr>
          <w:rFonts w:ascii="宋体"/>
          <w:b/>
          <w:bCs/>
          <w:color w:val="auto"/>
          <w:sz w:val="28"/>
          <w:szCs w:val="28"/>
        </w:rPr>
      </w:pPr>
      <w:r>
        <w:rPr>
          <w:rFonts w:ascii="宋体" w:hAnsi="宋体"/>
          <w:b/>
          <w:bCs/>
          <w:color w:val="auto"/>
          <w:sz w:val="28"/>
          <w:szCs w:val="28"/>
        </w:rPr>
        <w:t xml:space="preserve">2  </w:t>
      </w:r>
      <w:r>
        <w:rPr>
          <w:rFonts w:hint="eastAsia" w:ascii="宋体" w:hAnsi="宋体"/>
          <w:b/>
          <w:bCs/>
          <w:color w:val="auto"/>
          <w:sz w:val="28"/>
          <w:szCs w:val="28"/>
        </w:rPr>
        <w:t>发包人义务</w:t>
      </w:r>
    </w:p>
    <w:p w14:paraId="7274220B">
      <w:pPr>
        <w:spacing w:line="360" w:lineRule="auto"/>
        <w:ind w:firstLine="480" w:firstLineChars="200"/>
        <w:jc w:val="left"/>
        <w:rPr>
          <w:rFonts w:ascii="宋体"/>
          <w:color w:val="auto"/>
          <w:sz w:val="24"/>
        </w:rPr>
      </w:pPr>
      <w:r>
        <w:rPr>
          <w:rFonts w:ascii="宋体" w:hAnsi="宋体"/>
          <w:color w:val="auto"/>
          <w:sz w:val="24"/>
        </w:rPr>
        <w:t xml:space="preserve">2.1  </w:t>
      </w:r>
      <w:r>
        <w:rPr>
          <w:rFonts w:hint="eastAsia" w:ascii="宋体" w:hAnsi="宋体"/>
          <w:color w:val="auto"/>
          <w:sz w:val="24"/>
        </w:rPr>
        <w:t>发包人及其工作人员不得索要或接受承包人的礼金、有价证券和贵重物品，不得在承包人报销任何应由发包人或工作人员个人支付的费用等。</w:t>
      </w:r>
    </w:p>
    <w:p w14:paraId="78B5A184">
      <w:pPr>
        <w:spacing w:line="360" w:lineRule="auto"/>
        <w:ind w:firstLine="480" w:firstLineChars="200"/>
        <w:rPr>
          <w:rFonts w:ascii="宋体"/>
          <w:color w:val="auto"/>
          <w:sz w:val="24"/>
        </w:rPr>
      </w:pPr>
      <w:r>
        <w:rPr>
          <w:rFonts w:ascii="宋体" w:hAnsi="宋体"/>
          <w:color w:val="auto"/>
          <w:sz w:val="24"/>
        </w:rPr>
        <w:t xml:space="preserve">2.2  </w:t>
      </w:r>
      <w:r>
        <w:rPr>
          <w:rFonts w:hint="eastAsia" w:ascii="宋体" w:hAnsi="宋体"/>
          <w:color w:val="auto"/>
          <w:sz w:val="24"/>
        </w:rPr>
        <w:t>发包人及其工作人员不得参加承包人安排的宴请（工作餐除外）和娱乐活动；不得接受承包人提供的通讯工具、交通工具和高档办公用品等。</w:t>
      </w:r>
    </w:p>
    <w:p w14:paraId="37751A19">
      <w:pPr>
        <w:spacing w:line="360" w:lineRule="auto"/>
        <w:ind w:firstLine="480" w:firstLineChars="200"/>
        <w:rPr>
          <w:rFonts w:ascii="宋体"/>
          <w:color w:val="auto"/>
          <w:sz w:val="24"/>
        </w:rPr>
      </w:pPr>
      <w:r>
        <w:rPr>
          <w:rFonts w:ascii="宋体" w:hAnsi="宋体"/>
          <w:color w:val="auto"/>
          <w:sz w:val="24"/>
        </w:rPr>
        <w:t xml:space="preserve">2.3  </w:t>
      </w:r>
      <w:r>
        <w:rPr>
          <w:rFonts w:hint="eastAsia" w:ascii="宋体" w:hAnsi="宋体"/>
          <w:color w:val="auto"/>
          <w:sz w:val="24"/>
        </w:rPr>
        <w:t>发包人及其工作人员不得要求或者接受承包人为其住房装修、婚丧嫁娶活动、配偶子女的工作安排以及出国出境、旅游等提供方便等。</w:t>
      </w:r>
    </w:p>
    <w:p w14:paraId="23F5714B">
      <w:pPr>
        <w:spacing w:line="360" w:lineRule="auto"/>
        <w:ind w:firstLine="480" w:firstLineChars="200"/>
        <w:rPr>
          <w:rFonts w:ascii="宋体"/>
          <w:color w:val="auto"/>
          <w:sz w:val="24"/>
        </w:rPr>
      </w:pPr>
      <w:r>
        <w:rPr>
          <w:rFonts w:ascii="宋体" w:hAnsi="宋体"/>
          <w:color w:val="auto"/>
          <w:sz w:val="24"/>
        </w:rPr>
        <w:t xml:space="preserve">2.4  </w:t>
      </w:r>
      <w:r>
        <w:rPr>
          <w:rFonts w:hint="eastAsia" w:ascii="宋体" w:hAnsi="宋体" w:cs="宋体"/>
          <w:color w:val="auto"/>
          <w:kern w:val="0"/>
          <w:sz w:val="24"/>
          <w:lang w:val="zh-CN"/>
        </w:rPr>
        <w:t>发包人及其工作人员不得以任何理由向承包人推荐分包人、推销材料和工程设备，不得要求承包人购买合同以外的材料和工程设备</w:t>
      </w:r>
      <w:r>
        <w:rPr>
          <w:rFonts w:hint="eastAsia" w:ascii="宋体" w:hAnsi="宋体"/>
          <w:color w:val="auto"/>
          <w:sz w:val="24"/>
        </w:rPr>
        <w:t>。</w:t>
      </w:r>
    </w:p>
    <w:p w14:paraId="326C5FED">
      <w:pPr>
        <w:spacing w:line="360" w:lineRule="auto"/>
        <w:ind w:firstLine="480" w:firstLineChars="200"/>
        <w:rPr>
          <w:rFonts w:ascii="宋体"/>
          <w:color w:val="auto"/>
          <w:sz w:val="24"/>
        </w:rPr>
      </w:pPr>
      <w:r>
        <w:rPr>
          <w:rFonts w:ascii="宋体" w:hAnsi="宋体"/>
          <w:color w:val="auto"/>
          <w:sz w:val="24"/>
        </w:rPr>
        <w:t xml:space="preserve">2.5  </w:t>
      </w:r>
      <w:r>
        <w:rPr>
          <w:rFonts w:hint="eastAsia" w:ascii="宋体" w:hAnsi="宋体" w:cs="宋体"/>
          <w:color w:val="auto"/>
          <w:kern w:val="0"/>
          <w:sz w:val="24"/>
          <w:lang w:val="zh-CN"/>
        </w:rPr>
        <w:t>发包人及其工作人员要秉公办事，不准营私舞弊，不准利用职权私自为合同工程安排施工队伍，也不得从事与合同工程有关的各种有偿中介活动</w:t>
      </w:r>
      <w:r>
        <w:rPr>
          <w:rFonts w:hint="eastAsia" w:ascii="宋体" w:hAnsi="宋体"/>
          <w:color w:val="auto"/>
          <w:sz w:val="24"/>
        </w:rPr>
        <w:t>。</w:t>
      </w:r>
    </w:p>
    <w:p w14:paraId="58C84222">
      <w:pPr>
        <w:spacing w:line="360" w:lineRule="auto"/>
        <w:ind w:firstLine="480" w:firstLineChars="200"/>
        <w:rPr>
          <w:rFonts w:ascii="宋体"/>
          <w:color w:val="auto"/>
          <w:sz w:val="24"/>
        </w:rPr>
      </w:pPr>
      <w:r>
        <w:rPr>
          <w:rFonts w:ascii="宋体" w:hAnsi="宋体"/>
          <w:color w:val="auto"/>
          <w:sz w:val="24"/>
        </w:rPr>
        <w:t xml:space="preserve">2.6  </w:t>
      </w:r>
      <w:r>
        <w:rPr>
          <w:rFonts w:hint="eastAsia" w:ascii="宋体" w:hAnsi="宋体" w:cs="宋体"/>
          <w:color w:val="auto"/>
          <w:kern w:val="0"/>
          <w:sz w:val="24"/>
          <w:lang w:val="zh-CN"/>
        </w:rPr>
        <w:t>发包人及其工作人员（含其配偶、子女）不得从事与合同工程有关的材料和工程设备供应、工程分包、劳务等经济活动</w:t>
      </w:r>
      <w:r>
        <w:rPr>
          <w:rFonts w:hint="eastAsia" w:ascii="宋体" w:hAnsi="宋体"/>
          <w:color w:val="auto"/>
          <w:sz w:val="24"/>
        </w:rPr>
        <w:t>。</w:t>
      </w:r>
    </w:p>
    <w:p w14:paraId="77560A31">
      <w:pPr>
        <w:spacing w:line="360" w:lineRule="auto"/>
        <w:ind w:firstLine="482" w:firstLineChars="200"/>
        <w:rPr>
          <w:rFonts w:ascii="宋体"/>
          <w:b/>
          <w:bCs/>
          <w:color w:val="auto"/>
          <w:sz w:val="24"/>
        </w:rPr>
      </w:pPr>
      <w:r>
        <w:rPr>
          <w:rFonts w:ascii="宋体" w:hAnsi="宋体"/>
          <w:b/>
          <w:bCs/>
          <w:color w:val="auto"/>
          <w:sz w:val="24"/>
        </w:rPr>
        <w:t xml:space="preserve">3  </w:t>
      </w:r>
      <w:r>
        <w:rPr>
          <w:rFonts w:hint="eastAsia" w:ascii="宋体" w:hAnsi="宋体"/>
          <w:b/>
          <w:bCs/>
          <w:color w:val="auto"/>
          <w:sz w:val="24"/>
        </w:rPr>
        <w:t>承包人义务</w:t>
      </w:r>
    </w:p>
    <w:p w14:paraId="47B314BF">
      <w:pPr>
        <w:spacing w:line="360" w:lineRule="auto"/>
        <w:ind w:firstLine="480" w:firstLineChars="200"/>
        <w:rPr>
          <w:rFonts w:ascii="宋体"/>
          <w:color w:val="auto"/>
          <w:sz w:val="24"/>
        </w:rPr>
      </w:pPr>
      <w:r>
        <w:rPr>
          <w:rFonts w:ascii="宋体" w:hAnsi="宋体"/>
          <w:color w:val="auto"/>
          <w:sz w:val="24"/>
        </w:rPr>
        <w:t xml:space="preserve">3.1  </w:t>
      </w:r>
      <w:r>
        <w:rPr>
          <w:rFonts w:hint="eastAsia" w:ascii="宋体" w:hAnsi="宋体"/>
          <w:color w:val="auto"/>
          <w:sz w:val="24"/>
        </w:rPr>
        <w:t>承包人不得以任何理由向发包人及其工作人员行贿或馈赠礼金、有价证券、贵重礼品。</w:t>
      </w:r>
    </w:p>
    <w:p w14:paraId="36A2D7CA">
      <w:pPr>
        <w:spacing w:line="360" w:lineRule="auto"/>
        <w:ind w:firstLine="480" w:firstLineChars="200"/>
        <w:rPr>
          <w:rFonts w:ascii="宋体"/>
          <w:color w:val="auto"/>
          <w:sz w:val="24"/>
        </w:rPr>
      </w:pPr>
      <w:r>
        <w:rPr>
          <w:rFonts w:ascii="宋体" w:hAnsi="宋体"/>
          <w:color w:val="auto"/>
          <w:sz w:val="24"/>
        </w:rPr>
        <w:t xml:space="preserve">3.2  </w:t>
      </w:r>
      <w:r>
        <w:rPr>
          <w:rFonts w:hint="eastAsia" w:ascii="宋体" w:hAnsi="宋体"/>
          <w:color w:val="auto"/>
          <w:sz w:val="24"/>
        </w:rPr>
        <w:t>承包人不得以任何名义为发包人及其工作人员报销应由发包人或工作人员个人支付的任何费用。</w:t>
      </w:r>
    </w:p>
    <w:p w14:paraId="7F15EDB9">
      <w:pPr>
        <w:spacing w:line="360" w:lineRule="auto"/>
        <w:ind w:firstLine="480" w:firstLineChars="200"/>
        <w:rPr>
          <w:rFonts w:ascii="宋体"/>
          <w:color w:val="auto"/>
          <w:sz w:val="24"/>
        </w:rPr>
      </w:pPr>
      <w:r>
        <w:rPr>
          <w:rFonts w:ascii="宋体" w:hAnsi="宋体"/>
          <w:color w:val="auto"/>
          <w:sz w:val="24"/>
        </w:rPr>
        <w:t xml:space="preserve">3.3  </w:t>
      </w:r>
      <w:r>
        <w:rPr>
          <w:rFonts w:hint="eastAsia" w:ascii="宋体" w:hAnsi="宋体"/>
          <w:color w:val="auto"/>
          <w:sz w:val="24"/>
        </w:rPr>
        <w:t>承包人不得以任何理由安排发包人及其工作人员参加宴请（工作餐除外）及娱乐活动。</w:t>
      </w:r>
    </w:p>
    <w:p w14:paraId="78F608D1">
      <w:pPr>
        <w:spacing w:line="360" w:lineRule="auto"/>
        <w:ind w:firstLine="480" w:firstLineChars="200"/>
        <w:rPr>
          <w:rFonts w:ascii="宋体"/>
          <w:color w:val="auto"/>
          <w:sz w:val="24"/>
        </w:rPr>
      </w:pPr>
      <w:r>
        <w:rPr>
          <w:rFonts w:ascii="宋体" w:hAnsi="宋体"/>
          <w:color w:val="auto"/>
          <w:sz w:val="24"/>
        </w:rPr>
        <w:t xml:space="preserve">3.4  </w:t>
      </w:r>
      <w:r>
        <w:rPr>
          <w:rFonts w:hint="eastAsia" w:ascii="宋体" w:hAnsi="宋体"/>
          <w:color w:val="auto"/>
          <w:sz w:val="24"/>
        </w:rPr>
        <w:t>承包人不得为发包人和个人购置或提供通讯工具、交通工具和高档办公用品等。</w:t>
      </w:r>
    </w:p>
    <w:p w14:paraId="2B39C64C">
      <w:pPr>
        <w:spacing w:line="360" w:lineRule="auto"/>
        <w:ind w:firstLine="480" w:firstLineChars="200"/>
        <w:rPr>
          <w:rFonts w:ascii="宋体"/>
          <w:color w:val="auto"/>
          <w:sz w:val="24"/>
        </w:rPr>
      </w:pPr>
      <w:r>
        <w:rPr>
          <w:rFonts w:ascii="宋体" w:hAnsi="宋体"/>
          <w:color w:val="auto"/>
          <w:sz w:val="24"/>
        </w:rPr>
        <w:t xml:space="preserve">3.5  </w:t>
      </w:r>
      <w:r>
        <w:rPr>
          <w:rFonts w:hint="eastAsia" w:ascii="宋体" w:hAnsi="宋体" w:cs="宋体"/>
          <w:color w:val="auto"/>
          <w:kern w:val="0"/>
          <w:sz w:val="24"/>
          <w:lang w:val="zh-CN"/>
        </w:rPr>
        <w:t>承包人不得为发包人及其工作人员的住房装修、婚丧嫁娶活动、配偶子女工作安排以及出国出境、旅游等提供方便。</w:t>
      </w:r>
    </w:p>
    <w:p w14:paraId="1EAC78D8">
      <w:pPr>
        <w:tabs>
          <w:tab w:val="left" w:pos="900"/>
        </w:tabs>
        <w:spacing w:line="360" w:lineRule="auto"/>
        <w:ind w:firstLine="482" w:firstLineChars="200"/>
        <w:rPr>
          <w:rFonts w:ascii="宋体"/>
          <w:b/>
          <w:bCs/>
          <w:color w:val="auto"/>
          <w:sz w:val="24"/>
        </w:rPr>
      </w:pPr>
      <w:r>
        <w:rPr>
          <w:rFonts w:ascii="宋体" w:hAnsi="宋体"/>
          <w:b/>
          <w:bCs/>
          <w:color w:val="auto"/>
          <w:sz w:val="24"/>
        </w:rPr>
        <w:t xml:space="preserve">4  </w:t>
      </w:r>
      <w:r>
        <w:rPr>
          <w:rFonts w:hint="eastAsia" w:ascii="宋体" w:hAnsi="宋体"/>
          <w:b/>
          <w:bCs/>
          <w:color w:val="auto"/>
          <w:sz w:val="24"/>
        </w:rPr>
        <w:t>违约责任</w:t>
      </w:r>
    </w:p>
    <w:p w14:paraId="27DBEC48">
      <w:pPr>
        <w:spacing w:line="360" w:lineRule="auto"/>
        <w:ind w:firstLine="480" w:firstLineChars="200"/>
        <w:rPr>
          <w:rFonts w:ascii="宋体"/>
          <w:color w:val="auto"/>
          <w:sz w:val="24"/>
        </w:rPr>
      </w:pPr>
      <w:r>
        <w:rPr>
          <w:rFonts w:ascii="宋体" w:hAnsi="宋体"/>
          <w:color w:val="auto"/>
          <w:sz w:val="24"/>
        </w:rPr>
        <w:t xml:space="preserve">4.1  </w:t>
      </w:r>
      <w:r>
        <w:rPr>
          <w:rFonts w:hint="eastAsia" w:ascii="宋体" w:hAnsi="宋体"/>
          <w:color w:val="auto"/>
          <w:sz w:val="24"/>
        </w:rPr>
        <w:t>发包人及其工作人员违反本合同第</w:t>
      </w:r>
      <w:r>
        <w:rPr>
          <w:rFonts w:ascii="宋体" w:hAnsi="宋体"/>
          <w:color w:val="auto"/>
          <w:sz w:val="24"/>
        </w:rPr>
        <w:t>1</w:t>
      </w:r>
      <w:r>
        <w:rPr>
          <w:rFonts w:hint="eastAsia" w:ascii="宋体" w:hAnsi="宋体"/>
          <w:color w:val="auto"/>
          <w:sz w:val="24"/>
        </w:rPr>
        <w:t>条和第</w:t>
      </w:r>
      <w:r>
        <w:rPr>
          <w:rFonts w:ascii="宋体" w:hAnsi="宋体"/>
          <w:color w:val="auto"/>
          <w:sz w:val="24"/>
        </w:rPr>
        <w:t>2</w:t>
      </w:r>
      <w:r>
        <w:rPr>
          <w:rFonts w:hint="eastAsia" w:ascii="宋体" w:hAnsi="宋体"/>
          <w:color w:val="auto"/>
          <w:sz w:val="24"/>
        </w:rPr>
        <w:t>条规定，应依据有关规定给予廉政建设规定的处分；涉嫌犯罪的，移交司法机关追究刑事责任；给承包人造成经济损失的，应予赔偿。</w:t>
      </w:r>
    </w:p>
    <w:p w14:paraId="126E65C6">
      <w:pPr>
        <w:spacing w:line="360" w:lineRule="auto"/>
        <w:ind w:firstLine="480" w:firstLineChars="200"/>
        <w:rPr>
          <w:rFonts w:ascii="宋体"/>
          <w:color w:val="auto"/>
          <w:sz w:val="24"/>
        </w:rPr>
      </w:pPr>
      <w:r>
        <w:rPr>
          <w:rFonts w:ascii="宋体" w:hAnsi="宋体"/>
          <w:color w:val="auto"/>
          <w:sz w:val="24"/>
        </w:rPr>
        <w:t xml:space="preserve">4.2  </w:t>
      </w:r>
      <w:r>
        <w:rPr>
          <w:rFonts w:hint="eastAsia" w:ascii="宋体" w:hAnsi="宋体" w:cs="宋体"/>
          <w:color w:val="auto"/>
          <w:kern w:val="0"/>
          <w:sz w:val="24"/>
          <w:lang w:val="zh-CN"/>
        </w:rPr>
        <w:t>承包人及其工作人员违反本合同第</w:t>
      </w:r>
      <w:r>
        <w:rPr>
          <w:rFonts w:ascii="宋体" w:hAnsi="宋体"/>
          <w:color w:val="auto"/>
          <w:kern w:val="0"/>
          <w:sz w:val="24"/>
        </w:rPr>
        <w:t xml:space="preserve"> 1</w:t>
      </w:r>
      <w:r>
        <w:rPr>
          <w:rFonts w:hint="eastAsia" w:ascii="宋体" w:hAnsi="宋体" w:cs="宋体"/>
          <w:color w:val="auto"/>
          <w:kern w:val="0"/>
          <w:sz w:val="24"/>
          <w:lang w:val="zh-CN"/>
        </w:rPr>
        <w:t>条和第</w:t>
      </w:r>
      <w:r>
        <w:rPr>
          <w:rFonts w:ascii="宋体" w:hAnsi="宋体"/>
          <w:color w:val="auto"/>
          <w:kern w:val="0"/>
          <w:sz w:val="24"/>
        </w:rPr>
        <w:t xml:space="preserve"> 3</w:t>
      </w:r>
      <w:r>
        <w:rPr>
          <w:rFonts w:hint="eastAsia" w:ascii="宋体" w:hAnsi="宋体" w:cs="宋体"/>
          <w:color w:val="auto"/>
          <w:kern w:val="0"/>
          <w:sz w:val="24"/>
          <w:lang w:val="zh-CN"/>
        </w:rPr>
        <w:t>条规定，应按照廉政建设的有关规定给予处分；情节严重的，给予承包人</w:t>
      </w:r>
      <w:r>
        <w:rPr>
          <w:rFonts w:ascii="宋体" w:hAnsi="宋体" w:cs="Arial"/>
          <w:color w:val="auto"/>
          <w:kern w:val="0"/>
          <w:sz w:val="24"/>
        </w:rPr>
        <w:t xml:space="preserve"> 1</w:t>
      </w:r>
      <w:r>
        <w:rPr>
          <w:rFonts w:hint="eastAsia" w:ascii="宋体" w:hAnsi="宋体" w:cs="宋体"/>
          <w:color w:val="auto"/>
          <w:kern w:val="0"/>
          <w:sz w:val="24"/>
          <w:lang w:val="zh-CN"/>
        </w:rPr>
        <w:t>～</w:t>
      </w:r>
      <w:r>
        <w:rPr>
          <w:rFonts w:ascii="宋体" w:hAnsi="宋体"/>
          <w:color w:val="auto"/>
          <w:kern w:val="0"/>
          <w:sz w:val="24"/>
        </w:rPr>
        <w:t>3</w:t>
      </w:r>
      <w:r>
        <w:rPr>
          <w:rFonts w:hint="eastAsia" w:ascii="宋体" w:hAnsi="宋体" w:cs="宋体"/>
          <w:color w:val="auto"/>
          <w:kern w:val="0"/>
          <w:sz w:val="24"/>
          <w:lang w:val="zh-CN"/>
        </w:rPr>
        <w:t>年内不得进入工程建设市场的处罚；涉嫌犯罪的，移交司法机关追究刑事责任；给发包人造成损失的，应予赔偿；</w:t>
      </w:r>
    </w:p>
    <w:p w14:paraId="1F8F74C0">
      <w:pPr>
        <w:numPr>
          <w:ilvl w:val="0"/>
          <w:numId w:val="39"/>
        </w:numPr>
        <w:spacing w:line="360" w:lineRule="auto"/>
        <w:rPr>
          <w:rFonts w:ascii="宋体"/>
          <w:b/>
          <w:bCs/>
          <w:color w:val="auto"/>
          <w:sz w:val="24"/>
        </w:rPr>
      </w:pPr>
      <w:r>
        <w:rPr>
          <w:rFonts w:hint="eastAsia" w:ascii="宋体" w:hAnsi="宋体"/>
          <w:b/>
          <w:bCs/>
          <w:color w:val="auto"/>
          <w:sz w:val="24"/>
        </w:rPr>
        <w:t>双方约定</w:t>
      </w:r>
    </w:p>
    <w:p w14:paraId="38B1575F">
      <w:pPr>
        <w:pStyle w:val="7"/>
        <w:spacing w:line="360" w:lineRule="auto"/>
        <w:ind w:firstLine="480" w:firstLineChars="200"/>
        <w:rPr>
          <w:rFonts w:hAnsi="宋体"/>
          <w:color w:val="auto"/>
          <w:sz w:val="24"/>
          <w:szCs w:val="24"/>
        </w:rPr>
      </w:pPr>
      <w:r>
        <w:rPr>
          <w:rFonts w:hint="eastAsia" w:hAnsi="宋体" w:cs="宋体"/>
          <w:color w:val="auto"/>
          <w:sz w:val="24"/>
          <w:szCs w:val="24"/>
          <w:lang w:val="zh-CN"/>
        </w:rPr>
        <w:t>本合同由合同双方当事人或其上级部门负责监督执行，并由合同双方当事人或其上级部门相互约请对本合同执行情况进行检查</w:t>
      </w:r>
      <w:r>
        <w:rPr>
          <w:rFonts w:hint="eastAsia" w:hAnsi="宋体"/>
          <w:color w:val="auto"/>
          <w:sz w:val="24"/>
          <w:szCs w:val="24"/>
        </w:rPr>
        <w:t>。</w:t>
      </w:r>
    </w:p>
    <w:p w14:paraId="20B4F5D5">
      <w:pPr>
        <w:spacing w:line="360" w:lineRule="auto"/>
        <w:ind w:firstLine="482" w:firstLineChars="200"/>
        <w:rPr>
          <w:rFonts w:ascii="宋体"/>
          <w:b/>
          <w:bCs/>
          <w:color w:val="auto"/>
          <w:sz w:val="24"/>
        </w:rPr>
      </w:pPr>
      <w:r>
        <w:rPr>
          <w:rFonts w:ascii="宋体" w:hAnsi="宋体"/>
          <w:b/>
          <w:bCs/>
          <w:color w:val="auto"/>
          <w:sz w:val="24"/>
        </w:rPr>
        <w:t xml:space="preserve">6  </w:t>
      </w:r>
      <w:r>
        <w:rPr>
          <w:rFonts w:hint="eastAsia" w:ascii="宋体" w:hAnsi="宋体"/>
          <w:b/>
          <w:bCs/>
          <w:color w:val="auto"/>
          <w:sz w:val="24"/>
        </w:rPr>
        <w:t>合同法律效力</w:t>
      </w:r>
    </w:p>
    <w:p w14:paraId="2E6869A8">
      <w:pPr>
        <w:spacing w:line="360" w:lineRule="auto"/>
        <w:ind w:firstLine="480" w:firstLineChars="200"/>
        <w:rPr>
          <w:rFonts w:ascii="宋体"/>
          <w:color w:val="auto"/>
          <w:sz w:val="24"/>
        </w:rPr>
      </w:pPr>
      <w:r>
        <w:rPr>
          <w:rFonts w:hint="eastAsia" w:ascii="宋体" w:hAnsi="宋体"/>
          <w:color w:val="auto"/>
          <w:sz w:val="24"/>
        </w:rPr>
        <w:t>本合同作为（工程名称）工程施工合同的附件，与施工合同具有同等的法律效力。</w:t>
      </w:r>
    </w:p>
    <w:p w14:paraId="6653B1B8">
      <w:pPr>
        <w:spacing w:line="360" w:lineRule="auto"/>
        <w:ind w:firstLine="551" w:firstLineChars="196"/>
        <w:rPr>
          <w:rFonts w:ascii="宋体"/>
          <w:b/>
          <w:bCs/>
          <w:color w:val="auto"/>
          <w:sz w:val="28"/>
          <w:szCs w:val="28"/>
        </w:rPr>
      </w:pPr>
      <w:r>
        <w:rPr>
          <w:rFonts w:ascii="宋体" w:hAnsi="宋体"/>
          <w:b/>
          <w:bCs/>
          <w:color w:val="auto"/>
          <w:sz w:val="28"/>
          <w:szCs w:val="28"/>
        </w:rPr>
        <w:t xml:space="preserve">7  </w:t>
      </w:r>
      <w:r>
        <w:rPr>
          <w:rFonts w:hint="eastAsia" w:ascii="宋体" w:hAnsi="宋体"/>
          <w:b/>
          <w:bCs/>
          <w:color w:val="auto"/>
          <w:sz w:val="28"/>
          <w:szCs w:val="28"/>
        </w:rPr>
        <w:t>合同份数</w:t>
      </w:r>
    </w:p>
    <w:p w14:paraId="572E6BF0">
      <w:pPr>
        <w:spacing w:line="360" w:lineRule="auto"/>
        <w:ind w:firstLine="480" w:firstLineChars="200"/>
        <w:rPr>
          <w:rFonts w:ascii="宋体"/>
          <w:color w:val="auto"/>
          <w:sz w:val="24"/>
        </w:rPr>
      </w:pPr>
      <w:r>
        <w:rPr>
          <w:rFonts w:hint="eastAsia" w:ascii="宋体" w:hAnsi="宋体"/>
          <w:color w:val="auto"/>
          <w:sz w:val="24"/>
        </w:rPr>
        <w:t>本合同一式</w:t>
      </w:r>
      <w:r>
        <w:rPr>
          <w:rFonts w:ascii="宋体" w:hAnsi="宋体"/>
          <w:color w:val="auto"/>
          <w:sz w:val="24"/>
          <w:u w:val="single"/>
        </w:rPr>
        <w:t xml:space="preserve"> </w:t>
      </w:r>
      <w:r>
        <w:rPr>
          <w:rFonts w:hint="eastAsia" w:ascii="宋体" w:hAnsi="宋体"/>
          <w:color w:val="auto"/>
          <w:sz w:val="24"/>
          <w:u w:val="single"/>
        </w:rPr>
        <w:t xml:space="preserve">陆 </w:t>
      </w:r>
      <w:r>
        <w:rPr>
          <w:rFonts w:hint="eastAsia" w:ascii="宋体" w:hAnsi="宋体"/>
          <w:color w:val="auto"/>
          <w:sz w:val="24"/>
        </w:rPr>
        <w:t>份，发包人</w:t>
      </w:r>
      <w:r>
        <w:rPr>
          <w:rFonts w:ascii="宋体" w:hAnsi="宋体"/>
          <w:color w:val="auto"/>
          <w:sz w:val="24"/>
          <w:u w:val="single"/>
        </w:rPr>
        <w:t xml:space="preserve"> </w:t>
      </w:r>
      <w:r>
        <w:rPr>
          <w:rFonts w:hint="eastAsia" w:ascii="宋体" w:hAnsi="宋体"/>
          <w:color w:val="auto"/>
          <w:sz w:val="24"/>
          <w:u w:val="single"/>
          <w:lang w:val="en-US" w:eastAsia="zh-CN"/>
        </w:rPr>
        <w:t>叁</w:t>
      </w:r>
      <w:r>
        <w:rPr>
          <w:rFonts w:hint="eastAsia" w:ascii="宋体" w:hAnsi="宋体"/>
          <w:color w:val="auto"/>
          <w:sz w:val="24"/>
          <w:u w:val="single"/>
        </w:rPr>
        <w:t xml:space="preserve"> </w:t>
      </w:r>
      <w:r>
        <w:rPr>
          <w:rFonts w:hint="eastAsia" w:ascii="宋体" w:hAnsi="宋体"/>
          <w:color w:val="auto"/>
          <w:sz w:val="24"/>
        </w:rPr>
        <w:t>份，承包人</w:t>
      </w:r>
      <w:r>
        <w:rPr>
          <w:rFonts w:ascii="宋体" w:hAnsi="宋体"/>
          <w:color w:val="auto"/>
          <w:sz w:val="24"/>
          <w:u w:val="single"/>
        </w:rPr>
        <w:t xml:space="preserve">  </w:t>
      </w:r>
      <w:r>
        <w:rPr>
          <w:rFonts w:hint="eastAsia" w:ascii="宋体" w:hAnsi="宋体"/>
          <w:color w:val="auto"/>
          <w:sz w:val="24"/>
          <w:u w:val="single"/>
          <w:lang w:val="en-US" w:eastAsia="zh-CN"/>
        </w:rPr>
        <w:t>叁</w:t>
      </w:r>
      <w:r>
        <w:rPr>
          <w:rFonts w:ascii="宋体" w:hAnsi="宋体"/>
          <w:color w:val="auto"/>
          <w:sz w:val="24"/>
          <w:u w:val="single"/>
        </w:rPr>
        <w:t xml:space="preserve">  </w:t>
      </w:r>
      <w:r>
        <w:rPr>
          <w:rFonts w:hint="eastAsia" w:ascii="宋体" w:hAnsi="宋体"/>
          <w:color w:val="auto"/>
          <w:sz w:val="24"/>
        </w:rPr>
        <w:t>份。</w:t>
      </w:r>
    </w:p>
    <w:p w14:paraId="356C9C5C">
      <w:pPr>
        <w:adjustRightInd w:val="0"/>
        <w:snapToGrid w:val="0"/>
        <w:spacing w:line="360" w:lineRule="auto"/>
        <w:ind w:firstLine="480" w:firstLineChars="200"/>
        <w:rPr>
          <w:rFonts w:ascii="宋体"/>
          <w:color w:val="auto"/>
          <w:sz w:val="24"/>
        </w:rPr>
      </w:pPr>
      <w:r>
        <w:rPr>
          <w:rFonts w:hint="eastAsia" w:ascii="宋体" w:hAnsi="宋体"/>
          <w:color w:val="auto"/>
          <w:sz w:val="24"/>
        </w:rPr>
        <w:t>发包人：（盖章）</w:t>
      </w:r>
      <w:r>
        <w:rPr>
          <w:rFonts w:hint="eastAsia" w:ascii="宋体" w:hAnsi="宋体"/>
          <w:color w:val="auto"/>
          <w:sz w:val="24"/>
          <w:lang w:val="en-US" w:eastAsia="zh-CN"/>
        </w:rPr>
        <w:t xml:space="preserve">                </w:t>
      </w:r>
      <w:r>
        <w:rPr>
          <w:rFonts w:hint="eastAsia" w:ascii="宋体" w:hAnsi="宋体"/>
          <w:color w:val="auto"/>
          <w:sz w:val="24"/>
        </w:rPr>
        <w:t>承包人（主办方）：（盖章）</w:t>
      </w:r>
    </w:p>
    <w:p w14:paraId="5F194B9D">
      <w:pPr>
        <w:adjustRightInd w:val="0"/>
        <w:snapToGrid w:val="0"/>
        <w:spacing w:line="360" w:lineRule="auto"/>
        <w:ind w:firstLine="480" w:firstLineChars="200"/>
        <w:rPr>
          <w:rFonts w:ascii="宋体"/>
          <w:color w:val="auto"/>
          <w:sz w:val="24"/>
        </w:rPr>
      </w:pPr>
      <w:r>
        <w:rPr>
          <w:rFonts w:hint="eastAsia" w:ascii="宋体" w:hAnsi="宋体"/>
          <w:color w:val="auto"/>
          <w:sz w:val="24"/>
        </w:rPr>
        <w:t>法定代表人：（签字或盖章）</w:t>
      </w:r>
      <w:r>
        <w:rPr>
          <w:rFonts w:hint="eastAsia" w:ascii="宋体" w:hAnsi="宋体"/>
          <w:color w:val="auto"/>
          <w:sz w:val="24"/>
          <w:lang w:val="en-US" w:eastAsia="zh-CN"/>
        </w:rPr>
        <w:t xml:space="preserve">      </w:t>
      </w:r>
      <w:r>
        <w:rPr>
          <w:rFonts w:hint="eastAsia" w:ascii="宋体" w:hAnsi="宋体"/>
          <w:color w:val="auto"/>
          <w:sz w:val="24"/>
        </w:rPr>
        <w:t>法定代表人：（签字或盖章）</w:t>
      </w:r>
    </w:p>
    <w:p w14:paraId="5093E259">
      <w:pPr>
        <w:spacing w:line="360" w:lineRule="auto"/>
        <w:ind w:firstLine="480" w:firstLineChars="200"/>
        <w:jc w:val="left"/>
        <w:rPr>
          <w:rFonts w:ascii="宋体"/>
          <w:color w:val="auto"/>
          <w:sz w:val="24"/>
          <w:u w:val="single"/>
        </w:rPr>
      </w:pPr>
      <w:r>
        <w:rPr>
          <w:rFonts w:hint="eastAsia" w:ascii="宋体" w:hAnsi="宋体"/>
          <w:color w:val="auto"/>
          <w:sz w:val="24"/>
        </w:rPr>
        <w:t>联系电话：</w:t>
      </w:r>
      <w:r>
        <w:rPr>
          <w:rFonts w:hint="eastAsia" w:ascii="宋体" w:hAnsi="宋体"/>
          <w:color w:val="auto"/>
          <w:sz w:val="24"/>
          <w:lang w:val="en-US" w:eastAsia="zh-CN"/>
        </w:rPr>
        <w:t xml:space="preserve">                      </w:t>
      </w:r>
      <w:r>
        <w:rPr>
          <w:rFonts w:hint="eastAsia" w:ascii="宋体" w:hAnsi="宋体"/>
          <w:color w:val="auto"/>
          <w:sz w:val="24"/>
        </w:rPr>
        <w:t>联系电话：</w:t>
      </w:r>
    </w:p>
    <w:p w14:paraId="3822C796">
      <w:pPr>
        <w:adjustRightInd w:val="0"/>
        <w:snapToGrid w:val="0"/>
        <w:spacing w:line="360" w:lineRule="auto"/>
        <w:ind w:firstLine="960" w:firstLineChars="400"/>
        <w:rPr>
          <w:rFonts w:ascii="宋体"/>
          <w:color w:val="auto"/>
          <w:sz w:val="24"/>
        </w:rPr>
      </w:pPr>
      <w:r>
        <w:rPr>
          <w:rFonts w:hint="eastAsia" w:ascii="宋体" w:hAnsi="宋体"/>
          <w:color w:val="auto"/>
          <w:sz w:val="24"/>
        </w:rPr>
        <w:t>年</w:t>
      </w:r>
      <w:r>
        <w:rPr>
          <w:rFonts w:hint="eastAsia" w:ascii="宋体" w:hAnsi="宋体"/>
          <w:color w:val="auto"/>
          <w:sz w:val="24"/>
          <w:lang w:val="en-US" w:eastAsia="zh-CN"/>
        </w:rPr>
        <w:t xml:space="preserve">  </w:t>
      </w:r>
      <w:r>
        <w:rPr>
          <w:rFonts w:hint="eastAsia" w:ascii="宋体" w:hAnsi="宋体"/>
          <w:color w:val="auto"/>
          <w:sz w:val="24"/>
        </w:rPr>
        <w:t>月</w:t>
      </w:r>
      <w:r>
        <w:rPr>
          <w:rFonts w:hint="eastAsia" w:ascii="宋体" w:hAnsi="宋体"/>
          <w:color w:val="auto"/>
          <w:sz w:val="24"/>
          <w:lang w:val="en-US" w:eastAsia="zh-CN"/>
        </w:rPr>
        <w:t xml:space="preserve">  </w:t>
      </w:r>
      <w:r>
        <w:rPr>
          <w:rFonts w:hint="eastAsia" w:ascii="宋体" w:hAnsi="宋体"/>
          <w:color w:val="auto"/>
          <w:sz w:val="24"/>
        </w:rPr>
        <w:t>日</w:t>
      </w:r>
      <w:r>
        <w:rPr>
          <w:rFonts w:hint="eastAsia" w:ascii="宋体" w:hAnsi="宋体"/>
          <w:color w:val="auto"/>
          <w:sz w:val="24"/>
          <w:lang w:val="en-US" w:eastAsia="zh-CN"/>
        </w:rPr>
        <w:t xml:space="preserve">                     </w:t>
      </w:r>
      <w:r>
        <w:rPr>
          <w:rFonts w:hint="eastAsia" w:ascii="宋体" w:hAnsi="宋体"/>
          <w:color w:val="auto"/>
          <w:sz w:val="24"/>
        </w:rPr>
        <w:t>年</w:t>
      </w:r>
      <w:r>
        <w:rPr>
          <w:rFonts w:hint="eastAsia" w:ascii="宋体" w:hAnsi="宋体"/>
          <w:color w:val="auto"/>
          <w:sz w:val="24"/>
          <w:lang w:val="en-US" w:eastAsia="zh-CN"/>
        </w:rPr>
        <w:t xml:space="preserve">  </w:t>
      </w:r>
      <w:r>
        <w:rPr>
          <w:rFonts w:hint="eastAsia" w:ascii="宋体" w:hAnsi="宋体"/>
          <w:color w:val="auto"/>
          <w:sz w:val="24"/>
        </w:rPr>
        <w:t>月</w:t>
      </w:r>
      <w:r>
        <w:rPr>
          <w:rFonts w:hint="eastAsia" w:ascii="宋体" w:hAnsi="宋体"/>
          <w:color w:val="auto"/>
          <w:sz w:val="24"/>
          <w:lang w:val="en-US" w:eastAsia="zh-CN"/>
        </w:rPr>
        <w:t xml:space="preserve">  </w:t>
      </w:r>
      <w:r>
        <w:rPr>
          <w:rFonts w:hint="eastAsia" w:ascii="宋体" w:hAnsi="宋体"/>
          <w:color w:val="auto"/>
          <w:sz w:val="24"/>
        </w:rPr>
        <w:t>日</w:t>
      </w:r>
    </w:p>
    <w:p w14:paraId="0D7DF96B">
      <w:pPr>
        <w:adjustRightInd w:val="0"/>
        <w:snapToGrid w:val="0"/>
        <w:spacing w:line="360" w:lineRule="auto"/>
        <w:ind w:firstLine="4320" w:firstLineChars="1800"/>
        <w:rPr>
          <w:rFonts w:hint="eastAsia" w:ascii="宋体" w:hAnsi="宋体"/>
          <w:color w:val="auto"/>
          <w:sz w:val="24"/>
          <w:lang w:val="en-US" w:eastAsia="zh-CN"/>
        </w:rPr>
      </w:pPr>
      <w:r>
        <w:rPr>
          <w:rFonts w:hint="eastAsia" w:ascii="宋体" w:hAnsi="宋体"/>
          <w:color w:val="auto"/>
          <w:sz w:val="24"/>
        </w:rPr>
        <w:t>承包人（成员）：（盖章）</w:t>
      </w:r>
      <w:r>
        <w:rPr>
          <w:rFonts w:hint="eastAsia" w:ascii="宋体" w:hAnsi="宋体"/>
          <w:color w:val="auto"/>
          <w:sz w:val="24"/>
          <w:lang w:val="en-US" w:eastAsia="zh-CN"/>
        </w:rPr>
        <w:t xml:space="preserve"> </w:t>
      </w:r>
    </w:p>
    <w:p w14:paraId="77E9A521">
      <w:pPr>
        <w:adjustRightInd w:val="0"/>
        <w:snapToGrid w:val="0"/>
        <w:spacing w:line="360" w:lineRule="auto"/>
        <w:ind w:firstLine="4320" w:firstLineChars="1800"/>
        <w:rPr>
          <w:rFonts w:hint="eastAsia" w:ascii="宋体" w:hAnsi="宋体"/>
          <w:color w:val="auto"/>
          <w:sz w:val="24"/>
        </w:rPr>
      </w:pPr>
      <w:r>
        <w:rPr>
          <w:rFonts w:hint="eastAsia" w:ascii="宋体" w:hAnsi="宋体"/>
          <w:color w:val="auto"/>
          <w:sz w:val="24"/>
        </w:rPr>
        <w:t>法定代表人：（签字或盖章）</w:t>
      </w:r>
    </w:p>
    <w:p w14:paraId="6065F4F1">
      <w:pPr>
        <w:adjustRightInd w:val="0"/>
        <w:snapToGrid w:val="0"/>
        <w:spacing w:line="360" w:lineRule="auto"/>
        <w:ind w:firstLine="4320" w:firstLineChars="1800"/>
        <w:rPr>
          <w:rFonts w:hint="eastAsia" w:ascii="宋体" w:hAnsi="宋体"/>
          <w:color w:val="auto"/>
          <w:sz w:val="24"/>
        </w:rPr>
      </w:pPr>
      <w:r>
        <w:rPr>
          <w:rFonts w:hint="eastAsia" w:ascii="宋体" w:hAnsi="宋体"/>
          <w:color w:val="auto"/>
          <w:sz w:val="24"/>
        </w:rPr>
        <w:t>联系电话：</w:t>
      </w:r>
    </w:p>
    <w:p w14:paraId="263C1EF7">
      <w:pPr>
        <w:ind w:firstLine="4800" w:firstLineChars="2000"/>
        <w:rPr>
          <w:color w:val="auto"/>
        </w:rPr>
      </w:pPr>
      <w:r>
        <w:rPr>
          <w:rFonts w:hint="eastAsia" w:ascii="宋体" w:hAnsi="宋体"/>
          <w:color w:val="auto"/>
          <w:sz w:val="24"/>
        </w:rPr>
        <w:t>年</w:t>
      </w:r>
      <w:r>
        <w:rPr>
          <w:rFonts w:hint="eastAsia" w:ascii="宋体" w:hAnsi="宋体"/>
          <w:color w:val="auto"/>
          <w:sz w:val="24"/>
          <w:lang w:val="en-US" w:eastAsia="zh-CN"/>
        </w:rPr>
        <w:t xml:space="preserve">  </w:t>
      </w:r>
      <w:r>
        <w:rPr>
          <w:rFonts w:hint="eastAsia" w:ascii="宋体" w:hAnsi="宋体"/>
          <w:color w:val="auto"/>
          <w:sz w:val="24"/>
        </w:rPr>
        <w:t>月</w:t>
      </w:r>
      <w:r>
        <w:rPr>
          <w:rFonts w:hint="eastAsia" w:ascii="宋体" w:hAnsi="宋体"/>
          <w:color w:val="auto"/>
          <w:sz w:val="24"/>
          <w:lang w:val="en-US" w:eastAsia="zh-CN"/>
        </w:rPr>
        <w:t xml:space="preserve">  </w:t>
      </w:r>
      <w:r>
        <w:rPr>
          <w:rFonts w:hint="eastAsia" w:ascii="宋体" w:hAnsi="宋体"/>
          <w:color w:val="auto"/>
          <w:sz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FBB5C">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8A67A">
    <w:pPr>
      <w:pStyle w:val="10"/>
      <w:framePr w:wrap="around" w:vAnchor="text" w:hAnchor="margin" w:xAlign="center" w:y="1"/>
      <w:rPr>
        <w:rStyle w:val="19"/>
      </w:rPr>
    </w:pPr>
    <w:r>
      <w:fldChar w:fldCharType="begin"/>
    </w:r>
    <w:r>
      <w:rPr>
        <w:rStyle w:val="19"/>
      </w:rPr>
      <w:instrText xml:space="preserve">PAGE  </w:instrText>
    </w:r>
    <w:r>
      <w:fldChar w:fldCharType="end"/>
    </w:r>
  </w:p>
  <w:p w14:paraId="58DD82E5">
    <w:pPr>
      <w:pStyle w:val="1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DC550">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316BF">
    <w:pPr>
      <w:pStyle w:val="10"/>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14:paraId="7739763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128</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4vdRNAAAAACAQAADwAAAAAAAAABACAAAAAiAAAAZHJzL2Rvd25yZXYueG1sUEsB&#10;AhQAFAAAAAgAh07iQMTKPcb9AQAADgQAAA4AAAAAAAAAAQAgAAAAHwEAAGRycy9lMm9Eb2MueG1s&#10;UEsFBgAAAAAGAAYAWQEAAI4FAAAAAA==&#10;">
              <v:fill on="f" focussize="0,0"/>
              <v:stroke on="f"/>
              <v:imagedata o:title=""/>
              <o:lock v:ext="edit" aspectratio="f"/>
              <v:textbox inset="0mm,0mm,0mm,0mm" style="mso-fit-shape-to-text:t;">
                <w:txbxContent>
                  <w:p w14:paraId="7739763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128</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B34BD">
    <w:pPr>
      <w:pStyle w:val="10"/>
      <w:framePr w:wrap="around" w:vAnchor="text" w:hAnchor="margin" w:xAlign="center" w:y="1"/>
      <w:rPr>
        <w:rStyle w:val="19"/>
      </w:rPr>
    </w:pPr>
    <w:r>
      <w:fldChar w:fldCharType="begin"/>
    </w:r>
    <w:r>
      <w:rPr>
        <w:rStyle w:val="19"/>
      </w:rPr>
      <w:instrText xml:space="preserve">PAGE  </w:instrText>
    </w:r>
    <w:r>
      <w:fldChar w:fldCharType="end"/>
    </w:r>
  </w:p>
  <w:p w14:paraId="03EDBE6D">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DF803">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BD747">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E9521">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14B4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0FD08">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D5E8C">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625560"/>
    <w:multiLevelType w:val="singleLevel"/>
    <w:tmpl w:val="CD625560"/>
    <w:lvl w:ilvl="0" w:tentative="0">
      <w:start w:val="1"/>
      <w:numFmt w:val="decimal"/>
      <w:suff w:val="nothing"/>
      <w:lvlText w:val="（%1）"/>
      <w:lvlJc w:val="left"/>
      <w:pPr>
        <w:ind w:left="480"/>
      </w:pPr>
      <w:rPr>
        <w:rFonts w:cs="Times New Roman"/>
      </w:rPr>
    </w:lvl>
  </w:abstractNum>
  <w:abstractNum w:abstractNumId="1">
    <w:nsid w:val="D39B2FBA"/>
    <w:multiLevelType w:val="singleLevel"/>
    <w:tmpl w:val="D39B2FBA"/>
    <w:lvl w:ilvl="0" w:tentative="0">
      <w:start w:val="95"/>
      <w:numFmt w:val="decimal"/>
      <w:suff w:val="nothing"/>
      <w:lvlText w:val="%1．"/>
      <w:lvlJc w:val="left"/>
    </w:lvl>
  </w:abstractNum>
  <w:abstractNum w:abstractNumId="2">
    <w:nsid w:val="00000003"/>
    <w:multiLevelType w:val="multilevel"/>
    <w:tmpl w:val="00000003"/>
    <w:lvl w:ilvl="0" w:tentative="0">
      <w:start w:val="1"/>
      <w:numFmt w:val="decimal"/>
      <w:lvlText w:val="(%1)"/>
      <w:lvlJc w:val="left"/>
      <w:pPr>
        <w:tabs>
          <w:tab w:val="left" w:pos="1080"/>
        </w:tabs>
        <w:ind w:left="1080" w:hanging="600"/>
      </w:pPr>
      <w:rPr>
        <w:rFonts w:hint="eastAsia"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3">
    <w:nsid w:val="00000004"/>
    <w:multiLevelType w:val="multilevel"/>
    <w:tmpl w:val="00000004"/>
    <w:lvl w:ilvl="0" w:tentative="0">
      <w:start w:val="1"/>
      <w:numFmt w:val="decimal"/>
      <w:lvlText w:val="（%1）"/>
      <w:lvlJc w:val="left"/>
      <w:pPr>
        <w:tabs>
          <w:tab w:val="left" w:pos="2339"/>
        </w:tabs>
        <w:ind w:left="2339" w:hanging="720"/>
      </w:pPr>
      <w:rPr>
        <w:rFonts w:hint="default" w:cs="Times New Roman"/>
      </w:rPr>
    </w:lvl>
    <w:lvl w:ilvl="1" w:tentative="0">
      <w:start w:val="1"/>
      <w:numFmt w:val="lowerLetter"/>
      <w:lvlText w:val="%2)"/>
      <w:lvlJc w:val="left"/>
      <w:pPr>
        <w:tabs>
          <w:tab w:val="left" w:pos="2459"/>
        </w:tabs>
        <w:ind w:left="2459" w:hanging="420"/>
      </w:pPr>
      <w:rPr>
        <w:rFonts w:cs="Times New Roman"/>
      </w:rPr>
    </w:lvl>
    <w:lvl w:ilvl="2" w:tentative="0">
      <w:start w:val="1"/>
      <w:numFmt w:val="lowerRoman"/>
      <w:lvlText w:val="%3."/>
      <w:lvlJc w:val="right"/>
      <w:pPr>
        <w:tabs>
          <w:tab w:val="left" w:pos="2879"/>
        </w:tabs>
        <w:ind w:left="2879" w:hanging="420"/>
      </w:pPr>
      <w:rPr>
        <w:rFonts w:cs="Times New Roman"/>
      </w:rPr>
    </w:lvl>
    <w:lvl w:ilvl="3" w:tentative="0">
      <w:start w:val="1"/>
      <w:numFmt w:val="decimal"/>
      <w:lvlText w:val="%4."/>
      <w:lvlJc w:val="left"/>
      <w:pPr>
        <w:tabs>
          <w:tab w:val="left" w:pos="3299"/>
        </w:tabs>
        <w:ind w:left="3299" w:hanging="420"/>
      </w:pPr>
      <w:rPr>
        <w:rFonts w:cs="Times New Roman"/>
      </w:rPr>
    </w:lvl>
    <w:lvl w:ilvl="4" w:tentative="0">
      <w:start w:val="1"/>
      <w:numFmt w:val="lowerLetter"/>
      <w:lvlText w:val="%5)"/>
      <w:lvlJc w:val="left"/>
      <w:pPr>
        <w:tabs>
          <w:tab w:val="left" w:pos="3719"/>
        </w:tabs>
        <w:ind w:left="3719" w:hanging="420"/>
      </w:pPr>
      <w:rPr>
        <w:rFonts w:cs="Times New Roman"/>
      </w:rPr>
    </w:lvl>
    <w:lvl w:ilvl="5" w:tentative="0">
      <w:start w:val="1"/>
      <w:numFmt w:val="lowerRoman"/>
      <w:lvlText w:val="%6."/>
      <w:lvlJc w:val="right"/>
      <w:pPr>
        <w:tabs>
          <w:tab w:val="left" w:pos="4139"/>
        </w:tabs>
        <w:ind w:left="4139" w:hanging="420"/>
      </w:pPr>
      <w:rPr>
        <w:rFonts w:cs="Times New Roman"/>
      </w:rPr>
    </w:lvl>
    <w:lvl w:ilvl="6" w:tentative="0">
      <w:start w:val="1"/>
      <w:numFmt w:val="decimal"/>
      <w:lvlText w:val="%7."/>
      <w:lvlJc w:val="left"/>
      <w:pPr>
        <w:tabs>
          <w:tab w:val="left" w:pos="4559"/>
        </w:tabs>
        <w:ind w:left="4559" w:hanging="420"/>
      </w:pPr>
      <w:rPr>
        <w:rFonts w:cs="Times New Roman"/>
      </w:rPr>
    </w:lvl>
    <w:lvl w:ilvl="7" w:tentative="0">
      <w:start w:val="1"/>
      <w:numFmt w:val="lowerLetter"/>
      <w:lvlText w:val="%8)"/>
      <w:lvlJc w:val="left"/>
      <w:pPr>
        <w:tabs>
          <w:tab w:val="left" w:pos="4979"/>
        </w:tabs>
        <w:ind w:left="4979" w:hanging="420"/>
      </w:pPr>
      <w:rPr>
        <w:rFonts w:cs="Times New Roman"/>
      </w:rPr>
    </w:lvl>
    <w:lvl w:ilvl="8" w:tentative="0">
      <w:start w:val="1"/>
      <w:numFmt w:val="lowerRoman"/>
      <w:lvlText w:val="%9."/>
      <w:lvlJc w:val="right"/>
      <w:pPr>
        <w:tabs>
          <w:tab w:val="left" w:pos="5399"/>
        </w:tabs>
        <w:ind w:left="5399" w:hanging="420"/>
      </w:pPr>
      <w:rPr>
        <w:rFonts w:cs="Times New Roman"/>
      </w:rPr>
    </w:lvl>
  </w:abstractNum>
  <w:abstractNum w:abstractNumId="4">
    <w:nsid w:val="00000005"/>
    <w:multiLevelType w:val="multilevel"/>
    <w:tmpl w:val="00000005"/>
    <w:lvl w:ilvl="0" w:tentative="0">
      <w:start w:val="1"/>
      <w:numFmt w:val="decimal"/>
      <w:lvlText w:val="(%1)"/>
      <w:lvlJc w:val="left"/>
      <w:pPr>
        <w:tabs>
          <w:tab w:val="left" w:pos="1560"/>
        </w:tabs>
        <w:ind w:left="1560" w:hanging="1080"/>
      </w:pPr>
      <w:rPr>
        <w:rFonts w:hint="eastAsia" w:cs="Times New Roman"/>
      </w:rPr>
    </w:lvl>
    <w:lvl w:ilvl="1" w:tentative="0">
      <w:start w:val="1"/>
      <w:numFmt w:val="decimal"/>
      <w:lvlText w:val="（%2）"/>
      <w:lvlJc w:val="left"/>
      <w:pPr>
        <w:tabs>
          <w:tab w:val="left" w:pos="1620"/>
        </w:tabs>
        <w:ind w:left="1620" w:hanging="720"/>
      </w:pPr>
      <w:rPr>
        <w:rFonts w:hint="eastAsia"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5">
    <w:nsid w:val="00000007"/>
    <w:multiLevelType w:val="multilevel"/>
    <w:tmpl w:val="00000007"/>
    <w:lvl w:ilvl="0" w:tentative="0">
      <w:start w:val="1"/>
      <w:numFmt w:val="decimal"/>
      <w:lvlText w:val="（%1）"/>
      <w:lvlJc w:val="left"/>
      <w:pPr>
        <w:tabs>
          <w:tab w:val="left" w:pos="3272"/>
        </w:tabs>
        <w:ind w:left="3272" w:hanging="720"/>
      </w:pPr>
      <w:rPr>
        <w:rFonts w:hint="eastAsia" w:cs="Times New Roman"/>
      </w:rPr>
    </w:lvl>
    <w:lvl w:ilvl="1" w:tentative="0">
      <w:start w:val="1"/>
      <w:numFmt w:val="lowerLetter"/>
      <w:lvlText w:val="%2)"/>
      <w:lvlJc w:val="left"/>
      <w:pPr>
        <w:tabs>
          <w:tab w:val="left" w:pos="3392"/>
        </w:tabs>
        <w:ind w:left="3392" w:hanging="420"/>
      </w:pPr>
      <w:rPr>
        <w:rFonts w:cs="Times New Roman"/>
      </w:rPr>
    </w:lvl>
    <w:lvl w:ilvl="2" w:tentative="0">
      <w:start w:val="1"/>
      <w:numFmt w:val="lowerRoman"/>
      <w:lvlText w:val="%3."/>
      <w:lvlJc w:val="right"/>
      <w:pPr>
        <w:tabs>
          <w:tab w:val="left" w:pos="3812"/>
        </w:tabs>
        <w:ind w:left="3812" w:hanging="420"/>
      </w:pPr>
      <w:rPr>
        <w:rFonts w:cs="Times New Roman"/>
      </w:rPr>
    </w:lvl>
    <w:lvl w:ilvl="3" w:tentative="0">
      <w:start w:val="1"/>
      <w:numFmt w:val="decimal"/>
      <w:lvlText w:val="%4."/>
      <w:lvlJc w:val="left"/>
      <w:pPr>
        <w:tabs>
          <w:tab w:val="left" w:pos="4232"/>
        </w:tabs>
        <w:ind w:left="4232" w:hanging="420"/>
      </w:pPr>
      <w:rPr>
        <w:rFonts w:cs="Times New Roman"/>
      </w:rPr>
    </w:lvl>
    <w:lvl w:ilvl="4" w:tentative="0">
      <w:start w:val="1"/>
      <w:numFmt w:val="lowerLetter"/>
      <w:lvlText w:val="%5)"/>
      <w:lvlJc w:val="left"/>
      <w:pPr>
        <w:tabs>
          <w:tab w:val="left" w:pos="4652"/>
        </w:tabs>
        <w:ind w:left="4652" w:hanging="420"/>
      </w:pPr>
      <w:rPr>
        <w:rFonts w:cs="Times New Roman"/>
      </w:rPr>
    </w:lvl>
    <w:lvl w:ilvl="5" w:tentative="0">
      <w:start w:val="1"/>
      <w:numFmt w:val="lowerRoman"/>
      <w:lvlText w:val="%6."/>
      <w:lvlJc w:val="right"/>
      <w:pPr>
        <w:tabs>
          <w:tab w:val="left" w:pos="5072"/>
        </w:tabs>
        <w:ind w:left="5072" w:hanging="420"/>
      </w:pPr>
      <w:rPr>
        <w:rFonts w:cs="Times New Roman"/>
      </w:rPr>
    </w:lvl>
    <w:lvl w:ilvl="6" w:tentative="0">
      <w:start w:val="1"/>
      <w:numFmt w:val="decimal"/>
      <w:lvlText w:val="%7."/>
      <w:lvlJc w:val="left"/>
      <w:pPr>
        <w:tabs>
          <w:tab w:val="left" w:pos="5492"/>
        </w:tabs>
        <w:ind w:left="5492" w:hanging="420"/>
      </w:pPr>
      <w:rPr>
        <w:rFonts w:cs="Times New Roman"/>
      </w:rPr>
    </w:lvl>
    <w:lvl w:ilvl="7" w:tentative="0">
      <w:start w:val="1"/>
      <w:numFmt w:val="lowerLetter"/>
      <w:lvlText w:val="%8)"/>
      <w:lvlJc w:val="left"/>
      <w:pPr>
        <w:tabs>
          <w:tab w:val="left" w:pos="5912"/>
        </w:tabs>
        <w:ind w:left="5912" w:hanging="420"/>
      </w:pPr>
      <w:rPr>
        <w:rFonts w:cs="Times New Roman"/>
      </w:rPr>
    </w:lvl>
    <w:lvl w:ilvl="8" w:tentative="0">
      <w:start w:val="1"/>
      <w:numFmt w:val="lowerRoman"/>
      <w:lvlText w:val="%9."/>
      <w:lvlJc w:val="right"/>
      <w:pPr>
        <w:tabs>
          <w:tab w:val="left" w:pos="6332"/>
        </w:tabs>
        <w:ind w:left="6332" w:hanging="420"/>
      </w:pPr>
      <w:rPr>
        <w:rFonts w:cs="Times New Roman"/>
      </w:rPr>
    </w:lvl>
  </w:abstractNum>
  <w:abstractNum w:abstractNumId="6">
    <w:nsid w:val="00000008"/>
    <w:multiLevelType w:val="multilevel"/>
    <w:tmpl w:val="00000008"/>
    <w:lvl w:ilvl="0" w:tentative="0">
      <w:start w:val="1"/>
      <w:numFmt w:val="decimal"/>
      <w:lvlText w:val="(%1)"/>
      <w:lvlJc w:val="left"/>
      <w:pPr>
        <w:tabs>
          <w:tab w:val="left" w:pos="1440"/>
        </w:tabs>
        <w:ind w:left="1440" w:hanging="960"/>
      </w:pPr>
      <w:rPr>
        <w:rFonts w:hint="eastAsia"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7">
    <w:nsid w:val="00000009"/>
    <w:multiLevelType w:val="multilevel"/>
    <w:tmpl w:val="00000009"/>
    <w:lvl w:ilvl="0" w:tentative="0">
      <w:start w:val="1"/>
      <w:numFmt w:val="decimal"/>
      <w:lvlText w:val="(%1)"/>
      <w:lvlJc w:val="left"/>
      <w:pPr>
        <w:tabs>
          <w:tab w:val="left" w:pos="1080"/>
        </w:tabs>
        <w:ind w:left="1080" w:hanging="600"/>
      </w:pPr>
      <w:rPr>
        <w:rFonts w:hint="eastAsia"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8">
    <w:nsid w:val="0000000A"/>
    <w:multiLevelType w:val="multilevel"/>
    <w:tmpl w:val="0000000A"/>
    <w:lvl w:ilvl="0" w:tentative="0">
      <w:start w:val="7"/>
      <w:numFmt w:val="decimal"/>
      <w:lvlText w:val="（%1）"/>
      <w:lvlJc w:val="left"/>
      <w:pPr>
        <w:ind w:left="960" w:hanging="720"/>
      </w:pPr>
      <w:rPr>
        <w:rFonts w:hint="default" w:cs="Times New Roman"/>
        <w:u w:val="none"/>
      </w:rPr>
    </w:lvl>
    <w:lvl w:ilvl="1" w:tentative="0">
      <w:start w:val="1"/>
      <w:numFmt w:val="lowerLetter"/>
      <w:lvlRestart w:val="0"/>
      <w:lvlText w:val="%2)"/>
      <w:lvlJc w:val="left"/>
      <w:pPr>
        <w:ind w:left="1080" w:hanging="420"/>
      </w:pPr>
      <w:rPr>
        <w:rFonts w:cs="Times New Roman"/>
      </w:rPr>
    </w:lvl>
    <w:lvl w:ilvl="2" w:tentative="0">
      <w:start w:val="1"/>
      <w:numFmt w:val="lowerRoman"/>
      <w:lvlRestart w:val="0"/>
      <w:lvlText w:val="%3."/>
      <w:lvlJc w:val="right"/>
      <w:pPr>
        <w:ind w:left="1500" w:hanging="420"/>
      </w:pPr>
      <w:rPr>
        <w:rFonts w:cs="Times New Roman"/>
      </w:rPr>
    </w:lvl>
    <w:lvl w:ilvl="3" w:tentative="0">
      <w:start w:val="1"/>
      <w:numFmt w:val="decimal"/>
      <w:lvlRestart w:val="0"/>
      <w:lvlText w:val="%4."/>
      <w:lvlJc w:val="left"/>
      <w:pPr>
        <w:ind w:left="1920" w:hanging="420"/>
      </w:pPr>
      <w:rPr>
        <w:rFonts w:cs="Times New Roman"/>
      </w:rPr>
    </w:lvl>
    <w:lvl w:ilvl="4" w:tentative="0">
      <w:start w:val="1"/>
      <w:numFmt w:val="lowerLetter"/>
      <w:lvlRestart w:val="0"/>
      <w:lvlText w:val="%5)"/>
      <w:lvlJc w:val="left"/>
      <w:pPr>
        <w:ind w:left="2340" w:hanging="420"/>
      </w:pPr>
      <w:rPr>
        <w:rFonts w:cs="Times New Roman"/>
      </w:rPr>
    </w:lvl>
    <w:lvl w:ilvl="5" w:tentative="0">
      <w:start w:val="1"/>
      <w:numFmt w:val="lowerRoman"/>
      <w:lvlRestart w:val="0"/>
      <w:lvlText w:val="%6."/>
      <w:lvlJc w:val="right"/>
      <w:pPr>
        <w:ind w:left="2760" w:hanging="420"/>
      </w:pPr>
      <w:rPr>
        <w:rFonts w:cs="Times New Roman"/>
      </w:rPr>
    </w:lvl>
    <w:lvl w:ilvl="6" w:tentative="0">
      <w:start w:val="1"/>
      <w:numFmt w:val="decimal"/>
      <w:lvlRestart w:val="0"/>
      <w:lvlText w:val="%7."/>
      <w:lvlJc w:val="left"/>
      <w:pPr>
        <w:ind w:left="3180" w:hanging="420"/>
      </w:pPr>
      <w:rPr>
        <w:rFonts w:cs="Times New Roman"/>
      </w:rPr>
    </w:lvl>
    <w:lvl w:ilvl="7" w:tentative="0">
      <w:start w:val="1"/>
      <w:numFmt w:val="lowerLetter"/>
      <w:lvlRestart w:val="0"/>
      <w:lvlText w:val="%8)"/>
      <w:lvlJc w:val="left"/>
      <w:pPr>
        <w:ind w:left="3600" w:hanging="420"/>
      </w:pPr>
      <w:rPr>
        <w:rFonts w:cs="Times New Roman"/>
      </w:rPr>
    </w:lvl>
    <w:lvl w:ilvl="8" w:tentative="0">
      <w:start w:val="1"/>
      <w:numFmt w:val="lowerRoman"/>
      <w:lvlRestart w:val="0"/>
      <w:lvlText w:val="%9."/>
      <w:lvlJc w:val="right"/>
      <w:pPr>
        <w:ind w:left="4020" w:hanging="420"/>
      </w:pPr>
      <w:rPr>
        <w:rFonts w:cs="Times New Roman"/>
      </w:rPr>
    </w:lvl>
  </w:abstractNum>
  <w:abstractNum w:abstractNumId="9">
    <w:nsid w:val="0000000B"/>
    <w:multiLevelType w:val="multilevel"/>
    <w:tmpl w:val="0000000B"/>
    <w:lvl w:ilvl="0" w:tentative="0">
      <w:start w:val="1"/>
      <w:numFmt w:val="decimal"/>
      <w:lvlText w:val="(%1)"/>
      <w:lvlJc w:val="left"/>
      <w:pPr>
        <w:tabs>
          <w:tab w:val="left" w:pos="2580"/>
        </w:tabs>
        <w:ind w:left="2580" w:hanging="600"/>
      </w:pPr>
      <w:rPr>
        <w:rFonts w:hint="eastAsia" w:cs="Times New Roman"/>
      </w:rPr>
    </w:lvl>
    <w:lvl w:ilvl="1" w:tentative="0">
      <w:start w:val="1"/>
      <w:numFmt w:val="decimal"/>
      <w:lvlText w:val="(%2)"/>
      <w:lvlJc w:val="left"/>
      <w:pPr>
        <w:tabs>
          <w:tab w:val="left" w:pos="2910"/>
        </w:tabs>
        <w:ind w:left="2910" w:hanging="510"/>
      </w:pPr>
      <w:rPr>
        <w:rFonts w:hint="eastAsia" w:cs="Times New Roman"/>
      </w:rPr>
    </w:lvl>
    <w:lvl w:ilvl="2" w:tentative="0">
      <w:start w:val="1"/>
      <w:numFmt w:val="lowerRoman"/>
      <w:lvlText w:val="%3."/>
      <w:lvlJc w:val="right"/>
      <w:pPr>
        <w:tabs>
          <w:tab w:val="left" w:pos="3240"/>
        </w:tabs>
        <w:ind w:left="3240" w:hanging="420"/>
      </w:pPr>
      <w:rPr>
        <w:rFonts w:cs="Times New Roman"/>
      </w:rPr>
    </w:lvl>
    <w:lvl w:ilvl="3" w:tentative="0">
      <w:start w:val="1"/>
      <w:numFmt w:val="decimal"/>
      <w:lvlText w:val="%4."/>
      <w:lvlJc w:val="left"/>
      <w:pPr>
        <w:tabs>
          <w:tab w:val="left" w:pos="3660"/>
        </w:tabs>
        <w:ind w:left="3660" w:hanging="420"/>
      </w:pPr>
      <w:rPr>
        <w:rFonts w:cs="Times New Roman"/>
      </w:rPr>
    </w:lvl>
    <w:lvl w:ilvl="4" w:tentative="0">
      <w:start w:val="1"/>
      <w:numFmt w:val="lowerLetter"/>
      <w:lvlText w:val="%5)"/>
      <w:lvlJc w:val="left"/>
      <w:pPr>
        <w:tabs>
          <w:tab w:val="left" w:pos="4080"/>
        </w:tabs>
        <w:ind w:left="4080" w:hanging="420"/>
      </w:pPr>
      <w:rPr>
        <w:rFonts w:cs="Times New Roman"/>
      </w:rPr>
    </w:lvl>
    <w:lvl w:ilvl="5" w:tentative="0">
      <w:start w:val="1"/>
      <w:numFmt w:val="lowerRoman"/>
      <w:lvlText w:val="%6."/>
      <w:lvlJc w:val="right"/>
      <w:pPr>
        <w:tabs>
          <w:tab w:val="left" w:pos="4500"/>
        </w:tabs>
        <w:ind w:left="4500" w:hanging="420"/>
      </w:pPr>
      <w:rPr>
        <w:rFonts w:cs="Times New Roman"/>
      </w:rPr>
    </w:lvl>
    <w:lvl w:ilvl="6" w:tentative="0">
      <w:start w:val="1"/>
      <w:numFmt w:val="decimal"/>
      <w:lvlText w:val="%7."/>
      <w:lvlJc w:val="left"/>
      <w:pPr>
        <w:tabs>
          <w:tab w:val="left" w:pos="4920"/>
        </w:tabs>
        <w:ind w:left="4920" w:hanging="420"/>
      </w:pPr>
      <w:rPr>
        <w:rFonts w:cs="Times New Roman"/>
      </w:rPr>
    </w:lvl>
    <w:lvl w:ilvl="7" w:tentative="0">
      <w:start w:val="1"/>
      <w:numFmt w:val="lowerLetter"/>
      <w:lvlText w:val="%8)"/>
      <w:lvlJc w:val="left"/>
      <w:pPr>
        <w:tabs>
          <w:tab w:val="left" w:pos="5340"/>
        </w:tabs>
        <w:ind w:left="5340" w:hanging="420"/>
      </w:pPr>
      <w:rPr>
        <w:rFonts w:cs="Times New Roman"/>
      </w:rPr>
    </w:lvl>
    <w:lvl w:ilvl="8" w:tentative="0">
      <w:start w:val="1"/>
      <w:numFmt w:val="lowerRoman"/>
      <w:lvlText w:val="%9."/>
      <w:lvlJc w:val="right"/>
      <w:pPr>
        <w:tabs>
          <w:tab w:val="left" w:pos="5760"/>
        </w:tabs>
        <w:ind w:left="5760" w:hanging="420"/>
      </w:pPr>
      <w:rPr>
        <w:rFonts w:cs="Times New Roman"/>
      </w:rPr>
    </w:lvl>
  </w:abstractNum>
  <w:abstractNum w:abstractNumId="10">
    <w:nsid w:val="0000000C"/>
    <w:multiLevelType w:val="multilevel"/>
    <w:tmpl w:val="0000000C"/>
    <w:lvl w:ilvl="0" w:tentative="0">
      <w:start w:val="1"/>
      <w:numFmt w:val="decimal"/>
      <w:lvlText w:val="(%1)"/>
      <w:lvlJc w:val="left"/>
      <w:pPr>
        <w:tabs>
          <w:tab w:val="left" w:pos="1560"/>
        </w:tabs>
        <w:ind w:left="1560" w:hanging="600"/>
      </w:pPr>
      <w:rPr>
        <w:rFonts w:hint="default"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11">
    <w:nsid w:val="0000000D"/>
    <w:multiLevelType w:val="multilevel"/>
    <w:tmpl w:val="0000000D"/>
    <w:lvl w:ilvl="0" w:tentative="0">
      <w:start w:val="1"/>
      <w:numFmt w:val="decimal"/>
      <w:lvlText w:val="(%1)"/>
      <w:lvlJc w:val="left"/>
      <w:pPr>
        <w:tabs>
          <w:tab w:val="left" w:pos="1080"/>
        </w:tabs>
        <w:ind w:left="1080" w:hanging="600"/>
      </w:pPr>
      <w:rPr>
        <w:rFonts w:hint="eastAsia"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12">
    <w:nsid w:val="0000000E"/>
    <w:multiLevelType w:val="multilevel"/>
    <w:tmpl w:val="0000000E"/>
    <w:lvl w:ilvl="0" w:tentative="0">
      <w:start w:val="1"/>
      <w:numFmt w:val="decimal"/>
      <w:lvlText w:val="(%1)"/>
      <w:lvlJc w:val="left"/>
      <w:pPr>
        <w:tabs>
          <w:tab w:val="left" w:pos="1080"/>
        </w:tabs>
        <w:ind w:left="1080" w:hanging="600"/>
      </w:pPr>
      <w:rPr>
        <w:rFonts w:hint="eastAsia" w:cs="Times New Roman"/>
      </w:rPr>
    </w:lvl>
    <w:lvl w:ilvl="1" w:tentative="0">
      <w:start w:val="1"/>
      <w:numFmt w:val="decimal"/>
      <w:lvlText w:val="（%2）"/>
      <w:lvlJc w:val="left"/>
      <w:pPr>
        <w:tabs>
          <w:tab w:val="left" w:pos="1620"/>
        </w:tabs>
        <w:ind w:left="1620" w:hanging="720"/>
      </w:pPr>
      <w:rPr>
        <w:rFonts w:hint="eastAsia" w:ascii="宋体" w:cs="Times New Roman"/>
        <w:color w:val="auto"/>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13">
    <w:nsid w:val="0000000F"/>
    <w:multiLevelType w:val="multilevel"/>
    <w:tmpl w:val="0000000F"/>
    <w:lvl w:ilvl="0" w:tentative="0">
      <w:start w:val="5"/>
      <w:numFmt w:val="japaneseCounting"/>
      <w:lvlText w:val="第%1条"/>
      <w:lvlJc w:val="left"/>
      <w:pPr>
        <w:tabs>
          <w:tab w:val="left" w:pos="1140"/>
        </w:tabs>
        <w:ind w:left="1140" w:hanging="1140"/>
      </w:pPr>
      <w:rPr>
        <w:rFonts w:hint="default" w:cs="Times New Roman"/>
        <w:b/>
        <w:sz w:val="24"/>
        <w:szCs w:val="24"/>
      </w:rPr>
    </w:lvl>
    <w:lvl w:ilvl="1" w:tentative="0">
      <w:start w:val="1"/>
      <w:numFmt w:val="lowerLetter"/>
      <w:lvlRestart w:val="0"/>
      <w:lvlText w:val="%2)"/>
      <w:lvlJc w:val="left"/>
      <w:pPr>
        <w:tabs>
          <w:tab w:val="left" w:pos="840"/>
        </w:tabs>
        <w:ind w:left="840" w:hanging="420"/>
      </w:pPr>
      <w:rPr>
        <w:rFonts w:cs="Times New Roman"/>
      </w:rPr>
    </w:lvl>
    <w:lvl w:ilvl="2" w:tentative="0">
      <w:start w:val="1"/>
      <w:numFmt w:val="lowerRoman"/>
      <w:lvlRestart w:val="0"/>
      <w:lvlText w:val="%3."/>
      <w:lvlJc w:val="right"/>
      <w:pPr>
        <w:tabs>
          <w:tab w:val="left" w:pos="1260"/>
        </w:tabs>
        <w:ind w:left="1260" w:hanging="420"/>
      </w:pPr>
      <w:rPr>
        <w:rFonts w:cs="Times New Roman"/>
      </w:rPr>
    </w:lvl>
    <w:lvl w:ilvl="3" w:tentative="0">
      <w:start w:val="1"/>
      <w:numFmt w:val="decimal"/>
      <w:lvlRestart w:val="0"/>
      <w:lvlText w:val="%4."/>
      <w:lvlJc w:val="left"/>
      <w:pPr>
        <w:tabs>
          <w:tab w:val="left" w:pos="1680"/>
        </w:tabs>
        <w:ind w:left="1680" w:hanging="420"/>
      </w:pPr>
      <w:rPr>
        <w:rFonts w:cs="Times New Roman"/>
      </w:rPr>
    </w:lvl>
    <w:lvl w:ilvl="4" w:tentative="0">
      <w:start w:val="1"/>
      <w:numFmt w:val="lowerLetter"/>
      <w:lvlRestart w:val="0"/>
      <w:lvlText w:val="%5)"/>
      <w:lvlJc w:val="left"/>
      <w:pPr>
        <w:tabs>
          <w:tab w:val="left" w:pos="2100"/>
        </w:tabs>
        <w:ind w:left="2100" w:hanging="420"/>
      </w:pPr>
      <w:rPr>
        <w:rFonts w:cs="Times New Roman"/>
      </w:rPr>
    </w:lvl>
    <w:lvl w:ilvl="5" w:tentative="0">
      <w:start w:val="1"/>
      <w:numFmt w:val="lowerRoman"/>
      <w:lvlRestart w:val="0"/>
      <w:lvlText w:val="%6."/>
      <w:lvlJc w:val="right"/>
      <w:pPr>
        <w:tabs>
          <w:tab w:val="left" w:pos="2520"/>
        </w:tabs>
        <w:ind w:left="2520" w:hanging="420"/>
      </w:pPr>
      <w:rPr>
        <w:rFonts w:cs="Times New Roman"/>
      </w:rPr>
    </w:lvl>
    <w:lvl w:ilvl="6" w:tentative="0">
      <w:start w:val="1"/>
      <w:numFmt w:val="decimal"/>
      <w:lvlRestart w:val="0"/>
      <w:lvlText w:val="%7."/>
      <w:lvlJc w:val="left"/>
      <w:pPr>
        <w:tabs>
          <w:tab w:val="left" w:pos="2940"/>
        </w:tabs>
        <w:ind w:left="2940" w:hanging="420"/>
      </w:pPr>
      <w:rPr>
        <w:rFonts w:cs="Times New Roman"/>
      </w:rPr>
    </w:lvl>
    <w:lvl w:ilvl="7" w:tentative="0">
      <w:start w:val="1"/>
      <w:numFmt w:val="lowerLetter"/>
      <w:lvlRestart w:val="0"/>
      <w:lvlText w:val="%8)"/>
      <w:lvlJc w:val="left"/>
      <w:pPr>
        <w:tabs>
          <w:tab w:val="left" w:pos="3360"/>
        </w:tabs>
        <w:ind w:left="3360" w:hanging="420"/>
      </w:pPr>
      <w:rPr>
        <w:rFonts w:cs="Times New Roman"/>
      </w:rPr>
    </w:lvl>
    <w:lvl w:ilvl="8" w:tentative="0">
      <w:start w:val="1"/>
      <w:numFmt w:val="lowerRoman"/>
      <w:lvlRestart w:val="0"/>
      <w:lvlText w:val="%9."/>
      <w:lvlJc w:val="right"/>
      <w:pPr>
        <w:tabs>
          <w:tab w:val="left" w:pos="3780"/>
        </w:tabs>
        <w:ind w:left="3780" w:hanging="420"/>
      </w:pPr>
      <w:rPr>
        <w:rFonts w:cs="Times New Roman"/>
      </w:rPr>
    </w:lvl>
  </w:abstractNum>
  <w:abstractNum w:abstractNumId="14">
    <w:nsid w:val="00000010"/>
    <w:multiLevelType w:val="multilevel"/>
    <w:tmpl w:val="00000010"/>
    <w:lvl w:ilvl="0" w:tentative="0">
      <w:start w:val="1"/>
      <w:numFmt w:val="decimal"/>
      <w:lvlText w:val="(%1)"/>
      <w:lvlJc w:val="left"/>
      <w:pPr>
        <w:tabs>
          <w:tab w:val="left" w:pos="1080"/>
        </w:tabs>
        <w:ind w:left="1080" w:hanging="600"/>
      </w:pPr>
      <w:rPr>
        <w:rFonts w:hint="eastAsia"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15">
    <w:nsid w:val="00000011"/>
    <w:multiLevelType w:val="multilevel"/>
    <w:tmpl w:val="00000011"/>
    <w:lvl w:ilvl="0" w:tentative="0">
      <w:start w:val="1"/>
      <w:numFmt w:val="decimal"/>
      <w:lvlText w:val="(%1)"/>
      <w:lvlJc w:val="left"/>
      <w:pPr>
        <w:tabs>
          <w:tab w:val="left" w:pos="1080"/>
        </w:tabs>
        <w:ind w:left="1080" w:hanging="600"/>
      </w:pPr>
      <w:rPr>
        <w:rFonts w:hint="default"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16">
    <w:nsid w:val="00000013"/>
    <w:multiLevelType w:val="multilevel"/>
    <w:tmpl w:val="00000013"/>
    <w:lvl w:ilvl="0" w:tentative="0">
      <w:start w:val="1"/>
      <w:numFmt w:val="decimal"/>
      <w:lvlText w:val="(%1)"/>
      <w:lvlJc w:val="left"/>
      <w:pPr>
        <w:tabs>
          <w:tab w:val="left" w:pos="960"/>
        </w:tabs>
        <w:ind w:left="960" w:hanging="480"/>
      </w:pPr>
      <w:rPr>
        <w:rFonts w:hint="eastAsia"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17">
    <w:nsid w:val="00000014"/>
    <w:multiLevelType w:val="multilevel"/>
    <w:tmpl w:val="00000014"/>
    <w:lvl w:ilvl="0" w:tentative="0">
      <w:start w:val="1"/>
      <w:numFmt w:val="decimal"/>
      <w:lvlText w:val="%1"/>
      <w:lvlJc w:val="left"/>
      <w:pPr>
        <w:tabs>
          <w:tab w:val="left" w:pos="450"/>
        </w:tabs>
        <w:ind w:left="450" w:hanging="450"/>
      </w:pPr>
      <w:rPr>
        <w:rFonts w:hint="default" w:cs="Times New Roman"/>
        <w:sz w:val="30"/>
      </w:rPr>
    </w:lvl>
    <w:lvl w:ilvl="1" w:tentative="0">
      <w:start w:val="53"/>
      <w:numFmt w:val="decimal"/>
      <w:isLgl/>
      <w:lvlText w:val="%1.%2"/>
      <w:lvlJc w:val="left"/>
      <w:pPr>
        <w:tabs>
          <w:tab w:val="left" w:pos="960"/>
        </w:tabs>
        <w:ind w:left="960" w:hanging="720"/>
      </w:pPr>
      <w:rPr>
        <w:rFonts w:hint="default" w:cs="Times New Roman"/>
      </w:rPr>
    </w:lvl>
    <w:lvl w:ilvl="2" w:tentative="0">
      <w:start w:val="1"/>
      <w:numFmt w:val="decimal"/>
      <w:isLgl/>
      <w:lvlText w:val="%1.%2.%3"/>
      <w:lvlJc w:val="left"/>
      <w:pPr>
        <w:tabs>
          <w:tab w:val="left" w:pos="1200"/>
        </w:tabs>
        <w:ind w:left="1200" w:hanging="720"/>
      </w:pPr>
      <w:rPr>
        <w:rFonts w:hint="default" w:cs="Times New Roman"/>
      </w:rPr>
    </w:lvl>
    <w:lvl w:ilvl="3" w:tentative="0">
      <w:start w:val="1"/>
      <w:numFmt w:val="decimal"/>
      <w:isLgl/>
      <w:lvlText w:val="%1.%2.%3.%4"/>
      <w:lvlJc w:val="left"/>
      <w:pPr>
        <w:tabs>
          <w:tab w:val="left" w:pos="1800"/>
        </w:tabs>
        <w:ind w:left="1800" w:hanging="1080"/>
      </w:pPr>
      <w:rPr>
        <w:rFonts w:hint="default" w:cs="Times New Roman"/>
      </w:rPr>
    </w:lvl>
    <w:lvl w:ilvl="4" w:tentative="0">
      <w:start w:val="1"/>
      <w:numFmt w:val="decimal"/>
      <w:isLgl/>
      <w:lvlText w:val="%1.%2.%3.%4.%5"/>
      <w:lvlJc w:val="left"/>
      <w:pPr>
        <w:tabs>
          <w:tab w:val="left" w:pos="2040"/>
        </w:tabs>
        <w:ind w:left="2040" w:hanging="1080"/>
      </w:pPr>
      <w:rPr>
        <w:rFonts w:hint="default" w:cs="Times New Roman"/>
      </w:rPr>
    </w:lvl>
    <w:lvl w:ilvl="5" w:tentative="0">
      <w:start w:val="1"/>
      <w:numFmt w:val="decimal"/>
      <w:isLgl/>
      <w:lvlText w:val="%1.%2.%3.%4.%5.%6"/>
      <w:lvlJc w:val="left"/>
      <w:pPr>
        <w:tabs>
          <w:tab w:val="left" w:pos="2640"/>
        </w:tabs>
        <w:ind w:left="2640" w:hanging="1440"/>
      </w:pPr>
      <w:rPr>
        <w:rFonts w:hint="default" w:cs="Times New Roman"/>
      </w:rPr>
    </w:lvl>
    <w:lvl w:ilvl="6" w:tentative="0">
      <w:start w:val="1"/>
      <w:numFmt w:val="decimal"/>
      <w:isLgl/>
      <w:lvlText w:val="%1.%2.%3.%4.%5.%6.%7"/>
      <w:lvlJc w:val="left"/>
      <w:pPr>
        <w:tabs>
          <w:tab w:val="left" w:pos="3240"/>
        </w:tabs>
        <w:ind w:left="3240" w:hanging="1800"/>
      </w:pPr>
      <w:rPr>
        <w:rFonts w:hint="default" w:cs="Times New Roman"/>
      </w:rPr>
    </w:lvl>
    <w:lvl w:ilvl="7" w:tentative="0">
      <w:start w:val="1"/>
      <w:numFmt w:val="decimal"/>
      <w:isLgl/>
      <w:lvlText w:val="%1.%2.%3.%4.%5.%6.%7.%8"/>
      <w:lvlJc w:val="left"/>
      <w:pPr>
        <w:tabs>
          <w:tab w:val="left" w:pos="3480"/>
        </w:tabs>
        <w:ind w:left="3480" w:hanging="1800"/>
      </w:pPr>
      <w:rPr>
        <w:rFonts w:hint="default" w:cs="Times New Roman"/>
      </w:rPr>
    </w:lvl>
    <w:lvl w:ilvl="8" w:tentative="0">
      <w:start w:val="1"/>
      <w:numFmt w:val="decimal"/>
      <w:isLgl/>
      <w:lvlText w:val="%1.%2.%3.%4.%5.%6.%7.%8.%9"/>
      <w:lvlJc w:val="left"/>
      <w:pPr>
        <w:tabs>
          <w:tab w:val="left" w:pos="4080"/>
        </w:tabs>
        <w:ind w:left="4080" w:hanging="2160"/>
      </w:pPr>
      <w:rPr>
        <w:rFonts w:hint="default" w:cs="Times New Roman"/>
      </w:rPr>
    </w:lvl>
  </w:abstractNum>
  <w:abstractNum w:abstractNumId="18">
    <w:nsid w:val="00000016"/>
    <w:multiLevelType w:val="multilevel"/>
    <w:tmpl w:val="00000016"/>
    <w:lvl w:ilvl="0" w:tentative="0">
      <w:start w:val="1"/>
      <w:numFmt w:val="decimal"/>
      <w:lvlText w:val="%1．"/>
      <w:lvlJc w:val="left"/>
      <w:pPr>
        <w:tabs>
          <w:tab w:val="left" w:pos="840"/>
        </w:tabs>
        <w:ind w:left="840" w:hanging="360"/>
      </w:pPr>
      <w:rPr>
        <w:rFonts w:hint="eastAsia"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19">
    <w:nsid w:val="00000019"/>
    <w:multiLevelType w:val="multilevel"/>
    <w:tmpl w:val="00000019"/>
    <w:lvl w:ilvl="0" w:tentative="0">
      <w:start w:val="1"/>
      <w:numFmt w:val="decimal"/>
      <w:lvlText w:val="(%1)"/>
      <w:lvlJc w:val="left"/>
      <w:pPr>
        <w:tabs>
          <w:tab w:val="left" w:pos="1440"/>
        </w:tabs>
        <w:ind w:left="1440" w:hanging="960"/>
      </w:pPr>
      <w:rPr>
        <w:rFonts w:hint="eastAsia"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20">
    <w:nsid w:val="0000001A"/>
    <w:multiLevelType w:val="singleLevel"/>
    <w:tmpl w:val="0000001A"/>
    <w:lvl w:ilvl="0" w:tentative="0">
      <w:start w:val="3"/>
      <w:numFmt w:val="decimal"/>
      <w:suff w:val="nothing"/>
      <w:lvlText w:val="（%1）"/>
      <w:lvlJc w:val="left"/>
      <w:rPr>
        <w:rFonts w:cs="Times New Roman"/>
      </w:rPr>
    </w:lvl>
  </w:abstractNum>
  <w:abstractNum w:abstractNumId="21">
    <w:nsid w:val="0000001B"/>
    <w:multiLevelType w:val="multilevel"/>
    <w:tmpl w:val="0000001B"/>
    <w:lvl w:ilvl="0" w:tentative="0">
      <w:start w:val="1"/>
      <w:numFmt w:val="decimal"/>
      <w:lvlText w:val="(%1)"/>
      <w:lvlJc w:val="left"/>
      <w:pPr>
        <w:tabs>
          <w:tab w:val="left" w:pos="1080"/>
        </w:tabs>
        <w:ind w:left="1080" w:hanging="600"/>
      </w:pPr>
      <w:rPr>
        <w:rFonts w:hint="eastAsia"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22">
    <w:nsid w:val="0000001C"/>
    <w:multiLevelType w:val="multilevel"/>
    <w:tmpl w:val="0000001C"/>
    <w:lvl w:ilvl="0" w:tentative="0">
      <w:start w:val="1"/>
      <w:numFmt w:val="decimal"/>
      <w:lvlText w:val="(%1)"/>
      <w:lvlJc w:val="left"/>
      <w:pPr>
        <w:tabs>
          <w:tab w:val="left" w:pos="1560"/>
        </w:tabs>
        <w:ind w:left="1560" w:hanging="1080"/>
      </w:pPr>
      <w:rPr>
        <w:rFonts w:hint="eastAsia" w:cs="Times New Roman"/>
      </w:rPr>
    </w:lvl>
    <w:lvl w:ilvl="1" w:tentative="0">
      <w:start w:val="4"/>
      <w:numFmt w:val="decimal"/>
      <w:lvlText w:val="(%2)"/>
      <w:lvlJc w:val="left"/>
      <w:pPr>
        <w:tabs>
          <w:tab w:val="left" w:pos="1410"/>
        </w:tabs>
        <w:ind w:left="1410" w:hanging="510"/>
      </w:pPr>
      <w:rPr>
        <w:rFonts w:hint="default"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23">
    <w:nsid w:val="0000001D"/>
    <w:multiLevelType w:val="multilevel"/>
    <w:tmpl w:val="0000001D"/>
    <w:lvl w:ilvl="0" w:tentative="0">
      <w:start w:val="1"/>
      <w:numFmt w:val="decimal"/>
      <w:lvlText w:val="(%1)"/>
      <w:lvlJc w:val="left"/>
      <w:pPr>
        <w:tabs>
          <w:tab w:val="left" w:pos="1080"/>
        </w:tabs>
        <w:ind w:left="1080" w:hanging="600"/>
      </w:pPr>
      <w:rPr>
        <w:rFonts w:hint="eastAsia"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24">
    <w:nsid w:val="0000001E"/>
    <w:multiLevelType w:val="multilevel"/>
    <w:tmpl w:val="0000001E"/>
    <w:lvl w:ilvl="0" w:tentative="0">
      <w:start w:val="1"/>
      <w:numFmt w:val="decimal"/>
      <w:lvlText w:val="(%1)"/>
      <w:lvlJc w:val="left"/>
      <w:pPr>
        <w:tabs>
          <w:tab w:val="left" w:pos="960"/>
        </w:tabs>
        <w:ind w:left="960" w:hanging="480"/>
      </w:pPr>
      <w:rPr>
        <w:rFonts w:hint="eastAsia" w:cs="Times New Roman"/>
      </w:rPr>
    </w:lvl>
    <w:lvl w:ilvl="1" w:tentative="0">
      <w:start w:val="1"/>
      <w:numFmt w:val="decimal"/>
      <w:lvlText w:val="（%2）"/>
      <w:lvlJc w:val="left"/>
      <w:pPr>
        <w:tabs>
          <w:tab w:val="left" w:pos="1980"/>
        </w:tabs>
        <w:ind w:left="1980" w:hanging="1080"/>
      </w:pPr>
      <w:rPr>
        <w:rFonts w:hint="eastAsia"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25">
    <w:nsid w:val="0000001F"/>
    <w:multiLevelType w:val="multilevel"/>
    <w:tmpl w:val="0000001F"/>
    <w:lvl w:ilvl="0" w:tentative="0">
      <w:start w:val="1"/>
      <w:numFmt w:val="decimal"/>
      <w:lvlText w:val="(%1)"/>
      <w:lvlJc w:val="left"/>
      <w:pPr>
        <w:tabs>
          <w:tab w:val="left" w:pos="1350"/>
        </w:tabs>
        <w:ind w:left="1350" w:hanging="870"/>
      </w:pPr>
      <w:rPr>
        <w:rFonts w:hint="eastAsia" w:cs="Times New Roman"/>
      </w:rPr>
    </w:lvl>
    <w:lvl w:ilvl="1" w:tentative="0">
      <w:start w:val="1"/>
      <w:numFmt w:val="decimal"/>
      <w:lvlText w:val="%2."/>
      <w:lvlJc w:val="left"/>
      <w:pPr>
        <w:tabs>
          <w:tab w:val="left" w:pos="1260"/>
        </w:tabs>
        <w:ind w:left="1260" w:hanging="360"/>
      </w:pPr>
      <w:rPr>
        <w:rFonts w:hint="eastAsia"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26">
    <w:nsid w:val="00000020"/>
    <w:multiLevelType w:val="multilevel"/>
    <w:tmpl w:val="00000020"/>
    <w:lvl w:ilvl="0" w:tentative="0">
      <w:start w:val="1"/>
      <w:numFmt w:val="decimal"/>
      <w:lvlText w:val="(%1)"/>
      <w:lvlJc w:val="left"/>
      <w:pPr>
        <w:tabs>
          <w:tab w:val="left" w:pos="990"/>
        </w:tabs>
        <w:ind w:left="990" w:hanging="990"/>
      </w:pPr>
      <w:rPr>
        <w:rFonts w:hint="eastAsia"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27">
    <w:nsid w:val="00000022"/>
    <w:multiLevelType w:val="multilevel"/>
    <w:tmpl w:val="00000022"/>
    <w:lvl w:ilvl="0" w:tentative="0">
      <w:start w:val="1"/>
      <w:numFmt w:val="decimal"/>
      <w:lvlText w:val="(%1)"/>
      <w:lvlJc w:val="left"/>
      <w:pPr>
        <w:tabs>
          <w:tab w:val="left" w:pos="990"/>
        </w:tabs>
        <w:ind w:left="990" w:hanging="510"/>
      </w:pPr>
      <w:rPr>
        <w:rFonts w:hint="eastAsia" w:cs="Times New Roman"/>
        <w:color w:val="auto"/>
      </w:rPr>
    </w:lvl>
    <w:lvl w:ilvl="1" w:tentative="0">
      <w:start w:val="1"/>
      <w:numFmt w:val="decimal"/>
      <w:lvlText w:val="(%2)"/>
      <w:lvlJc w:val="left"/>
      <w:pPr>
        <w:tabs>
          <w:tab w:val="left" w:pos="1290"/>
        </w:tabs>
        <w:ind w:left="1290" w:hanging="390"/>
      </w:pPr>
      <w:rPr>
        <w:rFonts w:hint="eastAsia"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28">
    <w:nsid w:val="00000023"/>
    <w:multiLevelType w:val="multilevel"/>
    <w:tmpl w:val="00000023"/>
    <w:lvl w:ilvl="0" w:tentative="0">
      <w:start w:val="1"/>
      <w:numFmt w:val="decimal"/>
      <w:lvlText w:val="(%1)"/>
      <w:lvlJc w:val="left"/>
      <w:pPr>
        <w:tabs>
          <w:tab w:val="left" w:pos="1560"/>
        </w:tabs>
        <w:ind w:left="1560" w:hanging="1080"/>
      </w:pPr>
      <w:rPr>
        <w:rFonts w:hint="eastAsia"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29">
    <w:nsid w:val="00000024"/>
    <w:multiLevelType w:val="multilevel"/>
    <w:tmpl w:val="00000024"/>
    <w:lvl w:ilvl="0" w:tentative="0">
      <w:start w:val="5"/>
      <w:numFmt w:val="decimal"/>
      <w:lvlText w:val="%1"/>
      <w:lvlJc w:val="left"/>
      <w:pPr>
        <w:tabs>
          <w:tab w:val="left" w:pos="840"/>
        </w:tabs>
        <w:ind w:left="840" w:hanging="360"/>
      </w:pPr>
      <w:rPr>
        <w:rFonts w:hint="eastAsia"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30">
    <w:nsid w:val="00000025"/>
    <w:multiLevelType w:val="multilevel"/>
    <w:tmpl w:val="00000025"/>
    <w:lvl w:ilvl="0" w:tentative="0">
      <w:start w:val="1"/>
      <w:numFmt w:val="decimal"/>
      <w:lvlText w:val="(%1)"/>
      <w:lvlJc w:val="left"/>
      <w:pPr>
        <w:tabs>
          <w:tab w:val="left" w:pos="1440"/>
        </w:tabs>
        <w:ind w:left="1440" w:hanging="960"/>
      </w:pPr>
      <w:rPr>
        <w:rFonts w:hint="eastAsia"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31">
    <w:nsid w:val="00000026"/>
    <w:multiLevelType w:val="multilevel"/>
    <w:tmpl w:val="00000026"/>
    <w:lvl w:ilvl="0" w:tentative="0">
      <w:start w:val="1"/>
      <w:numFmt w:val="decimal"/>
      <w:lvlText w:val="(%1)"/>
      <w:lvlJc w:val="left"/>
      <w:pPr>
        <w:tabs>
          <w:tab w:val="left" w:pos="1080"/>
        </w:tabs>
        <w:ind w:left="1080" w:hanging="600"/>
      </w:pPr>
      <w:rPr>
        <w:rFonts w:hint="eastAsia" w:hAnsi="宋体"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32">
    <w:nsid w:val="00000027"/>
    <w:multiLevelType w:val="multilevel"/>
    <w:tmpl w:val="00000027"/>
    <w:lvl w:ilvl="0" w:tentative="0">
      <w:start w:val="1"/>
      <w:numFmt w:val="decimal"/>
      <w:lvlText w:val="(%1)"/>
      <w:lvlJc w:val="left"/>
      <w:pPr>
        <w:tabs>
          <w:tab w:val="left" w:pos="1560"/>
        </w:tabs>
        <w:ind w:left="1560" w:hanging="1080"/>
      </w:pPr>
      <w:rPr>
        <w:rFonts w:hint="eastAsia"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33">
    <w:nsid w:val="00000028"/>
    <w:multiLevelType w:val="multilevel"/>
    <w:tmpl w:val="00000028"/>
    <w:lvl w:ilvl="0" w:tentative="0">
      <w:start w:val="1"/>
      <w:numFmt w:val="japaneseCounting"/>
      <w:lvlText w:val="%1、"/>
      <w:lvlJc w:val="left"/>
      <w:pPr>
        <w:tabs>
          <w:tab w:val="left" w:pos="720"/>
        </w:tabs>
        <w:ind w:left="720" w:hanging="720"/>
      </w:pPr>
      <w:rPr>
        <w:rFonts w:hint="default" w:cs="Times New Roman"/>
      </w:rPr>
    </w:lvl>
    <w:lvl w:ilvl="1" w:tentative="0">
      <w:start w:val="1"/>
      <w:numFmt w:val="decimal"/>
      <w:lvlText w:val="%2、"/>
      <w:lvlJc w:val="left"/>
      <w:pPr>
        <w:tabs>
          <w:tab w:val="left" w:pos="780"/>
        </w:tabs>
        <w:ind w:left="780" w:hanging="360"/>
      </w:pPr>
      <w:rPr>
        <w:rFonts w:hint="default" w:cs="Times New Roman"/>
      </w:rPr>
    </w:lvl>
    <w:lvl w:ilvl="2" w:tentative="0">
      <w:start w:val="1"/>
      <w:numFmt w:val="lowerRoman"/>
      <w:lvlRestart w:val="0"/>
      <w:lvlText w:val="%3."/>
      <w:lvlJc w:val="right"/>
      <w:pPr>
        <w:tabs>
          <w:tab w:val="left" w:pos="1260"/>
        </w:tabs>
        <w:ind w:left="1260" w:hanging="420"/>
      </w:pPr>
      <w:rPr>
        <w:rFonts w:cs="Times New Roman"/>
      </w:rPr>
    </w:lvl>
    <w:lvl w:ilvl="3" w:tentative="0">
      <w:start w:val="1"/>
      <w:numFmt w:val="decimal"/>
      <w:lvlRestart w:val="0"/>
      <w:lvlText w:val="%4."/>
      <w:lvlJc w:val="left"/>
      <w:pPr>
        <w:tabs>
          <w:tab w:val="left" w:pos="1680"/>
        </w:tabs>
        <w:ind w:left="1680" w:hanging="420"/>
      </w:pPr>
      <w:rPr>
        <w:rFonts w:cs="Times New Roman"/>
      </w:rPr>
    </w:lvl>
    <w:lvl w:ilvl="4" w:tentative="0">
      <w:start w:val="1"/>
      <w:numFmt w:val="lowerLetter"/>
      <w:lvlRestart w:val="0"/>
      <w:lvlText w:val="%5)"/>
      <w:lvlJc w:val="left"/>
      <w:pPr>
        <w:tabs>
          <w:tab w:val="left" w:pos="2100"/>
        </w:tabs>
        <w:ind w:left="2100" w:hanging="420"/>
      </w:pPr>
      <w:rPr>
        <w:rFonts w:cs="Times New Roman"/>
      </w:rPr>
    </w:lvl>
    <w:lvl w:ilvl="5" w:tentative="0">
      <w:start w:val="1"/>
      <w:numFmt w:val="lowerRoman"/>
      <w:lvlRestart w:val="0"/>
      <w:lvlText w:val="%6."/>
      <w:lvlJc w:val="right"/>
      <w:pPr>
        <w:tabs>
          <w:tab w:val="left" w:pos="2520"/>
        </w:tabs>
        <w:ind w:left="2520" w:hanging="420"/>
      </w:pPr>
      <w:rPr>
        <w:rFonts w:cs="Times New Roman"/>
      </w:rPr>
    </w:lvl>
    <w:lvl w:ilvl="6" w:tentative="0">
      <w:start w:val="1"/>
      <w:numFmt w:val="decimal"/>
      <w:lvlRestart w:val="0"/>
      <w:lvlText w:val="%7."/>
      <w:lvlJc w:val="left"/>
      <w:pPr>
        <w:tabs>
          <w:tab w:val="left" w:pos="2940"/>
        </w:tabs>
        <w:ind w:left="2940" w:hanging="420"/>
      </w:pPr>
      <w:rPr>
        <w:rFonts w:cs="Times New Roman"/>
      </w:rPr>
    </w:lvl>
    <w:lvl w:ilvl="7" w:tentative="0">
      <w:start w:val="1"/>
      <w:numFmt w:val="lowerLetter"/>
      <w:lvlRestart w:val="0"/>
      <w:lvlText w:val="%8)"/>
      <w:lvlJc w:val="left"/>
      <w:pPr>
        <w:tabs>
          <w:tab w:val="left" w:pos="3360"/>
        </w:tabs>
        <w:ind w:left="3360" w:hanging="420"/>
      </w:pPr>
      <w:rPr>
        <w:rFonts w:cs="Times New Roman"/>
      </w:rPr>
    </w:lvl>
    <w:lvl w:ilvl="8" w:tentative="0">
      <w:start w:val="1"/>
      <w:numFmt w:val="lowerRoman"/>
      <w:lvlRestart w:val="0"/>
      <w:lvlText w:val="%9."/>
      <w:lvlJc w:val="right"/>
      <w:pPr>
        <w:tabs>
          <w:tab w:val="left" w:pos="3780"/>
        </w:tabs>
        <w:ind w:left="3780" w:hanging="420"/>
      </w:pPr>
      <w:rPr>
        <w:rFonts w:cs="Times New Roman"/>
      </w:rPr>
    </w:lvl>
  </w:abstractNum>
  <w:abstractNum w:abstractNumId="34">
    <w:nsid w:val="00000029"/>
    <w:multiLevelType w:val="multilevel"/>
    <w:tmpl w:val="00000029"/>
    <w:lvl w:ilvl="0" w:tentative="0">
      <w:start w:val="1"/>
      <w:numFmt w:val="decimal"/>
      <w:lvlText w:val="(%1)"/>
      <w:lvlJc w:val="left"/>
      <w:pPr>
        <w:tabs>
          <w:tab w:val="left" w:pos="1200"/>
        </w:tabs>
        <w:ind w:left="1200" w:hanging="720"/>
      </w:pPr>
      <w:rPr>
        <w:rFonts w:hint="eastAsia"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35">
    <w:nsid w:val="0A49C2F9"/>
    <w:multiLevelType w:val="singleLevel"/>
    <w:tmpl w:val="0A49C2F9"/>
    <w:lvl w:ilvl="0" w:tentative="0">
      <w:start w:val="2"/>
      <w:numFmt w:val="chineseCounting"/>
      <w:suff w:val="space"/>
      <w:lvlText w:val="第%1部分"/>
      <w:lvlJc w:val="left"/>
      <w:rPr>
        <w:rFonts w:hint="eastAsia"/>
      </w:rPr>
    </w:lvl>
  </w:abstractNum>
  <w:abstractNum w:abstractNumId="36">
    <w:nsid w:val="147CA2A1"/>
    <w:multiLevelType w:val="singleLevel"/>
    <w:tmpl w:val="147CA2A1"/>
    <w:lvl w:ilvl="0" w:tentative="0">
      <w:start w:val="2"/>
      <w:numFmt w:val="decimal"/>
      <w:suff w:val="nothing"/>
      <w:lvlText w:val="%1．"/>
      <w:lvlJc w:val="left"/>
    </w:lvl>
  </w:abstractNum>
  <w:abstractNum w:abstractNumId="37">
    <w:nsid w:val="5969DF8E"/>
    <w:multiLevelType w:val="singleLevel"/>
    <w:tmpl w:val="5969DF8E"/>
    <w:lvl w:ilvl="0" w:tentative="0">
      <w:start w:val="2"/>
      <w:numFmt w:val="chineseCounting"/>
      <w:suff w:val="nothing"/>
      <w:lvlText w:val="（%1）"/>
      <w:lvlJc w:val="left"/>
    </w:lvl>
  </w:abstractNum>
  <w:abstractNum w:abstractNumId="38">
    <w:nsid w:val="7FE8A886"/>
    <w:multiLevelType w:val="singleLevel"/>
    <w:tmpl w:val="7FE8A886"/>
    <w:lvl w:ilvl="0" w:tentative="0">
      <w:start w:val="1"/>
      <w:numFmt w:val="decimal"/>
      <w:suff w:val="nothing"/>
      <w:lvlText w:val="（%1）"/>
      <w:lvlJc w:val="left"/>
    </w:lvl>
  </w:abstractNum>
  <w:num w:numId="1">
    <w:abstractNumId w:val="37"/>
  </w:num>
  <w:num w:numId="2">
    <w:abstractNumId w:val="35"/>
  </w:num>
  <w:num w:numId="3">
    <w:abstractNumId w:val="33"/>
  </w:num>
  <w:num w:numId="4">
    <w:abstractNumId w:val="17"/>
  </w:num>
  <w:num w:numId="5">
    <w:abstractNumId w:val="2"/>
  </w:num>
  <w:num w:numId="6">
    <w:abstractNumId w:val="15"/>
  </w:num>
  <w:num w:numId="7">
    <w:abstractNumId w:val="9"/>
  </w:num>
  <w:num w:numId="8">
    <w:abstractNumId w:val="24"/>
  </w:num>
  <w:num w:numId="9">
    <w:abstractNumId w:val="26"/>
  </w:num>
  <w:num w:numId="10">
    <w:abstractNumId w:val="10"/>
  </w:num>
  <w:num w:numId="11">
    <w:abstractNumId w:val="27"/>
  </w:num>
  <w:num w:numId="12">
    <w:abstractNumId w:val="5"/>
  </w:num>
  <w:num w:numId="13">
    <w:abstractNumId w:val="3"/>
  </w:num>
  <w:num w:numId="14">
    <w:abstractNumId w:val="28"/>
  </w:num>
  <w:num w:numId="15">
    <w:abstractNumId w:val="31"/>
  </w:num>
  <w:num w:numId="16">
    <w:abstractNumId w:val="6"/>
  </w:num>
  <w:num w:numId="17">
    <w:abstractNumId w:val="12"/>
  </w:num>
  <w:num w:numId="18">
    <w:abstractNumId w:val="19"/>
  </w:num>
  <w:num w:numId="19">
    <w:abstractNumId w:val="7"/>
  </w:num>
  <w:num w:numId="20">
    <w:abstractNumId w:val="23"/>
  </w:num>
  <w:num w:numId="21">
    <w:abstractNumId w:val="14"/>
  </w:num>
  <w:num w:numId="22">
    <w:abstractNumId w:val="4"/>
  </w:num>
  <w:num w:numId="23">
    <w:abstractNumId w:val="25"/>
  </w:num>
  <w:num w:numId="24">
    <w:abstractNumId w:val="30"/>
  </w:num>
  <w:num w:numId="25">
    <w:abstractNumId w:val="34"/>
  </w:num>
  <w:num w:numId="26">
    <w:abstractNumId w:val="16"/>
  </w:num>
  <w:num w:numId="27">
    <w:abstractNumId w:val="11"/>
  </w:num>
  <w:num w:numId="28">
    <w:abstractNumId w:val="32"/>
  </w:num>
  <w:num w:numId="29">
    <w:abstractNumId w:val="22"/>
  </w:num>
  <w:num w:numId="30">
    <w:abstractNumId w:val="21"/>
  </w:num>
  <w:num w:numId="31">
    <w:abstractNumId w:val="13"/>
  </w:num>
  <w:num w:numId="32">
    <w:abstractNumId w:val="36"/>
  </w:num>
  <w:num w:numId="33">
    <w:abstractNumId w:val="38"/>
  </w:num>
  <w:num w:numId="34">
    <w:abstractNumId w:val="20"/>
  </w:num>
  <w:num w:numId="35">
    <w:abstractNumId w:val="8"/>
  </w:num>
  <w:num w:numId="36">
    <w:abstractNumId w:val="0"/>
  </w:num>
  <w:num w:numId="37">
    <w:abstractNumId w:val="1"/>
  </w:num>
  <w:num w:numId="38">
    <w:abstractNumId w:val="18"/>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hideSpellingErrors/>
  <w:trackRevisions w:val="1"/>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2MGQyMDY0ZTE2NmQ4ZWZjNjk1YTYxNjJkNzc5ZTMifQ=="/>
  </w:docVars>
  <w:rsids>
    <w:rsidRoot w:val="3CAE37AC"/>
    <w:rsid w:val="00000FC8"/>
    <w:rsid w:val="00016B9F"/>
    <w:rsid w:val="00030580"/>
    <w:rsid w:val="00037776"/>
    <w:rsid w:val="00051121"/>
    <w:rsid w:val="00064AC6"/>
    <w:rsid w:val="000947A3"/>
    <w:rsid w:val="00095F4B"/>
    <w:rsid w:val="00096A13"/>
    <w:rsid w:val="000B0484"/>
    <w:rsid w:val="000B57F4"/>
    <w:rsid w:val="000B5B4B"/>
    <w:rsid w:val="000C2A70"/>
    <w:rsid w:val="000C5BF4"/>
    <w:rsid w:val="000D121E"/>
    <w:rsid w:val="000D6A9A"/>
    <w:rsid w:val="000E66A5"/>
    <w:rsid w:val="000F4D39"/>
    <w:rsid w:val="00104867"/>
    <w:rsid w:val="00107124"/>
    <w:rsid w:val="001100A2"/>
    <w:rsid w:val="00112C9E"/>
    <w:rsid w:val="00113A73"/>
    <w:rsid w:val="00126403"/>
    <w:rsid w:val="00130AF4"/>
    <w:rsid w:val="00134605"/>
    <w:rsid w:val="001348F8"/>
    <w:rsid w:val="00142039"/>
    <w:rsid w:val="00145774"/>
    <w:rsid w:val="00145CFC"/>
    <w:rsid w:val="001518EE"/>
    <w:rsid w:val="00160633"/>
    <w:rsid w:val="001737A7"/>
    <w:rsid w:val="00180661"/>
    <w:rsid w:val="0018066B"/>
    <w:rsid w:val="001823C5"/>
    <w:rsid w:val="001874D3"/>
    <w:rsid w:val="00191AD8"/>
    <w:rsid w:val="001A353A"/>
    <w:rsid w:val="001B58D9"/>
    <w:rsid w:val="001C6463"/>
    <w:rsid w:val="001D3D41"/>
    <w:rsid w:val="001D6997"/>
    <w:rsid w:val="001E0E3F"/>
    <w:rsid w:val="001E642E"/>
    <w:rsid w:val="001F26ED"/>
    <w:rsid w:val="001F7EEE"/>
    <w:rsid w:val="00200399"/>
    <w:rsid w:val="00201F90"/>
    <w:rsid w:val="00203540"/>
    <w:rsid w:val="00204332"/>
    <w:rsid w:val="002047FE"/>
    <w:rsid w:val="00231D21"/>
    <w:rsid w:val="00235A4B"/>
    <w:rsid w:val="002503E7"/>
    <w:rsid w:val="0025591F"/>
    <w:rsid w:val="002620D0"/>
    <w:rsid w:val="00270EAE"/>
    <w:rsid w:val="00272C12"/>
    <w:rsid w:val="00286FAC"/>
    <w:rsid w:val="002941BF"/>
    <w:rsid w:val="002A37C4"/>
    <w:rsid w:val="002A7086"/>
    <w:rsid w:val="002B5E43"/>
    <w:rsid w:val="002C7E91"/>
    <w:rsid w:val="002E17D4"/>
    <w:rsid w:val="00306030"/>
    <w:rsid w:val="0031333A"/>
    <w:rsid w:val="003226E9"/>
    <w:rsid w:val="0032275D"/>
    <w:rsid w:val="00327DF8"/>
    <w:rsid w:val="0034422A"/>
    <w:rsid w:val="00354F88"/>
    <w:rsid w:val="0035502C"/>
    <w:rsid w:val="0035502F"/>
    <w:rsid w:val="00355BB2"/>
    <w:rsid w:val="00363B4A"/>
    <w:rsid w:val="003740ED"/>
    <w:rsid w:val="003745EF"/>
    <w:rsid w:val="00374EF2"/>
    <w:rsid w:val="00385AAB"/>
    <w:rsid w:val="003A4B90"/>
    <w:rsid w:val="003C7578"/>
    <w:rsid w:val="003D1112"/>
    <w:rsid w:val="003D5970"/>
    <w:rsid w:val="003E4473"/>
    <w:rsid w:val="00401EEB"/>
    <w:rsid w:val="00402BB6"/>
    <w:rsid w:val="00432986"/>
    <w:rsid w:val="00443B3D"/>
    <w:rsid w:val="00445612"/>
    <w:rsid w:val="00446582"/>
    <w:rsid w:val="00463A30"/>
    <w:rsid w:val="00471BEA"/>
    <w:rsid w:val="004743B3"/>
    <w:rsid w:val="00481774"/>
    <w:rsid w:val="004843D9"/>
    <w:rsid w:val="004A168B"/>
    <w:rsid w:val="004B3D09"/>
    <w:rsid w:val="004C195B"/>
    <w:rsid w:val="004D32B0"/>
    <w:rsid w:val="004D793A"/>
    <w:rsid w:val="004E7750"/>
    <w:rsid w:val="004F0B4C"/>
    <w:rsid w:val="00504822"/>
    <w:rsid w:val="00505B10"/>
    <w:rsid w:val="00514496"/>
    <w:rsid w:val="00514F08"/>
    <w:rsid w:val="005178D0"/>
    <w:rsid w:val="00517DC7"/>
    <w:rsid w:val="0053158B"/>
    <w:rsid w:val="0056357B"/>
    <w:rsid w:val="0056389A"/>
    <w:rsid w:val="00563F6A"/>
    <w:rsid w:val="00565105"/>
    <w:rsid w:val="00572766"/>
    <w:rsid w:val="00581263"/>
    <w:rsid w:val="005852D0"/>
    <w:rsid w:val="005869A4"/>
    <w:rsid w:val="00587ABD"/>
    <w:rsid w:val="00593F96"/>
    <w:rsid w:val="005C0F65"/>
    <w:rsid w:val="005C6097"/>
    <w:rsid w:val="005D0A3D"/>
    <w:rsid w:val="005E1D7E"/>
    <w:rsid w:val="005E3EDD"/>
    <w:rsid w:val="005E71EC"/>
    <w:rsid w:val="00614FD1"/>
    <w:rsid w:val="006326CC"/>
    <w:rsid w:val="00643919"/>
    <w:rsid w:val="006442C7"/>
    <w:rsid w:val="00644D69"/>
    <w:rsid w:val="0064574F"/>
    <w:rsid w:val="006470BF"/>
    <w:rsid w:val="006567F8"/>
    <w:rsid w:val="00660247"/>
    <w:rsid w:val="006712E3"/>
    <w:rsid w:val="0069029D"/>
    <w:rsid w:val="006A144C"/>
    <w:rsid w:val="006A37E0"/>
    <w:rsid w:val="006A4902"/>
    <w:rsid w:val="006B3D11"/>
    <w:rsid w:val="006D328D"/>
    <w:rsid w:val="00700BDE"/>
    <w:rsid w:val="00707769"/>
    <w:rsid w:val="00717CEF"/>
    <w:rsid w:val="00736F7E"/>
    <w:rsid w:val="00747B9D"/>
    <w:rsid w:val="0075687D"/>
    <w:rsid w:val="007672B9"/>
    <w:rsid w:val="00770775"/>
    <w:rsid w:val="0077509E"/>
    <w:rsid w:val="00782056"/>
    <w:rsid w:val="00796BC5"/>
    <w:rsid w:val="007A1390"/>
    <w:rsid w:val="007A2310"/>
    <w:rsid w:val="007A2A65"/>
    <w:rsid w:val="007A39C1"/>
    <w:rsid w:val="007B174F"/>
    <w:rsid w:val="007B41BE"/>
    <w:rsid w:val="007B5FC0"/>
    <w:rsid w:val="007B612D"/>
    <w:rsid w:val="007B775C"/>
    <w:rsid w:val="007C384D"/>
    <w:rsid w:val="007C49C7"/>
    <w:rsid w:val="007C55BB"/>
    <w:rsid w:val="007E3F60"/>
    <w:rsid w:val="007F3C02"/>
    <w:rsid w:val="00800827"/>
    <w:rsid w:val="00807411"/>
    <w:rsid w:val="00823866"/>
    <w:rsid w:val="00824DCF"/>
    <w:rsid w:val="008310AC"/>
    <w:rsid w:val="00833AFD"/>
    <w:rsid w:val="00837114"/>
    <w:rsid w:val="00856FFB"/>
    <w:rsid w:val="00881915"/>
    <w:rsid w:val="00897079"/>
    <w:rsid w:val="008A5386"/>
    <w:rsid w:val="008A586C"/>
    <w:rsid w:val="008A5D37"/>
    <w:rsid w:val="008B0418"/>
    <w:rsid w:val="008B12B2"/>
    <w:rsid w:val="008C040F"/>
    <w:rsid w:val="008C3411"/>
    <w:rsid w:val="008C4A37"/>
    <w:rsid w:val="008C53D3"/>
    <w:rsid w:val="008D1782"/>
    <w:rsid w:val="008F1351"/>
    <w:rsid w:val="008F2E16"/>
    <w:rsid w:val="008F7C3B"/>
    <w:rsid w:val="009039B0"/>
    <w:rsid w:val="00913097"/>
    <w:rsid w:val="00942794"/>
    <w:rsid w:val="00942A3F"/>
    <w:rsid w:val="009444DC"/>
    <w:rsid w:val="0096210E"/>
    <w:rsid w:val="0096698E"/>
    <w:rsid w:val="00971BAE"/>
    <w:rsid w:val="00983425"/>
    <w:rsid w:val="0098684E"/>
    <w:rsid w:val="009906C9"/>
    <w:rsid w:val="009927E9"/>
    <w:rsid w:val="009A2F6A"/>
    <w:rsid w:val="009A4DAC"/>
    <w:rsid w:val="009A6C18"/>
    <w:rsid w:val="009B1B8A"/>
    <w:rsid w:val="009B5E13"/>
    <w:rsid w:val="009B6AED"/>
    <w:rsid w:val="009C0862"/>
    <w:rsid w:val="009D4A60"/>
    <w:rsid w:val="009D53E0"/>
    <w:rsid w:val="00A04CED"/>
    <w:rsid w:val="00A0554B"/>
    <w:rsid w:val="00A06DA1"/>
    <w:rsid w:val="00A21C1F"/>
    <w:rsid w:val="00A23139"/>
    <w:rsid w:val="00A42F64"/>
    <w:rsid w:val="00A51565"/>
    <w:rsid w:val="00A772AA"/>
    <w:rsid w:val="00AA671E"/>
    <w:rsid w:val="00AB52FA"/>
    <w:rsid w:val="00AD537E"/>
    <w:rsid w:val="00AE6B4A"/>
    <w:rsid w:val="00AF2C69"/>
    <w:rsid w:val="00B00943"/>
    <w:rsid w:val="00B03D7D"/>
    <w:rsid w:val="00B23539"/>
    <w:rsid w:val="00B33A4B"/>
    <w:rsid w:val="00B36A83"/>
    <w:rsid w:val="00B51D7A"/>
    <w:rsid w:val="00B66071"/>
    <w:rsid w:val="00B71FC7"/>
    <w:rsid w:val="00B72788"/>
    <w:rsid w:val="00B72BA8"/>
    <w:rsid w:val="00B96F4F"/>
    <w:rsid w:val="00BA0310"/>
    <w:rsid w:val="00BA175A"/>
    <w:rsid w:val="00BC3892"/>
    <w:rsid w:val="00BC4ACD"/>
    <w:rsid w:val="00BE71FC"/>
    <w:rsid w:val="00BF63F3"/>
    <w:rsid w:val="00C04F52"/>
    <w:rsid w:val="00C278A5"/>
    <w:rsid w:val="00C364E9"/>
    <w:rsid w:val="00C5059E"/>
    <w:rsid w:val="00CB2C3C"/>
    <w:rsid w:val="00CB4601"/>
    <w:rsid w:val="00CB6672"/>
    <w:rsid w:val="00CB77A0"/>
    <w:rsid w:val="00CC7193"/>
    <w:rsid w:val="00CE534F"/>
    <w:rsid w:val="00CF015E"/>
    <w:rsid w:val="00CF4C19"/>
    <w:rsid w:val="00CF6315"/>
    <w:rsid w:val="00D079D6"/>
    <w:rsid w:val="00D169B4"/>
    <w:rsid w:val="00D234F2"/>
    <w:rsid w:val="00D2429B"/>
    <w:rsid w:val="00D272E8"/>
    <w:rsid w:val="00D30F06"/>
    <w:rsid w:val="00D41BCC"/>
    <w:rsid w:val="00D52B00"/>
    <w:rsid w:val="00D622AD"/>
    <w:rsid w:val="00D81E05"/>
    <w:rsid w:val="00D86E79"/>
    <w:rsid w:val="00D913E1"/>
    <w:rsid w:val="00D92621"/>
    <w:rsid w:val="00D95EDC"/>
    <w:rsid w:val="00DA424D"/>
    <w:rsid w:val="00DA5D84"/>
    <w:rsid w:val="00DC3744"/>
    <w:rsid w:val="00DF19F0"/>
    <w:rsid w:val="00DF52DC"/>
    <w:rsid w:val="00E0318F"/>
    <w:rsid w:val="00E071F2"/>
    <w:rsid w:val="00E152FE"/>
    <w:rsid w:val="00E161A3"/>
    <w:rsid w:val="00E16208"/>
    <w:rsid w:val="00E21C41"/>
    <w:rsid w:val="00E21DE2"/>
    <w:rsid w:val="00E25D49"/>
    <w:rsid w:val="00E410E8"/>
    <w:rsid w:val="00E42D63"/>
    <w:rsid w:val="00E65AB7"/>
    <w:rsid w:val="00E777C3"/>
    <w:rsid w:val="00EB155D"/>
    <w:rsid w:val="00EB678E"/>
    <w:rsid w:val="00EC43C9"/>
    <w:rsid w:val="00EE0A4E"/>
    <w:rsid w:val="00EE0B20"/>
    <w:rsid w:val="00EF020C"/>
    <w:rsid w:val="00EF17AA"/>
    <w:rsid w:val="00F00864"/>
    <w:rsid w:val="00F0331B"/>
    <w:rsid w:val="00F10890"/>
    <w:rsid w:val="00F13314"/>
    <w:rsid w:val="00F148E2"/>
    <w:rsid w:val="00F257EC"/>
    <w:rsid w:val="00F355E7"/>
    <w:rsid w:val="00F41BBC"/>
    <w:rsid w:val="00F43CC7"/>
    <w:rsid w:val="00F725F4"/>
    <w:rsid w:val="00F74558"/>
    <w:rsid w:val="00F770DB"/>
    <w:rsid w:val="00FA1F11"/>
    <w:rsid w:val="00FA63F1"/>
    <w:rsid w:val="00FA7A4B"/>
    <w:rsid w:val="00FC56BB"/>
    <w:rsid w:val="00FC616B"/>
    <w:rsid w:val="00FC6A31"/>
    <w:rsid w:val="00FC6AD7"/>
    <w:rsid w:val="00FE3AF2"/>
    <w:rsid w:val="00FE483A"/>
    <w:rsid w:val="00FE6D88"/>
    <w:rsid w:val="00FF549B"/>
    <w:rsid w:val="0359140E"/>
    <w:rsid w:val="05241810"/>
    <w:rsid w:val="05C375FE"/>
    <w:rsid w:val="065744F9"/>
    <w:rsid w:val="08AB319C"/>
    <w:rsid w:val="0A8D2043"/>
    <w:rsid w:val="0AAA61BD"/>
    <w:rsid w:val="0BDA31C9"/>
    <w:rsid w:val="0C115D59"/>
    <w:rsid w:val="0E3A5F83"/>
    <w:rsid w:val="12DC6181"/>
    <w:rsid w:val="163559AE"/>
    <w:rsid w:val="1C971F73"/>
    <w:rsid w:val="1D03004E"/>
    <w:rsid w:val="1E5868B0"/>
    <w:rsid w:val="1ECA5F57"/>
    <w:rsid w:val="23D50AF0"/>
    <w:rsid w:val="25143B77"/>
    <w:rsid w:val="25155DB1"/>
    <w:rsid w:val="282563FA"/>
    <w:rsid w:val="29DB15B8"/>
    <w:rsid w:val="2A141E18"/>
    <w:rsid w:val="2B933F3C"/>
    <w:rsid w:val="2E951288"/>
    <w:rsid w:val="2F8D1F5F"/>
    <w:rsid w:val="3012134F"/>
    <w:rsid w:val="309C3041"/>
    <w:rsid w:val="38612CFB"/>
    <w:rsid w:val="398C6634"/>
    <w:rsid w:val="3AD81F29"/>
    <w:rsid w:val="3CAE37AC"/>
    <w:rsid w:val="3D5642D8"/>
    <w:rsid w:val="3D992F1C"/>
    <w:rsid w:val="3DF65D9B"/>
    <w:rsid w:val="3FFD12F4"/>
    <w:rsid w:val="41471623"/>
    <w:rsid w:val="41F25ACB"/>
    <w:rsid w:val="42951316"/>
    <w:rsid w:val="439B27FA"/>
    <w:rsid w:val="43B9682A"/>
    <w:rsid w:val="447B634A"/>
    <w:rsid w:val="470E2DEB"/>
    <w:rsid w:val="47BE5D5A"/>
    <w:rsid w:val="48AA3D9C"/>
    <w:rsid w:val="4A3F68A0"/>
    <w:rsid w:val="4B6E0A3F"/>
    <w:rsid w:val="4D4A673F"/>
    <w:rsid w:val="4ED13DE7"/>
    <w:rsid w:val="51DA44AC"/>
    <w:rsid w:val="5334431C"/>
    <w:rsid w:val="53F27EEC"/>
    <w:rsid w:val="56B968FB"/>
    <w:rsid w:val="57923D07"/>
    <w:rsid w:val="580C7A6B"/>
    <w:rsid w:val="5A9F1569"/>
    <w:rsid w:val="5B7A649E"/>
    <w:rsid w:val="5BAE2B14"/>
    <w:rsid w:val="5D216C06"/>
    <w:rsid w:val="60BB4F74"/>
    <w:rsid w:val="69E94FF3"/>
    <w:rsid w:val="6F8E0510"/>
    <w:rsid w:val="78FA19E0"/>
    <w:rsid w:val="79205D88"/>
    <w:rsid w:val="79E91ED7"/>
    <w:rsid w:val="7C057BDC"/>
    <w:rsid w:val="7D2B1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kern w:val="0"/>
      <w:sz w:val="20"/>
      <w:szCs w:val="20"/>
    </w:rPr>
  </w:style>
  <w:style w:type="paragraph" w:styleId="3">
    <w:name w:val="Normal Indent"/>
    <w:basedOn w:val="1"/>
    <w:next w:val="1"/>
    <w:qFormat/>
    <w:uiPriority w:val="99"/>
    <w:pPr>
      <w:ind w:firstLine="420"/>
    </w:pPr>
    <w:rPr>
      <w:szCs w:val="20"/>
    </w:rPr>
  </w:style>
  <w:style w:type="paragraph" w:styleId="4">
    <w:name w:val="annotation text"/>
    <w:basedOn w:val="1"/>
    <w:link w:val="26"/>
    <w:qFormat/>
    <w:uiPriority w:val="0"/>
    <w:pPr>
      <w:jc w:val="left"/>
    </w:pPr>
    <w:rPr>
      <w:sz w:val="24"/>
      <w:szCs w:val="20"/>
    </w:rPr>
  </w:style>
  <w:style w:type="paragraph" w:styleId="5">
    <w:name w:val="Body Text 3"/>
    <w:basedOn w:val="1"/>
    <w:qFormat/>
    <w:uiPriority w:val="0"/>
    <w:pPr>
      <w:spacing w:after="120"/>
    </w:pPr>
    <w:rPr>
      <w:kern w:val="0"/>
      <w:sz w:val="16"/>
      <w:szCs w:val="20"/>
    </w:rPr>
  </w:style>
  <w:style w:type="paragraph" w:styleId="6">
    <w:name w:val="Body Text"/>
    <w:basedOn w:val="1"/>
    <w:qFormat/>
    <w:uiPriority w:val="0"/>
    <w:pPr>
      <w:spacing w:after="120"/>
    </w:pPr>
    <w:rPr>
      <w:kern w:val="0"/>
      <w:sz w:val="24"/>
      <w:szCs w:val="20"/>
    </w:rPr>
  </w:style>
  <w:style w:type="paragraph" w:styleId="7">
    <w:name w:val="Body Text Indent"/>
    <w:basedOn w:val="1"/>
    <w:qFormat/>
    <w:uiPriority w:val="0"/>
    <w:pPr>
      <w:ind w:firstLine="630"/>
    </w:pPr>
    <w:rPr>
      <w:rFonts w:ascii="宋体"/>
      <w:kern w:val="0"/>
      <w:sz w:val="20"/>
      <w:szCs w:val="20"/>
    </w:rPr>
  </w:style>
  <w:style w:type="paragraph" w:styleId="8">
    <w:name w:val="Body Text Indent 2"/>
    <w:basedOn w:val="1"/>
    <w:qFormat/>
    <w:uiPriority w:val="0"/>
    <w:pPr>
      <w:tabs>
        <w:tab w:val="left" w:pos="4970"/>
      </w:tabs>
      <w:spacing w:line="360" w:lineRule="auto"/>
      <w:ind w:firstLine="480" w:firstLineChars="200"/>
    </w:pPr>
    <w:rPr>
      <w:kern w:val="0"/>
      <w:sz w:val="24"/>
      <w:szCs w:val="20"/>
    </w:rPr>
  </w:style>
  <w:style w:type="paragraph" w:styleId="9">
    <w:name w:val="Balloon Text"/>
    <w:basedOn w:val="1"/>
    <w:link w:val="25"/>
    <w:qFormat/>
    <w:uiPriority w:val="0"/>
    <w:rPr>
      <w:sz w:val="18"/>
      <w:szCs w:val="18"/>
    </w:rPr>
  </w:style>
  <w:style w:type="paragraph" w:styleId="10">
    <w:name w:val="footer"/>
    <w:basedOn w:val="1"/>
    <w:qFormat/>
    <w:uiPriority w:val="0"/>
    <w:pPr>
      <w:tabs>
        <w:tab w:val="center" w:pos="4153"/>
        <w:tab w:val="right" w:pos="8306"/>
      </w:tabs>
      <w:snapToGrid w:val="0"/>
      <w:jc w:val="left"/>
    </w:pPr>
    <w:rPr>
      <w:kern w:val="0"/>
      <w:sz w:val="18"/>
      <w:szCs w:val="20"/>
    </w:rPr>
  </w:style>
  <w:style w:type="paragraph" w:styleId="11">
    <w:name w:val="header"/>
    <w:basedOn w:val="1"/>
    <w:qFormat/>
    <w:uiPriority w:val="0"/>
    <w:pPr>
      <w:pBdr>
        <w:bottom w:val="single" w:color="auto" w:sz="6" w:space="1"/>
      </w:pBdr>
      <w:tabs>
        <w:tab w:val="center" w:pos="4153"/>
        <w:tab w:val="right" w:pos="8306"/>
      </w:tabs>
      <w:snapToGrid w:val="0"/>
      <w:jc w:val="center"/>
    </w:pPr>
    <w:rPr>
      <w:kern w:val="0"/>
      <w:sz w:val="18"/>
      <w:szCs w:val="20"/>
    </w:rPr>
  </w:style>
  <w:style w:type="paragraph" w:styleId="12">
    <w:name w:val="Body Text Indent 3"/>
    <w:basedOn w:val="1"/>
    <w:qFormat/>
    <w:uiPriority w:val="0"/>
    <w:pPr>
      <w:spacing w:line="360" w:lineRule="auto"/>
      <w:ind w:left="1978" w:leftChars="942"/>
    </w:pPr>
    <w:rPr>
      <w:rFonts w:hAnsi="宋体"/>
      <w:kern w:val="0"/>
      <w:sz w:val="24"/>
      <w:szCs w:val="20"/>
    </w:rPr>
  </w:style>
  <w:style w:type="paragraph" w:styleId="13">
    <w:name w:val="Body Text 2"/>
    <w:basedOn w:val="1"/>
    <w:qFormat/>
    <w:uiPriority w:val="0"/>
    <w:rPr>
      <w:rFonts w:eastAsia="楷体_GB2312"/>
      <w:b/>
      <w:kern w:val="0"/>
      <w:sz w:val="24"/>
      <w:szCs w:val="20"/>
    </w:rPr>
  </w:style>
  <w:style w:type="paragraph" w:styleId="14">
    <w:name w:val="Normal (Web)"/>
    <w:basedOn w:val="1"/>
    <w:qFormat/>
    <w:uiPriority w:val="0"/>
    <w:pPr>
      <w:widowControl/>
      <w:jc w:val="left"/>
    </w:pPr>
    <w:rPr>
      <w:rFonts w:ascii="宋体" w:hAnsi="宋体" w:cs="宋体"/>
      <w:kern w:val="0"/>
      <w:sz w:val="24"/>
    </w:rPr>
  </w:style>
  <w:style w:type="paragraph" w:styleId="15">
    <w:name w:val="annotation subject"/>
    <w:basedOn w:val="4"/>
    <w:next w:val="4"/>
    <w:link w:val="27"/>
    <w:qFormat/>
    <w:uiPriority w:val="0"/>
    <w:rPr>
      <w:b/>
      <w:bCs/>
      <w:sz w:val="21"/>
      <w:szCs w:val="24"/>
    </w:rPr>
  </w:style>
  <w:style w:type="character" w:styleId="18">
    <w:name w:val="Strong"/>
    <w:basedOn w:val="17"/>
    <w:qFormat/>
    <w:uiPriority w:val="0"/>
    <w:rPr>
      <w:b/>
    </w:rPr>
  </w:style>
  <w:style w:type="character" w:styleId="19">
    <w:name w:val="page number"/>
    <w:basedOn w:val="17"/>
    <w:qFormat/>
    <w:uiPriority w:val="0"/>
    <w:rPr>
      <w:rFonts w:ascii="Times New Roman" w:hAnsi="Times New Roman" w:eastAsia="宋体"/>
    </w:rPr>
  </w:style>
  <w:style w:type="character" w:styleId="20">
    <w:name w:val="annotation reference"/>
    <w:basedOn w:val="17"/>
    <w:qFormat/>
    <w:uiPriority w:val="0"/>
    <w:rPr>
      <w:sz w:val="21"/>
      <w:szCs w:val="21"/>
    </w:rPr>
  </w:style>
  <w:style w:type="paragraph" w:customStyle="1" w:styleId="21">
    <w:name w:val="3eee"/>
    <w:basedOn w:val="1"/>
    <w:qFormat/>
    <w:uiPriority w:val="0"/>
    <w:pPr>
      <w:spacing w:line="440" w:lineRule="exact"/>
      <w:ind w:firstLine="480" w:firstLineChars="200"/>
    </w:pPr>
    <w:rPr>
      <w:rFonts w:ascii="宋体" w:hAnsi="宋体"/>
      <w:sz w:val="24"/>
    </w:rPr>
  </w:style>
  <w:style w:type="character" w:customStyle="1" w:styleId="22">
    <w:name w:val="HTML Markup"/>
    <w:qFormat/>
    <w:uiPriority w:val="0"/>
    <w:rPr>
      <w:rFonts w:ascii="Times New Roman" w:hAnsi="Times New Roman" w:eastAsia="宋体"/>
      <w:vanish/>
      <w:color w:val="FF0000"/>
    </w:rPr>
  </w:style>
  <w:style w:type="paragraph" w:customStyle="1" w:styleId="23">
    <w:name w:val="列出段落1"/>
    <w:basedOn w:val="1"/>
    <w:qFormat/>
    <w:uiPriority w:val="0"/>
    <w:pPr>
      <w:ind w:firstLine="420" w:firstLineChars="200"/>
    </w:pPr>
  </w:style>
  <w:style w:type="paragraph" w:styleId="24">
    <w:name w:val="List Paragraph"/>
    <w:basedOn w:val="1"/>
    <w:unhideWhenUsed/>
    <w:qFormat/>
    <w:uiPriority w:val="1"/>
    <w:pPr>
      <w:ind w:firstLine="420" w:firstLineChars="200"/>
    </w:pPr>
  </w:style>
  <w:style w:type="character" w:customStyle="1" w:styleId="25">
    <w:name w:val="批注框文本 Char"/>
    <w:basedOn w:val="17"/>
    <w:link w:val="9"/>
    <w:qFormat/>
    <w:uiPriority w:val="0"/>
    <w:rPr>
      <w:kern w:val="2"/>
      <w:sz w:val="18"/>
      <w:szCs w:val="18"/>
    </w:rPr>
  </w:style>
  <w:style w:type="character" w:customStyle="1" w:styleId="26">
    <w:name w:val="批注文字 Char"/>
    <w:basedOn w:val="17"/>
    <w:link w:val="4"/>
    <w:qFormat/>
    <w:uiPriority w:val="0"/>
    <w:rPr>
      <w:kern w:val="2"/>
      <w:sz w:val="24"/>
    </w:rPr>
  </w:style>
  <w:style w:type="character" w:customStyle="1" w:styleId="27">
    <w:name w:val="批注主题 Char"/>
    <w:basedOn w:val="26"/>
    <w:link w:val="15"/>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B2C851-D2E6-4CC6-9DBA-2B2B0B1BBF6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136</Pages>
  <Words>80945</Words>
  <Characters>84521</Characters>
  <Lines>676</Lines>
  <Paragraphs>190</Paragraphs>
  <TotalTime>0</TotalTime>
  <ScaleCrop>false</ScaleCrop>
  <LinksUpToDate>false</LinksUpToDate>
  <CharactersWithSpaces>89682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2022-07-02T01:26:00Z</dcterms:created>
  <dc:creator>Administrator</dc:creator>
  <cp:lastModifiedBy>Silverb</cp:lastModifiedBy>
  <cp:lastPrinted>2024-07-18T04:19:00Z</cp:lastPrinted>
  <dcterms:modified xsi:type="dcterms:W3CDTF">2024-07-25T11:43:16Z</dcterms:modified>
  <cp:revision>316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9C4B1CF71BAE4BD49C2F46789CA9EDC0_13</vt:lpwstr>
  </property>
</Properties>
</file>