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440101-2024-15372</w:t>
      </w:r>
    </w:p>
    <w:p>
      <w:pPr>
        <w:pStyle w:val="null3"/>
        <w:jc w:val="center"/>
        <w:outlineLvl w:val="3"/>
      </w:pPr>
      <w:r>
        <w:rPr>
          <w:sz w:val="24"/>
          <w:b/>
        </w:rPr>
        <w:t>采购项目编号：</w:t>
      </w:r>
      <w:r>
        <w:rPr>
          <w:sz w:val="24"/>
          <w:b/>
        </w:rPr>
        <w:t>CZ2024-1081</w:t>
      </w:r>
    </w:p>
    <w:p>
      <w:pPr>
        <w:pStyle w:val="null3"/>
        <w:jc w:val="center"/>
        <w:outlineLvl w:val="3"/>
      </w:pPr>
      <w:r>
        <w:rPr>
          <w:sz w:val="24"/>
          <w:b/>
        </w:rPr>
        <w:t>项目名称：</w:t>
      </w:r>
      <w:r>
        <w:rPr>
          <w:sz w:val="24"/>
          <w:b/>
        </w:rPr>
        <w:t>广东省广州市中级人民法院2024年度办公设备耗材采购项目</w:t>
      </w:r>
    </w:p>
    <w:p>
      <w:pPr>
        <w:pStyle w:val="null3"/>
        <w:jc w:val="center"/>
        <w:outlineLvl w:val="3"/>
      </w:pPr>
      <w:r>
        <w:rPr>
          <w:sz w:val="24"/>
          <w:b/>
        </w:rPr>
        <w:t>采购人：</w:t>
      </w:r>
      <w:r>
        <w:rPr>
          <w:sz w:val="24"/>
          <w:b/>
        </w:rPr>
        <w:t>广东省广州市中级人民法院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广东省广州市中级人民法院</w:t>
      </w:r>
      <w:r>
        <w:rPr/>
        <w:t>的委托，采用</w:t>
      </w:r>
      <w:r>
        <w:rPr/>
        <w:t>公开招标</w:t>
      </w:r>
      <w:r>
        <w:rPr/>
        <w:t>方式组织采购</w:t>
      </w:r>
      <w:r>
        <w:rPr/>
        <w:t>广东省广州市中级人民法院2024年度办公设备耗材采购项目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广东省广州市中级人民法院2024年度办公设备耗材采购项目</w:t>
      </w:r>
    </w:p>
    <w:p>
      <w:pPr>
        <w:pStyle w:val="null3"/>
        <w:ind w:firstLine="480"/>
      </w:pPr>
      <w:r>
        <w:rPr/>
        <w:t>采购计划编号：</w:t>
      </w:r>
      <w:r>
        <w:rPr/>
        <w:t>440101-2024-15372</w:t>
      </w:r>
    </w:p>
    <w:p>
      <w:pPr>
        <w:pStyle w:val="null3"/>
        <w:ind w:firstLine="480"/>
      </w:pPr>
      <w:r>
        <w:rPr/>
        <w:t>采购项目编号：</w:t>
      </w:r>
      <w:r>
        <w:rPr/>
        <w:t>CZ2024-1081</w:t>
      </w:r>
    </w:p>
    <w:p>
      <w:pPr>
        <w:pStyle w:val="null3"/>
        <w:ind w:firstLine="480"/>
      </w:pPr>
      <w:r>
        <w:rPr/>
        <w:t>采购方式：</w:t>
      </w:r>
      <w:r>
        <w:rPr/>
        <w:t>公开招标</w:t>
      </w:r>
    </w:p>
    <w:p>
      <w:pPr>
        <w:pStyle w:val="null3"/>
        <w:ind w:firstLine="480"/>
      </w:pPr>
      <w:r>
        <w:rPr/>
        <w:t>预算金额：</w:t>
      </w:r>
      <w:r>
        <w:rPr/>
        <w:t>1,300,000.00</w:t>
      </w:r>
      <w:r>
        <w:rPr/>
        <w:t>元</w:t>
      </w:r>
    </w:p>
    <w:p>
      <w:pPr>
        <w:pStyle w:val="null3"/>
        <w:outlineLvl w:val="3"/>
      </w:pPr>
      <w:r>
        <w:rPr>
          <w:sz w:val="24"/>
          <w:b/>
        </w:rPr>
        <w:t>2.项目内容及需求情况（采购项目技术规格、参数及要求）</w:t>
      </w:r>
    </w:p>
    <w:p>
      <w:pPr>
        <w:pStyle w:val="null3"/>
      </w:pPr>
      <w:r>
        <w:rPr/>
        <w:t>采购包1(广东省广州市中级人民法院2024年度办公设备耗材采购项目):</w:t>
      </w:r>
    </w:p>
    <w:p>
      <w:pPr>
        <w:pStyle w:val="null3"/>
      </w:pPr>
      <w:r>
        <w:rPr/>
        <w:t>采购包预算金额：1,300,000.00元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鼓粉盒</w:t>
            </w:r>
          </w:p>
        </w:tc>
        <w:tc>
          <w:tcPr>
            <w:tcW w:type="dxa" w:w="2052"/>
          </w:tcPr>
          <w:p>
            <w:pPr>
              <w:pStyle w:val="null3"/>
            </w:pPr>
            <w:r>
              <w:rPr/>
              <w:t>2024年度办公设备耗材采购</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1,300,000.00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合同履行期限：合同签订之日起一年内或总结算金额达到项目预算（人民币130万元）时，以先到为准。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采购包1（广东省广州市中级人民法院2024年度办公设备耗材采购项目）：</w:t>
      </w:r>
      <w:r>
        <w:rPr/>
        <w:t>本项目不属于专门面向中小微企业采购的项目。</w:t>
      </w:r>
    </w:p>
    <w:p>
      <w:pPr>
        <w:pStyle w:val="null3"/>
        <w:outlineLvl w:val="3"/>
      </w:pPr>
      <w:r>
        <w:rPr>
          <w:sz w:val="24"/>
          <w:b/>
        </w:rPr>
        <w:t>3.本项目特定的资格要求：</w:t>
      </w:r>
    </w:p>
    <w:p>
      <w:pPr>
        <w:pStyle w:val="null3"/>
      </w:pPr>
      <w:r>
        <w:rPr/>
        <w:t>采购包1（广东省广州市中级人民法院2024年度办公设备耗材采购项目）：</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广东省广州市中级人民法院</w:t>
      </w:r>
    </w:p>
    <w:p>
      <w:pPr>
        <w:pStyle w:val="null3"/>
        <w:ind w:firstLine="480"/>
      </w:pPr>
      <w:r>
        <w:rPr/>
        <w:t xml:space="preserve"> 地址：</w:t>
      </w:r>
      <w:r>
        <w:rPr/>
        <w:t>广州市白云区启德路66号</w:t>
      </w:r>
    </w:p>
    <w:p>
      <w:pPr>
        <w:pStyle w:val="null3"/>
        <w:ind w:firstLine="480"/>
      </w:pPr>
      <w:r>
        <w:rPr/>
        <w:t xml:space="preserve"> 联系方式：</w:t>
      </w:r>
      <w:r>
        <w:rPr/>
        <w:t>85805853</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28866119、28866163</w:t>
      </w:r>
    </w:p>
    <w:p>
      <w:pPr>
        <w:pStyle w:val="null3"/>
        <w:outlineLvl w:val="3"/>
      </w:pPr>
      <w:r>
        <w:rPr>
          <w:sz w:val="24"/>
          <w:b/>
        </w:rPr>
        <w:t xml:space="preserve"> 3.项目联系方式</w:t>
      </w:r>
    </w:p>
    <w:p>
      <w:pPr>
        <w:pStyle w:val="null3"/>
        <w:ind w:firstLine="480"/>
      </w:pPr>
      <w:r>
        <w:rPr/>
        <w:t xml:space="preserve"> 项目联系人：</w:t>
      </w:r>
      <w:r>
        <w:rPr/>
        <w:t>黄婕（采购文件咨询）、何晓蕾（质疑受理）</w:t>
      </w:r>
    </w:p>
    <w:p>
      <w:pPr>
        <w:pStyle w:val="null3"/>
        <w:ind w:firstLine="480"/>
      </w:pPr>
      <w:r>
        <w:rPr/>
        <w:t xml:space="preserve"> 电话：</w:t>
      </w:r>
      <w:r>
        <w:rPr/>
        <w:t>28866119、28866163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项目属性：货物类</w:t>
      </w:r>
    </w:p>
    <w:p>
      <w:pPr>
        <w:pStyle w:val="null3"/>
        <w:ind w:firstLine="480"/>
        <w:jc w:val="both"/>
      </w:pPr>
      <w:r>
        <w:rPr>
          <w:sz w:val="24"/>
        </w:rPr>
        <w:t>本项目属于不专门面向中小微企业预留采购份额的项目，原因和情形为：</w:t>
      </w:r>
    </w:p>
    <w:p>
      <w:pPr>
        <w:pStyle w:val="null3"/>
        <w:ind w:firstLine="480"/>
        <w:jc w:val="both"/>
      </w:pPr>
      <w:r>
        <w:rPr>
          <w:sz w:val="24"/>
        </w:rPr>
        <w:t>按照《政府采购促进中小企业发展管理办法》规定预留采购份额无法确保充分供应、充分竞争，或者存在可能影响政府采购目标实现的情形。</w:t>
      </w:r>
    </w:p>
    <w:p>
      <w:pPr>
        <w:pStyle w:val="null3"/>
        <w:ind w:firstLine="480"/>
        <w:jc w:val="both"/>
      </w:pPr>
      <w:r>
        <w:rPr>
          <w:sz w:val="24"/>
        </w:rPr>
        <w:t>★本次采购产品为非进口产品（进口产品指通过中国海关报关验放进入中国境内且产自关境外的产品）。</w:t>
      </w:r>
    </w:p>
    <w:p>
      <w:pPr>
        <w:pStyle w:val="null3"/>
        <w:ind w:firstLine="480"/>
        <w:jc w:val="both"/>
      </w:pPr>
      <w:r>
        <w:rPr>
          <w:sz w:val="24"/>
        </w:rPr>
        <w:t>★凡属于《中华人民共和国实施强制性产品认证的产品目录》的产品，请投标人在投标文件中承诺在交货时提供该产品的“中国强制性产品认证”（CCC认证）证书。</w:t>
      </w:r>
    </w:p>
    <w:p>
      <w:pPr>
        <w:pStyle w:val="null3"/>
        <w:ind w:firstLine="480"/>
        <w:jc w:val="both"/>
      </w:pPr>
      <w:r>
        <w:rPr>
          <w:sz w:val="24"/>
        </w:rPr>
        <w:t>采购人拟采购的</w:t>
      </w:r>
      <w:r>
        <w:rPr>
          <w:sz w:val="24"/>
        </w:rPr>
        <w:t>硒鼓</w:t>
      </w:r>
      <w:r>
        <w:rPr>
          <w:sz w:val="24"/>
        </w:rPr>
        <w:t>属于《环境标志产品政府采购品目清单》范围，投标人需填写《政策适用性说明》（见投标文件格式）并提交相关证明材料（证明材料包括：</w:t>
      </w:r>
      <w:r>
        <w:rPr>
          <w:sz w:val="24"/>
        </w:rPr>
        <w:t>1.该产品属于《环境标志产品政府采购品目清单》范围的相关内容页，并对相关内容作圈记；2.市场监管总局公布的参与实施政府采购环境标志产品认证机构名录截图；3.该产品获得的由国家确定的认证机构出具的、处于有效期之内的环境标志产品认证证书），作为技术评审的依据（注：《环境标志产品政府采购品目清单》投标人可查询中国政府采购网，网址http://www.ccgp.gov.cn）。</w:t>
      </w:r>
    </w:p>
    <w:p>
      <w:pPr>
        <w:pStyle w:val="null3"/>
        <w:spacing w:after="120"/>
        <w:jc w:val="both"/>
      </w:pPr>
      <w:r>
        <w:rPr>
          <w:sz w:val="24"/>
          <w:b/>
        </w:rPr>
        <w:t>二、项目一览表</w:t>
      </w:r>
    </w:p>
    <w:tbl>
      <w:tblPr>
        <w:tblW w:w="0" w:type="auto"/>
        <w:tblBorders>
          <w:top w:val="none" w:color="000000" w:sz="4"/>
          <w:left w:val="none" w:color="000000" w:sz="4"/>
          <w:bottom w:val="none" w:color="000000" w:sz="4"/>
          <w:right w:val="none" w:color="000000" w:sz="4"/>
          <w:insideH w:val="none"/>
          <w:insideV w:val="none"/>
        </w:tblBorders>
      </w:tblPr>
      <w:tblGrid>
        <w:gridCol w:w="1185"/>
        <w:gridCol w:w="1320"/>
        <w:gridCol w:w="5520"/>
      </w:tblGrid>
      <w:tr>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采购内容</w:t>
            </w:r>
          </w:p>
        </w:tc>
        <w:tc>
          <w:tcPr>
            <w:tcW w:type="dxa" w:w="1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采购预算</w:t>
            </w:r>
          </w:p>
        </w:tc>
        <w:tc>
          <w:tcPr>
            <w:tcW w:type="dxa" w:w="5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sz w:val="24"/>
                <w:b/>
              </w:rPr>
              <w:t>供货期及合同有效期</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办公打印设备耗材</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人民币</w:t>
            </w:r>
            <w:r>
              <w:rPr>
                <w:sz w:val="24"/>
              </w:rPr>
              <w:t>1</w:t>
            </w:r>
            <w:r>
              <w:rPr>
                <w:sz w:val="24"/>
              </w:rPr>
              <w:t>30</w:t>
            </w:r>
            <w:r>
              <w:rPr>
                <w:sz w:val="24"/>
              </w:rPr>
              <w:t>万元</w:t>
            </w:r>
          </w:p>
        </w:tc>
        <w:tc>
          <w:tcPr>
            <w:tcW w:type="dxa" w:w="5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合同签订之日起一年内或总结算金额达到项目预算（人民币</w:t>
            </w:r>
            <w:r>
              <w:rPr>
                <w:sz w:val="24"/>
              </w:rPr>
              <w:t>130</w:t>
            </w:r>
            <w:r>
              <w:rPr>
                <w:sz w:val="24"/>
              </w:rPr>
              <w:t>万元）时，以先到为准。</w:t>
            </w:r>
          </w:p>
        </w:tc>
      </w:tr>
    </w:tbl>
    <w:p>
      <w:pPr>
        <w:pStyle w:val="null3"/>
        <w:ind w:firstLine="480"/>
        <w:jc w:val="both"/>
      </w:pPr>
      <w:r>
        <w:rPr>
          <w:sz w:val="24"/>
        </w:rPr>
        <w:t>说明：采购预算人民币</w:t>
      </w:r>
      <w:r>
        <w:rPr>
          <w:sz w:val="24"/>
        </w:rPr>
        <w:t>130</w:t>
      </w:r>
      <w:r>
        <w:rPr>
          <w:sz w:val="24"/>
        </w:rPr>
        <w:t>万元仅作为一年内用户结算本项目的费用上限，不作为报价之用。</w:t>
      </w:r>
    </w:p>
    <w:p>
      <w:pPr>
        <w:pStyle w:val="null3"/>
        <w:ind w:firstLine="482"/>
        <w:jc w:val="both"/>
      </w:pPr>
      <w:r>
        <w:rPr>
          <w:sz w:val="24"/>
          <w:b/>
        </w:rPr>
        <w:t>三、</w:t>
      </w:r>
      <w:r>
        <w:rPr>
          <w:sz w:val="24"/>
          <w:b/>
        </w:rPr>
        <w:t>项目需求描述</w:t>
      </w:r>
    </w:p>
    <w:p>
      <w:pPr>
        <w:pStyle w:val="null3"/>
        <w:ind w:firstLine="480"/>
        <w:jc w:val="both"/>
      </w:pPr>
      <w:r>
        <w:rPr>
          <w:sz w:val="24"/>
        </w:rPr>
        <w:t>目前广州市中级人民法院大量使用办公打印设备耗材，为统一规范管理，节省成本，拟通过公开招标，确定一家中标人，采用分批送货的形式采购相关耗材。目前在用的办公打印设备耗材采购清单如下表</w:t>
      </w:r>
      <w:r>
        <w:rPr>
          <w:sz w:val="24"/>
        </w:rPr>
        <w:t>,以下为本项目采购产品的供货基准价：</w:t>
      </w:r>
    </w:p>
    <w:p>
      <w:pPr>
        <w:pStyle w:val="null3"/>
        <w:jc w:val="center"/>
      </w:pPr>
      <w:r>
        <w:rPr>
          <w:sz w:val="24"/>
          <w:b/>
        </w:rPr>
        <w:t>办公打印设备耗材采购清单</w:t>
      </w:r>
    </w:p>
    <w:tbl>
      <w:tblPr>
        <w:tblW w:w="0" w:type="auto"/>
        <w:tblBorders>
          <w:top w:val="none" w:color="000000" w:sz="4"/>
          <w:left w:val="none" w:color="000000" w:sz="4"/>
          <w:bottom w:val="none" w:color="000000" w:sz="4"/>
          <w:right w:val="none" w:color="000000" w:sz="4"/>
          <w:insideH w:val="none"/>
          <w:insideV w:val="none"/>
        </w:tblBorders>
      </w:tblPr>
      <w:tblGrid>
        <w:gridCol w:w="869"/>
        <w:gridCol w:w="689"/>
        <w:gridCol w:w="989"/>
        <w:gridCol w:w="2728"/>
        <w:gridCol w:w="1304"/>
        <w:gridCol w:w="839"/>
        <w:gridCol w:w="839"/>
      </w:tblGrid>
      <w:tr>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w:t>
            </w:r>
            <w:r>
              <w:rPr>
                <w:sz w:val="20"/>
              </w:rPr>
              <w:t>号</w:t>
            </w:r>
          </w:p>
        </w:tc>
        <w:tc>
          <w:tcPr>
            <w:tcW w:type="dxa" w:w="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类</w:t>
            </w:r>
            <w:r>
              <w:rPr>
                <w:sz w:val="20"/>
              </w:rPr>
              <w:t>别</w:t>
            </w:r>
          </w:p>
        </w:tc>
        <w:tc>
          <w:tcPr>
            <w:tcW w:type="dxa" w:w="9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颜</w:t>
            </w:r>
            <w:r>
              <w:rPr>
                <w:sz w:val="20"/>
              </w:rPr>
              <w:t>色</w:t>
            </w:r>
          </w:p>
        </w:tc>
        <w:tc>
          <w:tcPr>
            <w:tcW w:type="dxa" w:w="2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设备机</w:t>
            </w:r>
            <w:r>
              <w:rPr>
                <w:sz w:val="20"/>
              </w:rPr>
              <w:t>型</w:t>
            </w:r>
          </w:p>
        </w:tc>
        <w:tc>
          <w:tcPr>
            <w:tcW w:type="dxa" w:w="1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平均打印量（张</w:t>
            </w:r>
            <w:r>
              <w:rPr>
                <w:sz w:val="20"/>
              </w:rPr>
              <w:t>）</w:t>
            </w:r>
          </w:p>
        </w:tc>
        <w:tc>
          <w:tcPr>
            <w:tcW w:type="dxa" w:w="8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基准价（元</w:t>
            </w:r>
            <w:r>
              <w:rPr>
                <w:sz w:val="20"/>
              </w:rPr>
              <w:t>）</w:t>
            </w:r>
          </w:p>
        </w:tc>
        <w:tc>
          <w:tcPr>
            <w:tcW w:type="dxa" w:w="8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备注</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sz w:val="20"/>
              </w:rPr>
              <w:t>1.</w:t>
            </w:r>
          </w:p>
        </w:tc>
        <w:tc>
          <w:tcPr>
            <w:tcW w:type="dxa" w:w="6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硒</w:t>
            </w:r>
            <w:r>
              <w:rPr>
                <w:sz w:val="20"/>
              </w:rPr>
              <w:t>鼓</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松下</w:t>
            </w:r>
            <w:r>
              <w:rPr>
                <w:sz w:val="20"/>
              </w:rPr>
              <w:t>FL</w:t>
            </w:r>
            <w:r>
              <w:rPr>
                <w:sz w:val="20"/>
              </w:rPr>
              <w:t>323</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w:t>
            </w:r>
            <w:r>
              <w:rPr>
                <w:sz w:val="20"/>
                <w:color w:val="000000"/>
              </w:rPr>
              <w:t>10000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松下</w:t>
            </w:r>
            <w:r>
              <w:rPr>
                <w:sz w:val="20"/>
              </w:rPr>
              <w:t>MB2008CN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rPr>
              <w:t>≥6000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松下</w:t>
            </w:r>
            <w:r>
              <w:rPr>
                <w:sz w:val="20"/>
              </w:rPr>
              <w:t>2538</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松下</w:t>
            </w:r>
            <w:r>
              <w:rPr>
                <w:sz w:val="20"/>
              </w:rPr>
              <w:t>MB</w:t>
            </w:r>
            <w:r>
              <w:rPr>
                <w:sz w:val="20"/>
              </w:rPr>
              <w:t>2128/2138</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联想</w:t>
            </w:r>
            <w:r>
              <w:rPr>
                <w:sz w:val="20"/>
                <w:color w:val="000000"/>
              </w:rPr>
              <w:t>LJ6350DN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联想</w:t>
            </w:r>
            <w:r>
              <w:rPr>
                <w:sz w:val="20"/>
                <w:color w:val="000000"/>
              </w:rPr>
              <w:t>LJ3800DN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rPr>
              <w:t>≥30000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联想</w:t>
            </w:r>
            <w:r>
              <w:rPr>
                <w:sz w:val="20"/>
              </w:rPr>
              <w:t>M7650DNF</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联想</w:t>
            </w:r>
            <w:r>
              <w:rPr>
                <w:sz w:val="20"/>
              </w:rPr>
              <w:t>2010DW</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rPr>
              <w:t>≥4500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联想</w:t>
            </w:r>
            <w:r>
              <w:rPr>
                <w:sz w:val="20"/>
              </w:rPr>
              <w:t>2010DW</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rPr>
              <w:t>≥4000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联想</w:t>
            </w:r>
            <w:r>
              <w:rPr>
                <w:sz w:val="20"/>
              </w:rPr>
              <w:t>2010DW</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rPr>
              <w:t>≥4000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联想</w:t>
            </w:r>
            <w:r>
              <w:rPr>
                <w:sz w:val="20"/>
              </w:rPr>
              <w:t>2010DW</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rPr>
              <w:t>≥4000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佳能彩色激光</w:t>
            </w:r>
            <w:r>
              <w:rPr>
                <w:sz w:val="20"/>
                <w:color w:val="000000"/>
              </w:rPr>
              <w:t>LBP7200CDN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rPr>
              <w:t>≥3400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核心产品</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sz w:val="20"/>
              </w:rPr>
              <w:t>13.</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蓝</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佳能彩色激光</w:t>
            </w:r>
            <w:r>
              <w:rPr>
                <w:sz w:val="20"/>
                <w:color w:val="000000"/>
              </w:rPr>
              <w:t>LBP7200CDN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佳能彩色激光</w:t>
            </w:r>
            <w:r>
              <w:rPr>
                <w:sz w:val="20"/>
                <w:color w:val="000000"/>
              </w:rPr>
              <w:t>LBP7200CDN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佳能彩色激光</w:t>
            </w:r>
            <w:r>
              <w:rPr>
                <w:sz w:val="20"/>
                <w:color w:val="000000"/>
              </w:rPr>
              <w:t>LBP7200CDN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LBP654cx</w:t>
            </w:r>
          </w:p>
          <w:p>
            <w:pPr>
              <w:pStyle w:val="null3"/>
              <w:jc w:val="both"/>
            </w:pPr>
            <w:r>
              <w:rPr>
                <w:sz w:val="20"/>
                <w:color w:val="000000"/>
              </w:rPr>
              <w:t>佳能</w:t>
            </w:r>
            <w:r>
              <w:rPr>
                <w:sz w:val="20"/>
                <w:color w:val="000000"/>
              </w:rPr>
              <w:t>LBP653Cdw</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重要耗材</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sz w:val="20"/>
              </w:rPr>
              <w:t>17.</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LBP654cx</w:t>
            </w:r>
          </w:p>
          <w:p>
            <w:pPr>
              <w:pStyle w:val="null3"/>
              <w:jc w:val="both"/>
            </w:pPr>
            <w:r>
              <w:rPr>
                <w:sz w:val="20"/>
                <w:color w:val="000000"/>
              </w:rPr>
              <w:t>佳能</w:t>
            </w:r>
            <w:r>
              <w:rPr>
                <w:sz w:val="20"/>
                <w:color w:val="000000"/>
              </w:rPr>
              <w:t>LBP653Cdw</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重要耗材</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sz w:val="20"/>
              </w:rPr>
              <w:t>18.</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LBP654cx</w:t>
            </w:r>
          </w:p>
          <w:p>
            <w:pPr>
              <w:pStyle w:val="null3"/>
              <w:jc w:val="both"/>
            </w:pPr>
            <w:r>
              <w:rPr>
                <w:sz w:val="20"/>
                <w:color w:val="000000"/>
              </w:rPr>
              <w:t>佳能</w:t>
            </w:r>
            <w:r>
              <w:rPr>
                <w:sz w:val="20"/>
                <w:color w:val="000000"/>
              </w:rPr>
              <w:t>LBP653Cdw</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重要耗材</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sz w:val="20"/>
              </w:rPr>
              <w:t>19.</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LBP654cx</w:t>
            </w:r>
          </w:p>
          <w:p>
            <w:pPr>
              <w:pStyle w:val="null3"/>
              <w:jc w:val="both"/>
            </w:pPr>
            <w:r>
              <w:rPr>
                <w:sz w:val="20"/>
                <w:color w:val="000000"/>
              </w:rPr>
              <w:t>佳能</w:t>
            </w:r>
            <w:r>
              <w:rPr>
                <w:sz w:val="20"/>
                <w:color w:val="000000"/>
              </w:rPr>
              <w:t>LBP653Cdw</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重要耗材</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sz w:val="20"/>
              </w:rPr>
              <w:t>20.</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联想</w:t>
            </w:r>
            <w:r>
              <w:rPr>
                <w:sz w:val="20"/>
                <w:color w:val="000000"/>
              </w:rPr>
              <w:t>LJ2655DN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富士施乐</w:t>
            </w:r>
            <w:r>
              <w:rPr>
                <w:sz w:val="20"/>
                <w:color w:val="000000"/>
              </w:rPr>
              <w:t>DP</w:t>
            </w:r>
            <w:r>
              <w:rPr>
                <w:sz w:val="20"/>
                <w:color w:val="000000"/>
              </w:rPr>
              <w:t>2065</w:t>
            </w:r>
            <w:r>
              <w:rPr>
                <w:sz w:val="20"/>
                <w:color w:val="000000"/>
              </w:rPr>
              <w:t>/3055</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富士施乐</w:t>
            </w:r>
            <w:r>
              <w:rPr>
                <w:sz w:val="20"/>
                <w:color w:val="000000"/>
              </w:rPr>
              <w:t xml:space="preserve"> DocuCentre</w:t>
            </w:r>
            <w:r>
              <w:rPr>
                <w:sz w:val="20"/>
                <w:color w:val="000000"/>
              </w:rPr>
              <w:t>V</w:t>
            </w:r>
            <w:r>
              <w:rPr>
                <w:sz w:val="20"/>
                <w:color w:val="000000"/>
              </w:rPr>
              <w:t>4070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富士施乐</w:t>
            </w:r>
            <w:r>
              <w:rPr>
                <w:sz w:val="18"/>
                <w:color w:val="000000"/>
              </w:rPr>
              <w:t>DOCUCENTRE-IIII4070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富士施乐</w:t>
            </w:r>
            <w:r>
              <w:rPr>
                <w:sz w:val="20"/>
                <w:color w:val="000000"/>
              </w:rPr>
              <w:t>228/268</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富士施乐</w:t>
            </w:r>
            <w:r>
              <w:rPr>
                <w:sz w:val="20"/>
                <w:color w:val="000000"/>
              </w:rPr>
              <w:t>DocuCentre-V1 3370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柯尼卡美能达</w:t>
            </w:r>
            <w:r>
              <w:rPr>
                <w:sz w:val="20"/>
                <w:color w:val="000000"/>
              </w:rPr>
              <w:t>Bizhub423</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柯尼卡美能达</w:t>
            </w:r>
            <w:r>
              <w:rPr>
                <w:sz w:val="20"/>
                <w:color w:val="000000"/>
              </w:rPr>
              <w:t>bizhub458</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 xml:space="preserve"> CP5225dn A3</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6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 xml:space="preserve"> CP5225dn A3</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 xml:space="preserve"> CP5225dn A3</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 xml:space="preserve"> CP5225dn A3</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M</w:t>
            </w:r>
            <w:r>
              <w:rPr>
                <w:sz w:val="20"/>
                <w:color w:val="000000"/>
              </w:rPr>
              <w:t>181</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M</w:t>
            </w:r>
            <w:r>
              <w:rPr>
                <w:sz w:val="20"/>
                <w:color w:val="000000"/>
              </w:rPr>
              <w:t>181</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M</w:t>
            </w:r>
            <w:r>
              <w:rPr>
                <w:sz w:val="20"/>
                <w:color w:val="000000"/>
              </w:rPr>
              <w:t>181</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M</w:t>
            </w:r>
            <w:r>
              <w:rPr>
                <w:sz w:val="20"/>
                <w:color w:val="000000"/>
              </w:rPr>
              <w:t>181</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M</w:t>
            </w:r>
            <w:r>
              <w:rPr>
                <w:sz w:val="20"/>
                <w:color w:val="000000"/>
              </w:rPr>
              <w:t>403</w:t>
            </w:r>
            <w:r>
              <w:rPr>
                <w:sz w:val="20"/>
                <w:color w:val="000000"/>
              </w:rPr>
              <w:t>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M</w:t>
            </w:r>
            <w:r>
              <w:rPr>
                <w:sz w:val="20"/>
                <w:color w:val="000000"/>
              </w:rPr>
              <w:t>281/280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M</w:t>
            </w:r>
            <w:r>
              <w:rPr>
                <w:sz w:val="20"/>
                <w:color w:val="000000"/>
              </w:rPr>
              <w:t>281/280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M</w:t>
            </w:r>
            <w:r>
              <w:rPr>
                <w:sz w:val="20"/>
                <w:color w:val="000000"/>
              </w:rPr>
              <w:t>281/280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M</w:t>
            </w:r>
            <w:r>
              <w:rPr>
                <w:sz w:val="20"/>
                <w:color w:val="000000"/>
              </w:rPr>
              <w:t>281/280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M</w:t>
            </w:r>
            <w:r>
              <w:rPr>
                <w:sz w:val="20"/>
                <w:color w:val="000000"/>
              </w:rPr>
              <w:t>553/577</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M</w:t>
            </w:r>
            <w:r>
              <w:rPr>
                <w:sz w:val="20"/>
                <w:color w:val="000000"/>
              </w:rPr>
              <w:t>553/577</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M</w:t>
            </w:r>
            <w:r>
              <w:rPr>
                <w:sz w:val="20"/>
                <w:color w:val="000000"/>
              </w:rPr>
              <w:t>553/577</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M</w:t>
            </w:r>
            <w:r>
              <w:rPr>
                <w:sz w:val="20"/>
                <w:color w:val="000000"/>
              </w:rPr>
              <w:t>553/577</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 xml:space="preserve"> M401dn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277</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277</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277</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277</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452</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2025DN</w:t>
            </w:r>
            <w:r>
              <w:rPr>
                <w:sz w:val="20"/>
                <w:color w:val="000000"/>
              </w:rPr>
              <w:t>彩</w:t>
            </w:r>
            <w:r>
              <w:rPr>
                <w:sz w:val="20"/>
                <w:color w:val="000000"/>
              </w:rPr>
              <w:t>色</w:t>
            </w:r>
          </w:p>
          <w:p>
            <w:pPr>
              <w:pStyle w:val="null3"/>
              <w:jc w:val="both"/>
            </w:pPr>
            <w:r>
              <w:rPr>
                <w:sz w:val="20"/>
                <w:color w:val="000000"/>
              </w:rPr>
              <w:t>惠普</w:t>
            </w:r>
            <w:r>
              <w:rPr>
                <w:sz w:val="20"/>
                <w:color w:val="000000"/>
              </w:rPr>
              <w:t>2320N</w:t>
            </w:r>
            <w:r>
              <w:rPr>
                <w:sz w:val="20"/>
                <w:color w:val="000000"/>
              </w:rPr>
              <w:t>彩色一体</w:t>
            </w:r>
            <w:r>
              <w:rPr>
                <w:sz w:val="20"/>
                <w:color w:val="000000"/>
              </w:rPr>
              <w:t>机</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2025DN</w:t>
            </w:r>
            <w:r>
              <w:rPr>
                <w:sz w:val="20"/>
                <w:color w:val="000000"/>
              </w:rPr>
              <w:t>彩</w:t>
            </w:r>
            <w:r>
              <w:rPr>
                <w:sz w:val="20"/>
                <w:color w:val="000000"/>
              </w:rPr>
              <w:t>色</w:t>
            </w:r>
          </w:p>
          <w:p>
            <w:pPr>
              <w:pStyle w:val="null3"/>
              <w:jc w:val="both"/>
            </w:pPr>
            <w:r>
              <w:rPr>
                <w:sz w:val="20"/>
                <w:color w:val="000000"/>
              </w:rPr>
              <w:t>惠普</w:t>
            </w:r>
            <w:r>
              <w:rPr>
                <w:sz w:val="20"/>
                <w:color w:val="000000"/>
              </w:rPr>
              <w:t>2320N</w:t>
            </w:r>
            <w:r>
              <w:rPr>
                <w:sz w:val="20"/>
                <w:color w:val="000000"/>
              </w:rPr>
              <w:t>彩色一体</w:t>
            </w:r>
            <w:r>
              <w:rPr>
                <w:sz w:val="20"/>
                <w:color w:val="000000"/>
              </w:rPr>
              <w:t>机</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53.</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2025DN</w:t>
            </w:r>
            <w:r>
              <w:rPr>
                <w:sz w:val="20"/>
                <w:color w:val="000000"/>
              </w:rPr>
              <w:t>彩</w:t>
            </w:r>
            <w:r>
              <w:rPr>
                <w:sz w:val="20"/>
                <w:color w:val="000000"/>
              </w:rPr>
              <w:t>色</w:t>
            </w:r>
          </w:p>
          <w:p>
            <w:pPr>
              <w:pStyle w:val="null3"/>
              <w:jc w:val="both"/>
            </w:pPr>
            <w:r>
              <w:rPr>
                <w:sz w:val="20"/>
                <w:color w:val="000000"/>
              </w:rPr>
              <w:t>惠普</w:t>
            </w:r>
            <w:r>
              <w:rPr>
                <w:sz w:val="20"/>
                <w:color w:val="000000"/>
              </w:rPr>
              <w:t>2320N</w:t>
            </w:r>
            <w:r>
              <w:rPr>
                <w:sz w:val="20"/>
                <w:color w:val="000000"/>
              </w:rPr>
              <w:t>彩色一体</w:t>
            </w:r>
            <w:r>
              <w:rPr>
                <w:sz w:val="20"/>
                <w:color w:val="000000"/>
              </w:rPr>
              <w:t>机</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2025DN</w:t>
            </w:r>
            <w:r>
              <w:rPr>
                <w:sz w:val="20"/>
                <w:color w:val="000000"/>
              </w:rPr>
              <w:t>彩</w:t>
            </w:r>
            <w:r>
              <w:rPr>
                <w:sz w:val="20"/>
                <w:color w:val="000000"/>
              </w:rPr>
              <w:t>色</w:t>
            </w:r>
          </w:p>
          <w:p>
            <w:pPr>
              <w:pStyle w:val="null3"/>
              <w:jc w:val="both"/>
            </w:pPr>
            <w:r>
              <w:rPr>
                <w:sz w:val="20"/>
                <w:color w:val="000000"/>
              </w:rPr>
              <w:t>惠普</w:t>
            </w:r>
            <w:r>
              <w:rPr>
                <w:sz w:val="20"/>
                <w:color w:val="000000"/>
              </w:rPr>
              <w:t>2320N</w:t>
            </w:r>
            <w:r>
              <w:rPr>
                <w:sz w:val="20"/>
                <w:color w:val="000000"/>
              </w:rPr>
              <w:t>彩色一体</w:t>
            </w:r>
            <w:r>
              <w:rPr>
                <w:sz w:val="20"/>
                <w:color w:val="000000"/>
              </w:rPr>
              <w:t>机</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M227FDW</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M227fdwf</w:t>
            </w:r>
            <w:r>
              <w:rPr>
                <w:sz w:val="20"/>
                <w:color w:val="000000"/>
              </w:rPr>
              <w:t>黑白激</w:t>
            </w:r>
            <w:r>
              <w:rPr>
                <w:sz w:val="20"/>
                <w:color w:val="000000"/>
              </w:rPr>
              <w:t>光</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w:t>
            </w:r>
          </w:p>
        </w:tc>
        <w:tc>
          <w:tcPr>
            <w:tcW w:type="dxa" w:w="6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CM8505</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58.</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彩色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CM8505</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rPr>
              <w:t>≥90000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59.</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P3305</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rPr>
              <w:t>≥12000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重要耗材</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sz w:val="20"/>
              </w:rPr>
              <w:t>60.</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兄弟</w:t>
            </w:r>
            <w:r>
              <w:rPr>
                <w:sz w:val="20"/>
              </w:rPr>
              <w:t>7080D</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rPr>
              <w:t>≥12000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61.</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兄弟</w:t>
            </w:r>
            <w:r>
              <w:rPr>
                <w:sz w:val="20"/>
              </w:rPr>
              <w:t>2250DN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rPr>
              <w:t>≥12000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520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汉光</w:t>
            </w:r>
            <w:r>
              <w:rPr>
                <w:sz w:val="20"/>
              </w:rPr>
              <w:t>BMF6450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rPr>
              <w:t>≥100000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63.</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CM7115DN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rPr>
              <w:t>≥120000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ML6100F/ML7150F/ML6</w:t>
            </w:r>
            <w:r>
              <w:rPr>
                <w:sz w:val="20"/>
                <w:color w:val="000000"/>
              </w:rPr>
              <w:t>3</w:t>
            </w:r>
            <w:r>
              <w:rPr>
                <w:sz w:val="20"/>
                <w:color w:val="000000"/>
              </w:rPr>
              <w:t>00F</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≥13米</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w:t>
            </w:r>
          </w:p>
        </w:tc>
        <w:tc>
          <w:tcPr>
            <w:tcW w:type="dxa" w:w="68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0"/>
              </w:rPr>
              <w:t>墨粉</w:t>
            </w:r>
            <w:r>
              <w:rPr>
                <w:sz w:val="20"/>
              </w:rPr>
              <w:t>盒</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松下</w:t>
            </w:r>
            <w:r>
              <w:rPr>
                <w:sz w:val="20"/>
                <w:color w:val="000000"/>
              </w:rPr>
              <w:t>2138</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66.</w:t>
            </w:r>
          </w:p>
        </w:tc>
        <w:tc>
          <w:tcPr>
            <w:tcW w:type="dxa" w:w="689"/>
            <w:vMerge/>
            <w:tcBorders>
              <w:top w:val="none" w:color="000000" w:sz="4"/>
              <w:left w:val="non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爱普生</w:t>
            </w:r>
            <w:r>
              <w:rPr>
                <w:sz w:val="20"/>
                <w:color w:val="000000"/>
              </w:rPr>
              <w:t>80W/700FW/1100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67.</w:t>
            </w:r>
          </w:p>
        </w:tc>
        <w:tc>
          <w:tcPr>
            <w:tcW w:type="dxa" w:w="689"/>
            <w:vMerge/>
            <w:tcBorders>
              <w:top w:val="none" w:color="000000" w:sz="4"/>
              <w:left w:val="non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爱普生</w:t>
            </w:r>
            <w:r>
              <w:rPr>
                <w:sz w:val="20"/>
                <w:color w:val="000000"/>
              </w:rPr>
              <w:t>80W/700FW/1100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≥815</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68.</w:t>
            </w:r>
          </w:p>
        </w:tc>
        <w:tc>
          <w:tcPr>
            <w:tcW w:type="dxa" w:w="689"/>
            <w:vMerge/>
            <w:tcBorders>
              <w:top w:val="none" w:color="000000" w:sz="4"/>
              <w:left w:val="non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爱普生</w:t>
            </w:r>
            <w:r>
              <w:rPr>
                <w:sz w:val="20"/>
                <w:color w:val="000000"/>
              </w:rPr>
              <w:t>80W/700FW/1100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≥815</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69.</w:t>
            </w:r>
          </w:p>
        </w:tc>
        <w:tc>
          <w:tcPr>
            <w:tcW w:type="dxa" w:w="689"/>
            <w:vMerge/>
            <w:tcBorders>
              <w:top w:val="none" w:color="000000" w:sz="4"/>
              <w:left w:val="non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爱普生</w:t>
            </w:r>
            <w:r>
              <w:rPr>
                <w:sz w:val="20"/>
                <w:color w:val="000000"/>
              </w:rPr>
              <w:t>80W/700FW/1100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≥815</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70.</w:t>
            </w:r>
          </w:p>
        </w:tc>
        <w:tc>
          <w:tcPr>
            <w:tcW w:type="dxa" w:w="689"/>
            <w:vMerge/>
            <w:tcBorders>
              <w:top w:val="none" w:color="000000" w:sz="4"/>
              <w:left w:val="non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亚光黑</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71.</w:t>
            </w:r>
          </w:p>
        </w:tc>
        <w:tc>
          <w:tcPr>
            <w:tcW w:type="dxa" w:w="689"/>
            <w:vMerge/>
            <w:tcBorders>
              <w:top w:val="none" w:color="000000" w:sz="4"/>
              <w:left w:val="non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照片黑</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72.</w:t>
            </w:r>
          </w:p>
        </w:tc>
        <w:tc>
          <w:tcPr>
            <w:tcW w:type="dxa" w:w="689"/>
            <w:vMerge/>
            <w:tcBorders>
              <w:top w:val="none" w:color="000000" w:sz="4"/>
              <w:left w:val="non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73.</w:t>
            </w:r>
          </w:p>
        </w:tc>
        <w:tc>
          <w:tcPr>
            <w:tcW w:type="dxa" w:w="689"/>
            <w:vMerge/>
            <w:tcBorders>
              <w:top w:val="none" w:color="000000" w:sz="4"/>
              <w:left w:val="non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品</w:t>
            </w:r>
            <w:r>
              <w:rPr>
                <w:sz w:val="20"/>
              </w:rPr>
              <w:t>红</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≥5800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74.</w:t>
            </w:r>
          </w:p>
        </w:tc>
        <w:tc>
          <w:tcPr>
            <w:tcW w:type="dxa" w:w="689"/>
            <w:vMerge/>
            <w:tcBorders>
              <w:top w:val="none" w:color="000000" w:sz="4"/>
              <w:left w:val="non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w:t>
            </w:r>
          </w:p>
        </w:tc>
        <w:tc>
          <w:tcPr>
            <w:tcW w:type="dxa" w:w="689"/>
            <w:vMerge/>
            <w:tcBorders>
              <w:top w:val="none" w:color="000000" w:sz="4"/>
              <w:left w:val="non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照片青</w:t>
            </w:r>
            <w:r>
              <w:rPr>
                <w:sz w:val="18"/>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76.</w:t>
            </w:r>
          </w:p>
        </w:tc>
        <w:tc>
          <w:tcPr>
            <w:tcW w:type="dxa" w:w="689"/>
            <w:vMerge/>
            <w:tcBorders>
              <w:top w:val="none" w:color="000000" w:sz="4"/>
              <w:left w:val="non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照片</w:t>
            </w:r>
            <w:r>
              <w:rPr>
                <w:sz w:val="18"/>
              </w:rPr>
              <w:t>红色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77.</w:t>
            </w:r>
          </w:p>
        </w:tc>
        <w:tc>
          <w:tcPr>
            <w:tcW w:type="dxa" w:w="689"/>
            <w:vMerge/>
            <w:tcBorders>
              <w:top w:val="none" w:color="000000" w:sz="4"/>
              <w:left w:val="non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灰</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78.</w:t>
            </w:r>
          </w:p>
        </w:tc>
        <w:tc>
          <w:tcPr>
            <w:tcW w:type="dxa" w:w="689"/>
            <w:vMerge/>
            <w:tcBorders>
              <w:top w:val="none" w:color="000000" w:sz="4"/>
              <w:left w:val="non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照片</w:t>
            </w:r>
            <w:r>
              <w:rPr>
                <w:sz w:val="18"/>
              </w:rPr>
              <w:t>灰色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79.</w:t>
            </w:r>
          </w:p>
        </w:tc>
        <w:tc>
          <w:tcPr>
            <w:tcW w:type="dxa" w:w="689"/>
            <w:vMerge/>
            <w:tcBorders>
              <w:top w:val="none" w:color="000000" w:sz="4"/>
              <w:left w:val="non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80.</w:t>
            </w:r>
          </w:p>
        </w:tc>
        <w:tc>
          <w:tcPr>
            <w:tcW w:type="dxa" w:w="689"/>
            <w:vMerge/>
            <w:tcBorders>
              <w:top w:val="none" w:color="000000" w:sz="4"/>
              <w:left w:val="non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蓝</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81.</w:t>
            </w:r>
          </w:p>
        </w:tc>
        <w:tc>
          <w:tcPr>
            <w:tcW w:type="dxa" w:w="6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亮晶</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82.</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保养</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佳能</w:t>
            </w:r>
            <w:r>
              <w:rPr>
                <w:sz w:val="20"/>
                <w:color w:val="000000"/>
              </w:rPr>
              <w:t>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83.</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8500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84.</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8500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85.</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兰</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8500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86.</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8500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87.</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 xml:space="preserve"> Prox451dw</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88.</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 xml:space="preserve"> Prox451dw</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89.</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 xml:space="preserve"> Prox451dw</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90.</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蓝</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 xml:space="preserve"> Prox451dw</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91.</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 xml:space="preserve"> Offcejet 200 </w:t>
            </w:r>
            <w:r>
              <w:rPr>
                <w:sz w:val="20"/>
                <w:color w:val="000000"/>
              </w:rPr>
              <w:t>彩色喷</w:t>
            </w:r>
            <w:r>
              <w:rPr>
                <w:sz w:val="20"/>
                <w:color w:val="000000"/>
              </w:rPr>
              <w:t>墨</w:t>
            </w:r>
          </w:p>
          <w:p>
            <w:pPr>
              <w:pStyle w:val="null3"/>
              <w:jc w:val="both"/>
            </w:pPr>
            <w:r>
              <w:rPr>
                <w:sz w:val="20"/>
                <w:color w:val="000000"/>
              </w:rPr>
              <w:t>惠普</w:t>
            </w:r>
            <w:r>
              <w:rPr>
                <w:sz w:val="20"/>
                <w:color w:val="000000"/>
              </w:rPr>
              <w:t xml:space="preserve"> OfficeJet258</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92.</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彩</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 xml:space="preserve"> Offcejet 200 </w:t>
            </w:r>
            <w:r>
              <w:rPr>
                <w:sz w:val="20"/>
                <w:color w:val="000000"/>
              </w:rPr>
              <w:t>彩色喷</w:t>
            </w:r>
            <w:r>
              <w:rPr>
                <w:sz w:val="20"/>
                <w:color w:val="000000"/>
              </w:rPr>
              <w:t>墨</w:t>
            </w:r>
          </w:p>
          <w:p>
            <w:pPr>
              <w:pStyle w:val="null3"/>
              <w:jc w:val="both"/>
            </w:pPr>
            <w:r>
              <w:rPr>
                <w:sz w:val="20"/>
                <w:color w:val="000000"/>
              </w:rPr>
              <w:t>惠普</w:t>
            </w:r>
            <w:r>
              <w:rPr>
                <w:sz w:val="20"/>
                <w:color w:val="000000"/>
              </w:rPr>
              <w:t xml:space="preserve"> OfficeJet258</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≥165</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93.</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765</w:t>
            </w:r>
            <w:r>
              <w:rPr>
                <w:sz w:val="20"/>
                <w:color w:val="000000"/>
              </w:rPr>
              <w:t>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94.</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765</w:t>
            </w:r>
            <w:r>
              <w:rPr>
                <w:sz w:val="20"/>
                <w:color w:val="000000"/>
              </w:rPr>
              <w:t>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95.</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765</w:t>
            </w:r>
            <w:r>
              <w:rPr>
                <w:sz w:val="20"/>
                <w:color w:val="000000"/>
              </w:rPr>
              <w:t>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96.</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惠普</w:t>
            </w:r>
            <w:r>
              <w:rPr>
                <w:sz w:val="20"/>
                <w:color w:val="000000"/>
              </w:rPr>
              <w:t>765</w:t>
            </w:r>
            <w:r>
              <w:rPr>
                <w:sz w:val="20"/>
                <w:color w:val="000000"/>
              </w:rPr>
              <w:t>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97.</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联想</w:t>
            </w:r>
            <w:r>
              <w:rPr>
                <w:sz w:val="20"/>
              </w:rPr>
              <w:t>M7650DNF</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98.</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联想</w:t>
            </w:r>
            <w:r>
              <w:rPr>
                <w:sz w:val="20"/>
                <w:color w:val="000000"/>
              </w:rPr>
              <w:t>LJ2655DN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重要耗材</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sz w:val="20"/>
              </w:rPr>
              <w:t>99.</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联想</w:t>
            </w:r>
            <w:r>
              <w:rPr>
                <w:sz w:val="20"/>
                <w:color w:val="000000"/>
              </w:rPr>
              <w:t>LJ3800DN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松下</w:t>
            </w:r>
            <w:r>
              <w:rPr>
                <w:sz w:val="20"/>
                <w:color w:val="000000"/>
              </w:rPr>
              <w:t>MB</w:t>
            </w:r>
            <w:r>
              <w:rPr>
                <w:sz w:val="20"/>
                <w:color w:val="000000"/>
              </w:rPr>
              <w:t>2038</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101.</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松下</w:t>
            </w:r>
            <w:r>
              <w:rPr>
                <w:sz w:val="20"/>
                <w:color w:val="000000"/>
              </w:rPr>
              <w:t>MB</w:t>
            </w:r>
            <w:r>
              <w:rPr>
                <w:sz w:val="20"/>
                <w:color w:val="000000"/>
              </w:rPr>
              <w:t>2538</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102.</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理光</w:t>
            </w:r>
            <w:r>
              <w:rPr>
                <w:sz w:val="20"/>
                <w:color w:val="000000"/>
              </w:rPr>
              <w:t>SPC252DN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103.</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兰</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理光</w:t>
            </w:r>
            <w:r>
              <w:rPr>
                <w:sz w:val="20"/>
                <w:color w:val="000000"/>
              </w:rPr>
              <w:t>SPC252DN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104.</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理光</w:t>
            </w:r>
            <w:r>
              <w:rPr>
                <w:sz w:val="20"/>
                <w:color w:val="000000"/>
              </w:rPr>
              <w:t>SPC252DN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105.</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理光</w:t>
            </w:r>
            <w:r>
              <w:rPr>
                <w:sz w:val="20"/>
                <w:color w:val="000000"/>
              </w:rPr>
              <w:t>SPC252DN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106.</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富士施乐</w:t>
            </w:r>
            <w:r>
              <w:rPr>
                <w:sz w:val="18"/>
                <w:color w:val="000000"/>
              </w:rPr>
              <w:t>DocuCentre-II4000-CPS</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107.</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富士施乐</w:t>
            </w:r>
            <w:r>
              <w:rPr>
                <w:sz w:val="18"/>
                <w:color w:val="000000"/>
              </w:rPr>
              <w:t xml:space="preserve"> DocuCentre</w:t>
            </w:r>
            <w:r>
              <w:rPr>
                <w:sz w:val="18"/>
                <w:color w:val="000000"/>
              </w:rPr>
              <w:t>-V</w:t>
            </w:r>
            <w:r>
              <w:rPr>
                <w:sz w:val="18"/>
                <w:color w:val="000000"/>
              </w:rPr>
              <w:t>4070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840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108.</w:t>
            </w:r>
          </w:p>
        </w:tc>
        <w:tc>
          <w:tcPr>
            <w:tcW w:type="dxa" w:w="6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富士施乐</w:t>
            </w:r>
            <w:r>
              <w:rPr>
                <w:sz w:val="18"/>
                <w:color w:val="000000"/>
              </w:rPr>
              <w:t>DocuCentre</w:t>
            </w:r>
            <w:r>
              <w:rPr>
                <w:sz w:val="18"/>
                <w:color w:val="000000"/>
              </w:rPr>
              <w:t>-IV</w:t>
            </w:r>
            <w:r>
              <w:rPr>
                <w:sz w:val="18"/>
                <w:color w:val="000000"/>
              </w:rPr>
              <w:t>4070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109.</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富士施乐</w:t>
            </w:r>
            <w:r>
              <w:rPr>
                <w:sz w:val="18"/>
                <w:color w:val="000000"/>
              </w:rPr>
              <w:t>DocuCentre-V1 3370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重要耗材</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sz w:val="20"/>
              </w:rPr>
              <w:t>110.</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富士施乐</w:t>
            </w:r>
            <w:r>
              <w:rPr>
                <w:sz w:val="18"/>
                <w:color w:val="000000"/>
              </w:rPr>
              <w:t>DocuCentre-V1 3370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重要耗材</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sz w:val="20"/>
              </w:rPr>
              <w:t>111.</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富士施乐</w:t>
            </w:r>
            <w:r>
              <w:rPr>
                <w:sz w:val="18"/>
                <w:color w:val="000000"/>
              </w:rPr>
              <w:t>DocuCentre-V1 3370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1400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重要耗材</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sz w:val="20"/>
              </w:rPr>
              <w:t>112.</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富士施乐</w:t>
            </w:r>
            <w:r>
              <w:rPr>
                <w:sz w:val="18"/>
                <w:color w:val="000000"/>
              </w:rPr>
              <w:t>DocuCentre-V1 3370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1400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重要耗材</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sz w:val="20"/>
              </w:rPr>
              <w:t>113.</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柯尼卡美能达</w:t>
            </w:r>
            <w:r>
              <w:rPr>
                <w:sz w:val="20"/>
                <w:color w:val="000000"/>
              </w:rPr>
              <w:t>Bizhub423</w:t>
            </w:r>
          </w:p>
          <w:p>
            <w:pPr>
              <w:pStyle w:val="null3"/>
              <w:jc w:val="left"/>
            </w:pPr>
            <w:r>
              <w:rPr>
                <w:sz w:val="20"/>
                <w:color w:val="000000"/>
              </w:rPr>
              <w:t>柯尼卡美能达</w:t>
            </w:r>
            <w:r>
              <w:rPr>
                <w:sz w:val="20"/>
                <w:color w:val="000000"/>
              </w:rPr>
              <w:t>BIZHUB-363</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114.</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柯尼卡美能达</w:t>
            </w:r>
            <w:r>
              <w:rPr>
                <w:sz w:val="20"/>
                <w:color w:val="000000"/>
              </w:rPr>
              <w:t>bizhub458</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重要耗材</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sz w:val="20"/>
              </w:rPr>
              <w:t>115.</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兄弟</w:t>
            </w:r>
            <w:r>
              <w:rPr>
                <w:sz w:val="20"/>
                <w:color w:val="000000"/>
              </w:rPr>
              <w:t>HL-</w:t>
            </w:r>
            <w:r>
              <w:rPr>
                <w:sz w:val="20"/>
                <w:color w:val="000000"/>
              </w:rPr>
              <w:t xml:space="preserve"> 2250DN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116.</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CM8505</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1560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117.</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CM8505</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rPr>
              <w:t>≥34000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118.</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CM8505</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119.</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品红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CM8505</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120.</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P3305</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重要耗材</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sz w:val="20"/>
              </w:rPr>
              <w:t>121.</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CM7115DN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122.</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CM7115DN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123.</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CM7115DN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124.</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CM7115DN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125.</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汉光</w:t>
            </w:r>
            <w:r>
              <w:rPr>
                <w:sz w:val="20"/>
              </w:rPr>
              <w:t>BMF6450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126.</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立思辰</w:t>
            </w:r>
            <w:r>
              <w:rPr>
                <w:sz w:val="20"/>
              </w:rPr>
              <w:t>GA7530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127.</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立思辰</w:t>
            </w:r>
            <w:r>
              <w:rPr>
                <w:sz w:val="20"/>
              </w:rPr>
              <w:t>GA7530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立思辰</w:t>
            </w:r>
            <w:r>
              <w:rPr>
                <w:sz w:val="20"/>
              </w:rPr>
              <w:t>GA7530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129.</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立思辰</w:t>
            </w:r>
            <w:r>
              <w:rPr>
                <w:sz w:val="20"/>
              </w:rPr>
              <w:t>GA7530</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130.</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立思辰</w:t>
            </w:r>
            <w:r>
              <w:rPr>
                <w:sz w:val="20"/>
              </w:rPr>
              <w:t>GA9540cdn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131.</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立思辰</w:t>
            </w:r>
            <w:r>
              <w:rPr>
                <w:sz w:val="20"/>
              </w:rPr>
              <w:t>GA9540cdn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132.</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立思辰</w:t>
            </w:r>
            <w:r>
              <w:rPr>
                <w:sz w:val="20"/>
              </w:rPr>
              <w:t>GA9540cdn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133.</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立思辰</w:t>
            </w:r>
            <w:r>
              <w:rPr>
                <w:sz w:val="20"/>
              </w:rPr>
              <w:t>GA9540cdn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134.</w:t>
            </w:r>
          </w:p>
        </w:tc>
        <w:tc>
          <w:tcPr>
            <w:tcW w:type="dxa" w:w="6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CM2270ADN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770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135.</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青</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CM2270ADN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136.</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CM2270ADN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137.</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CM2270ADN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138.</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富士胶片</w:t>
            </w:r>
            <w:r>
              <w:rPr>
                <w:sz w:val="20"/>
              </w:rPr>
              <w:t>P268d</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139.</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兄弟</w:t>
            </w:r>
            <w:r>
              <w:rPr>
                <w:sz w:val="20"/>
              </w:rPr>
              <w:t>7080D</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140.</w:t>
            </w: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兄弟</w:t>
            </w:r>
            <w:r>
              <w:rPr>
                <w:sz w:val="20"/>
              </w:rPr>
              <w:t>2250DN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9"/>
            <w:vMerge/>
            <w:tcBorders>
              <w:top w:val="none" w:color="000000" w:sz="4"/>
              <w:left w:val="non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黑</w:t>
            </w:r>
            <w:r>
              <w:rPr>
                <w:sz w:val="20"/>
              </w:rPr>
              <w:t>色</w:t>
            </w:r>
          </w:p>
        </w:tc>
        <w:tc>
          <w:tcPr>
            <w:tcW w:type="dxa" w:w="2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奔图</w:t>
            </w:r>
            <w:r>
              <w:rPr>
                <w:sz w:val="20"/>
              </w:rPr>
              <w:t>CM8505废粉盒</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≥90000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750</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4"/>
        </w:rPr>
        <w:t>注：（一）《办公打印设备耗材采购清单》中，序号</w:t>
      </w:r>
      <w:r>
        <w:rPr>
          <w:sz w:val="24"/>
        </w:rPr>
        <w:t>12的硒鼓（原有设备机型为佳能LBP7200CDN）为核心产品</w:t>
      </w:r>
      <w:r>
        <w:rPr>
          <w:sz w:val="24"/>
        </w:rPr>
        <w:t>，多家投标人提供的核心产品中任意一个产品品牌相同的，按一家投标人计算）。投标人必须在投标文件中填写所投核心产品的品牌，否则按无效投标处理。</w:t>
      </w:r>
    </w:p>
    <w:p>
      <w:pPr>
        <w:pStyle w:val="null3"/>
        <w:ind w:firstLine="480"/>
        <w:jc w:val="both"/>
      </w:pPr>
      <w:r>
        <w:rPr>
          <w:sz w:val="24"/>
        </w:rPr>
        <w:t>（二）《办公打印设备耗材采购清单》中，标注</w:t>
      </w:r>
      <w:r>
        <w:rPr>
          <w:sz w:val="24"/>
        </w:rPr>
        <w:t>“重要耗材”的型号为采购人采购数量相对较多的产品。</w:t>
      </w:r>
    </w:p>
    <w:p>
      <w:pPr>
        <w:pStyle w:val="null3"/>
        <w:ind w:firstLine="480"/>
        <w:jc w:val="both"/>
      </w:pPr>
      <w:r>
        <w:rPr>
          <w:sz w:val="24"/>
        </w:rPr>
        <w:t>（三）投标人必须提供上述《办公打印设备耗材采购清单》所列对应机型使用需要的各类型号耗材，且提供的耗材均为设备生产厂家允许的。</w:t>
      </w:r>
    </w:p>
    <w:p>
      <w:pPr>
        <w:pStyle w:val="null3"/>
        <w:ind w:firstLine="480"/>
        <w:jc w:val="both"/>
      </w:pPr>
      <w:r>
        <w:rPr>
          <w:sz w:val="24"/>
        </w:rPr>
        <w:t>（四）中标人提供的耗材必须能提供产品质量证明，保证符合对应机型的使用需要，并遵守设备保养条例说明。</w:t>
      </w:r>
    </w:p>
    <w:p>
      <w:pPr>
        <w:pStyle w:val="null3"/>
        <w:ind w:firstLine="480"/>
        <w:jc w:val="both"/>
      </w:pPr>
      <w:r>
        <w:rPr>
          <w:sz w:val="24"/>
          <w:b/>
        </w:rPr>
        <w:t>四、报价要求</w:t>
      </w:r>
    </w:p>
    <w:p>
      <w:pPr>
        <w:pStyle w:val="null3"/>
        <w:ind w:firstLine="480"/>
        <w:jc w:val="both"/>
      </w:pPr>
      <w:r>
        <w:rPr>
          <w:sz w:val="24"/>
        </w:rPr>
        <w:t>（一）</w:t>
      </w:r>
      <w:r>
        <w:rPr>
          <w:sz w:val="24"/>
        </w:rPr>
        <w:t>★</w:t>
      </w:r>
      <w:r>
        <w:rPr>
          <w:sz w:val="24"/>
        </w:rPr>
        <w:t>投标人报出统一的折扣，折扣必须为固定报价，不接受区间报价（如</w:t>
      </w:r>
      <w:r>
        <w:rPr>
          <w:sz w:val="24"/>
        </w:rPr>
        <w:t>80％～90％），折扣报价范围：0%＜折扣≤100%；</w:t>
      </w:r>
    </w:p>
    <w:p>
      <w:pPr>
        <w:pStyle w:val="null3"/>
        <w:ind w:firstLine="480"/>
        <w:jc w:val="left"/>
      </w:pPr>
      <w:r>
        <w:rPr>
          <w:sz w:val="24"/>
        </w:rPr>
        <w:t>（二）结算公式：结算价格＝《办公打印设备耗材采购清单》中的基准价</w:t>
      </w:r>
      <w:r>
        <w:rPr>
          <w:sz w:val="24"/>
        </w:rPr>
        <w:t>×折扣×实际供货量。</w:t>
      </w:r>
    </w:p>
    <w:p>
      <w:pPr>
        <w:pStyle w:val="null3"/>
        <w:ind w:firstLine="480"/>
        <w:jc w:val="left"/>
      </w:pPr>
      <w:r>
        <w:rPr>
          <w:sz w:val="24"/>
          <w:b/>
        </w:rPr>
        <w:t>五、项目总体</w:t>
      </w:r>
      <w:r>
        <w:rPr>
          <w:sz w:val="24"/>
          <w:b/>
        </w:rPr>
        <w:t>技术</w:t>
      </w:r>
      <w:r>
        <w:rPr>
          <w:sz w:val="24"/>
          <w:b/>
        </w:rPr>
        <w:t>要求</w:t>
      </w:r>
    </w:p>
    <w:p>
      <w:pPr>
        <w:pStyle w:val="null3"/>
        <w:ind w:firstLine="480"/>
        <w:jc w:val="both"/>
      </w:pPr>
      <w:r>
        <w:rPr>
          <w:sz w:val="24"/>
        </w:rPr>
        <w:t>（一）投标人必须承诺提供设备生产厂家允许的原装的、全新的、符合国家及用户提出的有关质量标准的耗材。</w:t>
      </w:r>
    </w:p>
    <w:p>
      <w:pPr>
        <w:pStyle w:val="null3"/>
        <w:ind w:firstLine="480"/>
        <w:jc w:val="both"/>
      </w:pPr>
      <w:r>
        <w:rPr>
          <w:sz w:val="24"/>
        </w:rPr>
        <w:t>（二）投标人必须承诺在供货时提供生产厂家的授权或代理销售证明，以及生产厂家出具的供货证明函（</w:t>
      </w:r>
      <w:r>
        <w:rPr>
          <w:sz w:val="24"/>
        </w:rPr>
        <w:t>提供</w:t>
      </w:r>
      <w:r>
        <w:rPr>
          <w:sz w:val="24"/>
        </w:rPr>
        <w:t>承诺书）。</w:t>
      </w:r>
    </w:p>
    <w:p>
      <w:pPr>
        <w:pStyle w:val="null3"/>
        <w:ind w:firstLine="480"/>
        <w:jc w:val="both"/>
      </w:pPr>
      <w:r>
        <w:rPr>
          <w:sz w:val="24"/>
        </w:rPr>
        <w:t>（三）</w:t>
      </w:r>
      <w:r>
        <w:rPr>
          <w:sz w:val="24"/>
        </w:rPr>
        <w:t>要求硒鼓、墨盒、墨粉序列号与外包装序列号一致，并可通过官方途径查询真伪，无序列号视为假货处理。</w:t>
      </w:r>
    </w:p>
    <w:p>
      <w:pPr>
        <w:pStyle w:val="null3"/>
        <w:ind w:firstLine="480"/>
        <w:jc w:val="both"/>
      </w:pPr>
      <w:r>
        <w:rPr>
          <w:sz w:val="24"/>
        </w:rPr>
        <w:t>（</w:t>
      </w:r>
      <w:r>
        <w:rPr>
          <w:sz w:val="24"/>
        </w:rPr>
        <w:t>四</w:t>
      </w:r>
      <w:r>
        <w:rPr>
          <w:sz w:val="24"/>
        </w:rPr>
        <w:t>）如遇耗材停产情况，则双方协商解决。</w:t>
      </w:r>
    </w:p>
    <w:p>
      <w:pPr>
        <w:pStyle w:val="null3"/>
        <w:ind w:firstLine="480"/>
        <w:jc w:val="both"/>
      </w:pPr>
      <w:r>
        <w:rPr>
          <w:sz w:val="24"/>
        </w:rPr>
        <w:t>（</w:t>
      </w:r>
      <w:r>
        <w:rPr>
          <w:sz w:val="24"/>
        </w:rPr>
        <w:t>五</w:t>
      </w:r>
      <w:r>
        <w:rPr>
          <w:sz w:val="24"/>
        </w:rPr>
        <w:t>）服务流程：中标人在接到下单信息或采购人及其下属单位经办人书面、电话或网络通讯方式通知后，</w:t>
      </w:r>
      <w:r>
        <w:rPr>
          <w:sz w:val="24"/>
        </w:rPr>
        <w:t>24小时（节假日48小时）内送货到指点地点，验收合格后，由收货单位经办人在耗材送货清单（一式贰份）签名确认，收货单位留存一份，其余一份交由中标人作存档、对账结算之用。</w:t>
      </w:r>
    </w:p>
    <w:p>
      <w:pPr>
        <w:pStyle w:val="null3"/>
        <w:ind w:firstLine="480"/>
        <w:jc w:val="both"/>
      </w:pPr>
      <w:r>
        <w:rPr>
          <w:sz w:val="24"/>
        </w:rPr>
        <w:t>（</w:t>
      </w:r>
      <w:r>
        <w:rPr>
          <w:sz w:val="24"/>
        </w:rPr>
        <w:t>六</w:t>
      </w:r>
      <w:r>
        <w:rPr>
          <w:sz w:val="24"/>
        </w:rPr>
        <w:t>）供货要求：按需分批供货，具体送货时间以采购人通知为准。</w:t>
      </w:r>
    </w:p>
    <w:p>
      <w:pPr>
        <w:pStyle w:val="null3"/>
        <w:ind w:firstLine="480"/>
        <w:jc w:val="both"/>
      </w:pPr>
      <w:r>
        <w:rPr>
          <w:sz w:val="24"/>
        </w:rPr>
        <w:t>（</w:t>
      </w:r>
      <w:r>
        <w:rPr>
          <w:sz w:val="24"/>
        </w:rPr>
        <w:t>七</w:t>
      </w:r>
      <w:r>
        <w:rPr>
          <w:sz w:val="24"/>
        </w:rPr>
        <w:t>）交货地点：广州市中级人民法院指定地点。</w:t>
      </w:r>
    </w:p>
    <w:p>
      <w:pPr>
        <w:pStyle w:val="null3"/>
        <w:ind w:firstLine="480"/>
        <w:jc w:val="both"/>
      </w:pPr>
      <w:r>
        <w:rPr>
          <w:sz w:val="24"/>
          <w:b/>
        </w:rPr>
        <w:t>六、具体要求</w:t>
      </w:r>
    </w:p>
    <w:p>
      <w:pPr>
        <w:pStyle w:val="null3"/>
        <w:ind w:firstLine="480"/>
        <w:jc w:val="both"/>
      </w:pPr>
      <w:r>
        <w:rPr>
          <w:sz w:val="24"/>
        </w:rPr>
        <w:t>（一）提供优于或相同于现有耗材清单的耗材，且包含但不限于耗材清单内的耗材。</w:t>
      </w:r>
    </w:p>
    <w:p>
      <w:pPr>
        <w:pStyle w:val="null3"/>
        <w:ind w:firstLine="480"/>
        <w:jc w:val="both"/>
      </w:pPr>
      <w:r>
        <w:rPr>
          <w:sz w:val="24"/>
        </w:rPr>
        <w:t>（二）投标人所提供的耗材，必须具有十二个月以上的产品质保期。</w:t>
      </w:r>
    </w:p>
    <w:p>
      <w:pPr>
        <w:pStyle w:val="null3"/>
        <w:ind w:firstLine="480"/>
        <w:jc w:val="both"/>
      </w:pPr>
      <w:r>
        <w:rPr>
          <w:sz w:val="24"/>
        </w:rPr>
        <w:t>（三）服务要求</w:t>
      </w:r>
    </w:p>
    <w:p>
      <w:pPr>
        <w:pStyle w:val="null3"/>
        <w:ind w:firstLine="480"/>
        <w:jc w:val="both"/>
      </w:pPr>
      <w:r>
        <w:rPr>
          <w:sz w:val="24"/>
        </w:rPr>
        <w:t>1．根据采购人需求确定日常大量使用耗材存放采购人仓库。</w:t>
      </w:r>
    </w:p>
    <w:p>
      <w:pPr>
        <w:pStyle w:val="null3"/>
        <w:ind w:firstLine="480"/>
        <w:jc w:val="both"/>
      </w:pPr>
      <w:r>
        <w:rPr>
          <w:sz w:val="24"/>
        </w:rPr>
        <w:t>2．其他不常用的货物，采购人采取零库存的方式，有需要时再要求中标人及时供货至采购人仓库。</w:t>
      </w:r>
    </w:p>
    <w:p>
      <w:pPr>
        <w:pStyle w:val="null3"/>
        <w:ind w:firstLine="480"/>
      </w:pPr>
      <w:r>
        <w:rPr>
          <w:sz w:val="24"/>
        </w:rPr>
        <w:t>3．中标人必须在采购人发出送货要求后的2个小时内响应。非紧急情况下，接到指令后24小时（节假日48小时）内送达。紧急情况下，接到指令后2个小时内送达。</w:t>
      </w:r>
    </w:p>
    <w:p>
      <w:pPr>
        <w:pStyle w:val="null3"/>
        <w:ind w:firstLine="480"/>
        <w:jc w:val="both"/>
      </w:pPr>
      <w:r>
        <w:rPr>
          <w:sz w:val="24"/>
        </w:rPr>
        <w:t>4. 投标人在提供服务期间，其技术人员应为本公司人员，经过厂家培训及得到认可的维修工程师或售后维修人员（需提供资质证明材料）。</w:t>
      </w:r>
    </w:p>
    <w:p>
      <w:pPr>
        <w:pStyle w:val="null3"/>
        <w:ind w:firstLine="480"/>
        <w:jc w:val="both"/>
      </w:pPr>
      <w:r>
        <w:rPr>
          <w:sz w:val="24"/>
        </w:rPr>
        <w:t>5. 投标人所投产品应对其质量及相关安全性提供保证。</w:t>
      </w:r>
    </w:p>
    <w:p>
      <w:pPr>
        <w:pStyle w:val="null3"/>
        <w:spacing w:after="120"/>
        <w:jc w:val="both"/>
      </w:pPr>
      <w:r>
        <w:rPr>
          <w:sz w:val="24"/>
        </w:rPr>
        <w:t xml:space="preserve">    </w:t>
      </w:r>
      <w:r>
        <w:rPr>
          <w:sz w:val="24"/>
        </w:rPr>
        <w:t>6.投标人要有针对性的的服务流程方案（包括但不限于下订单流程 、技术服务团队、保障措施、应急服务等） 。</w:t>
      </w:r>
    </w:p>
    <w:p>
      <w:pPr>
        <w:pStyle w:val="null3"/>
        <w:jc w:val="both"/>
      </w:pPr>
      <w:r>
        <w:rPr>
          <w:sz w:val="24"/>
        </w:rPr>
        <w:t>（四）售后服务要求</w:t>
      </w:r>
    </w:p>
    <w:p>
      <w:pPr>
        <w:pStyle w:val="null3"/>
        <w:ind w:firstLine="480"/>
        <w:jc w:val="both"/>
      </w:pPr>
      <w:r>
        <w:rPr>
          <w:sz w:val="24"/>
        </w:rPr>
        <w:t>1．中标人负责免费送货及其他售后服务，对本项目的售后服务作出承诺</w:t>
      </w:r>
      <w:r>
        <w:rPr>
          <w:sz w:val="24"/>
        </w:rPr>
        <w:t>（如产品配送方案，安装指导、调试方案、验收计划，应急服务方案等）。</w:t>
      </w:r>
    </w:p>
    <w:p>
      <w:pPr>
        <w:pStyle w:val="null3"/>
        <w:ind w:firstLine="480"/>
        <w:jc w:val="both"/>
      </w:pPr>
      <w:r>
        <w:rPr>
          <w:sz w:val="24"/>
        </w:rPr>
        <w:t>2.</w:t>
      </w:r>
      <w:r>
        <w:rPr>
          <w:sz w:val="24"/>
        </w:rPr>
        <w:t>指派具有相关认证的项目技术经理（中标人需提供相关资质认证）负责与采购人联系售后服务事宜。所有货物保修服务方式均为中标人上门保修，由此产生的一切费用均由中标人承担。</w:t>
      </w:r>
    </w:p>
    <w:p>
      <w:pPr>
        <w:pStyle w:val="null3"/>
        <w:ind w:firstLine="480"/>
        <w:jc w:val="left"/>
      </w:pPr>
      <w:r>
        <w:rPr>
          <w:sz w:val="24"/>
        </w:rPr>
        <w:t>3</w:t>
      </w:r>
      <w:r>
        <w:rPr>
          <w:sz w:val="24"/>
        </w:rPr>
        <w:t>．</w:t>
      </w:r>
      <w:r>
        <w:rPr>
          <w:sz w:val="24"/>
        </w:rPr>
        <w:t>中标人所供设备按国家有关产品</w:t>
      </w:r>
      <w:r>
        <w:rPr>
          <w:sz w:val="24"/>
        </w:rPr>
        <w:t>“三包”规定执行质量“三包”（采购人及其使用人自行拆装设备造成质量问题的除外）。</w:t>
      </w:r>
    </w:p>
    <w:p>
      <w:pPr>
        <w:pStyle w:val="null3"/>
        <w:ind w:firstLine="480"/>
        <w:jc w:val="both"/>
      </w:pPr>
      <w:r>
        <w:rPr>
          <w:sz w:val="24"/>
        </w:rPr>
        <w:t>4</w:t>
      </w:r>
      <w:r>
        <w:rPr>
          <w:sz w:val="24"/>
        </w:rPr>
        <w:t>.  质保期为1年，从产品验收合格之日起计算。</w:t>
      </w:r>
    </w:p>
    <w:p>
      <w:pPr>
        <w:pStyle w:val="null3"/>
        <w:ind w:firstLine="480"/>
        <w:jc w:val="both"/>
      </w:pPr>
      <w:r>
        <w:rPr>
          <w:sz w:val="24"/>
        </w:rPr>
        <w:t>5</w:t>
      </w:r>
      <w:r>
        <w:rPr>
          <w:sz w:val="24"/>
        </w:rPr>
        <w:t>.  质保期内，中标人承诺免费负责全部合同货物出现的缺陷或故障处理与修复。</w:t>
      </w:r>
    </w:p>
    <w:p>
      <w:pPr>
        <w:pStyle w:val="null3"/>
        <w:ind w:firstLine="480"/>
        <w:jc w:val="both"/>
      </w:pPr>
      <w:r>
        <w:rPr>
          <w:sz w:val="24"/>
        </w:rPr>
        <w:t>6</w:t>
      </w:r>
      <w:r>
        <w:rPr>
          <w:sz w:val="24"/>
        </w:rPr>
        <w:t>.  在质保期内因中标人责任而产生的质量问题，由其负责无偿返修。不能维修的，整件免费更换。人为原因造成的损坏只收配件费不收人工费。</w:t>
      </w:r>
    </w:p>
    <w:p>
      <w:pPr>
        <w:pStyle w:val="null3"/>
        <w:ind w:firstLine="480"/>
        <w:jc w:val="both"/>
      </w:pPr>
      <w:r>
        <w:rPr>
          <w:sz w:val="24"/>
        </w:rPr>
        <w:t>7</w:t>
      </w:r>
      <w:r>
        <w:rPr>
          <w:sz w:val="24"/>
        </w:rPr>
        <w:t>.  在质保期内，中标人要保证在接到故障电话后</w:t>
      </w:r>
      <w:r>
        <w:rPr>
          <w:sz w:val="24"/>
          <w:u w:val="single"/>
        </w:rPr>
        <w:t>4</w:t>
      </w:r>
      <w:r>
        <w:rPr>
          <w:sz w:val="24"/>
        </w:rPr>
        <w:t>小时到场，并在</w:t>
      </w:r>
      <w:r>
        <w:rPr>
          <w:sz w:val="24"/>
          <w:u w:val="single"/>
        </w:rPr>
        <w:t>8</w:t>
      </w:r>
      <w:r>
        <w:rPr>
          <w:sz w:val="24"/>
        </w:rPr>
        <w:t>小时内修复。</w:t>
      </w:r>
      <w:r>
        <w:rPr>
          <w:sz w:val="24"/>
        </w:rPr>
        <w:t>应急响应时间为</w:t>
      </w:r>
      <w:r>
        <w:rPr>
          <w:sz w:val="24"/>
        </w:rPr>
        <w:t>30分钟，2小时内到现场，4小时内解决故障。</w:t>
      </w:r>
    </w:p>
    <w:p>
      <w:pPr>
        <w:pStyle w:val="null3"/>
        <w:ind w:firstLine="480"/>
        <w:jc w:val="both"/>
      </w:pPr>
      <w:r>
        <w:rPr>
          <w:sz w:val="24"/>
        </w:rPr>
        <w:t>8</w:t>
      </w:r>
      <w:r>
        <w:rPr>
          <w:sz w:val="24"/>
        </w:rPr>
        <w:t>.  质保期结束前，中标人和采购人代表进行一次全面检查，任何缺陷须由采购人或其设备制造商负责修理并提供维修报告。</w:t>
      </w:r>
    </w:p>
    <w:p>
      <w:pPr>
        <w:pStyle w:val="null3"/>
        <w:jc w:val="both"/>
      </w:pPr>
      <w:r>
        <w:rPr>
          <w:sz w:val="24"/>
        </w:rPr>
        <w:t>（五）</w:t>
      </w:r>
      <w:r>
        <w:rPr>
          <w:sz w:val="24"/>
        </w:rPr>
        <w:t>人</w:t>
      </w:r>
      <w:r>
        <w:rPr>
          <w:sz w:val="24"/>
        </w:rPr>
        <w:t>员要求</w:t>
      </w:r>
    </w:p>
    <w:p>
      <w:pPr>
        <w:pStyle w:val="null3"/>
        <w:ind w:firstLine="480"/>
        <w:jc w:val="both"/>
      </w:pPr>
      <w:r>
        <w:rPr>
          <w:sz w:val="24"/>
        </w:rPr>
        <w:t>本项目所包含的货物与服务需由中标人提供保障。</w:t>
      </w:r>
    </w:p>
    <w:p>
      <w:pPr>
        <w:pStyle w:val="null3"/>
        <w:ind w:firstLine="480"/>
        <w:jc w:val="both"/>
      </w:pPr>
      <w:r>
        <w:rPr>
          <w:sz w:val="24"/>
        </w:rPr>
        <w:t>1.</w:t>
      </w:r>
      <w:r>
        <w:rPr>
          <w:sz w:val="24"/>
        </w:rPr>
        <w:t xml:space="preserve"> </w:t>
      </w:r>
      <w:r>
        <w:rPr>
          <w:sz w:val="24"/>
        </w:rPr>
        <w:t>项目</w:t>
      </w:r>
      <w:r>
        <w:rPr>
          <w:sz w:val="24"/>
        </w:rPr>
        <w:t>技术</w:t>
      </w:r>
      <w:r>
        <w:rPr>
          <w:sz w:val="24"/>
        </w:rPr>
        <w:t>经理。为提高工作效率、减轻单位的压力。要求项目经理能够快速熟悉并掌握</w:t>
      </w:r>
      <w:r>
        <w:rPr>
          <w:sz w:val="24"/>
        </w:rPr>
        <w:t>采购人</w:t>
      </w:r>
      <w:r>
        <w:rPr>
          <w:sz w:val="24"/>
        </w:rPr>
        <w:t>的业务运作模式，承担起项目质量、安全、管理的责任，负责处理项目日常事务工作，在项目计划、组织和控制活动中做好领导工作，起到上传下达的作用，达到项目顺利完成的目的。同时，中标人需指定一名专职的具有</w:t>
      </w:r>
      <w:r>
        <w:rPr>
          <w:sz w:val="24"/>
        </w:rPr>
        <w:t>信息类专业本科及以上学历，办公设备耗材销售或售后工作经验</w:t>
      </w:r>
      <w:r>
        <w:rPr>
          <w:sz w:val="24"/>
        </w:rPr>
        <w:t>5年以上的人员为</w:t>
      </w:r>
      <w:r>
        <w:rPr>
          <w:sz w:val="24"/>
        </w:rPr>
        <w:t>服务接口人，具有比较全面的技术知识结构，良好的表达能力，需提供相关资质证书。</w:t>
      </w:r>
    </w:p>
    <w:p>
      <w:pPr>
        <w:pStyle w:val="null3"/>
        <w:ind w:firstLine="480"/>
        <w:jc w:val="both"/>
      </w:pPr>
      <w:r>
        <w:rPr>
          <w:sz w:val="24"/>
        </w:rPr>
        <w:t>2.</w:t>
      </w:r>
      <w:r>
        <w:rPr>
          <w:sz w:val="24"/>
        </w:rPr>
        <w:t xml:space="preserve"> </w:t>
      </w:r>
      <w:r>
        <w:rPr>
          <w:sz w:val="24"/>
        </w:rPr>
        <w:t>为保证此项目顺利实施，建立有效的沟通渠道，要求中标人组建针对此项目的技术团队，提供</w:t>
      </w:r>
      <w:r>
        <w:rPr>
          <w:sz w:val="24"/>
        </w:rPr>
        <w:t>7天×24小时响应的联系人及联系方式。同时，中标人需指定不少于</w:t>
      </w:r>
      <w:r>
        <w:rPr>
          <w:sz w:val="24"/>
        </w:rPr>
        <w:t>6</w:t>
      </w:r>
      <w:r>
        <w:rPr>
          <w:sz w:val="24"/>
        </w:rPr>
        <w:t>名熟练的技术人员作为技术服务支撑保障，为采购人的办公设备耗材提供免费上门安装调试清洁等服务</w:t>
      </w:r>
      <w:r>
        <w:rPr>
          <w:sz w:val="24"/>
        </w:rPr>
        <w:t>,中标人每月定期上门或按采购人耗材使用实际情况需求，进行安装调试清洁服务业务。要求服务技术人员具有相应</w:t>
      </w:r>
      <w:r>
        <w:rPr>
          <w:sz w:val="24"/>
        </w:rPr>
        <w:t>技术</w:t>
      </w:r>
      <w:r>
        <w:rPr>
          <w:sz w:val="24"/>
        </w:rPr>
        <w:t>认证</w:t>
      </w:r>
      <w:r>
        <w:rPr>
          <w:sz w:val="24"/>
        </w:rPr>
        <w:t>资质</w:t>
      </w:r>
      <w:r>
        <w:rPr>
          <w:sz w:val="24"/>
        </w:rPr>
        <w:t>。</w:t>
      </w:r>
    </w:p>
    <w:p>
      <w:pPr>
        <w:pStyle w:val="null3"/>
        <w:ind w:firstLine="480"/>
        <w:jc w:val="both"/>
      </w:pPr>
      <w:r>
        <w:rPr>
          <w:sz w:val="24"/>
        </w:rPr>
        <w:t>（六）</w:t>
      </w:r>
      <w:r>
        <w:rPr>
          <w:sz w:val="24"/>
        </w:rPr>
        <w:t>其他要求</w:t>
      </w:r>
    </w:p>
    <w:p>
      <w:pPr>
        <w:pStyle w:val="null3"/>
        <w:ind w:firstLine="480"/>
        <w:jc w:val="both"/>
      </w:pPr>
      <w:r>
        <w:rPr>
          <w:sz w:val="24"/>
        </w:rPr>
        <w:t>1.若采购人有一些目前在用的机器因报废不再使用时，中标人必须承诺可将采购人已要求送货的、对应上述机型的产品更换成相当价格的其他品牌型号的产品，不得拒绝更换。</w:t>
      </w:r>
    </w:p>
    <w:p>
      <w:pPr>
        <w:pStyle w:val="null3"/>
        <w:ind w:firstLine="480"/>
        <w:jc w:val="both"/>
      </w:pPr>
      <w:r>
        <w:rPr>
          <w:sz w:val="24"/>
        </w:rPr>
        <w:t>2.中标人需定期对采购人使用后的废旧耗材(墨盒、硒鼓、废粉盒等)进行收集和交由政府指定的专业回收机构处理，不得随意丢弃或流出废旧品回收市场等。</w:t>
      </w:r>
    </w:p>
    <w:p>
      <w:pPr>
        <w:pStyle w:val="null3"/>
        <w:ind w:firstLine="480"/>
        <w:jc w:val="both"/>
      </w:pPr>
      <w:r>
        <w:rPr>
          <w:sz w:val="24"/>
        </w:rPr>
        <w:t>3. 如采购人在合同期间需要中标人提供《办公打印设备耗材采购清单》以外的耗材时，中标人需按照采购人要求提供，所供耗材以广东政府采购智慧云平台服务超市中相同型号的价格为基准价。</w:t>
      </w:r>
    </w:p>
    <w:p>
      <w:pPr>
        <w:pStyle w:val="null3"/>
        <w:ind w:firstLine="480"/>
        <w:jc w:val="both"/>
      </w:pPr>
      <w:r>
        <w:rPr>
          <w:sz w:val="24"/>
          <w:b/>
        </w:rPr>
        <w:t>七、付款方式要求</w:t>
      </w:r>
    </w:p>
    <w:p>
      <w:pPr>
        <w:pStyle w:val="null3"/>
        <w:ind w:firstLine="480"/>
        <w:jc w:val="both"/>
      </w:pPr>
      <w:r>
        <w:rPr>
          <w:sz w:val="24"/>
        </w:rPr>
        <w:t>（一）结算价格＝《办公打印设备耗材采购清单》中的基准价</w:t>
      </w:r>
      <w:r>
        <w:rPr>
          <w:sz w:val="24"/>
        </w:rPr>
        <w:t>×折扣×实际供货量。结算价格四舍五入到小数点前个位数，以此确定所有型号耗材的结算单价（包括原厂耗材、替代耗材），结算单价=《办公打印设备耗材采购清单》中的基准价×折扣，并将该单价写入合同书。</w:t>
      </w:r>
    </w:p>
    <w:p>
      <w:pPr>
        <w:pStyle w:val="null3"/>
        <w:ind w:firstLine="480"/>
        <w:jc w:val="both"/>
      </w:pPr>
      <w:r>
        <w:rPr>
          <w:sz w:val="24"/>
        </w:rPr>
        <w:t>（二）中标人送货提供的货物必须满足投标文件中采购人所使用的机器型号的兼容性，对账支付时，如发现所送货物无法满足投标文件中采购人所使用的机器型号的使用功能，采购人有权拒绝支付该货物的货款。</w:t>
      </w:r>
    </w:p>
    <w:p>
      <w:pPr>
        <w:pStyle w:val="null3"/>
        <w:ind w:firstLine="480"/>
        <w:jc w:val="both"/>
      </w:pPr>
      <w:r>
        <w:rPr>
          <w:sz w:val="24"/>
        </w:rPr>
        <w:t>（三）每批次货物验收合格后，中标人提出付款申请及提供等额的正式发票，采购人收到相关资料后</w:t>
      </w:r>
      <w:r>
        <w:rPr>
          <w:sz w:val="24"/>
        </w:rPr>
        <w:t>5个工作日内办理该次支付手续。</w:t>
      </w:r>
    </w:p>
    <w:p>
      <w:pPr>
        <w:pStyle w:val="null3"/>
        <w:ind w:firstLine="480"/>
        <w:jc w:val="both"/>
      </w:pPr>
      <w:r>
        <w:rPr>
          <w:sz w:val="24"/>
        </w:rPr>
        <w:t>（四）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spacing w:after="120"/>
        <w:jc w:val="both"/>
      </w:pPr>
      <w:r>
        <w:rPr>
          <w:sz w:val="24"/>
          <w:b/>
        </w:rPr>
        <w:t xml:space="preserve"> </w:t>
      </w:r>
      <w:r>
        <w:rPr>
          <w:sz w:val="24"/>
          <w:b/>
        </w:rPr>
        <w:t>八、验收要求</w:t>
      </w:r>
    </w:p>
    <w:p>
      <w:pPr>
        <w:pStyle w:val="null3"/>
        <w:ind w:firstLine="480"/>
        <w:jc w:val="left"/>
      </w:pPr>
      <w:r>
        <w:rPr>
          <w:sz w:val="24"/>
        </w:rPr>
        <w:t>（一）</w:t>
      </w:r>
      <w:r>
        <w:rPr>
          <w:sz w:val="24"/>
        </w:rPr>
        <w:t>中标人提供的耗材必须与投标响应的一致，与原设备完全适配，正常打印，打印质量优良，容量不低于原设备品牌耗材的页产量，上述《办公打印设备耗材采购清单》所列对应机型使用需要的各类型号耗材。若因中标人提供的耗材出现质量问题，导致打印机无法正常使用等情况，采购人有权要求中标人无条件更换为与设备原厂品牌匹配的耗材。所提供的耗材序列号必须与外包装序列号一致，或使用新型数码防伪方式，并可通过官方途径查询真伪，无序列号或相关官方认可防伪方式视为假货处理。</w:t>
      </w:r>
    </w:p>
    <w:p>
      <w:pPr>
        <w:pStyle w:val="null3"/>
        <w:ind w:firstLine="480"/>
        <w:jc w:val="left"/>
      </w:pPr>
      <w:r>
        <w:rPr>
          <w:sz w:val="24"/>
        </w:rPr>
        <w:t>（二）中标人提供的耗材必须能提供产品质量证明，保证符合对应机型的使用需要，并遵守设备保养条例说明。</w:t>
      </w:r>
    </w:p>
    <w:p>
      <w:pPr>
        <w:pStyle w:val="null3"/>
        <w:jc w:val="both"/>
      </w:pPr>
      <w:r>
        <w:rPr>
          <w:sz w:val="24"/>
        </w:rPr>
        <w:t>（三）货物必须是全新（原装）正品，表面无划伤，无碰撞，其技术规格、标准必须符合甲方需求和国家计量检测标准。</w:t>
      </w:r>
    </w:p>
    <w:p>
      <w:pPr>
        <w:pStyle w:val="null3"/>
      </w:pPr>
      <w:r>
        <w:rPr/>
        <w:t>采购包1（广东省广州市中级人民法院2024年度办公设备耗材采购项目）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合同签订之日起一年内或总结算金额达到项目预算（人民币130万元）时，以先到为准。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鼓粉盒</w:t>
            </w:r>
          </w:p>
        </w:tc>
        <w:tc>
          <w:tcPr>
            <w:tcW w:type="dxa" w:w="748"/>
          </w:tcPr>
          <w:p>
            <w:pPr>
              <w:pStyle w:val="null3"/>
              <w:jc w:val="left"/>
            </w:pPr>
            <w:r>
              <w:rPr/>
              <w:t>2024年度办公设备耗材采购</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1,300,000.00</w:t>
            </w:r>
          </w:p>
        </w:tc>
        <w:tc>
          <w:tcPr>
            <w:tcW w:type="dxa" w:w="748"/>
          </w:tcPr>
          <w:p>
            <w:pPr>
              <w:pStyle w:val="null3"/>
              <w:jc w:val="right"/>
            </w:pPr>
            <w:r>
              <w:rPr/>
              <w:t>1,300,000.00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2024年度办公设备耗材采购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广东省广州市中级人民法院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预算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广州市中级人民法院2024年度办公设备耗材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采购包1（广东省广州市中级人民法院2024年度办公设备耗材采购项目）：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型或微型企业制造，即货物由小型或微型企业生产且使用该小型或微型企业商号或者注册商标时，给予10%的价格扣除C1，即：评标价=供应商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采购包1（广东省广州市中级人民法院2024年度办公设备耗材采购项目）：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采购包1（广东省广州市中级人民法院2024年度办公设备耗材采购项目）：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1.报价确定且符合要求。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采购包1(广东省广州市中级人民法院2024年度办公设备耗材采购项目):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对项目总体要求的理解及响应情况1 (3.0分)</w:t>
            </w:r>
          </w:p>
        </w:tc>
        <w:tc>
          <w:tcPr>
            <w:tcW w:type="dxa" w:w="5076"/>
          </w:tcPr>
          <w:p>
            <w:pPr>
              <w:pStyle w:val="null3"/>
              <w:jc w:val="left"/>
            </w:pPr>
            <w:r>
              <w:rPr/>
              <w:t>投标人根据本项目提供对项目的总体技术要求，有对于本项目推进实施的重点难点把握、理解，对应重点难点提供的具体技术服务管理流程及措施，得3分；无完整提供，此项及对项目总体要求的理解及响应情况不得分。</w:t>
            </w:r>
          </w:p>
        </w:tc>
      </w:tr>
      <w:tr>
        <w:tc>
          <w:tcPr>
            <w:tcW w:type="dxa" w:w="922"/>
            <w:gridSpan w:val="2"/>
            <w:vMerge/>
          </w:tcPr>
          <w:p/>
        </w:tc>
        <w:tc>
          <w:tcPr>
            <w:tcW w:type="dxa" w:w="2307"/>
          </w:tcPr>
          <w:p>
            <w:pPr>
              <w:pStyle w:val="null3"/>
              <w:jc w:val="left"/>
            </w:pPr>
            <w:r>
              <w:rPr/>
              <w:t>对项目总体要求的理解及响应情况2 (5.0分)</w:t>
            </w:r>
          </w:p>
        </w:tc>
        <w:tc>
          <w:tcPr>
            <w:tcW w:type="dxa" w:w="5076"/>
          </w:tcPr>
          <w:p>
            <w:pPr>
              <w:pStyle w:val="null3"/>
              <w:jc w:val="left"/>
            </w:pPr>
            <w:r>
              <w:rPr/>
              <w:t>投标人提供的方案内容能优于采购需求的得5分，满足采购需求的得2分，不满足不得分。</w:t>
            </w:r>
          </w:p>
        </w:tc>
      </w:tr>
      <w:tr>
        <w:tc>
          <w:tcPr>
            <w:tcW w:type="dxa" w:w="922"/>
            <w:gridSpan w:val="2"/>
            <w:vMerge/>
          </w:tcPr>
          <w:p/>
        </w:tc>
        <w:tc>
          <w:tcPr>
            <w:tcW w:type="dxa" w:w="2307"/>
          </w:tcPr>
          <w:p>
            <w:pPr>
              <w:pStyle w:val="null3"/>
              <w:jc w:val="left"/>
            </w:pPr>
            <w:r>
              <w:rPr/>
              <w:t>《办公打印设备耗材采购清单》中12个重要产品（序号为16、17、18、19、59、98、109、110、111、112、114、120）的投标产品与清单中的设备机型的匹配度 (15.0分)</w:t>
            </w:r>
          </w:p>
        </w:tc>
        <w:tc>
          <w:tcPr>
            <w:tcW w:type="dxa" w:w="5076"/>
          </w:tcPr>
          <w:p>
            <w:pPr>
              <w:pStyle w:val="null3"/>
              <w:jc w:val="left"/>
            </w:pPr>
            <w:r>
              <w:rPr/>
              <w:t>投标产品与《办公打印设备耗材采购清单》中设备机型完全匹配的基础上，每一个投标产品的平均打印量完全满足《办公打印设备耗材采购清单》中要求的，得1.25分；最高得15分。</w:t>
            </w:r>
          </w:p>
        </w:tc>
      </w:tr>
      <w:tr>
        <w:tc>
          <w:tcPr>
            <w:tcW w:type="dxa" w:w="922"/>
            <w:gridSpan w:val="2"/>
            <w:vMerge/>
          </w:tcPr>
          <w:p/>
        </w:tc>
        <w:tc>
          <w:tcPr>
            <w:tcW w:type="dxa" w:w="2307"/>
          </w:tcPr>
          <w:p>
            <w:pPr>
              <w:pStyle w:val="null3"/>
              <w:jc w:val="left"/>
            </w:pPr>
            <w:r>
              <w:rPr/>
              <w:t>环境标志产品认证证书 (5.0分)</w:t>
            </w:r>
          </w:p>
        </w:tc>
        <w:tc>
          <w:tcPr>
            <w:tcW w:type="dxa" w:w="5076"/>
          </w:tcPr>
          <w:p>
            <w:pPr>
              <w:pStyle w:val="null3"/>
              <w:jc w:val="left"/>
            </w:pPr>
            <w:r>
              <w:rPr/>
              <w:t>每提供一种投标产品的环境标志产品认证证书，得0.5分，最高得5分。</w:t>
            </w:r>
          </w:p>
        </w:tc>
      </w:tr>
      <w:tr>
        <w:tc>
          <w:tcPr>
            <w:tcW w:type="dxa" w:w="922"/>
            <w:gridSpan w:val="2"/>
            <w:vMerge/>
          </w:tcPr>
          <w:p/>
        </w:tc>
        <w:tc>
          <w:tcPr>
            <w:tcW w:type="dxa" w:w="2307"/>
          </w:tcPr>
          <w:p>
            <w:pPr>
              <w:pStyle w:val="null3"/>
              <w:jc w:val="left"/>
            </w:pPr>
            <w:r>
              <w:rPr/>
              <w:t>服务流程方案一 (3.0分)</w:t>
            </w:r>
          </w:p>
        </w:tc>
        <w:tc>
          <w:tcPr>
            <w:tcW w:type="dxa" w:w="5076"/>
          </w:tcPr>
          <w:p>
            <w:pPr>
              <w:pStyle w:val="null3"/>
              <w:jc w:val="left"/>
            </w:pPr>
            <w:r>
              <w:rPr/>
              <w:t>服务流程方案包括但不限于下订单流程 、技术服务团队、保障措施、应急服务，根据投标人提供的方案进行评审：能提供服务流程方案且内容包括以上内容的得3分，否则不得分且服务流程方案二不得分。</w:t>
            </w:r>
          </w:p>
        </w:tc>
      </w:tr>
      <w:tr>
        <w:tc>
          <w:tcPr>
            <w:tcW w:type="dxa" w:w="922"/>
            <w:gridSpan w:val="2"/>
            <w:vMerge/>
          </w:tcPr>
          <w:p/>
        </w:tc>
        <w:tc>
          <w:tcPr>
            <w:tcW w:type="dxa" w:w="2307"/>
          </w:tcPr>
          <w:p>
            <w:pPr>
              <w:pStyle w:val="null3"/>
              <w:jc w:val="left"/>
            </w:pPr>
            <w:r>
              <w:rPr/>
              <w:t>服务流程方案二 (3.0分)</w:t>
            </w:r>
          </w:p>
        </w:tc>
        <w:tc>
          <w:tcPr>
            <w:tcW w:type="dxa" w:w="5076"/>
          </w:tcPr>
          <w:p>
            <w:pPr>
              <w:pStyle w:val="null3"/>
              <w:jc w:val="left"/>
            </w:pPr>
            <w:r>
              <w:rPr/>
              <w:t>针对服务流程方案一，投标人提供的方案内容能优于采购需求的得3分，满足采购需求的得2分，不满足不得分。</w:t>
            </w:r>
          </w:p>
        </w:tc>
      </w:tr>
      <w:tr>
        <w:tc>
          <w:tcPr>
            <w:tcW w:type="dxa" w:w="922"/>
            <w:gridSpan w:val="2"/>
            <w:vMerge/>
          </w:tcPr>
          <w:p/>
        </w:tc>
        <w:tc>
          <w:tcPr>
            <w:tcW w:type="dxa" w:w="2307"/>
          </w:tcPr>
          <w:p>
            <w:pPr>
              <w:pStyle w:val="null3"/>
              <w:jc w:val="left"/>
            </w:pPr>
            <w:r>
              <w:rPr/>
              <w:t>售后服务方案一 (3.0分)</w:t>
            </w:r>
          </w:p>
        </w:tc>
        <w:tc>
          <w:tcPr>
            <w:tcW w:type="dxa" w:w="5076"/>
          </w:tcPr>
          <w:p>
            <w:pPr>
              <w:pStyle w:val="null3"/>
              <w:jc w:val="left"/>
            </w:pPr>
            <w:r>
              <w:rPr/>
              <w:t>售后服务方案包括产品配送方案，安装指导、调试方案，根据投标人提供的方案进行评审：能提供售后服务方案且内容包括以上内容的得3分，否则不得分且服务流程方案二不得分。</w:t>
            </w:r>
          </w:p>
        </w:tc>
      </w:tr>
      <w:tr>
        <w:tc>
          <w:tcPr>
            <w:tcW w:type="dxa" w:w="922"/>
            <w:gridSpan w:val="2"/>
            <w:vMerge/>
          </w:tcPr>
          <w:p/>
        </w:tc>
        <w:tc>
          <w:tcPr>
            <w:tcW w:type="dxa" w:w="2307"/>
          </w:tcPr>
          <w:p>
            <w:pPr>
              <w:pStyle w:val="null3"/>
              <w:jc w:val="left"/>
            </w:pPr>
            <w:r>
              <w:rPr/>
              <w:t>售后服务方案二 (3.0分)</w:t>
            </w:r>
          </w:p>
        </w:tc>
        <w:tc>
          <w:tcPr>
            <w:tcW w:type="dxa" w:w="5076"/>
          </w:tcPr>
          <w:p>
            <w:pPr>
              <w:pStyle w:val="null3"/>
              <w:jc w:val="left"/>
            </w:pPr>
            <w:r>
              <w:rPr/>
              <w:t>针对售后服务方案一，投标人提供的方案内容能优于采购需求的得3分，满足采购需求的得2分，不满足不得分。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同类项目经验：依据2021年以来办公耗材项目【分支机构投标的，总公司（总所）业绩可纳入评审】 (5.0分)</w:t>
            </w:r>
          </w:p>
        </w:tc>
        <w:tc>
          <w:tcPr>
            <w:tcW w:type="dxa" w:w="5076"/>
          </w:tcPr>
          <w:p>
            <w:pPr>
              <w:pStyle w:val="null3"/>
              <w:jc w:val="left"/>
            </w:pPr>
            <w:r>
              <w:rPr/>
              <w:t>投标人2021年以来提供的办公耗材项目（以合同签订时间为准），每提供一个项目得1分，最高得5分。注：提供合同扫描件。</w:t>
            </w:r>
          </w:p>
        </w:tc>
      </w:tr>
      <w:tr>
        <w:tc>
          <w:tcPr>
            <w:tcW w:type="dxa" w:w="922"/>
            <w:gridSpan w:val="2"/>
            <w:vMerge/>
          </w:tcPr>
          <w:p/>
        </w:tc>
        <w:tc>
          <w:tcPr>
            <w:tcW w:type="dxa" w:w="2307"/>
          </w:tcPr>
          <w:p>
            <w:pPr>
              <w:pStyle w:val="null3"/>
              <w:jc w:val="left"/>
            </w:pPr>
            <w:r>
              <w:rPr/>
              <w:t>管理体系认证情况 (6.0分)</w:t>
            </w:r>
          </w:p>
        </w:tc>
        <w:tc>
          <w:tcPr>
            <w:tcW w:type="dxa" w:w="5076"/>
          </w:tcPr>
          <w:p>
            <w:pPr>
              <w:pStyle w:val="null3"/>
              <w:jc w:val="left"/>
            </w:pPr>
            <w:r>
              <w:rPr/>
              <w:t>获得质量管理体系认证证书、环境管理体系认证证书、职业健康安全管理体系认证证书的，每提供一个证书得2分；本项最高得6分。 提供证书扫描件及在全国认证认可信息公共服务平台上对证书的查询结果为“有效”截图为证明材料。</w:t>
            </w:r>
          </w:p>
        </w:tc>
      </w:tr>
      <w:tr>
        <w:tc>
          <w:tcPr>
            <w:tcW w:type="dxa" w:w="922"/>
            <w:gridSpan w:val="2"/>
            <w:vMerge/>
          </w:tcPr>
          <w:p/>
        </w:tc>
        <w:tc>
          <w:tcPr>
            <w:tcW w:type="dxa" w:w="2307"/>
          </w:tcPr>
          <w:p>
            <w:pPr>
              <w:pStyle w:val="null3"/>
              <w:jc w:val="left"/>
            </w:pPr>
            <w:r>
              <w:rPr/>
              <w:t>投标人综合服务支撑能力 (9.0分)</w:t>
            </w:r>
          </w:p>
        </w:tc>
        <w:tc>
          <w:tcPr>
            <w:tcW w:type="dxa" w:w="5076"/>
          </w:tcPr>
          <w:p>
            <w:pPr>
              <w:pStyle w:val="null3"/>
              <w:jc w:val="left"/>
            </w:pPr>
            <w:r>
              <w:rPr/>
              <w:t>投标人能及时现场跟踪服务，支撑能力强大，应急服务响应快速，接到送货或报障电话后，2小时（含）内派员到达现场的，得9分；2小时（不含）-24小时（含）内派员到达现场的，得5分；其他或无响应，得0分。 注：提供承诺函，格式自拟。</w:t>
            </w:r>
          </w:p>
        </w:tc>
      </w:tr>
      <w:tr>
        <w:tc>
          <w:tcPr>
            <w:tcW w:type="dxa" w:w="922"/>
            <w:gridSpan w:val="2"/>
            <w:vMerge/>
          </w:tcPr>
          <w:p/>
        </w:tc>
        <w:tc>
          <w:tcPr>
            <w:tcW w:type="dxa" w:w="2307"/>
          </w:tcPr>
          <w:p>
            <w:pPr>
              <w:pStyle w:val="null3"/>
              <w:jc w:val="left"/>
            </w:pPr>
            <w:r>
              <w:rPr/>
              <w:t>对非重大违法违规记录的扣分 (5.0分)</w:t>
            </w:r>
          </w:p>
        </w:tc>
        <w:tc>
          <w:tcPr>
            <w:tcW w:type="dxa" w:w="5076"/>
          </w:tcPr>
          <w:p>
            <w:pPr>
              <w:pStyle w:val="null3"/>
              <w:jc w:val="left"/>
            </w:pPr>
            <w:r>
              <w:rPr/>
              <w:t>以“信用中国”（www.creditchina.gov.cn）网站为查询渠道：对列入行政处罚或经营异常的供应商每一条记录扣1分，最高扣5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广州市政府采购合同</w:t>
      </w:r>
    </w:p>
    <w:p>
      <w:pPr>
        <w:pStyle w:val="null3"/>
        <w:ind w:left="720"/>
        <w:jc w:val="center"/>
      </w:pPr>
      <w:r>
        <w:rPr>
          <w:sz w:val="32"/>
        </w:rPr>
        <w:t>一、</w:t>
      </w:r>
      <w:r>
        <w:rPr>
          <w:sz w:val="32"/>
        </w:rPr>
        <w:t>总则</w:t>
      </w:r>
    </w:p>
    <w:p>
      <w:pPr>
        <w:pStyle w:val="null3"/>
        <w:jc w:val="both"/>
      </w:pPr>
      <w:r>
        <w:rPr>
          <w:sz w:val="32"/>
        </w:rPr>
        <w:t>第一条</w:t>
      </w:r>
      <w:r>
        <w:rPr>
          <w:sz w:val="32"/>
        </w:rPr>
        <w:t>合同当事人</w:t>
      </w:r>
    </w:p>
    <w:p>
      <w:pPr>
        <w:pStyle w:val="null3"/>
        <w:jc w:val="both"/>
      </w:pPr>
      <w:r>
        <w:rPr>
          <w:sz w:val="32"/>
        </w:rPr>
        <w:t>甲方：</w:t>
      </w:r>
    </w:p>
    <w:p>
      <w:pPr>
        <w:pStyle w:val="null3"/>
        <w:jc w:val="both"/>
      </w:pPr>
      <w:r>
        <w:rPr>
          <w:sz w:val="32"/>
        </w:rPr>
        <w:t>地址：</w:t>
      </w:r>
    </w:p>
    <w:p>
      <w:pPr>
        <w:pStyle w:val="null3"/>
        <w:jc w:val="both"/>
      </w:pPr>
      <w:r>
        <w:rPr>
          <w:sz w:val="32"/>
        </w:rPr>
        <w:t>乙方：</w:t>
      </w:r>
    </w:p>
    <w:p>
      <w:pPr>
        <w:pStyle w:val="null3"/>
        <w:jc w:val="both"/>
      </w:pPr>
      <w:r>
        <w:rPr>
          <w:sz w:val="32"/>
        </w:rPr>
        <w:t>地址：</w:t>
      </w:r>
    </w:p>
    <w:p>
      <w:pPr>
        <w:pStyle w:val="null3"/>
        <w:spacing w:after="120"/>
        <w:ind w:firstLine="640"/>
        <w:jc w:val="both"/>
      </w:pPr>
      <w:r>
        <w:rPr>
          <w:sz w:val="32"/>
        </w:rPr>
        <w:t>根据《中华人民共和国民法典》、《中华人民共和国政府采购法》及广州公共资源交易中心</w:t>
      </w:r>
      <w:r>
        <w:rPr>
          <w:sz w:val="32"/>
        </w:rPr>
        <w:t>“广东省广州市中级人民法院2023年度办公设备耗材采购项目”（项目编号：CZ2024-XXXX）招标文件的要求和招标结果，甲乙双方遵循平等、自愿、公平、诚信、守信的原则，经协商一致，签订本合同。双方共同遵守如下条款（其他有关合同项目的特定信息由合同附件予以说明，合同附件及本项目的招标文件、投标文件、中标通知书、在实施过程中双方共同签署的补充文件等均为本合同不可分割之一部分）。</w:t>
      </w:r>
    </w:p>
    <w:p>
      <w:pPr>
        <w:pStyle w:val="null3"/>
        <w:jc w:val="center"/>
      </w:pPr>
      <w:r>
        <w:rPr>
          <w:sz w:val="32"/>
        </w:rPr>
        <w:t>二、合同标的</w:t>
      </w:r>
    </w:p>
    <w:p>
      <w:pPr>
        <w:pStyle w:val="null3"/>
        <w:jc w:val="both"/>
      </w:pPr>
      <w:r>
        <w:rPr>
          <w:sz w:val="32"/>
        </w:rPr>
        <w:t>第二条</w:t>
      </w:r>
      <w:r>
        <w:rPr>
          <w:sz w:val="32"/>
        </w:rPr>
        <w:t>乙方根据甲方要求提供以下货品：</w:t>
      </w:r>
    </w:p>
    <w:p>
      <w:pPr>
        <w:pStyle w:val="null3"/>
        <w:jc w:val="center"/>
      </w:pPr>
      <w:r>
        <w:rPr>
          <w:sz w:val="32"/>
        </w:rPr>
        <w:t>《办公打印设备耗材采购清单》</w:t>
      </w:r>
    </w:p>
    <w:p>
      <w:pPr>
        <w:pStyle w:val="null3"/>
        <w:jc w:val="center"/>
      </w:pPr>
      <w:r>
        <w:rPr>
          <w:sz w:val="32"/>
        </w:rPr>
        <w:t>三、</w:t>
      </w:r>
      <w:r>
        <w:rPr>
          <w:sz w:val="32"/>
        </w:rPr>
        <w:t>质量要求与标准</w:t>
      </w:r>
    </w:p>
    <w:p>
      <w:pPr>
        <w:pStyle w:val="null3"/>
      </w:pPr>
      <w:r>
        <w:rPr>
          <w:sz w:val="32"/>
        </w:rPr>
        <w:t>第三条</w:t>
      </w:r>
      <w:r>
        <w:rPr>
          <w:sz w:val="32"/>
          <w:color w:val="000000"/>
        </w:rPr>
        <w:t>乙方提供的耗材</w:t>
      </w:r>
      <w:r>
        <w:rPr>
          <w:sz w:val="32"/>
          <w:color w:val="000000"/>
        </w:rPr>
        <w:t>须全新，未使用过，</w:t>
      </w:r>
      <w:r>
        <w:rPr>
          <w:sz w:val="32"/>
          <w:color w:val="000000"/>
        </w:rPr>
        <w:t>应符合中国政府颁布的产品、质量、技术、安全标准及环保标准。</w:t>
      </w:r>
    </w:p>
    <w:p>
      <w:pPr>
        <w:pStyle w:val="null3"/>
      </w:pPr>
      <w:r>
        <w:rPr>
          <w:sz w:val="32"/>
        </w:rPr>
        <w:t>第四条</w:t>
      </w:r>
      <w:r>
        <w:rPr>
          <w:sz w:val="32"/>
          <w:color w:val="000000"/>
        </w:rPr>
        <w:t>乙方提供的耗材须与原设备完全适配，打印质量优良，容量不低于本合同《办公打印设备耗材采购清单》中所列机型的</w:t>
      </w:r>
      <w:r>
        <w:rPr>
          <w:sz w:val="32"/>
          <w:color w:val="000000"/>
        </w:rPr>
        <w:t>平均打印量</w:t>
      </w:r>
      <w:r>
        <w:rPr>
          <w:sz w:val="32"/>
          <w:color w:val="000000"/>
        </w:rPr>
        <w:t>参数需求。</w:t>
      </w:r>
    </w:p>
    <w:p>
      <w:pPr>
        <w:pStyle w:val="null3"/>
      </w:pPr>
      <w:r>
        <w:rPr>
          <w:sz w:val="32"/>
        </w:rPr>
        <w:t>第</w:t>
      </w:r>
      <w:r>
        <w:rPr>
          <w:sz w:val="32"/>
        </w:rPr>
        <w:t>五</w:t>
      </w:r>
      <w:r>
        <w:rPr>
          <w:sz w:val="32"/>
        </w:rPr>
        <w:t>条</w:t>
      </w:r>
      <w:r>
        <w:rPr>
          <w:sz w:val="32"/>
          <w:color w:val="000000"/>
        </w:rPr>
        <w:t>本合同《办公打印设备耗材采购清单》中</w:t>
      </w:r>
      <w:r>
        <w:rPr>
          <w:b/>
        </w:rPr>
        <w:t xml:space="preserve">  </w:t>
      </w:r>
      <w:r>
        <w:rPr>
          <w:sz w:val="32"/>
          <w:color w:val="000000"/>
        </w:rPr>
        <w:t>个重要产品（序号为</w:t>
      </w:r>
      <w:r>
        <w:rPr>
          <w:b/>
        </w:rPr>
        <w:t xml:space="preserve">               </w:t>
      </w:r>
      <w:r>
        <w:rPr>
          <w:sz w:val="32"/>
          <w:color w:val="000000"/>
        </w:rPr>
        <w:t>）</w:t>
      </w:r>
      <w:r>
        <w:rPr>
          <w:sz w:val="32"/>
          <w:color w:val="000000"/>
        </w:rPr>
        <w:t>，供货</w:t>
      </w:r>
      <w:r>
        <w:rPr>
          <w:sz w:val="32"/>
          <w:color w:val="000000"/>
        </w:rPr>
        <w:t>必须是相应品牌的</w:t>
      </w:r>
      <w:r>
        <w:rPr>
          <w:sz w:val="32"/>
          <w:color w:val="000000"/>
        </w:rPr>
        <w:t>原厂</w:t>
      </w:r>
      <w:r>
        <w:rPr>
          <w:sz w:val="32"/>
          <w:color w:val="000000"/>
        </w:rPr>
        <w:t>原装</w:t>
      </w:r>
      <w:r>
        <w:rPr>
          <w:sz w:val="32"/>
          <w:color w:val="000000"/>
        </w:rPr>
        <w:t>正品</w:t>
      </w:r>
      <w:r>
        <w:rPr>
          <w:sz w:val="32"/>
          <w:color w:val="000000"/>
        </w:rPr>
        <w:t>耗材。</w:t>
      </w:r>
    </w:p>
    <w:p>
      <w:pPr>
        <w:pStyle w:val="null3"/>
      </w:pPr>
      <w:r>
        <w:rPr>
          <w:sz w:val="32"/>
        </w:rPr>
        <w:t>第</w:t>
      </w:r>
      <w:r>
        <w:rPr>
          <w:sz w:val="32"/>
        </w:rPr>
        <w:t>六</w:t>
      </w:r>
      <w:r>
        <w:rPr>
          <w:sz w:val="32"/>
        </w:rPr>
        <w:t>条</w:t>
      </w:r>
      <w:r>
        <w:rPr>
          <w:sz w:val="32"/>
          <w:color w:val="000000"/>
        </w:rPr>
        <w:t>乙方提供耗材的序列号与外包装序列号一致，并可通过官方途径查询真伪，无序列号视为假货处理。</w:t>
      </w:r>
    </w:p>
    <w:p>
      <w:pPr>
        <w:pStyle w:val="null3"/>
      </w:pPr>
      <w:r>
        <w:rPr>
          <w:sz w:val="32"/>
        </w:rPr>
        <w:t>第七条</w:t>
      </w:r>
      <w:r>
        <w:rPr>
          <w:sz w:val="32"/>
          <w:color w:val="000000"/>
        </w:rPr>
        <w:t>乙方提供的耗材</w:t>
      </w:r>
      <w:r>
        <w:rPr>
          <w:sz w:val="32"/>
          <w:color w:val="000000"/>
        </w:rPr>
        <w:t>，</w:t>
      </w:r>
      <w:r>
        <w:rPr>
          <w:sz w:val="32"/>
        </w:rPr>
        <w:t>从甲方</w:t>
      </w:r>
      <w:r>
        <w:rPr>
          <w:sz w:val="32"/>
        </w:rPr>
        <w:t>验收</w:t>
      </w:r>
      <w:r>
        <w:rPr>
          <w:sz w:val="32"/>
        </w:rPr>
        <w:t>之日计算，</w:t>
      </w:r>
      <w:r>
        <w:rPr>
          <w:sz w:val="32"/>
          <w:color w:val="000000"/>
        </w:rPr>
        <w:t>需具有十二个月以上的产品质保期。</w:t>
      </w:r>
    </w:p>
    <w:p>
      <w:pPr>
        <w:pStyle w:val="null3"/>
        <w:ind w:left="720"/>
        <w:jc w:val="center"/>
      </w:pPr>
      <w:r>
        <w:rPr>
          <w:sz w:val="32"/>
        </w:rPr>
        <w:t>四、</w:t>
      </w:r>
      <w:r>
        <w:rPr>
          <w:sz w:val="32"/>
        </w:rPr>
        <w:t>供货与验收</w:t>
      </w:r>
    </w:p>
    <w:p>
      <w:pPr>
        <w:pStyle w:val="null3"/>
        <w:jc w:val="left"/>
      </w:pPr>
      <w:r>
        <w:rPr>
          <w:sz w:val="32"/>
        </w:rPr>
        <w:t>第八条</w:t>
      </w:r>
      <w:r>
        <w:rPr>
          <w:sz w:val="32"/>
        </w:rPr>
        <w:t xml:space="preserve"> </w:t>
      </w:r>
      <w:r>
        <w:rPr>
          <w:sz w:val="32"/>
        </w:rPr>
        <w:t>乙方需成立专门的配送服务小组，根据甲方日常工作需求，使用量较大的耗材需在乙方仓库适当备货。</w:t>
      </w:r>
    </w:p>
    <w:p>
      <w:pPr>
        <w:pStyle w:val="null3"/>
        <w:jc w:val="left"/>
      </w:pPr>
      <w:r>
        <w:rPr>
          <w:sz w:val="32"/>
        </w:rPr>
        <w:t>第九条</w:t>
      </w:r>
      <w:r>
        <w:rPr>
          <w:sz w:val="32"/>
        </w:rPr>
        <w:t xml:space="preserve"> </w:t>
      </w:r>
      <w:r>
        <w:rPr>
          <w:sz w:val="32"/>
        </w:rPr>
        <w:t>甲方发出下单通知，如无特殊情况，乙方需在</w:t>
      </w:r>
      <w:r>
        <w:rPr>
          <w:sz w:val="32"/>
        </w:rPr>
        <w:t>2小时内响应。非紧急情况下，接到通知后24小时（节假日48小时）内送达。紧急情况下，必须在接到通知后2小时内送达。</w:t>
      </w:r>
    </w:p>
    <w:p>
      <w:pPr>
        <w:pStyle w:val="null3"/>
        <w:jc w:val="left"/>
      </w:pPr>
      <w:r>
        <w:rPr>
          <w:sz w:val="32"/>
        </w:rPr>
        <w:t>第十条</w:t>
      </w:r>
      <w:r>
        <w:rPr>
          <w:sz w:val="32"/>
        </w:rPr>
        <w:t xml:space="preserve"> </w:t>
      </w:r>
      <w:r>
        <w:rPr>
          <w:sz w:val="32"/>
        </w:rPr>
        <w:t>乙方</w:t>
      </w:r>
      <w:r>
        <w:rPr>
          <w:sz w:val="32"/>
          <w:color w:val="000000"/>
        </w:rPr>
        <w:t>免费送货上门，包括验收前货品的装卸车、现场搬运、保管等。</w:t>
      </w:r>
    </w:p>
    <w:p>
      <w:pPr>
        <w:pStyle w:val="null3"/>
        <w:jc w:val="left"/>
      </w:pPr>
      <w:r>
        <w:rPr>
          <w:sz w:val="32"/>
        </w:rPr>
        <w:t>第十一条</w:t>
      </w:r>
      <w:r>
        <w:rPr>
          <w:sz w:val="32"/>
        </w:rPr>
        <w:t>交货</w:t>
      </w:r>
      <w:r>
        <w:rPr>
          <w:sz w:val="32"/>
        </w:rPr>
        <w:t>地点</w:t>
      </w:r>
      <w:r>
        <w:rPr>
          <w:sz w:val="32"/>
        </w:rPr>
        <w:t>：甲方指定</w:t>
      </w:r>
      <w:r>
        <w:rPr>
          <w:sz w:val="32"/>
        </w:rPr>
        <w:t>地点</w:t>
      </w:r>
      <w:r>
        <w:rPr>
          <w:sz w:val="32"/>
        </w:rPr>
        <w:t>。</w:t>
      </w:r>
    </w:p>
    <w:p>
      <w:pPr>
        <w:pStyle w:val="null3"/>
        <w:jc w:val="left"/>
      </w:pPr>
      <w:r>
        <w:rPr>
          <w:sz w:val="32"/>
        </w:rPr>
        <w:t>第十二条</w:t>
      </w:r>
      <w:r>
        <w:rPr>
          <w:sz w:val="32"/>
        </w:rPr>
        <w:t xml:space="preserve"> </w:t>
      </w:r>
      <w:r>
        <w:rPr>
          <w:sz w:val="32"/>
        </w:rPr>
        <w:t>验收内容</w:t>
      </w:r>
    </w:p>
    <w:p>
      <w:pPr>
        <w:pStyle w:val="null3"/>
        <w:ind w:firstLine="640"/>
        <w:jc w:val="left"/>
      </w:pPr>
      <w:r>
        <w:rPr>
          <w:sz w:val="32"/>
        </w:rPr>
        <w:t>（一）甲乙双方共同核对送达的全部耗材，型号、规格、数量等信息是否与下单的内容一致。</w:t>
      </w:r>
    </w:p>
    <w:p>
      <w:pPr>
        <w:pStyle w:val="null3"/>
        <w:ind w:firstLine="640"/>
        <w:jc w:val="left"/>
      </w:pPr>
      <w:r>
        <w:rPr>
          <w:sz w:val="32"/>
        </w:rPr>
        <w:t>（二）乙方提供的耗材必须是原厂商未启封全新产品，表面无划损、整体无污染、无侵权行为、无任何缺陷隐患。</w:t>
      </w:r>
    </w:p>
    <w:p>
      <w:pPr>
        <w:pStyle w:val="null3"/>
        <w:ind w:firstLine="640"/>
        <w:jc w:val="left"/>
      </w:pPr>
      <w:r>
        <w:rPr>
          <w:sz w:val="32"/>
        </w:rPr>
        <w:t>（三）乙方提供的耗材必须具有出厂合格证，序列号与外包装序列号一致，并可追索查阅。</w:t>
      </w:r>
    </w:p>
    <w:p>
      <w:pPr>
        <w:pStyle w:val="null3"/>
        <w:ind w:firstLine="640"/>
        <w:jc w:val="left"/>
      </w:pPr>
      <w:r>
        <w:rPr>
          <w:sz w:val="32"/>
        </w:rPr>
        <w:t>（四）乙方提供的耗材必须具有十二个月以上的产品质保期。</w:t>
      </w:r>
    </w:p>
    <w:p>
      <w:pPr>
        <w:pStyle w:val="null3"/>
        <w:jc w:val="left"/>
      </w:pPr>
      <w:r>
        <w:rPr>
          <w:sz w:val="32"/>
        </w:rPr>
        <w:t>第十三条</w:t>
      </w:r>
      <w:r>
        <w:rPr>
          <w:sz w:val="32"/>
        </w:rPr>
        <w:t xml:space="preserve"> </w:t>
      </w:r>
      <w:r>
        <w:rPr>
          <w:sz w:val="32"/>
        </w:rPr>
        <w:t>乙方提供的</w:t>
      </w:r>
      <w:r>
        <w:rPr>
          <w:sz w:val="32"/>
        </w:rPr>
        <w:t>耗材不符合合同要求或存在质量问题，甲方有权拒绝接受，乙方必须及时更换。</w:t>
      </w:r>
    </w:p>
    <w:p>
      <w:pPr>
        <w:pStyle w:val="null3"/>
        <w:jc w:val="left"/>
      </w:pPr>
      <w:r>
        <w:rPr>
          <w:sz w:val="32"/>
        </w:rPr>
        <w:t>第十四条</w:t>
      </w:r>
      <w:r>
        <w:rPr>
          <w:sz w:val="32"/>
        </w:rPr>
        <w:t xml:space="preserve"> </w:t>
      </w:r>
      <w:r>
        <w:rPr>
          <w:sz w:val="32"/>
        </w:rPr>
        <w:t>验收合格后，甲乙双方</w:t>
      </w:r>
      <w:r>
        <w:rPr>
          <w:sz w:val="32"/>
        </w:rPr>
        <w:t>经</w:t>
      </w:r>
      <w:r>
        <w:rPr>
          <w:sz w:val="32"/>
        </w:rPr>
        <w:t>办人在耗材送货清单上（一式</w:t>
      </w:r>
      <w:r>
        <w:rPr>
          <w:sz w:val="32"/>
        </w:rPr>
        <w:t>贰</w:t>
      </w:r>
      <w:r>
        <w:rPr>
          <w:sz w:val="32"/>
        </w:rPr>
        <w:t>份）签名确认，确认后的耗材送货清单甲乙双方各执一份。</w:t>
      </w:r>
    </w:p>
    <w:p>
      <w:pPr>
        <w:pStyle w:val="null3"/>
        <w:jc w:val="center"/>
      </w:pPr>
      <w:r>
        <w:rPr>
          <w:sz w:val="32"/>
        </w:rPr>
        <w:t>五、售后服务</w:t>
      </w:r>
    </w:p>
    <w:p>
      <w:pPr>
        <w:pStyle w:val="null3"/>
        <w:jc w:val="left"/>
      </w:pPr>
      <w:r>
        <w:rPr>
          <w:sz w:val="32"/>
        </w:rPr>
        <w:t>第十五条</w:t>
      </w:r>
      <w:r>
        <w:rPr>
          <w:sz w:val="32"/>
        </w:rPr>
        <w:t xml:space="preserve"> </w:t>
      </w:r>
      <w:r>
        <w:rPr>
          <w:sz w:val="32"/>
        </w:rPr>
        <w:t>乙方提供的</w:t>
      </w:r>
      <w:r>
        <w:rPr>
          <w:sz w:val="32"/>
        </w:rPr>
        <w:t>耗材在质保期内出现质量问题，乙方实行三包服务（包修、包换、包退），费用由乙方承担。</w:t>
      </w:r>
    </w:p>
    <w:p>
      <w:pPr>
        <w:pStyle w:val="null3"/>
        <w:jc w:val="left"/>
      </w:pPr>
      <w:r>
        <w:rPr>
          <w:sz w:val="32"/>
        </w:rPr>
        <w:t>第十六条</w:t>
      </w:r>
      <w:r>
        <w:rPr>
          <w:sz w:val="32"/>
        </w:rPr>
        <w:t xml:space="preserve"> </w:t>
      </w:r>
      <w:r>
        <w:rPr>
          <w:sz w:val="32"/>
        </w:rPr>
        <w:t>乙方提供的耗材由于甲方保管不当造成质量问题，乙方有责任负责维修，费用由甲方承担。</w:t>
      </w:r>
    </w:p>
    <w:p>
      <w:pPr>
        <w:pStyle w:val="null3"/>
        <w:jc w:val="left"/>
      </w:pPr>
      <w:r>
        <w:rPr>
          <w:sz w:val="32"/>
        </w:rPr>
        <w:t>第十七条</w:t>
      </w:r>
      <w:r>
        <w:rPr>
          <w:sz w:val="32"/>
        </w:rPr>
        <w:t xml:space="preserve"> </w:t>
      </w:r>
      <w:r>
        <w:rPr>
          <w:sz w:val="32"/>
        </w:rPr>
        <w:t>乙方提供的</w:t>
      </w:r>
      <w:r>
        <w:rPr>
          <w:sz w:val="32"/>
          <w:color w:val="000000"/>
        </w:rPr>
        <w:t>耗材在开始使用后，发现与对应机型不匹配，无法正常使用，甲方有权要求乙方免费更换，乙方不得以任何理由拒绝。</w:t>
      </w:r>
    </w:p>
    <w:p>
      <w:pPr>
        <w:pStyle w:val="null3"/>
        <w:jc w:val="left"/>
      </w:pPr>
      <w:r>
        <w:rPr>
          <w:sz w:val="32"/>
        </w:rPr>
        <w:t>第十八条</w:t>
      </w:r>
      <w:r>
        <w:rPr>
          <w:sz w:val="32"/>
        </w:rPr>
        <w:t>在</w:t>
      </w:r>
      <w:r>
        <w:rPr>
          <w:sz w:val="32"/>
          <w:color w:val="000000"/>
        </w:rPr>
        <w:t>质保期内，乙方接到故障电话后须</w:t>
      </w:r>
      <w:r>
        <w:rPr>
          <w:sz w:val="32"/>
          <w:color w:val="000000"/>
        </w:rPr>
        <w:t>15分钟内响应，2小时内到场，并在3小时内完成修复。应急响应时间为10分钟内，1小时内到现场，2小时内解决故障。</w:t>
      </w:r>
    </w:p>
    <w:p>
      <w:pPr>
        <w:pStyle w:val="null3"/>
        <w:jc w:val="left"/>
      </w:pPr>
      <w:r>
        <w:rPr>
          <w:sz w:val="32"/>
        </w:rPr>
        <w:t>第十九条</w:t>
      </w:r>
      <w:r>
        <w:rPr>
          <w:sz w:val="32"/>
        </w:rPr>
        <w:t>甲方个别办公设备因报废不能再使用时，乙方须免费将对应上述机型的耗材更换成同等价格的其他设备可使用的耗材，乙方不得以任何理由拒绝更换。</w:t>
      </w:r>
    </w:p>
    <w:p>
      <w:pPr>
        <w:pStyle w:val="null3"/>
        <w:jc w:val="left"/>
      </w:pPr>
      <w:r>
        <w:rPr>
          <w:sz w:val="32"/>
        </w:rPr>
        <w:t>第二十条</w:t>
      </w:r>
      <w:r>
        <w:rPr>
          <w:sz w:val="32"/>
        </w:rPr>
        <w:t>因工作需要，甲方在合同期内要求乙方提供</w:t>
      </w:r>
      <w:r>
        <w:rPr>
          <w:sz w:val="32"/>
        </w:rPr>
        <w:t>《办公打印设备耗材采购清单》</w:t>
      </w:r>
      <w:r>
        <w:rPr>
          <w:sz w:val="32"/>
        </w:rPr>
        <w:t>以外的耗材时，乙方需按照甲方要求提供，所供耗材以广东政府采购智慧云平台服务超市中相同型号的价格为基准价。</w:t>
      </w:r>
    </w:p>
    <w:p>
      <w:pPr>
        <w:pStyle w:val="null3"/>
        <w:jc w:val="left"/>
      </w:pPr>
      <w:r>
        <w:rPr>
          <w:sz w:val="32"/>
        </w:rPr>
        <w:t>第二十一条</w:t>
      </w:r>
      <w:r>
        <w:rPr>
          <w:sz w:val="32"/>
        </w:rPr>
        <w:t>免费</w:t>
      </w:r>
      <w:r>
        <w:rPr>
          <w:sz w:val="32"/>
          <w:color w:val="000000"/>
        </w:rPr>
        <w:t>回收废旧耗材</w:t>
      </w:r>
    </w:p>
    <w:p>
      <w:pPr>
        <w:pStyle w:val="null3"/>
        <w:ind w:firstLine="640"/>
        <w:jc w:val="left"/>
      </w:pPr>
      <w:r>
        <w:rPr>
          <w:sz w:val="32"/>
        </w:rPr>
        <w:t>（一）乙方</w:t>
      </w:r>
      <w:r>
        <w:rPr>
          <w:sz w:val="32"/>
          <w:color w:val="000000"/>
        </w:rPr>
        <w:t>在送货的当天，现场即时回收甲方在本项目实施过程中产生的废旧粉盒、墨盒、废旧硒鼓等。</w:t>
      </w:r>
    </w:p>
    <w:p>
      <w:pPr>
        <w:pStyle w:val="null3"/>
        <w:ind w:firstLine="640"/>
        <w:jc w:val="left"/>
      </w:pPr>
      <w:r>
        <w:rPr>
          <w:sz w:val="32"/>
          <w:color w:val="000000"/>
        </w:rPr>
        <w:t>（二）乙方需对回收的废旧耗材进行清点、确认、登记，并与甲方办理签收手续。</w:t>
      </w:r>
    </w:p>
    <w:p>
      <w:pPr>
        <w:pStyle w:val="null3"/>
        <w:ind w:firstLine="640"/>
        <w:jc w:val="left"/>
      </w:pPr>
      <w:r>
        <w:rPr>
          <w:sz w:val="32"/>
          <w:color w:val="000000"/>
        </w:rPr>
        <w:t>（三）乙方需委托有回收资质的企业，对上述废旧耗材进行回收处理，并出具正式的凭证作为回收实施依据。</w:t>
      </w:r>
    </w:p>
    <w:p>
      <w:pPr>
        <w:pStyle w:val="null3"/>
        <w:jc w:val="center"/>
      </w:pPr>
      <w:r>
        <w:rPr>
          <w:sz w:val="32"/>
        </w:rPr>
        <w:t>六、合同期限</w:t>
      </w:r>
    </w:p>
    <w:p>
      <w:pPr>
        <w:pStyle w:val="null3"/>
        <w:jc w:val="both"/>
      </w:pPr>
      <w:r>
        <w:rPr>
          <w:sz w:val="32"/>
        </w:rPr>
        <w:t>第二十二条</w:t>
      </w:r>
      <w:r>
        <w:rPr>
          <w:sz w:val="32"/>
        </w:rPr>
        <w:t>合同签订之日起一年内或总结算金额达到项目预算（人民</w:t>
      </w:r>
      <w:r>
        <w:rPr>
          <w:sz w:val="32"/>
        </w:rPr>
        <w:t xml:space="preserve">   </w:t>
      </w:r>
      <w:r>
        <w:rPr>
          <w:sz w:val="32"/>
        </w:rPr>
        <w:t>万元）时，以先到为准。</w:t>
      </w:r>
    </w:p>
    <w:p>
      <w:pPr>
        <w:pStyle w:val="null3"/>
        <w:jc w:val="center"/>
      </w:pPr>
      <w:r>
        <w:rPr>
          <w:sz w:val="32"/>
        </w:rPr>
        <w:t>七、合同金额及付款方式</w:t>
      </w:r>
    </w:p>
    <w:p>
      <w:pPr>
        <w:pStyle w:val="null3"/>
        <w:spacing w:after="120"/>
        <w:jc w:val="both"/>
      </w:pPr>
      <w:r>
        <w:rPr>
          <w:sz w:val="32"/>
        </w:rPr>
        <w:t>第二十三条</w:t>
      </w:r>
      <w:r>
        <w:rPr>
          <w:sz w:val="32"/>
        </w:rPr>
        <w:t>合同金额</w:t>
      </w:r>
    </w:p>
    <w:p>
      <w:pPr>
        <w:pStyle w:val="null3"/>
        <w:spacing w:after="120"/>
        <w:ind w:firstLine="640"/>
        <w:jc w:val="both"/>
      </w:pPr>
      <w:r>
        <w:rPr>
          <w:sz w:val="32"/>
        </w:rPr>
        <w:t>（一）合同金额按实际发生的耗材供货量计算。</w:t>
      </w:r>
    </w:p>
    <w:p>
      <w:pPr>
        <w:pStyle w:val="null3"/>
        <w:spacing w:after="120"/>
        <w:ind w:firstLine="640"/>
        <w:jc w:val="both"/>
      </w:pPr>
      <w:r>
        <w:rPr>
          <w:sz w:val="32"/>
        </w:rPr>
        <w:t>（二）该合同金额包含货品设计、制造、包装、运输、安装调试、检测及验收合格前及质保期内服务及备品备件发生的所有含税费用。</w:t>
      </w:r>
    </w:p>
    <w:p>
      <w:pPr>
        <w:pStyle w:val="null3"/>
        <w:spacing w:after="120"/>
        <w:jc w:val="both"/>
      </w:pPr>
      <w:r>
        <w:rPr>
          <w:sz w:val="32"/>
        </w:rPr>
        <w:t>第二十四条</w:t>
      </w:r>
      <w:r>
        <w:rPr>
          <w:sz w:val="32"/>
        </w:rPr>
        <w:t>付款方式</w:t>
      </w:r>
    </w:p>
    <w:p>
      <w:pPr>
        <w:pStyle w:val="null3"/>
        <w:spacing w:after="120"/>
        <w:ind w:firstLine="640"/>
        <w:jc w:val="both"/>
      </w:pPr>
      <w:r>
        <w:rPr>
          <w:sz w:val="32"/>
        </w:rPr>
        <w:t>（一）办公设备耗材采购款按次结算。</w:t>
      </w:r>
    </w:p>
    <w:p>
      <w:pPr>
        <w:pStyle w:val="null3"/>
        <w:ind w:firstLine="640"/>
        <w:jc w:val="both"/>
      </w:pPr>
      <w:r>
        <w:rPr>
          <w:sz w:val="32"/>
        </w:rPr>
        <w:t>（二）每次结算金额</w:t>
      </w:r>
      <w:r>
        <w:rPr>
          <w:sz w:val="32"/>
        </w:rPr>
        <w:t>=《办公打印设备耗材采购清单》中的基准价*折扣*当次实际供货量-办公设备耗材采购服务质量考核后应扣除的违约金。</w:t>
      </w:r>
    </w:p>
    <w:p>
      <w:pPr>
        <w:pStyle w:val="null3"/>
        <w:ind w:firstLine="640"/>
        <w:jc w:val="both"/>
      </w:pPr>
      <w:r>
        <w:rPr>
          <w:sz w:val="32"/>
        </w:rPr>
        <w:t>（三）每次货物验收合格，结算金额双方确认后，乙方提出付款申请并提供等额的正式发票，甲方收到相关资料后</w:t>
      </w:r>
      <w:r>
        <w:rPr>
          <w:sz w:val="32"/>
        </w:rPr>
        <w:t>5个工作日内办理该次支付手续。</w:t>
      </w:r>
    </w:p>
    <w:p>
      <w:pPr>
        <w:pStyle w:val="null3"/>
        <w:ind w:firstLine="640"/>
        <w:jc w:val="both"/>
      </w:pPr>
      <w:r>
        <w:rPr>
          <w:sz w:val="32"/>
        </w:rPr>
        <w:t>（四）由于支付使用的是财政资金，甲方向财政支付部门提出支付申请并提交完整的支付资料即视为已按期支付。</w:t>
      </w:r>
    </w:p>
    <w:p>
      <w:pPr>
        <w:pStyle w:val="null3"/>
        <w:spacing w:after="120"/>
        <w:ind w:firstLine="640"/>
        <w:jc w:val="both"/>
      </w:pPr>
      <w:r>
        <w:rPr>
          <w:sz w:val="32"/>
        </w:rPr>
        <w:t>收款单位：</w:t>
      </w:r>
    </w:p>
    <w:p>
      <w:pPr>
        <w:pStyle w:val="null3"/>
        <w:spacing w:after="120"/>
        <w:ind w:firstLine="640"/>
        <w:jc w:val="both"/>
      </w:pPr>
      <w:r>
        <w:rPr>
          <w:sz w:val="32"/>
        </w:rPr>
        <w:t>银行账户：</w:t>
      </w:r>
    </w:p>
    <w:p>
      <w:pPr>
        <w:pStyle w:val="null3"/>
        <w:spacing w:after="120"/>
        <w:ind w:firstLine="640"/>
        <w:jc w:val="both"/>
      </w:pPr>
      <w:r>
        <w:rPr>
          <w:sz w:val="32"/>
        </w:rPr>
        <w:t>收款账号：</w:t>
      </w:r>
    </w:p>
    <w:p>
      <w:pPr>
        <w:pStyle w:val="null3"/>
        <w:jc w:val="center"/>
      </w:pPr>
      <w:r>
        <w:rPr>
          <w:sz w:val="32"/>
        </w:rPr>
        <w:t>八、违约责任</w:t>
      </w:r>
    </w:p>
    <w:p>
      <w:pPr>
        <w:pStyle w:val="null3"/>
        <w:jc w:val="both"/>
      </w:pPr>
      <w:r>
        <w:rPr>
          <w:sz w:val="32"/>
        </w:rPr>
        <w:t>第二十五条</w:t>
      </w:r>
      <w:r>
        <w:rPr>
          <w:sz w:val="32"/>
        </w:rPr>
        <w:t>如无甲乙双方共同确认的特殊原因，甲方逾期支付耗材采购款，须每日以当期欠款总额一年期</w:t>
      </w:r>
      <w:r>
        <w:rPr>
          <w:sz w:val="32"/>
        </w:rPr>
        <w:t>LPR利率的标准向乙方支付违约金，累计不超过当期欠款总额的3%。</w:t>
      </w:r>
    </w:p>
    <w:p>
      <w:pPr>
        <w:pStyle w:val="null3"/>
        <w:spacing w:after="120"/>
        <w:jc w:val="both"/>
      </w:pPr>
      <w:r>
        <w:rPr>
          <w:sz w:val="32"/>
        </w:rPr>
        <w:t>第二十六条</w:t>
      </w:r>
      <w:r>
        <w:rPr>
          <w:sz w:val="32"/>
        </w:rPr>
        <w:t>乙方未能按本合同规定的时间交付货品或提供服务，从逾期之日起每日按本合同总价</w:t>
      </w:r>
      <w:r>
        <w:rPr>
          <w:sz w:val="32"/>
        </w:rPr>
        <w:t>3‰的数额向甲方支付违约金。逾期超过15天，甲方有权终止合同，由此造成甲方的经济损失由乙方承担。</w:t>
      </w:r>
    </w:p>
    <w:p>
      <w:pPr>
        <w:pStyle w:val="null3"/>
        <w:jc w:val="both"/>
      </w:pPr>
      <w:r>
        <w:rPr>
          <w:sz w:val="32"/>
        </w:rPr>
        <w:t>第二十七条</w:t>
      </w:r>
      <w:r>
        <w:rPr>
          <w:sz w:val="32"/>
        </w:rPr>
        <w:t>乙方提供耗材的质量、承诺的服务达不到合同约定的标准或存在其他违约行为时，甲方有权拒收货品并出具《限期整改通知书》</w:t>
      </w:r>
      <w:r>
        <w:rPr>
          <w:sz w:val="32"/>
        </w:rPr>
        <w:t>,乙方收到三次及以上《限期整改通知书》，且逾期未整改或整改后仍不符合要求的，甲方有权终止合同，乙方承担违约金5万元。</w:t>
      </w:r>
    </w:p>
    <w:p>
      <w:pPr>
        <w:pStyle w:val="null3"/>
        <w:jc w:val="both"/>
      </w:pPr>
      <w:r>
        <w:rPr>
          <w:sz w:val="32"/>
        </w:rPr>
        <w:t>第二十八条</w:t>
      </w:r>
      <w:r>
        <w:rPr>
          <w:sz w:val="32"/>
        </w:rPr>
        <w:t>乙方提供的货品必须权属清楚，不得侵害他人的知识产权，否则构成对甲方违约，</w:t>
      </w:r>
      <w:r>
        <w:rPr>
          <w:sz w:val="32"/>
        </w:rPr>
        <w:t>甲方有权终止合同，乙方承担违约金</w:t>
      </w:r>
      <w:r>
        <w:rPr>
          <w:sz w:val="32"/>
        </w:rPr>
        <w:t>5万元。</w:t>
      </w:r>
    </w:p>
    <w:p>
      <w:pPr>
        <w:pStyle w:val="null3"/>
        <w:jc w:val="both"/>
      </w:pPr>
      <w:r>
        <w:rPr>
          <w:sz w:val="32"/>
        </w:rPr>
        <w:t>第二十九条</w:t>
      </w:r>
      <w:r>
        <w:rPr>
          <w:sz w:val="32"/>
        </w:rPr>
        <w:t xml:space="preserve"> </w:t>
      </w:r>
      <w:r>
        <w:rPr>
          <w:sz w:val="32"/>
        </w:rPr>
        <w:t>甲乙双方未经对方书面同意，单方面终止合同，须承担违约责任，违约方需承担违约金</w:t>
      </w:r>
      <w:r>
        <w:rPr>
          <w:sz w:val="32"/>
        </w:rPr>
        <w:t>5万元。</w:t>
      </w:r>
    </w:p>
    <w:p>
      <w:pPr>
        <w:pStyle w:val="null3"/>
        <w:jc w:val="center"/>
      </w:pPr>
      <w:r>
        <w:rPr>
          <w:sz w:val="32"/>
        </w:rPr>
        <w:t>九、不可抗力</w:t>
      </w:r>
    </w:p>
    <w:p>
      <w:pPr>
        <w:pStyle w:val="null3"/>
        <w:jc w:val="both"/>
      </w:pPr>
      <w:r>
        <w:rPr>
          <w:sz w:val="32"/>
        </w:rPr>
        <w:t>第三十条</w:t>
      </w:r>
      <w:r>
        <w:rPr>
          <w:sz w:val="32"/>
        </w:rPr>
        <w:t xml:space="preserve"> </w:t>
      </w:r>
      <w:r>
        <w:rPr>
          <w:sz w:val="32"/>
        </w:rPr>
        <w:t>由于不可预见、不可避免、不可克服等不可抗力的原因，一方不能履行合同义务的，应当在不可抗力发生之日起</w:t>
      </w:r>
      <w:r>
        <w:rPr>
          <w:sz w:val="32"/>
        </w:rPr>
        <w:t>3天内以书面形式通知对方，证明不可抗力事件的存在。</w:t>
      </w:r>
    </w:p>
    <w:p>
      <w:pPr>
        <w:pStyle w:val="null3"/>
        <w:jc w:val="both"/>
      </w:pPr>
      <w:r>
        <w:rPr>
          <w:sz w:val="32"/>
        </w:rPr>
        <w:t>第三十一条</w:t>
      </w:r>
      <w:r>
        <w:rPr>
          <w:sz w:val="32"/>
        </w:rPr>
        <w:t xml:space="preserve"> </w:t>
      </w:r>
      <w:r>
        <w:rPr>
          <w:sz w:val="32"/>
        </w:rPr>
        <w:t>不可抗力事件发生后，甲方和乙方应当积极寻求以合理的方式履行本合同。如不可抗力无法消除，致使合同目的无法实现的，双方均有权解除合同，且均不互相索赔。</w:t>
      </w:r>
    </w:p>
    <w:p>
      <w:pPr>
        <w:pStyle w:val="null3"/>
        <w:jc w:val="center"/>
      </w:pPr>
      <w:r>
        <w:rPr>
          <w:sz w:val="32"/>
        </w:rPr>
        <w:t>十、争议及解决方法</w:t>
      </w:r>
    </w:p>
    <w:p>
      <w:pPr>
        <w:pStyle w:val="null3"/>
        <w:jc w:val="both"/>
      </w:pPr>
      <w:r>
        <w:rPr>
          <w:sz w:val="32"/>
        </w:rPr>
        <w:t>第三十二条</w:t>
      </w:r>
      <w:r>
        <w:rPr>
          <w:sz w:val="32"/>
        </w:rPr>
        <w:t xml:space="preserve"> </w:t>
      </w:r>
      <w:r>
        <w:rPr>
          <w:sz w:val="32"/>
        </w:rPr>
        <w:t>合同存续期间，本合同发生争议时，可协商解决。自行协商不成的，可向有关行政部门投诉，也可请求消费者协会或相关行业协会调解，投诉或调解不成时向甲方所在地人民法院提起诉讼。</w:t>
      </w:r>
    </w:p>
    <w:p>
      <w:pPr>
        <w:pStyle w:val="null3"/>
        <w:jc w:val="center"/>
      </w:pPr>
      <w:r>
        <w:rPr>
          <w:sz w:val="32"/>
        </w:rPr>
        <w:t>十一、保密条款</w:t>
      </w:r>
    </w:p>
    <w:p>
      <w:pPr>
        <w:pStyle w:val="null3"/>
        <w:jc w:val="both"/>
      </w:pPr>
      <w:r>
        <w:rPr>
          <w:sz w:val="32"/>
        </w:rPr>
        <w:t>第三十三条</w:t>
      </w:r>
      <w:r>
        <w:rPr>
          <w:sz w:val="32"/>
        </w:rPr>
        <w:t xml:space="preserve"> </w:t>
      </w:r>
      <w:r>
        <w:rPr>
          <w:sz w:val="32"/>
        </w:rPr>
        <w:t>未经甲方同意和授权，乙方不得向第三方提供或披露与甲方有关的资料和信息，法律另有规定的除外。</w:t>
      </w:r>
    </w:p>
    <w:p>
      <w:pPr>
        <w:pStyle w:val="null3"/>
        <w:jc w:val="both"/>
      </w:pPr>
      <w:r>
        <w:rPr>
          <w:sz w:val="32"/>
        </w:rPr>
        <w:t>第三十四条</w:t>
      </w:r>
      <w:r>
        <w:rPr>
          <w:sz w:val="32"/>
        </w:rPr>
        <w:t xml:space="preserve"> </w:t>
      </w:r>
      <w:r>
        <w:rPr>
          <w:sz w:val="32"/>
        </w:rPr>
        <w:t>乙方工作人员必须遵守保密纪律，确保甲方信息的保密性。无论在合同有效期或合同终止后任何时间，未经双方书面同意，均不得以任何方式不当地使用或向第三方泄露在甲方获知的任何信息或文件、资料。</w:t>
      </w:r>
    </w:p>
    <w:p>
      <w:pPr>
        <w:pStyle w:val="null3"/>
        <w:jc w:val="center"/>
      </w:pPr>
      <w:r>
        <w:rPr>
          <w:sz w:val="32"/>
        </w:rPr>
        <w:t>十二、其他</w:t>
      </w:r>
    </w:p>
    <w:p>
      <w:pPr>
        <w:pStyle w:val="null3"/>
        <w:jc w:val="both"/>
      </w:pPr>
      <w:r>
        <w:rPr>
          <w:sz w:val="32"/>
        </w:rPr>
        <w:t>第三十五条</w:t>
      </w:r>
      <w:r>
        <w:rPr>
          <w:sz w:val="32"/>
        </w:rPr>
        <w:t xml:space="preserve"> </w:t>
      </w:r>
      <w:r>
        <w:rPr>
          <w:sz w:val="32"/>
        </w:rPr>
        <w:t>本合同自甲乙双方盖章签字或者双方采用合法有效的电子签名方式签署之日起生效，且为双方唯一、有效、完整合同。合同存续期间，任何一方不得擅自变更合同文本。</w:t>
      </w:r>
    </w:p>
    <w:p>
      <w:pPr>
        <w:pStyle w:val="null3"/>
        <w:jc w:val="both"/>
      </w:pPr>
      <w:r>
        <w:rPr>
          <w:sz w:val="32"/>
        </w:rPr>
        <w:t>第三十六条</w:t>
      </w:r>
      <w:r>
        <w:rPr>
          <w:sz w:val="32"/>
        </w:rPr>
        <w:t xml:space="preserve"> </w:t>
      </w:r>
      <w:r>
        <w:rPr>
          <w:sz w:val="32"/>
        </w:rPr>
        <w:t>本合同未尽事宜，由双方协商处理。本合同生效后，甲乙双方对本合同中未约定或约定不明的内容，可签订补充协议进行说明，补充协议与本合同具有同等法律效力。</w:t>
      </w:r>
    </w:p>
    <w:p>
      <w:pPr>
        <w:pStyle w:val="null3"/>
        <w:jc w:val="both"/>
      </w:pPr>
      <w:r>
        <w:rPr>
          <w:sz w:val="32"/>
        </w:rPr>
        <w:t>第三十七条</w:t>
      </w:r>
      <w:r>
        <w:rPr>
          <w:sz w:val="32"/>
        </w:rPr>
        <w:t xml:space="preserve"> </w:t>
      </w:r>
      <w:r>
        <w:rPr>
          <w:sz w:val="32"/>
        </w:rPr>
        <w:t>本合同一式肆份，具有同等效力，甲乙双方各执贰份。</w:t>
      </w:r>
    </w:p>
    <w:p>
      <w:pPr>
        <w:pStyle w:val="null3"/>
        <w:ind w:left="960"/>
        <w:jc w:val="both"/>
      </w:pPr>
      <w:r>
        <w:rPr>
          <w:sz w:val="32"/>
        </w:rPr>
        <w:t>甲方：</w:t>
      </w:r>
      <w:r>
        <w:rPr>
          <w:sz w:val="21"/>
        </w:rPr>
        <w:t xml:space="preserve"> </w:t>
      </w:r>
    </w:p>
    <w:p>
      <w:pPr>
        <w:pStyle w:val="null3"/>
        <w:jc w:val="both"/>
      </w:pPr>
      <w:r>
        <w:rPr>
          <w:sz w:val="32"/>
        </w:rPr>
        <w:t>甲方代表：</w:t>
      </w:r>
    </w:p>
    <w:p>
      <w:pPr>
        <w:pStyle w:val="null3"/>
        <w:ind w:left="960"/>
        <w:jc w:val="both"/>
      </w:pPr>
      <w:r>
        <w:rPr>
          <w:sz w:val="32"/>
        </w:rPr>
        <w:t>地址：</w:t>
      </w:r>
    </w:p>
    <w:p>
      <w:pPr>
        <w:pStyle w:val="null3"/>
        <w:jc w:val="both"/>
      </w:pPr>
      <w:r>
        <w:rPr>
          <w:sz w:val="32"/>
        </w:rPr>
        <w:t>电话：</w:t>
      </w:r>
    </w:p>
    <w:p>
      <w:pPr>
        <w:pStyle w:val="null3"/>
        <w:jc w:val="both"/>
      </w:pPr>
      <w:r>
        <w:rPr>
          <w:sz w:val="32"/>
        </w:rPr>
        <w:t>签署日期：</w:t>
      </w:r>
      <w:r>
        <w:rPr>
          <w:sz w:val="32"/>
        </w:rPr>
        <w:t xml:space="preserve">   </w:t>
      </w:r>
      <w:r>
        <w:rPr>
          <w:sz w:val="32"/>
        </w:rPr>
        <w:t>年</w:t>
      </w:r>
      <w:r>
        <w:rPr>
          <w:sz w:val="32"/>
        </w:rPr>
        <w:t xml:space="preserve">  </w:t>
      </w:r>
      <w:r>
        <w:rPr>
          <w:sz w:val="32"/>
        </w:rPr>
        <w:t>月</w:t>
      </w:r>
      <w:r>
        <w:rPr>
          <w:sz w:val="32"/>
        </w:rPr>
        <w:t xml:space="preserve">  </w:t>
      </w:r>
      <w:r>
        <w:rPr>
          <w:sz w:val="32"/>
        </w:rPr>
        <w:t>日</w:t>
      </w:r>
    </w:p>
    <w:p>
      <w:pPr>
        <w:pStyle w:val="null3"/>
        <w:jc w:val="both"/>
      </w:pPr>
      <w:r>
        <w:rPr>
          <w:sz w:val="32"/>
        </w:rPr>
        <w:t>乙方：</w:t>
      </w:r>
      <w:r>
        <w:rPr>
          <w:sz w:val="21"/>
        </w:rPr>
        <w:t xml:space="preserve"> </w:t>
      </w:r>
    </w:p>
    <w:p>
      <w:pPr>
        <w:pStyle w:val="null3"/>
        <w:jc w:val="both"/>
      </w:pPr>
      <w:r>
        <w:rPr>
          <w:sz w:val="32"/>
        </w:rPr>
        <w:t>乙方代表：</w:t>
      </w:r>
    </w:p>
    <w:p>
      <w:pPr>
        <w:pStyle w:val="null3"/>
        <w:ind w:left="960"/>
        <w:jc w:val="both"/>
      </w:pPr>
      <w:r>
        <w:rPr>
          <w:sz w:val="32"/>
        </w:rPr>
        <w:t>地址：</w:t>
      </w:r>
      <w:r>
        <w:rPr>
          <w:sz w:val="21"/>
        </w:rPr>
        <w:t xml:space="preserve"> </w:t>
      </w:r>
    </w:p>
    <w:p>
      <w:pPr>
        <w:pStyle w:val="null3"/>
        <w:jc w:val="both"/>
      </w:pPr>
      <w:r>
        <w:rPr>
          <w:sz w:val="32"/>
        </w:rPr>
        <w:t>电话：</w:t>
      </w:r>
    </w:p>
    <w:p>
      <w:pPr>
        <w:pStyle w:val="null3"/>
        <w:jc w:val="both"/>
      </w:pPr>
      <w:r>
        <w:rPr>
          <w:sz w:val="32"/>
        </w:rPr>
        <w:t>签署日期：</w:t>
      </w:r>
      <w:r>
        <w:rPr>
          <w:sz w:val="32"/>
        </w:rPr>
        <w:t xml:space="preserve">   </w:t>
      </w:r>
      <w:r>
        <w:rPr>
          <w:sz w:val="32"/>
        </w:rPr>
        <w:t>年</w:t>
      </w:r>
      <w:r>
        <w:rPr>
          <w:sz w:val="32"/>
        </w:rPr>
        <w:t xml:space="preserve">  </w:t>
      </w:r>
      <w:r>
        <w:rPr>
          <w:sz w:val="32"/>
        </w:rPr>
        <w:t>月</w:t>
      </w:r>
      <w:r>
        <w:rPr>
          <w:sz w:val="32"/>
        </w:rPr>
        <w:t xml:space="preserve">  </w:t>
      </w:r>
      <w:r>
        <w:rPr>
          <w:sz w:val="32"/>
        </w:rPr>
        <w:t>日</w:t>
      </w:r>
    </w:p>
    <w:p>
      <w:pPr>
        <w:pStyle w:val="null3"/>
        <w:jc w:val="both"/>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440101-2024-15372</w:t>
      </w:r>
    </w:p>
    <w:p>
      <w:pPr>
        <w:pStyle w:val="null3"/>
        <w:jc w:val="center"/>
        <w:outlineLvl w:val="3"/>
      </w:pPr>
      <w:r>
        <w:rPr>
          <w:sz w:val="24"/>
          <w:b/>
        </w:rPr>
        <w:t>采购项目编号：</w:t>
      </w:r>
      <w:r>
        <w:rPr>
          <w:sz w:val="24"/>
          <w:b/>
        </w:rPr>
        <w:t>CZ2024-1081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广东省广州市中级人民法院2024年度办公设备耗材采购项目</w:t>
      </w:r>
      <w:r>
        <w:rPr>
          <w:u w:val="single"/>
        </w:rPr>
        <w:t>”</w:t>
      </w:r>
      <w:r>
        <w:rPr/>
        <w:t>项目的招标[采购项目编号为：</w:t>
      </w:r>
      <w:r>
        <w:rPr>
          <w:u w:val="single"/>
        </w:rPr>
        <w:t>CZ2024-1081</w:t>
      </w:r>
      <w:r>
        <w:rPr/>
        <w:t>]，我方愿参与投标。</w:t>
      </w:r>
    </w:p>
    <w:p>
      <w:pPr>
        <w:pStyle w:val="null3"/>
        <w:ind w:firstLine="480"/>
      </w:pPr>
      <w:r>
        <w:rPr/>
        <w:t>我方确认收到贵方提供的</w:t>
      </w:r>
      <w:r>
        <w:rPr>
          <w:u w:val="single"/>
        </w:rPr>
        <w:t>“</w:t>
      </w:r>
      <w:r>
        <w:rPr>
          <w:u w:val="single"/>
        </w:rPr>
        <w:t>广东省广州市中级人民法院2024年度办公设备耗材采购项目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广东省广州市中级人民法院2024年度办公设备耗材采购项目</w:t>
      </w:r>
      <w:r>
        <w:rPr/>
        <w:t>”项目采购[采购项目编号为</w:t>
      </w:r>
      <w:r>
        <w:rPr/>
        <w:t>CZ2024-1081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广东省广州市中级人民法院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广东省广州市中级人民法院2024年度办公设备耗材采购项目</w:t>
      </w:r>
      <w:r>
        <w:rPr/>
        <w:t>招标中获中标（采购项目编号：</w:t>
      </w:r>
      <w:r>
        <w:rPr/>
        <w:t>CZ2024-1081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