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3E83F5">
      <w:pPr>
        <w:widowControl/>
        <w:jc w:val="left"/>
        <w:rPr>
          <w:rFonts w:ascii="Times New Roman" w:hAnsi="Times New Roman" w:cs="Times New Roman"/>
          <w:color w:val="auto"/>
          <w:sz w:val="28"/>
          <w:szCs w:val="28"/>
          <w:highlight w:val="none"/>
        </w:rPr>
      </w:pPr>
      <w:bookmarkStart w:id="1255" w:name="_GoBack"/>
      <w:bookmarkEnd w:id="1255"/>
      <w:r>
        <w:rPr>
          <w:rFonts w:ascii="Times New Roman" w:hAnsi="Times New Roman" w:cs="Times New Roman"/>
          <w:color w:val="auto"/>
          <w:sz w:val="28"/>
          <w:szCs w:val="28"/>
          <w:highlight w:val="none"/>
        </w:rPr>
        <w:t>SF-2019-0204</w:t>
      </w:r>
    </w:p>
    <w:p w14:paraId="7106A148">
      <w:pPr>
        <w:pStyle w:val="79"/>
        <w:spacing w:line="640" w:lineRule="exact"/>
        <w:ind w:firstLine="5180" w:firstLineChars="1850"/>
        <w:rPr>
          <w:rFonts w:ascii="方正楷体_GBK" w:hAnsi="方正楷体_GBK" w:eastAsia="方正楷体_GBK" w:cs="方正楷体_GBK"/>
          <w:color w:val="auto"/>
          <w:sz w:val="28"/>
          <w:szCs w:val="28"/>
          <w:highlight w:val="none"/>
          <w:u w:val="single"/>
        </w:rPr>
      </w:pPr>
      <w:r>
        <w:rPr>
          <w:rFonts w:hint="eastAsia" w:ascii="方正楷体_GBK" w:hAnsi="方正楷体_GBK" w:eastAsia="方正楷体_GBK" w:cs="方正楷体_GBK"/>
          <w:color w:val="auto"/>
          <w:sz w:val="28"/>
          <w:szCs w:val="28"/>
          <w:highlight w:val="none"/>
        </w:rPr>
        <w:tab/>
      </w:r>
      <w:r>
        <w:rPr>
          <w:rFonts w:hint="eastAsia" w:ascii="方正楷体_GBK" w:hAnsi="方正楷体_GBK" w:eastAsia="方正楷体_GBK" w:cs="方正楷体_GBK"/>
          <w:color w:val="auto"/>
          <w:sz w:val="28"/>
          <w:szCs w:val="28"/>
          <w:highlight w:val="none"/>
        </w:rPr>
        <w:t>项目编码：</w:t>
      </w:r>
      <w:r>
        <w:rPr>
          <w:rFonts w:hint="eastAsia" w:ascii="方正楷体_GBK" w:hAnsi="方正楷体_GBK" w:eastAsia="方正楷体_GBK" w:cs="方正楷体_GBK"/>
          <w:color w:val="auto"/>
          <w:sz w:val="28"/>
          <w:szCs w:val="28"/>
          <w:highlight w:val="none"/>
          <w:u w:val="single"/>
        </w:rPr>
        <w:t xml:space="preserve">             </w:t>
      </w:r>
    </w:p>
    <w:p w14:paraId="37C40EBC">
      <w:pPr>
        <w:pStyle w:val="79"/>
        <w:spacing w:line="640" w:lineRule="exact"/>
        <w:ind w:firstLine="5460" w:firstLineChars="1950"/>
        <w:rPr>
          <w:rFonts w:ascii="方正楷体_GBK" w:hAnsi="方正楷体_GBK" w:eastAsia="方正楷体_GBK" w:cs="方正楷体_GBK"/>
          <w:color w:val="auto"/>
          <w:sz w:val="28"/>
          <w:szCs w:val="28"/>
          <w:highlight w:val="none"/>
        </w:rPr>
      </w:pPr>
      <w:r>
        <w:rPr>
          <w:rFonts w:hint="eastAsia" w:ascii="方正楷体_GBK" w:hAnsi="方正楷体_GBK" w:eastAsia="方正楷体_GBK" w:cs="方正楷体_GBK"/>
          <w:color w:val="auto"/>
          <w:sz w:val="28"/>
          <w:szCs w:val="28"/>
          <w:highlight w:val="none"/>
        </w:rPr>
        <w:t>工程编码：</w:t>
      </w:r>
      <w:r>
        <w:rPr>
          <w:rFonts w:hint="eastAsia" w:ascii="方正楷体_GBK" w:hAnsi="方正楷体_GBK" w:eastAsia="方正楷体_GBK" w:cs="方正楷体_GBK"/>
          <w:color w:val="auto"/>
          <w:sz w:val="28"/>
          <w:szCs w:val="28"/>
          <w:highlight w:val="none"/>
          <w:u w:val="single"/>
        </w:rPr>
        <w:t xml:space="preserve">             </w:t>
      </w:r>
    </w:p>
    <w:p w14:paraId="65FE965D">
      <w:pPr>
        <w:pStyle w:val="79"/>
        <w:spacing w:line="640" w:lineRule="exact"/>
        <w:ind w:firstLine="5460" w:firstLineChars="1950"/>
        <w:rPr>
          <w:rFonts w:ascii="方正楷体_GBK" w:hAnsi="方正楷体_GBK" w:eastAsia="方正楷体_GBK" w:cs="方正楷体_GBK"/>
          <w:color w:val="auto"/>
          <w:sz w:val="28"/>
          <w:szCs w:val="28"/>
          <w:highlight w:val="none"/>
        </w:rPr>
      </w:pPr>
      <w:r>
        <w:rPr>
          <w:rFonts w:hint="eastAsia" w:ascii="方正楷体_GBK" w:hAnsi="方正楷体_GBK" w:eastAsia="方正楷体_GBK" w:cs="方正楷体_GBK"/>
          <w:color w:val="auto"/>
          <w:sz w:val="28"/>
          <w:szCs w:val="28"/>
          <w:highlight w:val="none"/>
        </w:rPr>
        <w:t>合同编号：</w:t>
      </w:r>
      <w:r>
        <w:rPr>
          <w:rFonts w:hint="eastAsia" w:ascii="方正楷体_GBK" w:hAnsi="方正楷体_GBK" w:eastAsia="方正楷体_GBK" w:cs="方正楷体_GBK"/>
          <w:color w:val="auto"/>
          <w:sz w:val="28"/>
          <w:szCs w:val="28"/>
          <w:highlight w:val="none"/>
          <w:u w:val="single"/>
        </w:rPr>
        <w:t xml:space="preserve">             </w:t>
      </w:r>
    </w:p>
    <w:p w14:paraId="4ED5161A">
      <w:pPr>
        <w:tabs>
          <w:tab w:val="left" w:pos="3900"/>
          <w:tab w:val="right" w:pos="10245"/>
        </w:tabs>
        <w:wordWrap w:val="0"/>
        <w:spacing w:line="360" w:lineRule="auto"/>
        <w:jc w:val="left"/>
        <w:rPr>
          <w:rFonts w:ascii="宋体" w:cs="Times New Roman"/>
          <w:color w:val="auto"/>
          <w:sz w:val="32"/>
          <w:szCs w:val="32"/>
          <w:highlight w:val="none"/>
          <w:u w:val="single"/>
        </w:rPr>
      </w:pPr>
    </w:p>
    <w:p w14:paraId="75A067CA">
      <w:pPr>
        <w:spacing w:line="360" w:lineRule="auto"/>
        <w:jc w:val="right"/>
        <w:rPr>
          <w:rFonts w:ascii="宋体" w:cs="Times New Roman"/>
          <w:color w:val="auto"/>
          <w:sz w:val="32"/>
          <w:szCs w:val="32"/>
          <w:highlight w:val="none"/>
          <w:u w:val="single"/>
        </w:rPr>
      </w:pPr>
    </w:p>
    <w:p w14:paraId="332EF43F">
      <w:pPr>
        <w:spacing w:line="360" w:lineRule="auto"/>
        <w:jc w:val="center"/>
        <w:rPr>
          <w:rFonts w:ascii="方正小标宋_GBK" w:hAnsi="方正小标宋_GBK" w:eastAsia="方正小标宋_GBK" w:cs="方正小标宋_GBK"/>
          <w:b/>
          <w:bCs/>
          <w:color w:val="auto"/>
          <w:spacing w:val="-40"/>
          <w:kern w:val="0"/>
          <w:sz w:val="40"/>
          <w:szCs w:val="40"/>
          <w:highlight w:val="none"/>
        </w:rPr>
      </w:pPr>
      <w:r>
        <w:rPr>
          <w:rFonts w:hint="eastAsia" w:ascii="方正小标宋_GBK" w:hAnsi="方正小标宋_GBK" w:eastAsia="方正小标宋_GBK" w:cs="方正小标宋_GBK"/>
          <w:b/>
          <w:bCs/>
          <w:color w:val="auto"/>
          <w:spacing w:val="-40"/>
          <w:kern w:val="0"/>
          <w:sz w:val="40"/>
          <w:szCs w:val="40"/>
          <w:highlight w:val="none"/>
        </w:rPr>
        <w:t>广 州 市 建 设 工 程 施 工 合 同</w:t>
      </w:r>
    </w:p>
    <w:p w14:paraId="5CB7EF9F">
      <w:pPr>
        <w:tabs>
          <w:tab w:val="left" w:pos="1380"/>
        </w:tabs>
        <w:spacing w:line="360" w:lineRule="auto"/>
        <w:rPr>
          <w:rFonts w:ascii="宋体" w:cs="Times New Roman"/>
          <w:color w:val="auto"/>
          <w:sz w:val="32"/>
          <w:szCs w:val="32"/>
          <w:highlight w:val="none"/>
        </w:rPr>
      </w:pPr>
    </w:p>
    <w:p w14:paraId="61FC0FD3">
      <w:pPr>
        <w:tabs>
          <w:tab w:val="left" w:pos="1380"/>
        </w:tabs>
        <w:spacing w:line="360" w:lineRule="auto"/>
        <w:rPr>
          <w:rFonts w:ascii="宋体" w:cs="Times New Roman"/>
          <w:color w:val="auto"/>
          <w:sz w:val="32"/>
          <w:szCs w:val="32"/>
          <w:highlight w:val="none"/>
        </w:rPr>
      </w:pPr>
      <w:r>
        <w:rPr>
          <w:rFonts w:ascii="宋体" w:cs="Times New Roman"/>
          <w:color w:val="auto"/>
          <w:sz w:val="32"/>
          <w:szCs w:val="32"/>
          <w:highlight w:val="none"/>
        </w:rPr>
        <w:tab/>
      </w:r>
    </w:p>
    <w:p w14:paraId="46600BB2">
      <w:pPr>
        <w:spacing w:line="640" w:lineRule="exact"/>
        <w:ind w:firstLine="1699" w:firstLineChars="531"/>
        <w:rPr>
          <w:rFonts w:ascii="仿宋" w:hAnsi="仿宋" w:eastAsia="仿宋" w:cs="Times New Roman"/>
          <w:color w:val="auto"/>
          <w:sz w:val="32"/>
          <w:szCs w:val="32"/>
          <w:highlight w:val="none"/>
          <w:u w:val="single"/>
        </w:rPr>
      </w:pPr>
    </w:p>
    <w:p w14:paraId="5F3E9F4A">
      <w:pPr>
        <w:spacing w:line="640" w:lineRule="exact"/>
        <w:ind w:firstLine="1680" w:firstLineChars="600"/>
        <w:rPr>
          <w:rFonts w:ascii="方正楷体_GBK" w:hAnsi="方正楷体_GBK" w:eastAsia="方正楷体_GBK" w:cs="方正楷体_GBK"/>
          <w:color w:val="auto"/>
          <w:sz w:val="28"/>
          <w:szCs w:val="28"/>
          <w:highlight w:val="none"/>
          <w:u w:val="single"/>
        </w:rPr>
      </w:pPr>
      <w:r>
        <w:rPr>
          <w:rFonts w:hint="eastAsia" w:ascii="方正楷体_GBK" w:hAnsi="方正楷体_GBK" w:eastAsia="方正楷体_GBK" w:cs="方正楷体_GBK"/>
          <w:color w:val="auto"/>
          <w:sz w:val="28"/>
          <w:szCs w:val="28"/>
          <w:highlight w:val="none"/>
        </w:rPr>
        <w:t>工程名称：</w:t>
      </w:r>
      <w:r>
        <w:rPr>
          <w:rFonts w:hint="eastAsia" w:ascii="方正楷体_GBK" w:hAnsi="方正楷体_GBK" w:eastAsia="方正楷体_GBK" w:cs="方正楷体_GBK"/>
          <w:color w:val="auto"/>
          <w:sz w:val="28"/>
          <w:szCs w:val="28"/>
          <w:highlight w:val="none"/>
          <w:u w:val="single"/>
        </w:rPr>
        <w:t xml:space="preserve">                                   </w:t>
      </w:r>
    </w:p>
    <w:p w14:paraId="6CEAFE3A">
      <w:pPr>
        <w:spacing w:before="240" w:beforeLines="100" w:after="120" w:afterLines="50"/>
        <w:ind w:firstLine="1680" w:firstLineChars="600"/>
        <w:rPr>
          <w:rFonts w:ascii="方正楷体_GBK" w:hAnsi="方正楷体_GBK" w:eastAsia="方正楷体_GBK" w:cs="方正楷体_GBK"/>
          <w:color w:val="auto"/>
          <w:sz w:val="28"/>
          <w:szCs w:val="28"/>
          <w:highlight w:val="none"/>
          <w:u w:val="single"/>
        </w:rPr>
      </w:pPr>
      <w:r>
        <w:rPr>
          <w:rFonts w:hint="eastAsia" w:ascii="方正楷体_GBK" w:hAnsi="方正楷体_GBK" w:eastAsia="方正楷体_GBK" w:cs="方正楷体_GBK"/>
          <w:color w:val="auto"/>
          <w:sz w:val="28"/>
          <w:szCs w:val="28"/>
          <w:highlight w:val="none"/>
        </w:rPr>
        <w:t>工程地点：</w:t>
      </w:r>
      <w:r>
        <w:rPr>
          <w:rFonts w:hint="eastAsia" w:ascii="方正楷体_GBK" w:hAnsi="方正楷体_GBK" w:eastAsia="方正楷体_GBK" w:cs="方正楷体_GBK"/>
          <w:color w:val="auto"/>
          <w:sz w:val="28"/>
          <w:szCs w:val="28"/>
          <w:highlight w:val="none"/>
          <w:u w:val="single"/>
        </w:rPr>
        <w:t xml:space="preserve">                                   </w:t>
      </w:r>
    </w:p>
    <w:p w14:paraId="6536486E">
      <w:pPr>
        <w:spacing w:before="240" w:beforeLines="100" w:after="120" w:afterLines="50"/>
        <w:ind w:firstLine="1680" w:firstLineChars="600"/>
        <w:rPr>
          <w:rFonts w:hAnsi="宋体" w:cs="宋体"/>
          <w:color w:val="auto"/>
          <w:sz w:val="28"/>
          <w:szCs w:val="28"/>
          <w:highlight w:val="none"/>
          <w:u w:val="single"/>
        </w:rPr>
      </w:pPr>
      <w:r>
        <w:rPr>
          <w:rFonts w:hint="eastAsia" w:ascii="方正楷体_GBK" w:hAnsi="方正楷体_GBK" w:eastAsia="方正楷体_GBK" w:cs="方正楷体_GBK"/>
          <w:color w:val="auto"/>
          <w:sz w:val="28"/>
          <w:szCs w:val="28"/>
          <w:highlight w:val="none"/>
        </w:rPr>
        <w:t>发 包 人：</w:t>
      </w:r>
      <w:r>
        <w:rPr>
          <w:rFonts w:hint="eastAsia" w:hAnsi="宋体" w:cs="宋体"/>
          <w:color w:val="auto"/>
          <w:sz w:val="28"/>
          <w:szCs w:val="28"/>
          <w:highlight w:val="none"/>
          <w:u w:val="single"/>
        </w:rPr>
        <w:t>广州市番禺区水务工程建管中心</w:t>
      </w:r>
    </w:p>
    <w:p w14:paraId="0E23D89E">
      <w:pPr>
        <w:spacing w:before="240" w:beforeLines="100" w:after="120" w:afterLines="50"/>
        <w:ind w:firstLine="2800" w:firstLineChars="1000"/>
        <w:rPr>
          <w:rFonts w:ascii="方正楷体_GBK" w:hAnsi="方正楷体_GBK" w:eastAsia="方正楷体_GBK" w:cs="方正楷体_GBK"/>
          <w:color w:val="auto"/>
          <w:sz w:val="28"/>
          <w:szCs w:val="28"/>
          <w:highlight w:val="none"/>
        </w:rPr>
      </w:pPr>
      <w:r>
        <w:rPr>
          <w:rFonts w:hint="eastAsia" w:hAnsi="宋体" w:cs="宋体"/>
          <w:color w:val="auto"/>
          <w:sz w:val="28"/>
          <w:szCs w:val="28"/>
          <w:highlight w:val="none"/>
          <w:u w:val="single"/>
        </w:rPr>
        <w:t>（广州市番禺区水旱灾害防御中心）</w:t>
      </w:r>
    </w:p>
    <w:p w14:paraId="20F7393E">
      <w:pPr>
        <w:spacing w:before="240" w:beforeLines="100" w:after="120" w:afterLines="50"/>
        <w:ind w:firstLine="1680" w:firstLineChars="600"/>
        <w:rPr>
          <w:rFonts w:ascii="方正楷体_GBK" w:hAnsi="方正楷体_GBK" w:eastAsia="方正楷体_GBK" w:cs="方正楷体_GBK"/>
          <w:color w:val="auto"/>
          <w:sz w:val="28"/>
          <w:szCs w:val="28"/>
          <w:highlight w:val="none"/>
          <w:u w:val="single"/>
        </w:rPr>
      </w:pPr>
      <w:r>
        <w:rPr>
          <w:rFonts w:hint="eastAsia" w:ascii="方正楷体_GBK" w:hAnsi="方正楷体_GBK" w:eastAsia="方正楷体_GBK" w:cs="方正楷体_GBK"/>
          <w:color w:val="auto"/>
          <w:sz w:val="28"/>
          <w:szCs w:val="28"/>
          <w:highlight w:val="none"/>
        </w:rPr>
        <w:t>承 包 人：</w:t>
      </w:r>
      <w:r>
        <w:rPr>
          <w:rFonts w:hint="eastAsia" w:ascii="方正楷体_GBK" w:hAnsi="方正楷体_GBK" w:eastAsia="方正楷体_GBK" w:cs="方正楷体_GBK"/>
          <w:color w:val="auto"/>
          <w:sz w:val="28"/>
          <w:szCs w:val="28"/>
          <w:highlight w:val="none"/>
          <w:u w:val="single"/>
        </w:rPr>
        <w:t xml:space="preserve">                                   </w:t>
      </w:r>
    </w:p>
    <w:p w14:paraId="5527F7F1">
      <w:pPr>
        <w:spacing w:line="360" w:lineRule="auto"/>
        <w:ind w:left="708" w:leftChars="337" w:firstLine="840" w:firstLineChars="300"/>
        <w:rPr>
          <w:rFonts w:ascii="方正楷体_GBK" w:hAnsi="方正楷体_GBK" w:eastAsia="方正楷体_GBK" w:cs="方正楷体_GBK"/>
          <w:color w:val="auto"/>
          <w:sz w:val="28"/>
          <w:szCs w:val="28"/>
          <w:highlight w:val="none"/>
          <w:u w:val="single"/>
        </w:rPr>
      </w:pPr>
    </w:p>
    <w:p w14:paraId="72FA28CD">
      <w:pPr>
        <w:spacing w:line="360" w:lineRule="auto"/>
        <w:ind w:firstLine="840" w:firstLineChars="300"/>
        <w:rPr>
          <w:rFonts w:ascii="方正楷体_GBK" w:hAnsi="方正楷体_GBK" w:eastAsia="方正楷体_GBK" w:cs="方正楷体_GBK"/>
          <w:color w:val="auto"/>
          <w:sz w:val="28"/>
          <w:szCs w:val="28"/>
          <w:highlight w:val="none"/>
          <w:u w:val="single"/>
        </w:rPr>
      </w:pPr>
    </w:p>
    <w:p w14:paraId="44BFFAE4">
      <w:pPr>
        <w:spacing w:line="240" w:lineRule="atLeast"/>
        <w:jc w:val="center"/>
        <w:rPr>
          <w:rFonts w:ascii="方正楷体_GBK" w:hAnsi="方正楷体_GBK" w:eastAsia="方正楷体_GBK" w:cs="方正楷体_GBK"/>
          <w:b/>
          <w:bCs/>
          <w:color w:val="auto"/>
          <w:spacing w:val="50"/>
          <w:sz w:val="28"/>
          <w:szCs w:val="28"/>
          <w:highlight w:val="none"/>
        </w:rPr>
      </w:pPr>
      <w:r>
        <w:rPr>
          <w:rFonts w:hint="eastAsia" w:ascii="方正楷体_GBK" w:hAnsi="方正楷体_GBK" w:eastAsia="方正楷体_GBK" w:cs="方正楷体_GBK"/>
          <w:b/>
          <w:bCs/>
          <w:color w:val="auto"/>
          <w:spacing w:val="50"/>
          <w:sz w:val="28"/>
          <w:szCs w:val="28"/>
          <w:highlight w:val="none"/>
        </w:rPr>
        <w:t>广州市住房和城乡建设局</w:t>
      </w:r>
    </w:p>
    <w:p w14:paraId="1CF3F7C4">
      <w:pPr>
        <w:spacing w:line="240" w:lineRule="atLeast"/>
        <w:jc w:val="center"/>
        <w:rPr>
          <w:rFonts w:ascii="方正楷体_GBK" w:hAnsi="方正楷体_GBK" w:eastAsia="方正楷体_GBK" w:cs="方正楷体_GBK"/>
          <w:b/>
          <w:bCs/>
          <w:color w:val="auto"/>
          <w:spacing w:val="20"/>
          <w:sz w:val="28"/>
          <w:szCs w:val="28"/>
          <w:highlight w:val="none"/>
        </w:rPr>
      </w:pPr>
      <w:r>
        <w:rPr>
          <w:rFonts w:hint="eastAsia" w:ascii="方正楷体_GBK" w:hAnsi="方正楷体_GBK" w:eastAsia="方正楷体_GBK" w:cs="方正楷体_GBK"/>
          <w:b/>
          <w:bCs/>
          <w:color w:val="auto"/>
          <w:spacing w:val="20"/>
          <w:sz w:val="28"/>
          <w:szCs w:val="28"/>
          <w:highlight w:val="none"/>
        </w:rPr>
        <w:t xml:space="preserve">                            制定</w:t>
      </w:r>
    </w:p>
    <w:p w14:paraId="10B1640A">
      <w:pPr>
        <w:spacing w:line="240" w:lineRule="atLeast"/>
        <w:ind w:firstLine="3013" w:firstLineChars="707"/>
        <w:rPr>
          <w:rFonts w:ascii="方正楷体_GBK" w:hAnsi="方正楷体_GBK" w:eastAsia="方正楷体_GBK" w:cs="方正楷体_GBK"/>
          <w:b/>
          <w:bCs/>
          <w:color w:val="auto"/>
          <w:spacing w:val="73"/>
          <w:sz w:val="28"/>
          <w:szCs w:val="28"/>
          <w:highlight w:val="none"/>
        </w:rPr>
      </w:pPr>
      <w:r>
        <w:rPr>
          <w:rFonts w:hint="eastAsia" w:ascii="方正楷体_GBK" w:hAnsi="方正楷体_GBK" w:eastAsia="方正楷体_GBK" w:cs="方正楷体_GBK"/>
          <w:b/>
          <w:bCs/>
          <w:color w:val="auto"/>
          <w:spacing w:val="73"/>
          <w:sz w:val="28"/>
          <w:szCs w:val="28"/>
          <w:highlight w:val="none"/>
        </w:rPr>
        <w:t>广州市市场监督管理局</w:t>
      </w:r>
    </w:p>
    <w:p w14:paraId="2E8C9C8E">
      <w:pPr>
        <w:spacing w:line="240" w:lineRule="atLeast"/>
        <w:jc w:val="center"/>
        <w:rPr>
          <w:rFonts w:ascii="方正楷体_GBK" w:hAnsi="方正楷体_GBK" w:eastAsia="方正楷体_GBK" w:cs="方正楷体_GBK"/>
          <w:b/>
          <w:bCs/>
          <w:color w:val="auto"/>
          <w:spacing w:val="20"/>
          <w:sz w:val="28"/>
          <w:szCs w:val="28"/>
          <w:highlight w:val="none"/>
        </w:rPr>
      </w:pPr>
    </w:p>
    <w:p w14:paraId="6401793F">
      <w:pPr>
        <w:spacing w:line="240" w:lineRule="atLeast"/>
        <w:jc w:val="center"/>
        <w:rPr>
          <w:rFonts w:ascii="宋体" w:cs="Times New Roman"/>
          <w:color w:val="auto"/>
          <w:sz w:val="32"/>
          <w:szCs w:val="32"/>
          <w:highlight w:val="none"/>
          <w:u w:val="single"/>
        </w:rPr>
      </w:pPr>
    </w:p>
    <w:p w14:paraId="73DFE84C">
      <w:pPr>
        <w:widowControl/>
        <w:spacing w:line="360" w:lineRule="auto"/>
        <w:jc w:val="left"/>
        <w:rPr>
          <w:rFonts w:ascii="宋体" w:cs="Times New Roman"/>
          <w:b/>
          <w:bCs/>
          <w:color w:val="auto"/>
          <w:spacing w:val="80"/>
          <w:kern w:val="0"/>
          <w:sz w:val="36"/>
          <w:szCs w:val="36"/>
          <w:highlight w:val="none"/>
        </w:rPr>
        <w:sectPr>
          <w:footerReference r:id="rId3" w:type="default"/>
          <w:endnotePr>
            <w:numFmt w:val="decimal"/>
          </w:endnotePr>
          <w:pgSz w:w="11906" w:h="16838"/>
          <w:pgMar w:top="851" w:right="924" w:bottom="851" w:left="737" w:header="0" w:footer="0" w:gutter="0"/>
          <w:pgNumType w:start="1"/>
          <w:cols w:space="720" w:num="1"/>
        </w:sectPr>
      </w:pPr>
    </w:p>
    <w:p w14:paraId="6BCF5480">
      <w:pPr>
        <w:pStyle w:val="30"/>
        <w:jc w:val="center"/>
        <w:rPr>
          <w:rFonts w:hint="eastAsia" w:ascii="黑体" w:hAnsi="黑体" w:eastAsia="黑体" w:cs="黑体"/>
          <w:color w:val="auto"/>
          <w:sz w:val="28"/>
          <w:szCs w:val="28"/>
          <w:highlight w:val="none"/>
        </w:rPr>
      </w:pPr>
      <w:bookmarkStart w:id="0" w:name="_Toc18985701"/>
      <w:bookmarkStart w:id="1" w:name="_Toc18984943"/>
      <w:bookmarkStart w:id="2" w:name="_Toc18985581"/>
      <w:bookmarkStart w:id="3" w:name="_Toc18985535"/>
      <w:r>
        <w:rPr>
          <w:rFonts w:hint="eastAsia" w:ascii="黑体" w:hAnsi="黑体" w:eastAsia="黑体" w:cs="黑体"/>
          <w:color w:val="auto"/>
          <w:sz w:val="28"/>
          <w:szCs w:val="28"/>
          <w:highlight w:val="none"/>
        </w:rPr>
        <w:t>目   录</w:t>
      </w:r>
    </w:p>
    <w:p w14:paraId="6B94BB51">
      <w:pPr>
        <w:rPr>
          <w:rFonts w:hint="eastAsia"/>
          <w:color w:val="auto"/>
          <w:highlight w:val="none"/>
        </w:rPr>
      </w:pPr>
    </w:p>
    <w:p w14:paraId="12013D51">
      <w:pPr>
        <w:pStyle w:val="30"/>
        <w:tabs>
          <w:tab w:val="right" w:leader="dot" w:pos="10204"/>
        </w:tabs>
        <w:rPr>
          <w:color w:val="auto"/>
          <w:highlight w:val="none"/>
        </w:rPr>
      </w:pPr>
      <w:r>
        <w:rPr>
          <w:rFonts w:ascii="宋体" w:hAnsi="宋体" w:cs="宋体"/>
          <w:bCs w:val="0"/>
          <w:color w:val="auto"/>
          <w:sz w:val="22"/>
          <w:szCs w:val="22"/>
          <w:highlight w:val="none"/>
        </w:rPr>
        <w:fldChar w:fldCharType="begin"/>
      </w:r>
      <w:r>
        <w:rPr>
          <w:rFonts w:ascii="宋体" w:hAnsi="宋体" w:cs="宋体"/>
          <w:bCs w:val="0"/>
          <w:color w:val="auto"/>
          <w:sz w:val="22"/>
          <w:szCs w:val="22"/>
          <w:highlight w:val="none"/>
        </w:rPr>
        <w:instrText xml:space="preserve">TOC \o "1-2" \h \u </w:instrText>
      </w:r>
      <w:r>
        <w:rPr>
          <w:rFonts w:ascii="宋体" w:hAnsi="宋体" w:cs="宋体"/>
          <w:bCs w:val="0"/>
          <w:color w:val="auto"/>
          <w:sz w:val="22"/>
          <w:szCs w:val="22"/>
          <w:highlight w:val="none"/>
        </w:rPr>
        <w:fldChar w:fldCharType="separate"/>
      </w:r>
      <w:r>
        <w:rPr>
          <w:rFonts w:ascii="宋体" w:hAnsi="宋体" w:cs="宋体"/>
          <w:bCs w:val="0"/>
          <w:color w:val="auto"/>
          <w:szCs w:val="22"/>
          <w:highlight w:val="none"/>
        </w:rPr>
        <w:fldChar w:fldCharType="begin"/>
      </w:r>
      <w:r>
        <w:rPr>
          <w:rFonts w:ascii="宋体" w:hAnsi="宋体" w:cs="宋体"/>
          <w:bCs w:val="0"/>
          <w:color w:val="auto"/>
          <w:szCs w:val="22"/>
          <w:highlight w:val="none"/>
        </w:rPr>
        <w:instrText xml:space="preserve"> HYPERLINK \l _Toc24828 </w:instrText>
      </w:r>
      <w:r>
        <w:rPr>
          <w:rFonts w:ascii="宋体" w:hAnsi="宋体" w:cs="宋体"/>
          <w:bCs w:val="0"/>
          <w:color w:val="auto"/>
          <w:szCs w:val="22"/>
          <w:highlight w:val="none"/>
        </w:rPr>
        <w:fldChar w:fldCharType="separate"/>
      </w:r>
      <w:r>
        <w:rPr>
          <w:rFonts w:hint="eastAsia" w:ascii="方正黑体_GBK" w:hAnsi="方正黑体_GBK" w:eastAsia="方正黑体_GBK" w:cs="方正黑体_GBK"/>
          <w:color w:val="auto"/>
          <w:szCs w:val="28"/>
          <w:highlight w:val="none"/>
          <w:lang w:val="zh-CN"/>
        </w:rPr>
        <w:t>总  说  明</w:t>
      </w:r>
      <w:r>
        <w:rPr>
          <w:color w:val="auto"/>
          <w:highlight w:val="none"/>
        </w:rPr>
        <w:tab/>
      </w:r>
      <w:r>
        <w:rPr>
          <w:color w:val="auto"/>
          <w:highlight w:val="none"/>
        </w:rPr>
        <w:fldChar w:fldCharType="begin"/>
      </w:r>
      <w:r>
        <w:rPr>
          <w:color w:val="auto"/>
          <w:highlight w:val="none"/>
        </w:rPr>
        <w:instrText xml:space="preserve"> PAGEREF _Toc24828 \h </w:instrText>
      </w:r>
      <w:r>
        <w:rPr>
          <w:color w:val="auto"/>
          <w:highlight w:val="none"/>
        </w:rPr>
        <w:fldChar w:fldCharType="separate"/>
      </w:r>
      <w:r>
        <w:rPr>
          <w:color w:val="auto"/>
          <w:highlight w:val="none"/>
        </w:rPr>
        <w:t>4</w:t>
      </w:r>
      <w:r>
        <w:rPr>
          <w:color w:val="auto"/>
          <w:highlight w:val="none"/>
        </w:rPr>
        <w:fldChar w:fldCharType="end"/>
      </w:r>
      <w:r>
        <w:rPr>
          <w:rFonts w:ascii="宋体" w:hAnsi="宋体" w:cs="宋体"/>
          <w:bCs w:val="0"/>
          <w:color w:val="auto"/>
          <w:szCs w:val="22"/>
          <w:highlight w:val="none"/>
        </w:rPr>
        <w:fldChar w:fldCharType="end"/>
      </w:r>
    </w:p>
    <w:p w14:paraId="0EC4E8DB">
      <w:pPr>
        <w:pStyle w:val="30"/>
        <w:tabs>
          <w:tab w:val="right" w:leader="dot" w:pos="10204"/>
        </w:tabs>
        <w:rPr>
          <w:color w:val="auto"/>
          <w:highlight w:val="none"/>
        </w:rPr>
      </w:pPr>
      <w:r>
        <w:rPr>
          <w:rFonts w:ascii="宋体" w:hAnsi="宋体" w:cs="宋体"/>
          <w:bCs w:val="0"/>
          <w:color w:val="auto"/>
          <w:szCs w:val="22"/>
          <w:highlight w:val="none"/>
        </w:rPr>
        <w:fldChar w:fldCharType="begin"/>
      </w:r>
      <w:r>
        <w:rPr>
          <w:rFonts w:ascii="宋体" w:hAnsi="宋体" w:cs="宋体"/>
          <w:bCs w:val="0"/>
          <w:color w:val="auto"/>
          <w:szCs w:val="22"/>
          <w:highlight w:val="none"/>
        </w:rPr>
        <w:instrText xml:space="preserve"> HYPERLINK \l _Toc22839 </w:instrText>
      </w:r>
      <w:r>
        <w:rPr>
          <w:rFonts w:ascii="宋体" w:hAnsi="宋体" w:cs="宋体"/>
          <w:bCs w:val="0"/>
          <w:color w:val="auto"/>
          <w:szCs w:val="22"/>
          <w:highlight w:val="none"/>
        </w:rPr>
        <w:fldChar w:fldCharType="separate"/>
      </w:r>
      <w:r>
        <w:rPr>
          <w:rFonts w:hint="eastAsia" w:ascii="方正黑体_GBK" w:hAnsi="方正黑体_GBK" w:eastAsia="方正黑体_GBK" w:cs="方正黑体_GBK"/>
          <w:bCs/>
          <w:color w:val="auto"/>
          <w:szCs w:val="28"/>
          <w:highlight w:val="none"/>
        </w:rPr>
        <w:t>第一部分  协  议  书</w:t>
      </w:r>
      <w:r>
        <w:rPr>
          <w:color w:val="auto"/>
          <w:highlight w:val="none"/>
        </w:rPr>
        <w:tab/>
      </w:r>
      <w:r>
        <w:rPr>
          <w:color w:val="auto"/>
          <w:highlight w:val="none"/>
        </w:rPr>
        <w:fldChar w:fldCharType="begin"/>
      </w:r>
      <w:r>
        <w:rPr>
          <w:color w:val="auto"/>
          <w:highlight w:val="none"/>
        </w:rPr>
        <w:instrText xml:space="preserve"> PAGEREF _Toc22839 \h </w:instrText>
      </w:r>
      <w:r>
        <w:rPr>
          <w:color w:val="auto"/>
          <w:highlight w:val="none"/>
        </w:rPr>
        <w:fldChar w:fldCharType="separate"/>
      </w:r>
      <w:r>
        <w:rPr>
          <w:color w:val="auto"/>
          <w:highlight w:val="none"/>
        </w:rPr>
        <w:t>1</w:t>
      </w:r>
      <w:r>
        <w:rPr>
          <w:color w:val="auto"/>
          <w:highlight w:val="none"/>
        </w:rPr>
        <w:fldChar w:fldCharType="end"/>
      </w:r>
      <w:r>
        <w:rPr>
          <w:rFonts w:ascii="宋体" w:hAnsi="宋体" w:cs="宋体"/>
          <w:bCs w:val="0"/>
          <w:color w:val="auto"/>
          <w:szCs w:val="22"/>
          <w:highlight w:val="none"/>
        </w:rPr>
        <w:fldChar w:fldCharType="end"/>
      </w:r>
    </w:p>
    <w:p w14:paraId="1803241D">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_Toc24082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一、工程概况</w:t>
      </w:r>
      <w:r>
        <w:rPr>
          <w:color w:val="auto"/>
          <w:highlight w:val="none"/>
        </w:rPr>
        <w:tab/>
      </w:r>
      <w:r>
        <w:rPr>
          <w:color w:val="auto"/>
          <w:highlight w:val="none"/>
        </w:rPr>
        <w:fldChar w:fldCharType="begin"/>
      </w:r>
      <w:r>
        <w:rPr>
          <w:color w:val="auto"/>
          <w:highlight w:val="none"/>
        </w:rPr>
        <w:instrText xml:space="preserve"> PAGEREF _Toc24082 \h </w:instrText>
      </w:r>
      <w:r>
        <w:rPr>
          <w:color w:val="auto"/>
          <w:highlight w:val="none"/>
        </w:rPr>
        <w:fldChar w:fldCharType="separate"/>
      </w:r>
      <w:r>
        <w:rPr>
          <w:color w:val="auto"/>
          <w:highlight w:val="none"/>
        </w:rPr>
        <w:t>1</w:t>
      </w:r>
      <w:r>
        <w:rPr>
          <w:color w:val="auto"/>
          <w:highlight w:val="none"/>
        </w:rPr>
        <w:fldChar w:fldCharType="end"/>
      </w:r>
      <w:r>
        <w:rPr>
          <w:rFonts w:ascii="宋体" w:hAnsi="宋体" w:cs="宋体"/>
          <w:bCs/>
          <w:color w:val="auto"/>
          <w:szCs w:val="22"/>
          <w:highlight w:val="none"/>
        </w:rPr>
        <w:fldChar w:fldCharType="end"/>
      </w:r>
    </w:p>
    <w:p w14:paraId="6F960061">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_Toc13388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二、工程内容与承包范围</w:t>
      </w:r>
      <w:r>
        <w:rPr>
          <w:color w:val="auto"/>
          <w:highlight w:val="none"/>
        </w:rPr>
        <w:tab/>
      </w:r>
      <w:r>
        <w:rPr>
          <w:color w:val="auto"/>
          <w:highlight w:val="none"/>
        </w:rPr>
        <w:fldChar w:fldCharType="begin"/>
      </w:r>
      <w:r>
        <w:rPr>
          <w:color w:val="auto"/>
          <w:highlight w:val="none"/>
        </w:rPr>
        <w:instrText xml:space="preserve"> PAGEREF _Toc13388 \h </w:instrText>
      </w:r>
      <w:r>
        <w:rPr>
          <w:color w:val="auto"/>
          <w:highlight w:val="none"/>
        </w:rPr>
        <w:fldChar w:fldCharType="separate"/>
      </w:r>
      <w:r>
        <w:rPr>
          <w:color w:val="auto"/>
          <w:highlight w:val="none"/>
        </w:rPr>
        <w:t>1</w:t>
      </w:r>
      <w:r>
        <w:rPr>
          <w:color w:val="auto"/>
          <w:highlight w:val="none"/>
        </w:rPr>
        <w:fldChar w:fldCharType="end"/>
      </w:r>
      <w:r>
        <w:rPr>
          <w:rFonts w:ascii="宋体" w:hAnsi="宋体" w:cs="宋体"/>
          <w:bCs/>
          <w:color w:val="auto"/>
          <w:szCs w:val="22"/>
          <w:highlight w:val="none"/>
        </w:rPr>
        <w:fldChar w:fldCharType="end"/>
      </w:r>
    </w:p>
    <w:p w14:paraId="68CA2B01">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_Toc15086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三、合同工期</w:t>
      </w:r>
      <w:r>
        <w:rPr>
          <w:color w:val="auto"/>
          <w:highlight w:val="none"/>
        </w:rPr>
        <w:tab/>
      </w:r>
      <w:r>
        <w:rPr>
          <w:color w:val="auto"/>
          <w:highlight w:val="none"/>
        </w:rPr>
        <w:fldChar w:fldCharType="begin"/>
      </w:r>
      <w:r>
        <w:rPr>
          <w:color w:val="auto"/>
          <w:highlight w:val="none"/>
        </w:rPr>
        <w:instrText xml:space="preserve"> PAGEREF _Toc15086 \h </w:instrText>
      </w:r>
      <w:r>
        <w:rPr>
          <w:color w:val="auto"/>
          <w:highlight w:val="none"/>
        </w:rPr>
        <w:fldChar w:fldCharType="separate"/>
      </w:r>
      <w:r>
        <w:rPr>
          <w:color w:val="auto"/>
          <w:highlight w:val="none"/>
        </w:rPr>
        <w:t>2</w:t>
      </w:r>
      <w:r>
        <w:rPr>
          <w:color w:val="auto"/>
          <w:highlight w:val="none"/>
        </w:rPr>
        <w:fldChar w:fldCharType="end"/>
      </w:r>
      <w:r>
        <w:rPr>
          <w:rFonts w:ascii="宋体" w:hAnsi="宋体" w:cs="宋体"/>
          <w:bCs/>
          <w:color w:val="auto"/>
          <w:szCs w:val="22"/>
          <w:highlight w:val="none"/>
        </w:rPr>
        <w:fldChar w:fldCharType="end"/>
      </w:r>
    </w:p>
    <w:p w14:paraId="7F082FFE">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_Toc9222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★四、质量标准</w:t>
      </w:r>
      <w:r>
        <w:rPr>
          <w:color w:val="auto"/>
          <w:highlight w:val="none"/>
        </w:rPr>
        <w:tab/>
      </w:r>
      <w:r>
        <w:rPr>
          <w:color w:val="auto"/>
          <w:highlight w:val="none"/>
        </w:rPr>
        <w:fldChar w:fldCharType="begin"/>
      </w:r>
      <w:r>
        <w:rPr>
          <w:color w:val="auto"/>
          <w:highlight w:val="none"/>
        </w:rPr>
        <w:instrText xml:space="preserve"> PAGEREF _Toc9222 \h </w:instrText>
      </w:r>
      <w:r>
        <w:rPr>
          <w:color w:val="auto"/>
          <w:highlight w:val="none"/>
        </w:rPr>
        <w:fldChar w:fldCharType="separate"/>
      </w:r>
      <w:r>
        <w:rPr>
          <w:color w:val="auto"/>
          <w:highlight w:val="none"/>
        </w:rPr>
        <w:t>2</w:t>
      </w:r>
      <w:r>
        <w:rPr>
          <w:color w:val="auto"/>
          <w:highlight w:val="none"/>
        </w:rPr>
        <w:fldChar w:fldCharType="end"/>
      </w:r>
      <w:r>
        <w:rPr>
          <w:rFonts w:ascii="宋体" w:hAnsi="宋体" w:cs="宋体"/>
          <w:bCs/>
          <w:color w:val="auto"/>
          <w:szCs w:val="22"/>
          <w:highlight w:val="none"/>
        </w:rPr>
        <w:fldChar w:fldCharType="end"/>
      </w:r>
    </w:p>
    <w:p w14:paraId="5F2CC024">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_Toc26362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五、合同价款</w:t>
      </w:r>
      <w:r>
        <w:rPr>
          <w:color w:val="auto"/>
          <w:highlight w:val="none"/>
        </w:rPr>
        <w:tab/>
      </w:r>
      <w:r>
        <w:rPr>
          <w:color w:val="auto"/>
          <w:highlight w:val="none"/>
        </w:rPr>
        <w:fldChar w:fldCharType="begin"/>
      </w:r>
      <w:r>
        <w:rPr>
          <w:color w:val="auto"/>
          <w:highlight w:val="none"/>
        </w:rPr>
        <w:instrText xml:space="preserve"> PAGEREF _Toc26362 \h </w:instrText>
      </w:r>
      <w:r>
        <w:rPr>
          <w:color w:val="auto"/>
          <w:highlight w:val="none"/>
        </w:rPr>
        <w:fldChar w:fldCharType="separate"/>
      </w:r>
      <w:r>
        <w:rPr>
          <w:color w:val="auto"/>
          <w:highlight w:val="none"/>
        </w:rPr>
        <w:t>3</w:t>
      </w:r>
      <w:r>
        <w:rPr>
          <w:color w:val="auto"/>
          <w:highlight w:val="none"/>
        </w:rPr>
        <w:fldChar w:fldCharType="end"/>
      </w:r>
      <w:r>
        <w:rPr>
          <w:rFonts w:ascii="宋体" w:hAnsi="宋体" w:cs="宋体"/>
          <w:bCs/>
          <w:color w:val="auto"/>
          <w:szCs w:val="22"/>
          <w:highlight w:val="none"/>
        </w:rPr>
        <w:fldChar w:fldCharType="end"/>
      </w:r>
    </w:p>
    <w:p w14:paraId="579785AC">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_Toc981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★六、工人工资支付分账</w:t>
      </w:r>
      <w:r>
        <w:rPr>
          <w:color w:val="auto"/>
          <w:highlight w:val="none"/>
        </w:rPr>
        <w:tab/>
      </w:r>
      <w:r>
        <w:rPr>
          <w:color w:val="auto"/>
          <w:highlight w:val="none"/>
        </w:rPr>
        <w:fldChar w:fldCharType="begin"/>
      </w:r>
      <w:r>
        <w:rPr>
          <w:color w:val="auto"/>
          <w:highlight w:val="none"/>
        </w:rPr>
        <w:instrText xml:space="preserve"> PAGEREF _Toc981 \h </w:instrText>
      </w:r>
      <w:r>
        <w:rPr>
          <w:color w:val="auto"/>
          <w:highlight w:val="none"/>
        </w:rPr>
        <w:fldChar w:fldCharType="separate"/>
      </w:r>
      <w:r>
        <w:rPr>
          <w:color w:val="auto"/>
          <w:highlight w:val="none"/>
        </w:rPr>
        <w:t>3</w:t>
      </w:r>
      <w:r>
        <w:rPr>
          <w:color w:val="auto"/>
          <w:highlight w:val="none"/>
        </w:rPr>
        <w:fldChar w:fldCharType="end"/>
      </w:r>
      <w:r>
        <w:rPr>
          <w:rFonts w:ascii="宋体" w:hAnsi="宋体" w:cs="宋体"/>
          <w:bCs/>
          <w:color w:val="auto"/>
          <w:szCs w:val="22"/>
          <w:highlight w:val="none"/>
        </w:rPr>
        <w:fldChar w:fldCharType="end"/>
      </w:r>
    </w:p>
    <w:p w14:paraId="294A85E2">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_Toc6861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七、组成合同的文件</w:t>
      </w:r>
      <w:r>
        <w:rPr>
          <w:color w:val="auto"/>
          <w:highlight w:val="none"/>
        </w:rPr>
        <w:tab/>
      </w:r>
      <w:r>
        <w:rPr>
          <w:color w:val="auto"/>
          <w:highlight w:val="none"/>
        </w:rPr>
        <w:fldChar w:fldCharType="begin"/>
      </w:r>
      <w:r>
        <w:rPr>
          <w:color w:val="auto"/>
          <w:highlight w:val="none"/>
        </w:rPr>
        <w:instrText xml:space="preserve"> PAGEREF _Toc6861 \h </w:instrText>
      </w:r>
      <w:r>
        <w:rPr>
          <w:color w:val="auto"/>
          <w:highlight w:val="none"/>
        </w:rPr>
        <w:fldChar w:fldCharType="separate"/>
      </w:r>
      <w:r>
        <w:rPr>
          <w:color w:val="auto"/>
          <w:highlight w:val="none"/>
        </w:rPr>
        <w:t>3</w:t>
      </w:r>
      <w:r>
        <w:rPr>
          <w:color w:val="auto"/>
          <w:highlight w:val="none"/>
        </w:rPr>
        <w:fldChar w:fldCharType="end"/>
      </w:r>
      <w:r>
        <w:rPr>
          <w:rFonts w:ascii="宋体" w:hAnsi="宋体" w:cs="宋体"/>
          <w:bCs/>
          <w:color w:val="auto"/>
          <w:szCs w:val="22"/>
          <w:highlight w:val="none"/>
        </w:rPr>
        <w:fldChar w:fldCharType="end"/>
      </w:r>
    </w:p>
    <w:p w14:paraId="4DB220D7">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_Toc28990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八、词语含义</w:t>
      </w:r>
      <w:r>
        <w:rPr>
          <w:color w:val="auto"/>
          <w:highlight w:val="none"/>
        </w:rPr>
        <w:tab/>
      </w:r>
      <w:r>
        <w:rPr>
          <w:color w:val="auto"/>
          <w:highlight w:val="none"/>
        </w:rPr>
        <w:fldChar w:fldCharType="begin"/>
      </w:r>
      <w:r>
        <w:rPr>
          <w:color w:val="auto"/>
          <w:highlight w:val="none"/>
        </w:rPr>
        <w:instrText xml:space="preserve"> PAGEREF _Toc28990 \h </w:instrText>
      </w:r>
      <w:r>
        <w:rPr>
          <w:color w:val="auto"/>
          <w:highlight w:val="none"/>
        </w:rPr>
        <w:fldChar w:fldCharType="separate"/>
      </w:r>
      <w:r>
        <w:rPr>
          <w:color w:val="auto"/>
          <w:highlight w:val="none"/>
        </w:rPr>
        <w:t>4</w:t>
      </w:r>
      <w:r>
        <w:rPr>
          <w:color w:val="auto"/>
          <w:highlight w:val="none"/>
        </w:rPr>
        <w:fldChar w:fldCharType="end"/>
      </w:r>
      <w:r>
        <w:rPr>
          <w:rFonts w:ascii="宋体" w:hAnsi="宋体" w:cs="宋体"/>
          <w:bCs/>
          <w:color w:val="auto"/>
          <w:szCs w:val="22"/>
          <w:highlight w:val="none"/>
        </w:rPr>
        <w:fldChar w:fldCharType="end"/>
      </w:r>
    </w:p>
    <w:p w14:paraId="0F7C1B53">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_Toc12309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九、承包人承诺</w:t>
      </w:r>
      <w:r>
        <w:rPr>
          <w:color w:val="auto"/>
          <w:highlight w:val="none"/>
        </w:rPr>
        <w:tab/>
      </w:r>
      <w:r>
        <w:rPr>
          <w:color w:val="auto"/>
          <w:highlight w:val="none"/>
        </w:rPr>
        <w:fldChar w:fldCharType="begin"/>
      </w:r>
      <w:r>
        <w:rPr>
          <w:color w:val="auto"/>
          <w:highlight w:val="none"/>
        </w:rPr>
        <w:instrText xml:space="preserve"> PAGEREF _Toc12309 \h </w:instrText>
      </w:r>
      <w:r>
        <w:rPr>
          <w:color w:val="auto"/>
          <w:highlight w:val="none"/>
        </w:rPr>
        <w:fldChar w:fldCharType="separate"/>
      </w:r>
      <w:r>
        <w:rPr>
          <w:color w:val="auto"/>
          <w:highlight w:val="none"/>
        </w:rPr>
        <w:t>4</w:t>
      </w:r>
      <w:r>
        <w:rPr>
          <w:color w:val="auto"/>
          <w:highlight w:val="none"/>
        </w:rPr>
        <w:fldChar w:fldCharType="end"/>
      </w:r>
      <w:r>
        <w:rPr>
          <w:rFonts w:ascii="宋体" w:hAnsi="宋体" w:cs="宋体"/>
          <w:bCs/>
          <w:color w:val="auto"/>
          <w:szCs w:val="22"/>
          <w:highlight w:val="none"/>
        </w:rPr>
        <w:fldChar w:fldCharType="end"/>
      </w:r>
    </w:p>
    <w:p w14:paraId="0D8642AE">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_Toc12416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十、发包人承诺</w:t>
      </w:r>
      <w:r>
        <w:rPr>
          <w:color w:val="auto"/>
          <w:highlight w:val="none"/>
        </w:rPr>
        <w:tab/>
      </w:r>
      <w:r>
        <w:rPr>
          <w:color w:val="auto"/>
          <w:highlight w:val="none"/>
        </w:rPr>
        <w:fldChar w:fldCharType="begin"/>
      </w:r>
      <w:r>
        <w:rPr>
          <w:color w:val="auto"/>
          <w:highlight w:val="none"/>
        </w:rPr>
        <w:instrText xml:space="preserve"> PAGEREF _Toc12416 \h </w:instrText>
      </w:r>
      <w:r>
        <w:rPr>
          <w:color w:val="auto"/>
          <w:highlight w:val="none"/>
        </w:rPr>
        <w:fldChar w:fldCharType="separate"/>
      </w:r>
      <w:r>
        <w:rPr>
          <w:color w:val="auto"/>
          <w:highlight w:val="none"/>
        </w:rPr>
        <w:t>4</w:t>
      </w:r>
      <w:r>
        <w:rPr>
          <w:color w:val="auto"/>
          <w:highlight w:val="none"/>
        </w:rPr>
        <w:fldChar w:fldCharType="end"/>
      </w:r>
      <w:r>
        <w:rPr>
          <w:rFonts w:ascii="宋体" w:hAnsi="宋体" w:cs="宋体"/>
          <w:bCs/>
          <w:color w:val="auto"/>
          <w:szCs w:val="22"/>
          <w:highlight w:val="none"/>
        </w:rPr>
        <w:fldChar w:fldCharType="end"/>
      </w:r>
    </w:p>
    <w:p w14:paraId="41564909">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_Toc11801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十一、发包人对承包人项目机构人员的管理要求</w:t>
      </w:r>
      <w:r>
        <w:rPr>
          <w:color w:val="auto"/>
          <w:highlight w:val="none"/>
        </w:rPr>
        <w:tab/>
      </w:r>
      <w:r>
        <w:rPr>
          <w:color w:val="auto"/>
          <w:highlight w:val="none"/>
        </w:rPr>
        <w:fldChar w:fldCharType="begin"/>
      </w:r>
      <w:r>
        <w:rPr>
          <w:color w:val="auto"/>
          <w:highlight w:val="none"/>
        </w:rPr>
        <w:instrText xml:space="preserve"> PAGEREF _Toc11801 \h </w:instrText>
      </w:r>
      <w:r>
        <w:rPr>
          <w:color w:val="auto"/>
          <w:highlight w:val="none"/>
        </w:rPr>
        <w:fldChar w:fldCharType="separate"/>
      </w:r>
      <w:r>
        <w:rPr>
          <w:color w:val="auto"/>
          <w:highlight w:val="none"/>
        </w:rPr>
        <w:t>4</w:t>
      </w:r>
      <w:r>
        <w:rPr>
          <w:color w:val="auto"/>
          <w:highlight w:val="none"/>
        </w:rPr>
        <w:fldChar w:fldCharType="end"/>
      </w:r>
      <w:r>
        <w:rPr>
          <w:rFonts w:ascii="宋体" w:hAnsi="宋体" w:cs="宋体"/>
          <w:bCs/>
          <w:color w:val="auto"/>
          <w:szCs w:val="22"/>
          <w:highlight w:val="none"/>
        </w:rPr>
        <w:fldChar w:fldCharType="end"/>
      </w:r>
    </w:p>
    <w:p w14:paraId="066DD1AF">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_Toc22447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十二、</w:t>
      </w:r>
      <w:r>
        <w:rPr>
          <w:rFonts w:ascii="方正小标宋_GBK" w:hAnsi="方正小标宋_GBK" w:eastAsia="方正小标宋_GBK" w:cs="方正小标宋_GBK"/>
          <w:bCs/>
          <w:color w:val="auto"/>
          <w:szCs w:val="24"/>
          <w:highlight w:val="none"/>
        </w:rPr>
        <w:t>合同未尽事宜，双方另行签订补充协议，但不得背离本协议第八条所约定的合同文件的实质性内容。补充协议是合同文件的组成部分。</w:t>
      </w:r>
      <w:r>
        <w:rPr>
          <w:color w:val="auto"/>
          <w:highlight w:val="none"/>
        </w:rPr>
        <w:tab/>
      </w:r>
      <w:r>
        <w:rPr>
          <w:color w:val="auto"/>
          <w:highlight w:val="none"/>
        </w:rPr>
        <w:fldChar w:fldCharType="begin"/>
      </w:r>
      <w:r>
        <w:rPr>
          <w:color w:val="auto"/>
          <w:highlight w:val="none"/>
        </w:rPr>
        <w:instrText xml:space="preserve"> PAGEREF _Toc22447 \h </w:instrText>
      </w:r>
      <w:r>
        <w:rPr>
          <w:color w:val="auto"/>
          <w:highlight w:val="none"/>
        </w:rPr>
        <w:fldChar w:fldCharType="separate"/>
      </w:r>
      <w:r>
        <w:rPr>
          <w:color w:val="auto"/>
          <w:highlight w:val="none"/>
        </w:rPr>
        <w:t>5</w:t>
      </w:r>
      <w:r>
        <w:rPr>
          <w:color w:val="auto"/>
          <w:highlight w:val="none"/>
        </w:rPr>
        <w:fldChar w:fldCharType="end"/>
      </w:r>
      <w:r>
        <w:rPr>
          <w:rFonts w:ascii="宋体" w:hAnsi="宋体" w:cs="宋体"/>
          <w:bCs/>
          <w:color w:val="auto"/>
          <w:szCs w:val="22"/>
          <w:highlight w:val="none"/>
        </w:rPr>
        <w:fldChar w:fldCharType="end"/>
      </w:r>
    </w:p>
    <w:p w14:paraId="21620945">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_Toc22270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十三、合同生效</w:t>
      </w:r>
      <w:r>
        <w:rPr>
          <w:color w:val="auto"/>
          <w:highlight w:val="none"/>
        </w:rPr>
        <w:tab/>
      </w:r>
      <w:r>
        <w:rPr>
          <w:color w:val="auto"/>
          <w:highlight w:val="none"/>
        </w:rPr>
        <w:fldChar w:fldCharType="begin"/>
      </w:r>
      <w:r>
        <w:rPr>
          <w:color w:val="auto"/>
          <w:highlight w:val="none"/>
        </w:rPr>
        <w:instrText xml:space="preserve"> PAGEREF _Toc22270 \h </w:instrText>
      </w:r>
      <w:r>
        <w:rPr>
          <w:color w:val="auto"/>
          <w:highlight w:val="none"/>
        </w:rPr>
        <w:fldChar w:fldCharType="separate"/>
      </w:r>
      <w:r>
        <w:rPr>
          <w:color w:val="auto"/>
          <w:highlight w:val="none"/>
        </w:rPr>
        <w:t>5</w:t>
      </w:r>
      <w:r>
        <w:rPr>
          <w:color w:val="auto"/>
          <w:highlight w:val="none"/>
        </w:rPr>
        <w:fldChar w:fldCharType="end"/>
      </w:r>
      <w:r>
        <w:rPr>
          <w:rFonts w:ascii="宋体" w:hAnsi="宋体" w:cs="宋体"/>
          <w:bCs/>
          <w:color w:val="auto"/>
          <w:szCs w:val="22"/>
          <w:highlight w:val="none"/>
        </w:rPr>
        <w:fldChar w:fldCharType="end"/>
      </w:r>
    </w:p>
    <w:p w14:paraId="09DC61EC">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_Toc31562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十四、合同份数</w:t>
      </w:r>
      <w:r>
        <w:rPr>
          <w:color w:val="auto"/>
          <w:highlight w:val="none"/>
        </w:rPr>
        <w:tab/>
      </w:r>
      <w:r>
        <w:rPr>
          <w:color w:val="auto"/>
          <w:highlight w:val="none"/>
        </w:rPr>
        <w:fldChar w:fldCharType="begin"/>
      </w:r>
      <w:r>
        <w:rPr>
          <w:color w:val="auto"/>
          <w:highlight w:val="none"/>
        </w:rPr>
        <w:instrText xml:space="preserve"> PAGEREF _Toc31562 \h </w:instrText>
      </w:r>
      <w:r>
        <w:rPr>
          <w:color w:val="auto"/>
          <w:highlight w:val="none"/>
        </w:rPr>
        <w:fldChar w:fldCharType="separate"/>
      </w:r>
      <w:r>
        <w:rPr>
          <w:color w:val="auto"/>
          <w:highlight w:val="none"/>
        </w:rPr>
        <w:t>5</w:t>
      </w:r>
      <w:r>
        <w:rPr>
          <w:color w:val="auto"/>
          <w:highlight w:val="none"/>
        </w:rPr>
        <w:fldChar w:fldCharType="end"/>
      </w:r>
      <w:r>
        <w:rPr>
          <w:rFonts w:ascii="宋体" w:hAnsi="宋体" w:cs="宋体"/>
          <w:bCs/>
          <w:color w:val="auto"/>
          <w:szCs w:val="22"/>
          <w:highlight w:val="none"/>
        </w:rPr>
        <w:fldChar w:fldCharType="end"/>
      </w:r>
    </w:p>
    <w:p w14:paraId="72D934FF">
      <w:pPr>
        <w:pStyle w:val="30"/>
        <w:tabs>
          <w:tab w:val="right" w:leader="dot" w:pos="10204"/>
        </w:tabs>
        <w:rPr>
          <w:color w:val="auto"/>
          <w:highlight w:val="none"/>
        </w:rPr>
      </w:pPr>
      <w:r>
        <w:rPr>
          <w:rFonts w:ascii="宋体" w:hAnsi="宋体" w:cs="宋体"/>
          <w:bCs w:val="0"/>
          <w:color w:val="auto"/>
          <w:szCs w:val="22"/>
          <w:highlight w:val="none"/>
        </w:rPr>
        <w:fldChar w:fldCharType="begin"/>
      </w:r>
      <w:r>
        <w:rPr>
          <w:rFonts w:ascii="宋体" w:hAnsi="宋体" w:cs="宋体"/>
          <w:bCs w:val="0"/>
          <w:color w:val="auto"/>
          <w:szCs w:val="22"/>
          <w:highlight w:val="none"/>
        </w:rPr>
        <w:instrText xml:space="preserve"> HYPERLINK \l _Toc9327 </w:instrText>
      </w:r>
      <w:r>
        <w:rPr>
          <w:rFonts w:ascii="宋体" w:hAnsi="宋体" w:cs="宋体"/>
          <w:bCs w:val="0"/>
          <w:color w:val="auto"/>
          <w:szCs w:val="22"/>
          <w:highlight w:val="none"/>
        </w:rPr>
        <w:fldChar w:fldCharType="separate"/>
      </w:r>
      <w:r>
        <w:rPr>
          <w:rFonts w:hint="eastAsia" w:ascii="方正黑体_GBK" w:hAnsi="方正黑体_GBK" w:eastAsia="方正黑体_GBK" w:cs="方正黑体_GBK"/>
          <w:bCs/>
          <w:color w:val="auto"/>
          <w:szCs w:val="28"/>
          <w:highlight w:val="none"/>
        </w:rPr>
        <w:t>第二部分  通用条款</w:t>
      </w:r>
      <w:r>
        <w:rPr>
          <w:color w:val="auto"/>
          <w:highlight w:val="none"/>
        </w:rPr>
        <w:tab/>
      </w:r>
      <w:r>
        <w:rPr>
          <w:color w:val="auto"/>
          <w:highlight w:val="none"/>
        </w:rPr>
        <w:fldChar w:fldCharType="begin"/>
      </w:r>
      <w:r>
        <w:rPr>
          <w:color w:val="auto"/>
          <w:highlight w:val="none"/>
        </w:rPr>
        <w:instrText xml:space="preserve"> PAGEREF _Toc9327 \h </w:instrText>
      </w:r>
      <w:r>
        <w:rPr>
          <w:color w:val="auto"/>
          <w:highlight w:val="none"/>
        </w:rPr>
        <w:fldChar w:fldCharType="separate"/>
      </w:r>
      <w:r>
        <w:rPr>
          <w:color w:val="auto"/>
          <w:highlight w:val="none"/>
        </w:rPr>
        <w:t>7</w:t>
      </w:r>
      <w:r>
        <w:rPr>
          <w:color w:val="auto"/>
          <w:highlight w:val="none"/>
        </w:rPr>
        <w:fldChar w:fldCharType="end"/>
      </w:r>
      <w:r>
        <w:rPr>
          <w:rFonts w:ascii="宋体" w:hAnsi="宋体" w:cs="宋体"/>
          <w:bCs w:val="0"/>
          <w:color w:val="auto"/>
          <w:szCs w:val="22"/>
          <w:highlight w:val="none"/>
        </w:rPr>
        <w:fldChar w:fldCharType="end"/>
      </w:r>
    </w:p>
    <w:p w14:paraId="0083BBDF">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_Toc12498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一、总  则</w:t>
      </w:r>
      <w:r>
        <w:rPr>
          <w:color w:val="auto"/>
          <w:highlight w:val="none"/>
        </w:rPr>
        <w:tab/>
      </w:r>
      <w:r>
        <w:rPr>
          <w:color w:val="auto"/>
          <w:highlight w:val="none"/>
        </w:rPr>
        <w:fldChar w:fldCharType="begin"/>
      </w:r>
      <w:r>
        <w:rPr>
          <w:color w:val="auto"/>
          <w:highlight w:val="none"/>
        </w:rPr>
        <w:instrText xml:space="preserve"> PAGEREF _Toc12498 \h </w:instrText>
      </w:r>
      <w:r>
        <w:rPr>
          <w:color w:val="auto"/>
          <w:highlight w:val="none"/>
        </w:rPr>
        <w:fldChar w:fldCharType="separate"/>
      </w:r>
      <w:r>
        <w:rPr>
          <w:color w:val="auto"/>
          <w:highlight w:val="none"/>
        </w:rPr>
        <w:t>7</w:t>
      </w:r>
      <w:r>
        <w:rPr>
          <w:color w:val="auto"/>
          <w:highlight w:val="none"/>
        </w:rPr>
        <w:fldChar w:fldCharType="end"/>
      </w:r>
      <w:r>
        <w:rPr>
          <w:rFonts w:ascii="宋体" w:hAnsi="宋体" w:cs="宋体"/>
          <w:bCs/>
          <w:color w:val="auto"/>
          <w:szCs w:val="22"/>
          <w:highlight w:val="none"/>
        </w:rPr>
        <w:fldChar w:fldCharType="end"/>
      </w:r>
    </w:p>
    <w:p w14:paraId="79484E8A">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_Toc22114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二、合同主体</w:t>
      </w:r>
      <w:r>
        <w:rPr>
          <w:color w:val="auto"/>
          <w:highlight w:val="none"/>
        </w:rPr>
        <w:tab/>
      </w:r>
      <w:r>
        <w:rPr>
          <w:color w:val="auto"/>
          <w:highlight w:val="none"/>
        </w:rPr>
        <w:fldChar w:fldCharType="begin"/>
      </w:r>
      <w:r>
        <w:rPr>
          <w:color w:val="auto"/>
          <w:highlight w:val="none"/>
        </w:rPr>
        <w:instrText xml:space="preserve"> PAGEREF _Toc22114 \h </w:instrText>
      </w:r>
      <w:r>
        <w:rPr>
          <w:color w:val="auto"/>
          <w:highlight w:val="none"/>
        </w:rPr>
        <w:fldChar w:fldCharType="separate"/>
      </w:r>
      <w:r>
        <w:rPr>
          <w:color w:val="auto"/>
          <w:highlight w:val="none"/>
        </w:rPr>
        <w:t>19</w:t>
      </w:r>
      <w:r>
        <w:rPr>
          <w:color w:val="auto"/>
          <w:highlight w:val="none"/>
        </w:rPr>
        <w:fldChar w:fldCharType="end"/>
      </w:r>
      <w:r>
        <w:rPr>
          <w:rFonts w:ascii="宋体" w:hAnsi="宋体" w:cs="宋体"/>
          <w:bCs/>
          <w:color w:val="auto"/>
          <w:szCs w:val="22"/>
          <w:highlight w:val="none"/>
        </w:rPr>
        <w:fldChar w:fldCharType="end"/>
      </w:r>
    </w:p>
    <w:p w14:paraId="0DFDC835">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_Toc7932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三、担保、保险与风险</w:t>
      </w:r>
      <w:r>
        <w:rPr>
          <w:color w:val="auto"/>
          <w:highlight w:val="none"/>
        </w:rPr>
        <w:tab/>
      </w:r>
      <w:r>
        <w:rPr>
          <w:color w:val="auto"/>
          <w:highlight w:val="none"/>
        </w:rPr>
        <w:fldChar w:fldCharType="begin"/>
      </w:r>
      <w:r>
        <w:rPr>
          <w:color w:val="auto"/>
          <w:highlight w:val="none"/>
        </w:rPr>
        <w:instrText xml:space="preserve"> PAGEREF _Toc7932 \h </w:instrText>
      </w:r>
      <w:r>
        <w:rPr>
          <w:color w:val="auto"/>
          <w:highlight w:val="none"/>
        </w:rPr>
        <w:fldChar w:fldCharType="separate"/>
      </w:r>
      <w:r>
        <w:rPr>
          <w:color w:val="auto"/>
          <w:highlight w:val="none"/>
        </w:rPr>
        <w:t>28</w:t>
      </w:r>
      <w:r>
        <w:rPr>
          <w:color w:val="auto"/>
          <w:highlight w:val="none"/>
        </w:rPr>
        <w:fldChar w:fldCharType="end"/>
      </w:r>
      <w:r>
        <w:rPr>
          <w:rFonts w:ascii="宋体" w:hAnsi="宋体" w:cs="宋体"/>
          <w:bCs/>
          <w:color w:val="auto"/>
          <w:szCs w:val="22"/>
          <w:highlight w:val="none"/>
        </w:rPr>
        <w:fldChar w:fldCharType="end"/>
      </w:r>
    </w:p>
    <w:p w14:paraId="0B7EA86F">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_Toc3329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四、工  期</w:t>
      </w:r>
      <w:r>
        <w:rPr>
          <w:color w:val="auto"/>
          <w:highlight w:val="none"/>
        </w:rPr>
        <w:tab/>
      </w:r>
      <w:r>
        <w:rPr>
          <w:color w:val="auto"/>
          <w:highlight w:val="none"/>
        </w:rPr>
        <w:fldChar w:fldCharType="begin"/>
      </w:r>
      <w:r>
        <w:rPr>
          <w:color w:val="auto"/>
          <w:highlight w:val="none"/>
        </w:rPr>
        <w:instrText xml:space="preserve"> PAGEREF _Toc3329 \h </w:instrText>
      </w:r>
      <w:r>
        <w:rPr>
          <w:color w:val="auto"/>
          <w:highlight w:val="none"/>
        </w:rPr>
        <w:fldChar w:fldCharType="separate"/>
      </w:r>
      <w:r>
        <w:rPr>
          <w:color w:val="auto"/>
          <w:highlight w:val="none"/>
        </w:rPr>
        <w:t>32</w:t>
      </w:r>
      <w:r>
        <w:rPr>
          <w:color w:val="auto"/>
          <w:highlight w:val="none"/>
        </w:rPr>
        <w:fldChar w:fldCharType="end"/>
      </w:r>
      <w:r>
        <w:rPr>
          <w:rFonts w:ascii="宋体" w:hAnsi="宋体" w:cs="宋体"/>
          <w:bCs/>
          <w:color w:val="auto"/>
          <w:szCs w:val="22"/>
          <w:highlight w:val="none"/>
        </w:rPr>
        <w:fldChar w:fldCharType="end"/>
      </w:r>
    </w:p>
    <w:p w14:paraId="51EA9C9E">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_Toc20581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五、质量与安全</w:t>
      </w:r>
      <w:r>
        <w:rPr>
          <w:color w:val="auto"/>
          <w:highlight w:val="none"/>
        </w:rPr>
        <w:tab/>
      </w:r>
      <w:r>
        <w:rPr>
          <w:color w:val="auto"/>
          <w:highlight w:val="none"/>
        </w:rPr>
        <w:fldChar w:fldCharType="begin"/>
      </w:r>
      <w:r>
        <w:rPr>
          <w:color w:val="auto"/>
          <w:highlight w:val="none"/>
        </w:rPr>
        <w:instrText xml:space="preserve"> PAGEREF _Toc20581 \h </w:instrText>
      </w:r>
      <w:r>
        <w:rPr>
          <w:color w:val="auto"/>
          <w:highlight w:val="none"/>
        </w:rPr>
        <w:fldChar w:fldCharType="separate"/>
      </w:r>
      <w:r>
        <w:rPr>
          <w:color w:val="auto"/>
          <w:highlight w:val="none"/>
        </w:rPr>
        <w:t>37</w:t>
      </w:r>
      <w:r>
        <w:rPr>
          <w:color w:val="auto"/>
          <w:highlight w:val="none"/>
        </w:rPr>
        <w:fldChar w:fldCharType="end"/>
      </w:r>
      <w:r>
        <w:rPr>
          <w:rFonts w:ascii="宋体" w:hAnsi="宋体" w:cs="宋体"/>
          <w:bCs/>
          <w:color w:val="auto"/>
          <w:szCs w:val="22"/>
          <w:highlight w:val="none"/>
        </w:rPr>
        <w:fldChar w:fldCharType="end"/>
      </w:r>
    </w:p>
    <w:p w14:paraId="13276CD0">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_Toc28433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六、造  价</w:t>
      </w:r>
      <w:r>
        <w:rPr>
          <w:color w:val="auto"/>
          <w:highlight w:val="none"/>
        </w:rPr>
        <w:tab/>
      </w:r>
      <w:r>
        <w:rPr>
          <w:color w:val="auto"/>
          <w:highlight w:val="none"/>
        </w:rPr>
        <w:fldChar w:fldCharType="begin"/>
      </w:r>
      <w:r>
        <w:rPr>
          <w:color w:val="auto"/>
          <w:highlight w:val="none"/>
        </w:rPr>
        <w:instrText xml:space="preserve"> PAGEREF _Toc28433 \h </w:instrText>
      </w:r>
      <w:r>
        <w:rPr>
          <w:color w:val="auto"/>
          <w:highlight w:val="none"/>
        </w:rPr>
        <w:fldChar w:fldCharType="separate"/>
      </w:r>
      <w:r>
        <w:rPr>
          <w:color w:val="auto"/>
          <w:highlight w:val="none"/>
        </w:rPr>
        <w:t>56</w:t>
      </w:r>
      <w:r>
        <w:rPr>
          <w:color w:val="auto"/>
          <w:highlight w:val="none"/>
        </w:rPr>
        <w:fldChar w:fldCharType="end"/>
      </w:r>
      <w:r>
        <w:rPr>
          <w:rFonts w:ascii="宋体" w:hAnsi="宋体" w:cs="宋体"/>
          <w:bCs/>
          <w:color w:val="auto"/>
          <w:szCs w:val="22"/>
          <w:highlight w:val="none"/>
        </w:rPr>
        <w:fldChar w:fldCharType="end"/>
      </w:r>
    </w:p>
    <w:p w14:paraId="03357EAB">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_Toc25845 </w:instrText>
      </w:r>
      <w:r>
        <w:rPr>
          <w:rFonts w:ascii="宋体" w:hAnsi="宋体" w:cs="宋体"/>
          <w:bCs/>
          <w:color w:val="auto"/>
          <w:szCs w:val="22"/>
          <w:highlight w:val="none"/>
        </w:rPr>
        <w:fldChar w:fldCharType="separate"/>
      </w:r>
      <w:r>
        <w:rPr>
          <w:rFonts w:hint="eastAsia" w:ascii="方正小标宋_GBK" w:hAnsi="方正小标宋_GBK" w:eastAsia="方正小标宋_GBK" w:cs="方正小标宋_GBK"/>
          <w:bCs/>
          <w:color w:val="auto"/>
          <w:szCs w:val="24"/>
          <w:highlight w:val="none"/>
        </w:rPr>
        <w:t>七、合同争议、解除与终止</w:t>
      </w:r>
      <w:r>
        <w:rPr>
          <w:color w:val="auto"/>
          <w:highlight w:val="none"/>
        </w:rPr>
        <w:tab/>
      </w:r>
      <w:r>
        <w:rPr>
          <w:color w:val="auto"/>
          <w:highlight w:val="none"/>
        </w:rPr>
        <w:fldChar w:fldCharType="begin"/>
      </w:r>
      <w:r>
        <w:rPr>
          <w:color w:val="auto"/>
          <w:highlight w:val="none"/>
        </w:rPr>
        <w:instrText xml:space="preserve"> PAGEREF _Toc25845 \h </w:instrText>
      </w:r>
      <w:r>
        <w:rPr>
          <w:color w:val="auto"/>
          <w:highlight w:val="none"/>
        </w:rPr>
        <w:fldChar w:fldCharType="separate"/>
      </w:r>
      <w:r>
        <w:rPr>
          <w:color w:val="auto"/>
          <w:highlight w:val="none"/>
        </w:rPr>
        <w:t>75</w:t>
      </w:r>
      <w:r>
        <w:rPr>
          <w:color w:val="auto"/>
          <w:highlight w:val="none"/>
        </w:rPr>
        <w:fldChar w:fldCharType="end"/>
      </w:r>
      <w:r>
        <w:rPr>
          <w:rFonts w:ascii="宋体" w:hAnsi="宋体" w:cs="宋体"/>
          <w:bCs/>
          <w:color w:val="auto"/>
          <w:szCs w:val="22"/>
          <w:highlight w:val="none"/>
        </w:rPr>
        <w:fldChar w:fldCharType="end"/>
      </w:r>
    </w:p>
    <w:p w14:paraId="77A95F54">
      <w:pPr>
        <w:pStyle w:val="30"/>
        <w:tabs>
          <w:tab w:val="right" w:leader="dot" w:pos="10204"/>
        </w:tabs>
        <w:rPr>
          <w:color w:val="auto"/>
          <w:highlight w:val="none"/>
        </w:rPr>
      </w:pPr>
      <w:r>
        <w:rPr>
          <w:rFonts w:ascii="宋体" w:hAnsi="宋体" w:cs="宋体"/>
          <w:bCs w:val="0"/>
          <w:color w:val="auto"/>
          <w:szCs w:val="22"/>
          <w:highlight w:val="none"/>
        </w:rPr>
        <w:fldChar w:fldCharType="begin"/>
      </w:r>
      <w:r>
        <w:rPr>
          <w:rFonts w:ascii="宋体" w:hAnsi="宋体" w:cs="宋体"/>
          <w:bCs w:val="0"/>
          <w:color w:val="auto"/>
          <w:szCs w:val="22"/>
          <w:highlight w:val="none"/>
        </w:rPr>
        <w:instrText xml:space="preserve"> HYPERLINK \l _Toc10308 </w:instrText>
      </w:r>
      <w:r>
        <w:rPr>
          <w:rFonts w:ascii="宋体" w:hAnsi="宋体" w:cs="宋体"/>
          <w:bCs w:val="0"/>
          <w:color w:val="auto"/>
          <w:szCs w:val="22"/>
          <w:highlight w:val="none"/>
        </w:rPr>
        <w:fldChar w:fldCharType="separate"/>
      </w:r>
      <w:r>
        <w:rPr>
          <w:rFonts w:hint="eastAsia" w:ascii="方正黑体_GBK" w:hAnsi="方正黑体_GBK" w:eastAsia="方正黑体_GBK" w:cs="方正黑体_GBK"/>
          <w:bCs/>
          <w:color w:val="auto"/>
          <w:highlight w:val="none"/>
        </w:rPr>
        <w:t>第三部分    专用条款</w:t>
      </w:r>
      <w:r>
        <w:rPr>
          <w:color w:val="auto"/>
          <w:highlight w:val="none"/>
        </w:rPr>
        <w:tab/>
      </w:r>
      <w:r>
        <w:rPr>
          <w:color w:val="auto"/>
          <w:highlight w:val="none"/>
        </w:rPr>
        <w:fldChar w:fldCharType="begin"/>
      </w:r>
      <w:r>
        <w:rPr>
          <w:color w:val="auto"/>
          <w:highlight w:val="none"/>
        </w:rPr>
        <w:instrText xml:space="preserve"> PAGEREF _Toc10308 \h </w:instrText>
      </w:r>
      <w:r>
        <w:rPr>
          <w:color w:val="auto"/>
          <w:highlight w:val="none"/>
        </w:rPr>
        <w:fldChar w:fldCharType="separate"/>
      </w:r>
      <w:r>
        <w:rPr>
          <w:color w:val="auto"/>
          <w:highlight w:val="none"/>
        </w:rPr>
        <w:t>83</w:t>
      </w:r>
      <w:r>
        <w:rPr>
          <w:color w:val="auto"/>
          <w:highlight w:val="none"/>
        </w:rPr>
        <w:fldChar w:fldCharType="end"/>
      </w:r>
      <w:r>
        <w:rPr>
          <w:rFonts w:ascii="宋体" w:hAnsi="宋体" w:cs="宋体"/>
          <w:bCs w:val="0"/>
          <w:color w:val="auto"/>
          <w:szCs w:val="22"/>
          <w:highlight w:val="none"/>
        </w:rPr>
        <w:fldChar w:fldCharType="end"/>
      </w:r>
    </w:p>
    <w:p w14:paraId="6C8A5282">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_Toc24406 </w:instrText>
      </w:r>
      <w:r>
        <w:rPr>
          <w:rFonts w:ascii="宋体" w:hAnsi="宋体" w:cs="宋体"/>
          <w:bCs/>
          <w:color w:val="auto"/>
          <w:szCs w:val="22"/>
          <w:highlight w:val="none"/>
        </w:rPr>
        <w:fldChar w:fldCharType="separate"/>
      </w:r>
      <w:r>
        <w:rPr>
          <w:rFonts w:hint="eastAsia" w:hAnsi="宋体"/>
          <w:bCs/>
          <w:color w:val="auto"/>
          <w:szCs w:val="22"/>
          <w:highlight w:val="none"/>
        </w:rPr>
        <w:t>1．定义</w:t>
      </w:r>
      <w:r>
        <w:rPr>
          <w:color w:val="auto"/>
          <w:highlight w:val="none"/>
        </w:rPr>
        <w:tab/>
      </w:r>
      <w:r>
        <w:rPr>
          <w:color w:val="auto"/>
          <w:highlight w:val="none"/>
        </w:rPr>
        <w:fldChar w:fldCharType="begin"/>
      </w:r>
      <w:r>
        <w:rPr>
          <w:color w:val="auto"/>
          <w:highlight w:val="none"/>
        </w:rPr>
        <w:instrText xml:space="preserve"> PAGEREF _Toc24406 \h </w:instrText>
      </w:r>
      <w:r>
        <w:rPr>
          <w:color w:val="auto"/>
          <w:highlight w:val="none"/>
        </w:rPr>
        <w:fldChar w:fldCharType="separate"/>
      </w:r>
      <w:r>
        <w:rPr>
          <w:color w:val="auto"/>
          <w:highlight w:val="none"/>
        </w:rPr>
        <w:t>83</w:t>
      </w:r>
      <w:r>
        <w:rPr>
          <w:color w:val="auto"/>
          <w:highlight w:val="none"/>
        </w:rPr>
        <w:fldChar w:fldCharType="end"/>
      </w:r>
      <w:r>
        <w:rPr>
          <w:rFonts w:ascii="宋体" w:hAnsi="宋体" w:cs="宋体"/>
          <w:bCs/>
          <w:color w:val="auto"/>
          <w:szCs w:val="22"/>
          <w:highlight w:val="none"/>
        </w:rPr>
        <w:fldChar w:fldCharType="end"/>
      </w:r>
    </w:p>
    <w:p w14:paraId="3A911CC1">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_Toc10068 </w:instrText>
      </w:r>
      <w:r>
        <w:rPr>
          <w:rFonts w:ascii="宋体" w:hAnsi="宋体" w:cs="宋体"/>
          <w:bCs/>
          <w:color w:val="auto"/>
          <w:szCs w:val="22"/>
          <w:highlight w:val="none"/>
        </w:rPr>
        <w:fldChar w:fldCharType="separate"/>
      </w:r>
      <w:r>
        <w:rPr>
          <w:rFonts w:hint="eastAsia" w:hAnsi="宋体"/>
          <w:bCs/>
          <w:color w:val="auto"/>
          <w:szCs w:val="22"/>
          <w:highlight w:val="none"/>
        </w:rPr>
        <w:t>2．合同文件及解释</w:t>
      </w:r>
      <w:r>
        <w:rPr>
          <w:color w:val="auto"/>
          <w:highlight w:val="none"/>
        </w:rPr>
        <w:tab/>
      </w:r>
      <w:r>
        <w:rPr>
          <w:color w:val="auto"/>
          <w:highlight w:val="none"/>
        </w:rPr>
        <w:fldChar w:fldCharType="begin"/>
      </w:r>
      <w:r>
        <w:rPr>
          <w:color w:val="auto"/>
          <w:highlight w:val="none"/>
        </w:rPr>
        <w:instrText xml:space="preserve"> PAGEREF _Toc10068 \h </w:instrText>
      </w:r>
      <w:r>
        <w:rPr>
          <w:color w:val="auto"/>
          <w:highlight w:val="none"/>
        </w:rPr>
        <w:fldChar w:fldCharType="separate"/>
      </w:r>
      <w:r>
        <w:rPr>
          <w:color w:val="auto"/>
          <w:highlight w:val="none"/>
        </w:rPr>
        <w:t>83</w:t>
      </w:r>
      <w:r>
        <w:rPr>
          <w:color w:val="auto"/>
          <w:highlight w:val="none"/>
        </w:rPr>
        <w:fldChar w:fldCharType="end"/>
      </w:r>
      <w:r>
        <w:rPr>
          <w:rFonts w:ascii="宋体" w:hAnsi="宋体" w:cs="宋体"/>
          <w:bCs/>
          <w:color w:val="auto"/>
          <w:szCs w:val="22"/>
          <w:highlight w:val="none"/>
        </w:rPr>
        <w:fldChar w:fldCharType="end"/>
      </w:r>
    </w:p>
    <w:p w14:paraId="14908FE7">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_Toc30505 </w:instrText>
      </w:r>
      <w:r>
        <w:rPr>
          <w:rFonts w:ascii="宋体" w:hAnsi="宋体" w:cs="宋体"/>
          <w:bCs/>
          <w:color w:val="auto"/>
          <w:szCs w:val="22"/>
          <w:highlight w:val="none"/>
        </w:rPr>
        <w:fldChar w:fldCharType="separate"/>
      </w:r>
      <w:r>
        <w:rPr>
          <w:rFonts w:hint="eastAsia" w:hAnsi="宋体"/>
          <w:bCs/>
          <w:color w:val="auto"/>
          <w:szCs w:val="22"/>
          <w:highlight w:val="none"/>
        </w:rPr>
        <w:t>4．语言及适用的法律、标准与规范</w:t>
      </w:r>
      <w:r>
        <w:rPr>
          <w:color w:val="auto"/>
          <w:highlight w:val="none"/>
        </w:rPr>
        <w:tab/>
      </w:r>
      <w:r>
        <w:rPr>
          <w:color w:val="auto"/>
          <w:highlight w:val="none"/>
        </w:rPr>
        <w:fldChar w:fldCharType="begin"/>
      </w:r>
      <w:r>
        <w:rPr>
          <w:color w:val="auto"/>
          <w:highlight w:val="none"/>
        </w:rPr>
        <w:instrText xml:space="preserve"> PAGEREF _Toc30505 \h </w:instrText>
      </w:r>
      <w:r>
        <w:rPr>
          <w:color w:val="auto"/>
          <w:highlight w:val="none"/>
        </w:rPr>
        <w:fldChar w:fldCharType="separate"/>
      </w:r>
      <w:r>
        <w:rPr>
          <w:color w:val="auto"/>
          <w:highlight w:val="none"/>
        </w:rPr>
        <w:t>83</w:t>
      </w:r>
      <w:r>
        <w:rPr>
          <w:color w:val="auto"/>
          <w:highlight w:val="none"/>
        </w:rPr>
        <w:fldChar w:fldCharType="end"/>
      </w:r>
      <w:r>
        <w:rPr>
          <w:rFonts w:ascii="宋体" w:hAnsi="宋体" w:cs="宋体"/>
          <w:bCs/>
          <w:color w:val="auto"/>
          <w:szCs w:val="22"/>
          <w:highlight w:val="none"/>
        </w:rPr>
        <w:fldChar w:fldCharType="end"/>
      </w:r>
    </w:p>
    <w:p w14:paraId="720A1D60">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_Toc488 </w:instrText>
      </w:r>
      <w:r>
        <w:rPr>
          <w:rFonts w:ascii="宋体" w:hAnsi="宋体" w:cs="宋体"/>
          <w:bCs/>
          <w:color w:val="auto"/>
          <w:szCs w:val="22"/>
          <w:highlight w:val="none"/>
        </w:rPr>
        <w:fldChar w:fldCharType="separate"/>
      </w:r>
      <w:r>
        <w:rPr>
          <w:rFonts w:hint="eastAsia" w:hAnsi="宋体"/>
          <w:bCs/>
          <w:color w:val="auto"/>
          <w:szCs w:val="22"/>
          <w:highlight w:val="none"/>
        </w:rPr>
        <w:t>5. 施工设计图纸</w:t>
      </w:r>
      <w:r>
        <w:rPr>
          <w:color w:val="auto"/>
          <w:highlight w:val="none"/>
        </w:rPr>
        <w:tab/>
      </w:r>
      <w:r>
        <w:rPr>
          <w:color w:val="auto"/>
          <w:highlight w:val="none"/>
        </w:rPr>
        <w:fldChar w:fldCharType="begin"/>
      </w:r>
      <w:r>
        <w:rPr>
          <w:color w:val="auto"/>
          <w:highlight w:val="none"/>
        </w:rPr>
        <w:instrText xml:space="preserve"> PAGEREF _Toc488 \h </w:instrText>
      </w:r>
      <w:r>
        <w:rPr>
          <w:color w:val="auto"/>
          <w:highlight w:val="none"/>
        </w:rPr>
        <w:fldChar w:fldCharType="separate"/>
      </w:r>
      <w:r>
        <w:rPr>
          <w:color w:val="auto"/>
          <w:highlight w:val="none"/>
        </w:rPr>
        <w:t>83</w:t>
      </w:r>
      <w:r>
        <w:rPr>
          <w:color w:val="auto"/>
          <w:highlight w:val="none"/>
        </w:rPr>
        <w:fldChar w:fldCharType="end"/>
      </w:r>
      <w:r>
        <w:rPr>
          <w:rFonts w:ascii="宋体" w:hAnsi="宋体" w:cs="宋体"/>
          <w:bCs/>
          <w:color w:val="auto"/>
          <w:szCs w:val="22"/>
          <w:highlight w:val="none"/>
        </w:rPr>
        <w:fldChar w:fldCharType="end"/>
      </w:r>
    </w:p>
    <w:p w14:paraId="2014530C">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_Toc21634 </w:instrText>
      </w:r>
      <w:r>
        <w:rPr>
          <w:rFonts w:ascii="宋体" w:hAnsi="宋体" w:cs="宋体"/>
          <w:bCs/>
          <w:color w:val="auto"/>
          <w:szCs w:val="22"/>
          <w:highlight w:val="none"/>
        </w:rPr>
        <w:fldChar w:fldCharType="separate"/>
      </w:r>
      <w:r>
        <w:rPr>
          <w:rFonts w:hint="eastAsia" w:hAnsi="宋体"/>
          <w:bCs/>
          <w:color w:val="auto"/>
          <w:szCs w:val="22"/>
          <w:highlight w:val="none"/>
        </w:rPr>
        <w:t>6. 通信联络</w:t>
      </w:r>
      <w:r>
        <w:rPr>
          <w:color w:val="auto"/>
          <w:highlight w:val="none"/>
        </w:rPr>
        <w:tab/>
      </w:r>
      <w:r>
        <w:rPr>
          <w:color w:val="auto"/>
          <w:highlight w:val="none"/>
        </w:rPr>
        <w:fldChar w:fldCharType="begin"/>
      </w:r>
      <w:r>
        <w:rPr>
          <w:color w:val="auto"/>
          <w:highlight w:val="none"/>
        </w:rPr>
        <w:instrText xml:space="preserve"> PAGEREF _Toc21634 \h </w:instrText>
      </w:r>
      <w:r>
        <w:rPr>
          <w:color w:val="auto"/>
          <w:highlight w:val="none"/>
        </w:rPr>
        <w:fldChar w:fldCharType="separate"/>
      </w:r>
      <w:r>
        <w:rPr>
          <w:color w:val="auto"/>
          <w:highlight w:val="none"/>
        </w:rPr>
        <w:t>84</w:t>
      </w:r>
      <w:r>
        <w:rPr>
          <w:color w:val="auto"/>
          <w:highlight w:val="none"/>
        </w:rPr>
        <w:fldChar w:fldCharType="end"/>
      </w:r>
      <w:r>
        <w:rPr>
          <w:rFonts w:ascii="宋体" w:hAnsi="宋体" w:cs="宋体"/>
          <w:bCs/>
          <w:color w:val="auto"/>
          <w:szCs w:val="22"/>
          <w:highlight w:val="none"/>
        </w:rPr>
        <w:fldChar w:fldCharType="end"/>
      </w:r>
    </w:p>
    <w:p w14:paraId="488D60CC">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_Toc4970 </w:instrText>
      </w:r>
      <w:r>
        <w:rPr>
          <w:rFonts w:ascii="宋体" w:hAnsi="宋体" w:cs="宋体"/>
          <w:bCs/>
          <w:color w:val="auto"/>
          <w:szCs w:val="22"/>
          <w:highlight w:val="none"/>
        </w:rPr>
        <w:fldChar w:fldCharType="separate"/>
      </w:r>
      <w:r>
        <w:rPr>
          <w:rFonts w:hint="eastAsia" w:hAnsi="宋体"/>
          <w:bCs/>
          <w:color w:val="auto"/>
          <w:szCs w:val="22"/>
          <w:highlight w:val="none"/>
        </w:rPr>
        <w:t>7. 工程分包</w:t>
      </w:r>
      <w:r>
        <w:rPr>
          <w:color w:val="auto"/>
          <w:highlight w:val="none"/>
        </w:rPr>
        <w:tab/>
      </w:r>
      <w:r>
        <w:rPr>
          <w:color w:val="auto"/>
          <w:highlight w:val="none"/>
        </w:rPr>
        <w:fldChar w:fldCharType="begin"/>
      </w:r>
      <w:r>
        <w:rPr>
          <w:color w:val="auto"/>
          <w:highlight w:val="none"/>
        </w:rPr>
        <w:instrText xml:space="preserve"> PAGEREF _Toc4970 \h </w:instrText>
      </w:r>
      <w:r>
        <w:rPr>
          <w:color w:val="auto"/>
          <w:highlight w:val="none"/>
        </w:rPr>
        <w:fldChar w:fldCharType="separate"/>
      </w:r>
      <w:r>
        <w:rPr>
          <w:color w:val="auto"/>
          <w:highlight w:val="none"/>
        </w:rPr>
        <w:t>85</w:t>
      </w:r>
      <w:r>
        <w:rPr>
          <w:color w:val="auto"/>
          <w:highlight w:val="none"/>
        </w:rPr>
        <w:fldChar w:fldCharType="end"/>
      </w:r>
      <w:r>
        <w:rPr>
          <w:rFonts w:ascii="宋体" w:hAnsi="宋体" w:cs="宋体"/>
          <w:bCs/>
          <w:color w:val="auto"/>
          <w:szCs w:val="22"/>
          <w:highlight w:val="none"/>
        </w:rPr>
        <w:fldChar w:fldCharType="end"/>
      </w:r>
    </w:p>
    <w:p w14:paraId="65A0F8A1">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_Toc26381 </w:instrText>
      </w:r>
      <w:r>
        <w:rPr>
          <w:rFonts w:ascii="宋体" w:hAnsi="宋体" w:cs="宋体"/>
          <w:bCs/>
          <w:color w:val="auto"/>
          <w:szCs w:val="22"/>
          <w:highlight w:val="none"/>
        </w:rPr>
        <w:fldChar w:fldCharType="separate"/>
      </w:r>
      <w:r>
        <w:rPr>
          <w:rFonts w:hint="eastAsia" w:hAnsi="宋体"/>
          <w:bCs/>
          <w:color w:val="auto"/>
          <w:szCs w:val="22"/>
          <w:highlight w:val="none"/>
        </w:rPr>
        <w:t>13. 交通运输</w:t>
      </w:r>
      <w:r>
        <w:rPr>
          <w:color w:val="auto"/>
          <w:highlight w:val="none"/>
        </w:rPr>
        <w:tab/>
      </w:r>
      <w:r>
        <w:rPr>
          <w:color w:val="auto"/>
          <w:highlight w:val="none"/>
        </w:rPr>
        <w:fldChar w:fldCharType="begin"/>
      </w:r>
      <w:r>
        <w:rPr>
          <w:color w:val="auto"/>
          <w:highlight w:val="none"/>
        </w:rPr>
        <w:instrText xml:space="preserve"> PAGEREF _Toc26381 \h </w:instrText>
      </w:r>
      <w:r>
        <w:rPr>
          <w:color w:val="auto"/>
          <w:highlight w:val="none"/>
        </w:rPr>
        <w:fldChar w:fldCharType="separate"/>
      </w:r>
      <w:r>
        <w:rPr>
          <w:color w:val="auto"/>
          <w:highlight w:val="none"/>
        </w:rPr>
        <w:t>85</w:t>
      </w:r>
      <w:r>
        <w:rPr>
          <w:color w:val="auto"/>
          <w:highlight w:val="none"/>
        </w:rPr>
        <w:fldChar w:fldCharType="end"/>
      </w:r>
      <w:r>
        <w:rPr>
          <w:rFonts w:ascii="宋体" w:hAnsi="宋体" w:cs="宋体"/>
          <w:bCs/>
          <w:color w:val="auto"/>
          <w:szCs w:val="22"/>
          <w:highlight w:val="none"/>
        </w:rPr>
        <w:fldChar w:fldCharType="end"/>
      </w:r>
    </w:p>
    <w:p w14:paraId="143DA5B3">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_Toc4350 </w:instrText>
      </w:r>
      <w:r>
        <w:rPr>
          <w:rFonts w:ascii="宋体" w:hAnsi="宋体" w:cs="宋体"/>
          <w:bCs/>
          <w:color w:val="auto"/>
          <w:szCs w:val="22"/>
          <w:highlight w:val="none"/>
        </w:rPr>
        <w:fldChar w:fldCharType="separate"/>
      </w:r>
      <w:r>
        <w:rPr>
          <w:rFonts w:hint="eastAsia" w:hAnsi="宋体"/>
          <w:bCs/>
          <w:color w:val="auto"/>
          <w:szCs w:val="22"/>
          <w:highlight w:val="none"/>
        </w:rPr>
        <w:t>14. 专项批准事件的签认</w:t>
      </w:r>
      <w:r>
        <w:rPr>
          <w:color w:val="auto"/>
          <w:highlight w:val="none"/>
        </w:rPr>
        <w:tab/>
      </w:r>
      <w:r>
        <w:rPr>
          <w:color w:val="auto"/>
          <w:highlight w:val="none"/>
        </w:rPr>
        <w:fldChar w:fldCharType="begin"/>
      </w:r>
      <w:r>
        <w:rPr>
          <w:color w:val="auto"/>
          <w:highlight w:val="none"/>
        </w:rPr>
        <w:instrText xml:space="preserve"> PAGEREF _Toc4350 \h </w:instrText>
      </w:r>
      <w:r>
        <w:rPr>
          <w:color w:val="auto"/>
          <w:highlight w:val="none"/>
        </w:rPr>
        <w:fldChar w:fldCharType="separate"/>
      </w:r>
      <w:r>
        <w:rPr>
          <w:color w:val="auto"/>
          <w:highlight w:val="none"/>
        </w:rPr>
        <w:t>86</w:t>
      </w:r>
      <w:r>
        <w:rPr>
          <w:color w:val="auto"/>
          <w:highlight w:val="none"/>
        </w:rPr>
        <w:fldChar w:fldCharType="end"/>
      </w:r>
      <w:r>
        <w:rPr>
          <w:rFonts w:ascii="宋体" w:hAnsi="宋体" w:cs="宋体"/>
          <w:bCs/>
          <w:color w:val="auto"/>
          <w:szCs w:val="22"/>
          <w:highlight w:val="none"/>
        </w:rPr>
        <w:fldChar w:fldCharType="end"/>
      </w:r>
    </w:p>
    <w:p w14:paraId="585F0774">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_Toc25294 </w:instrText>
      </w:r>
      <w:r>
        <w:rPr>
          <w:rFonts w:ascii="宋体" w:hAnsi="宋体" w:cs="宋体"/>
          <w:bCs/>
          <w:color w:val="auto"/>
          <w:szCs w:val="22"/>
          <w:highlight w:val="none"/>
        </w:rPr>
        <w:fldChar w:fldCharType="separate"/>
      </w:r>
      <w:r>
        <w:rPr>
          <w:rFonts w:hint="eastAsia" w:hAnsi="宋体"/>
          <w:bCs/>
          <w:color w:val="auto"/>
          <w:szCs w:val="22"/>
          <w:highlight w:val="none"/>
        </w:rPr>
        <w:t>19. 发包人</w:t>
      </w:r>
      <w:r>
        <w:rPr>
          <w:color w:val="auto"/>
          <w:highlight w:val="none"/>
        </w:rPr>
        <w:tab/>
      </w:r>
      <w:r>
        <w:rPr>
          <w:color w:val="auto"/>
          <w:highlight w:val="none"/>
        </w:rPr>
        <w:fldChar w:fldCharType="begin"/>
      </w:r>
      <w:r>
        <w:rPr>
          <w:color w:val="auto"/>
          <w:highlight w:val="none"/>
        </w:rPr>
        <w:instrText xml:space="preserve"> PAGEREF _Toc25294 \h </w:instrText>
      </w:r>
      <w:r>
        <w:rPr>
          <w:color w:val="auto"/>
          <w:highlight w:val="none"/>
        </w:rPr>
        <w:fldChar w:fldCharType="separate"/>
      </w:r>
      <w:r>
        <w:rPr>
          <w:color w:val="auto"/>
          <w:highlight w:val="none"/>
        </w:rPr>
        <w:t>86</w:t>
      </w:r>
      <w:r>
        <w:rPr>
          <w:color w:val="auto"/>
          <w:highlight w:val="none"/>
        </w:rPr>
        <w:fldChar w:fldCharType="end"/>
      </w:r>
      <w:r>
        <w:rPr>
          <w:rFonts w:ascii="宋体" w:hAnsi="宋体" w:cs="宋体"/>
          <w:bCs/>
          <w:color w:val="auto"/>
          <w:szCs w:val="22"/>
          <w:highlight w:val="none"/>
        </w:rPr>
        <w:fldChar w:fldCharType="end"/>
      </w:r>
    </w:p>
    <w:p w14:paraId="12FB9693">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_Toc999 </w:instrText>
      </w:r>
      <w:r>
        <w:rPr>
          <w:rFonts w:ascii="宋体" w:hAnsi="宋体" w:cs="宋体"/>
          <w:bCs/>
          <w:color w:val="auto"/>
          <w:szCs w:val="22"/>
          <w:highlight w:val="none"/>
        </w:rPr>
        <w:fldChar w:fldCharType="separate"/>
      </w:r>
      <w:r>
        <w:rPr>
          <w:rFonts w:hint="eastAsia" w:hAnsi="宋体"/>
          <w:bCs/>
          <w:color w:val="auto"/>
          <w:szCs w:val="22"/>
          <w:highlight w:val="none"/>
        </w:rPr>
        <w:t>20. 承包人</w:t>
      </w:r>
      <w:r>
        <w:rPr>
          <w:color w:val="auto"/>
          <w:highlight w:val="none"/>
        </w:rPr>
        <w:tab/>
      </w:r>
      <w:r>
        <w:rPr>
          <w:color w:val="auto"/>
          <w:highlight w:val="none"/>
        </w:rPr>
        <w:fldChar w:fldCharType="begin"/>
      </w:r>
      <w:r>
        <w:rPr>
          <w:color w:val="auto"/>
          <w:highlight w:val="none"/>
        </w:rPr>
        <w:instrText xml:space="preserve"> PAGEREF _Toc999 \h </w:instrText>
      </w:r>
      <w:r>
        <w:rPr>
          <w:color w:val="auto"/>
          <w:highlight w:val="none"/>
        </w:rPr>
        <w:fldChar w:fldCharType="separate"/>
      </w:r>
      <w:r>
        <w:rPr>
          <w:color w:val="auto"/>
          <w:highlight w:val="none"/>
        </w:rPr>
        <w:t>88</w:t>
      </w:r>
      <w:r>
        <w:rPr>
          <w:color w:val="auto"/>
          <w:highlight w:val="none"/>
        </w:rPr>
        <w:fldChar w:fldCharType="end"/>
      </w:r>
      <w:r>
        <w:rPr>
          <w:rFonts w:ascii="宋体" w:hAnsi="宋体" w:cs="宋体"/>
          <w:bCs/>
          <w:color w:val="auto"/>
          <w:szCs w:val="22"/>
          <w:highlight w:val="none"/>
        </w:rPr>
        <w:fldChar w:fldCharType="end"/>
      </w:r>
    </w:p>
    <w:p w14:paraId="4EAEA651">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_Toc24310 </w:instrText>
      </w:r>
      <w:r>
        <w:rPr>
          <w:rFonts w:ascii="宋体" w:hAnsi="宋体" w:cs="宋体"/>
          <w:bCs/>
          <w:color w:val="auto"/>
          <w:szCs w:val="22"/>
          <w:highlight w:val="none"/>
        </w:rPr>
        <w:fldChar w:fldCharType="separate"/>
      </w:r>
      <w:r>
        <w:rPr>
          <w:rFonts w:hint="eastAsia" w:hAnsi="宋体"/>
          <w:bCs/>
          <w:color w:val="auto"/>
          <w:szCs w:val="22"/>
          <w:highlight w:val="none"/>
        </w:rPr>
        <w:t>21. 现场管理人员任命和更换</w:t>
      </w:r>
      <w:r>
        <w:rPr>
          <w:color w:val="auto"/>
          <w:highlight w:val="none"/>
        </w:rPr>
        <w:tab/>
      </w:r>
      <w:r>
        <w:rPr>
          <w:color w:val="auto"/>
          <w:highlight w:val="none"/>
        </w:rPr>
        <w:fldChar w:fldCharType="begin"/>
      </w:r>
      <w:r>
        <w:rPr>
          <w:color w:val="auto"/>
          <w:highlight w:val="none"/>
        </w:rPr>
        <w:instrText xml:space="preserve"> PAGEREF _Toc24310 \h </w:instrText>
      </w:r>
      <w:r>
        <w:rPr>
          <w:color w:val="auto"/>
          <w:highlight w:val="none"/>
        </w:rPr>
        <w:fldChar w:fldCharType="separate"/>
      </w:r>
      <w:r>
        <w:rPr>
          <w:color w:val="auto"/>
          <w:highlight w:val="none"/>
        </w:rPr>
        <w:t>92</w:t>
      </w:r>
      <w:r>
        <w:rPr>
          <w:color w:val="auto"/>
          <w:highlight w:val="none"/>
        </w:rPr>
        <w:fldChar w:fldCharType="end"/>
      </w:r>
      <w:r>
        <w:rPr>
          <w:rFonts w:ascii="宋体" w:hAnsi="宋体" w:cs="宋体"/>
          <w:bCs/>
          <w:color w:val="auto"/>
          <w:szCs w:val="22"/>
          <w:highlight w:val="none"/>
        </w:rPr>
        <w:fldChar w:fldCharType="end"/>
      </w:r>
    </w:p>
    <w:p w14:paraId="24176116">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_Toc20323 </w:instrText>
      </w:r>
      <w:r>
        <w:rPr>
          <w:rFonts w:ascii="宋体" w:hAnsi="宋体" w:cs="宋体"/>
          <w:bCs/>
          <w:color w:val="auto"/>
          <w:szCs w:val="22"/>
          <w:highlight w:val="none"/>
        </w:rPr>
        <w:fldChar w:fldCharType="separate"/>
      </w:r>
      <w:r>
        <w:rPr>
          <w:rFonts w:hint="eastAsia" w:hAnsi="宋体"/>
          <w:bCs/>
          <w:color w:val="auto"/>
          <w:szCs w:val="22"/>
          <w:highlight w:val="none"/>
        </w:rPr>
        <w:t>22. 发包人代表</w:t>
      </w:r>
      <w:r>
        <w:rPr>
          <w:color w:val="auto"/>
          <w:highlight w:val="none"/>
        </w:rPr>
        <w:tab/>
      </w:r>
      <w:r>
        <w:rPr>
          <w:color w:val="auto"/>
          <w:highlight w:val="none"/>
        </w:rPr>
        <w:fldChar w:fldCharType="begin"/>
      </w:r>
      <w:r>
        <w:rPr>
          <w:color w:val="auto"/>
          <w:highlight w:val="none"/>
        </w:rPr>
        <w:instrText xml:space="preserve"> PAGEREF _Toc20323 \h </w:instrText>
      </w:r>
      <w:r>
        <w:rPr>
          <w:color w:val="auto"/>
          <w:highlight w:val="none"/>
        </w:rPr>
        <w:fldChar w:fldCharType="separate"/>
      </w:r>
      <w:r>
        <w:rPr>
          <w:color w:val="auto"/>
          <w:highlight w:val="none"/>
        </w:rPr>
        <w:t>93</w:t>
      </w:r>
      <w:r>
        <w:rPr>
          <w:color w:val="auto"/>
          <w:highlight w:val="none"/>
        </w:rPr>
        <w:fldChar w:fldCharType="end"/>
      </w:r>
      <w:r>
        <w:rPr>
          <w:rFonts w:ascii="宋体" w:hAnsi="宋体" w:cs="宋体"/>
          <w:bCs/>
          <w:color w:val="auto"/>
          <w:szCs w:val="22"/>
          <w:highlight w:val="none"/>
        </w:rPr>
        <w:fldChar w:fldCharType="end"/>
      </w:r>
    </w:p>
    <w:p w14:paraId="4446CA04">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_Toc242 </w:instrText>
      </w:r>
      <w:r>
        <w:rPr>
          <w:rFonts w:ascii="宋体" w:hAnsi="宋体" w:cs="宋体"/>
          <w:bCs/>
          <w:color w:val="auto"/>
          <w:szCs w:val="22"/>
          <w:highlight w:val="none"/>
        </w:rPr>
        <w:fldChar w:fldCharType="separate"/>
      </w:r>
      <w:r>
        <w:rPr>
          <w:rFonts w:hint="eastAsia" w:hAnsi="宋体"/>
          <w:bCs/>
          <w:color w:val="auto"/>
          <w:szCs w:val="22"/>
          <w:highlight w:val="none"/>
        </w:rPr>
        <w:t>23. 监理工程师</w:t>
      </w:r>
      <w:r>
        <w:rPr>
          <w:color w:val="auto"/>
          <w:highlight w:val="none"/>
        </w:rPr>
        <w:tab/>
      </w:r>
      <w:r>
        <w:rPr>
          <w:color w:val="auto"/>
          <w:highlight w:val="none"/>
        </w:rPr>
        <w:fldChar w:fldCharType="begin"/>
      </w:r>
      <w:r>
        <w:rPr>
          <w:color w:val="auto"/>
          <w:highlight w:val="none"/>
        </w:rPr>
        <w:instrText xml:space="preserve"> PAGEREF _Toc242 \h </w:instrText>
      </w:r>
      <w:r>
        <w:rPr>
          <w:color w:val="auto"/>
          <w:highlight w:val="none"/>
        </w:rPr>
        <w:fldChar w:fldCharType="separate"/>
      </w:r>
      <w:r>
        <w:rPr>
          <w:color w:val="auto"/>
          <w:highlight w:val="none"/>
        </w:rPr>
        <w:t>93</w:t>
      </w:r>
      <w:r>
        <w:rPr>
          <w:color w:val="auto"/>
          <w:highlight w:val="none"/>
        </w:rPr>
        <w:fldChar w:fldCharType="end"/>
      </w:r>
      <w:r>
        <w:rPr>
          <w:rFonts w:ascii="宋体" w:hAnsi="宋体" w:cs="宋体"/>
          <w:bCs/>
          <w:color w:val="auto"/>
          <w:szCs w:val="22"/>
          <w:highlight w:val="none"/>
        </w:rPr>
        <w:fldChar w:fldCharType="end"/>
      </w:r>
    </w:p>
    <w:p w14:paraId="1E85C745">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_Toc31347 </w:instrText>
      </w:r>
      <w:r>
        <w:rPr>
          <w:rFonts w:ascii="宋体" w:hAnsi="宋体" w:cs="宋体"/>
          <w:bCs/>
          <w:color w:val="auto"/>
          <w:szCs w:val="22"/>
          <w:highlight w:val="none"/>
        </w:rPr>
        <w:fldChar w:fldCharType="separate"/>
      </w:r>
      <w:r>
        <w:rPr>
          <w:rFonts w:hint="eastAsia" w:hAnsi="宋体"/>
          <w:bCs/>
          <w:color w:val="auto"/>
          <w:szCs w:val="22"/>
          <w:highlight w:val="none"/>
        </w:rPr>
        <w:t>24. 造价工程师</w:t>
      </w:r>
      <w:r>
        <w:rPr>
          <w:color w:val="auto"/>
          <w:highlight w:val="none"/>
        </w:rPr>
        <w:tab/>
      </w:r>
      <w:r>
        <w:rPr>
          <w:color w:val="auto"/>
          <w:highlight w:val="none"/>
        </w:rPr>
        <w:fldChar w:fldCharType="begin"/>
      </w:r>
      <w:r>
        <w:rPr>
          <w:color w:val="auto"/>
          <w:highlight w:val="none"/>
        </w:rPr>
        <w:instrText xml:space="preserve"> PAGEREF _Toc31347 \h </w:instrText>
      </w:r>
      <w:r>
        <w:rPr>
          <w:color w:val="auto"/>
          <w:highlight w:val="none"/>
        </w:rPr>
        <w:fldChar w:fldCharType="separate"/>
      </w:r>
      <w:r>
        <w:rPr>
          <w:color w:val="auto"/>
          <w:highlight w:val="none"/>
        </w:rPr>
        <w:t>94</w:t>
      </w:r>
      <w:r>
        <w:rPr>
          <w:color w:val="auto"/>
          <w:highlight w:val="none"/>
        </w:rPr>
        <w:fldChar w:fldCharType="end"/>
      </w:r>
      <w:r>
        <w:rPr>
          <w:rFonts w:ascii="宋体" w:hAnsi="宋体" w:cs="宋体"/>
          <w:bCs/>
          <w:color w:val="auto"/>
          <w:szCs w:val="22"/>
          <w:highlight w:val="none"/>
        </w:rPr>
        <w:fldChar w:fldCharType="end"/>
      </w:r>
    </w:p>
    <w:p w14:paraId="314D6725">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_Toc24404 </w:instrText>
      </w:r>
      <w:r>
        <w:rPr>
          <w:rFonts w:ascii="宋体" w:hAnsi="宋体" w:cs="宋体"/>
          <w:bCs/>
          <w:color w:val="auto"/>
          <w:szCs w:val="22"/>
          <w:highlight w:val="none"/>
        </w:rPr>
        <w:fldChar w:fldCharType="separate"/>
      </w:r>
      <w:r>
        <w:rPr>
          <w:rFonts w:hint="eastAsia" w:hAnsi="宋体"/>
          <w:bCs/>
          <w:color w:val="auto"/>
          <w:szCs w:val="22"/>
          <w:highlight w:val="none"/>
        </w:rPr>
        <w:t>25. 承包人代表</w:t>
      </w:r>
      <w:r>
        <w:rPr>
          <w:color w:val="auto"/>
          <w:highlight w:val="none"/>
        </w:rPr>
        <w:tab/>
      </w:r>
      <w:r>
        <w:rPr>
          <w:color w:val="auto"/>
          <w:highlight w:val="none"/>
        </w:rPr>
        <w:fldChar w:fldCharType="begin"/>
      </w:r>
      <w:r>
        <w:rPr>
          <w:color w:val="auto"/>
          <w:highlight w:val="none"/>
        </w:rPr>
        <w:instrText xml:space="preserve"> PAGEREF _Toc24404 \h </w:instrText>
      </w:r>
      <w:r>
        <w:rPr>
          <w:color w:val="auto"/>
          <w:highlight w:val="none"/>
        </w:rPr>
        <w:fldChar w:fldCharType="separate"/>
      </w:r>
      <w:r>
        <w:rPr>
          <w:color w:val="auto"/>
          <w:highlight w:val="none"/>
        </w:rPr>
        <w:t>94</w:t>
      </w:r>
      <w:r>
        <w:rPr>
          <w:color w:val="auto"/>
          <w:highlight w:val="none"/>
        </w:rPr>
        <w:fldChar w:fldCharType="end"/>
      </w:r>
      <w:r>
        <w:rPr>
          <w:rFonts w:ascii="宋体" w:hAnsi="宋体" w:cs="宋体"/>
          <w:bCs/>
          <w:color w:val="auto"/>
          <w:szCs w:val="22"/>
          <w:highlight w:val="none"/>
        </w:rPr>
        <w:fldChar w:fldCharType="end"/>
      </w:r>
    </w:p>
    <w:p w14:paraId="609D25DA">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_Toc2227 </w:instrText>
      </w:r>
      <w:r>
        <w:rPr>
          <w:rFonts w:ascii="宋体" w:hAnsi="宋体" w:cs="宋体"/>
          <w:bCs/>
          <w:color w:val="auto"/>
          <w:szCs w:val="22"/>
          <w:highlight w:val="none"/>
        </w:rPr>
        <w:fldChar w:fldCharType="separate"/>
      </w:r>
      <w:r>
        <w:rPr>
          <w:rFonts w:hint="eastAsia" w:hAnsi="宋体"/>
          <w:bCs/>
          <w:color w:val="auto"/>
          <w:szCs w:val="22"/>
          <w:highlight w:val="none"/>
        </w:rPr>
        <w:t>26. 指定分包人</w:t>
      </w:r>
      <w:r>
        <w:rPr>
          <w:color w:val="auto"/>
          <w:highlight w:val="none"/>
        </w:rPr>
        <w:tab/>
      </w:r>
      <w:r>
        <w:rPr>
          <w:color w:val="auto"/>
          <w:highlight w:val="none"/>
        </w:rPr>
        <w:fldChar w:fldCharType="begin"/>
      </w:r>
      <w:r>
        <w:rPr>
          <w:color w:val="auto"/>
          <w:highlight w:val="none"/>
        </w:rPr>
        <w:instrText xml:space="preserve"> PAGEREF _Toc2227 \h </w:instrText>
      </w:r>
      <w:r>
        <w:rPr>
          <w:color w:val="auto"/>
          <w:highlight w:val="none"/>
        </w:rPr>
        <w:fldChar w:fldCharType="separate"/>
      </w:r>
      <w:r>
        <w:rPr>
          <w:color w:val="auto"/>
          <w:highlight w:val="none"/>
        </w:rPr>
        <w:t>95</w:t>
      </w:r>
      <w:r>
        <w:rPr>
          <w:color w:val="auto"/>
          <w:highlight w:val="none"/>
        </w:rPr>
        <w:fldChar w:fldCharType="end"/>
      </w:r>
      <w:r>
        <w:rPr>
          <w:rFonts w:ascii="宋体" w:hAnsi="宋体" w:cs="宋体"/>
          <w:bCs/>
          <w:color w:val="auto"/>
          <w:szCs w:val="22"/>
          <w:highlight w:val="none"/>
        </w:rPr>
        <w:fldChar w:fldCharType="end"/>
      </w:r>
    </w:p>
    <w:p w14:paraId="1209A735">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_Toc24582 </w:instrText>
      </w:r>
      <w:r>
        <w:rPr>
          <w:rFonts w:ascii="宋体" w:hAnsi="宋体" w:cs="宋体"/>
          <w:bCs/>
          <w:color w:val="auto"/>
          <w:szCs w:val="22"/>
          <w:highlight w:val="none"/>
        </w:rPr>
        <w:fldChar w:fldCharType="separate"/>
      </w:r>
      <w:r>
        <w:rPr>
          <w:rFonts w:hint="eastAsia" w:hAnsi="宋体"/>
          <w:bCs/>
          <w:color w:val="auto"/>
          <w:szCs w:val="22"/>
          <w:highlight w:val="none"/>
        </w:rPr>
        <w:t>2</w:t>
      </w:r>
      <w:r>
        <w:rPr>
          <w:rFonts w:hAnsi="宋体"/>
          <w:bCs/>
          <w:color w:val="auto"/>
          <w:szCs w:val="22"/>
          <w:highlight w:val="none"/>
        </w:rPr>
        <w:t>7.</w:t>
      </w:r>
      <w:r>
        <w:rPr>
          <w:rFonts w:hint="eastAsia" w:hAnsi="宋体"/>
          <w:bCs/>
          <w:color w:val="auto"/>
          <w:szCs w:val="22"/>
          <w:highlight w:val="none"/>
        </w:rPr>
        <w:t>承包人劳务</w:t>
      </w:r>
      <w:r>
        <w:rPr>
          <w:color w:val="auto"/>
          <w:highlight w:val="none"/>
        </w:rPr>
        <w:tab/>
      </w:r>
      <w:r>
        <w:rPr>
          <w:color w:val="auto"/>
          <w:highlight w:val="none"/>
        </w:rPr>
        <w:fldChar w:fldCharType="begin"/>
      </w:r>
      <w:r>
        <w:rPr>
          <w:color w:val="auto"/>
          <w:highlight w:val="none"/>
        </w:rPr>
        <w:instrText xml:space="preserve"> PAGEREF _Toc24582 \h </w:instrText>
      </w:r>
      <w:r>
        <w:rPr>
          <w:color w:val="auto"/>
          <w:highlight w:val="none"/>
        </w:rPr>
        <w:fldChar w:fldCharType="separate"/>
      </w:r>
      <w:r>
        <w:rPr>
          <w:color w:val="auto"/>
          <w:highlight w:val="none"/>
        </w:rPr>
        <w:t>95</w:t>
      </w:r>
      <w:r>
        <w:rPr>
          <w:color w:val="auto"/>
          <w:highlight w:val="none"/>
        </w:rPr>
        <w:fldChar w:fldCharType="end"/>
      </w:r>
      <w:r>
        <w:rPr>
          <w:rFonts w:ascii="宋体" w:hAnsi="宋体" w:cs="宋体"/>
          <w:bCs/>
          <w:color w:val="auto"/>
          <w:szCs w:val="22"/>
          <w:highlight w:val="none"/>
        </w:rPr>
        <w:fldChar w:fldCharType="end"/>
      </w:r>
    </w:p>
    <w:p w14:paraId="0D466496">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_Toc3438 </w:instrText>
      </w:r>
      <w:r>
        <w:rPr>
          <w:rFonts w:ascii="宋体" w:hAnsi="宋体" w:cs="宋体"/>
          <w:bCs/>
          <w:color w:val="auto"/>
          <w:szCs w:val="22"/>
          <w:highlight w:val="none"/>
        </w:rPr>
        <w:fldChar w:fldCharType="separate"/>
      </w:r>
      <w:r>
        <w:rPr>
          <w:rFonts w:hint="eastAsia" w:hAnsi="宋体"/>
          <w:bCs/>
          <w:color w:val="auto"/>
          <w:szCs w:val="22"/>
          <w:highlight w:val="none"/>
        </w:rPr>
        <w:t>28. 工程担保</w:t>
      </w:r>
      <w:r>
        <w:rPr>
          <w:color w:val="auto"/>
          <w:highlight w:val="none"/>
        </w:rPr>
        <w:tab/>
      </w:r>
      <w:r>
        <w:rPr>
          <w:color w:val="auto"/>
          <w:highlight w:val="none"/>
        </w:rPr>
        <w:fldChar w:fldCharType="begin"/>
      </w:r>
      <w:r>
        <w:rPr>
          <w:color w:val="auto"/>
          <w:highlight w:val="none"/>
        </w:rPr>
        <w:instrText xml:space="preserve"> PAGEREF _Toc3438 \h </w:instrText>
      </w:r>
      <w:r>
        <w:rPr>
          <w:color w:val="auto"/>
          <w:highlight w:val="none"/>
        </w:rPr>
        <w:fldChar w:fldCharType="separate"/>
      </w:r>
      <w:r>
        <w:rPr>
          <w:color w:val="auto"/>
          <w:highlight w:val="none"/>
        </w:rPr>
        <w:t>95</w:t>
      </w:r>
      <w:r>
        <w:rPr>
          <w:color w:val="auto"/>
          <w:highlight w:val="none"/>
        </w:rPr>
        <w:fldChar w:fldCharType="end"/>
      </w:r>
      <w:r>
        <w:rPr>
          <w:rFonts w:ascii="宋体" w:hAnsi="宋体" w:cs="宋体"/>
          <w:bCs/>
          <w:color w:val="auto"/>
          <w:szCs w:val="22"/>
          <w:highlight w:val="none"/>
        </w:rPr>
        <w:fldChar w:fldCharType="end"/>
      </w:r>
    </w:p>
    <w:p w14:paraId="01AFE9D4">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_Toc8707 </w:instrText>
      </w:r>
      <w:r>
        <w:rPr>
          <w:rFonts w:ascii="宋体" w:hAnsi="宋体" w:cs="宋体"/>
          <w:bCs/>
          <w:color w:val="auto"/>
          <w:szCs w:val="22"/>
          <w:highlight w:val="none"/>
        </w:rPr>
        <w:fldChar w:fldCharType="separate"/>
      </w:r>
      <w:r>
        <w:rPr>
          <w:rFonts w:hint="eastAsia" w:hAnsi="宋体"/>
          <w:bCs/>
          <w:color w:val="auto"/>
          <w:szCs w:val="22"/>
          <w:highlight w:val="none"/>
        </w:rPr>
        <w:t>32. 保险</w:t>
      </w:r>
      <w:r>
        <w:rPr>
          <w:color w:val="auto"/>
          <w:highlight w:val="none"/>
        </w:rPr>
        <w:tab/>
      </w:r>
      <w:r>
        <w:rPr>
          <w:color w:val="auto"/>
          <w:highlight w:val="none"/>
        </w:rPr>
        <w:fldChar w:fldCharType="begin"/>
      </w:r>
      <w:r>
        <w:rPr>
          <w:color w:val="auto"/>
          <w:highlight w:val="none"/>
        </w:rPr>
        <w:instrText xml:space="preserve"> PAGEREF _Toc8707 \h </w:instrText>
      </w:r>
      <w:r>
        <w:rPr>
          <w:color w:val="auto"/>
          <w:highlight w:val="none"/>
        </w:rPr>
        <w:fldChar w:fldCharType="separate"/>
      </w:r>
      <w:r>
        <w:rPr>
          <w:color w:val="auto"/>
          <w:highlight w:val="none"/>
        </w:rPr>
        <w:t>97</w:t>
      </w:r>
      <w:r>
        <w:rPr>
          <w:color w:val="auto"/>
          <w:highlight w:val="none"/>
        </w:rPr>
        <w:fldChar w:fldCharType="end"/>
      </w:r>
      <w:r>
        <w:rPr>
          <w:rFonts w:ascii="宋体" w:hAnsi="宋体" w:cs="宋体"/>
          <w:bCs/>
          <w:color w:val="auto"/>
          <w:szCs w:val="22"/>
          <w:highlight w:val="none"/>
        </w:rPr>
        <w:fldChar w:fldCharType="end"/>
      </w:r>
    </w:p>
    <w:p w14:paraId="6748B68D">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_Toc10507 </w:instrText>
      </w:r>
      <w:r>
        <w:rPr>
          <w:rFonts w:ascii="宋体" w:hAnsi="宋体" w:cs="宋体"/>
          <w:bCs/>
          <w:color w:val="auto"/>
          <w:szCs w:val="22"/>
          <w:highlight w:val="none"/>
        </w:rPr>
        <w:fldChar w:fldCharType="separate"/>
      </w:r>
      <w:r>
        <w:rPr>
          <w:rFonts w:hint="eastAsia" w:hAnsi="宋体"/>
          <w:bCs/>
          <w:color w:val="auto"/>
          <w:szCs w:val="22"/>
          <w:highlight w:val="none"/>
        </w:rPr>
        <w:t>33. 进度计划和报告</w:t>
      </w:r>
      <w:r>
        <w:rPr>
          <w:color w:val="auto"/>
          <w:highlight w:val="none"/>
        </w:rPr>
        <w:tab/>
      </w:r>
      <w:r>
        <w:rPr>
          <w:color w:val="auto"/>
          <w:highlight w:val="none"/>
        </w:rPr>
        <w:fldChar w:fldCharType="begin"/>
      </w:r>
      <w:r>
        <w:rPr>
          <w:color w:val="auto"/>
          <w:highlight w:val="none"/>
        </w:rPr>
        <w:instrText xml:space="preserve"> PAGEREF _Toc10507 \h </w:instrText>
      </w:r>
      <w:r>
        <w:rPr>
          <w:color w:val="auto"/>
          <w:highlight w:val="none"/>
        </w:rPr>
        <w:fldChar w:fldCharType="separate"/>
      </w:r>
      <w:r>
        <w:rPr>
          <w:color w:val="auto"/>
          <w:highlight w:val="none"/>
        </w:rPr>
        <w:t>98</w:t>
      </w:r>
      <w:r>
        <w:rPr>
          <w:color w:val="auto"/>
          <w:highlight w:val="none"/>
        </w:rPr>
        <w:fldChar w:fldCharType="end"/>
      </w:r>
      <w:r>
        <w:rPr>
          <w:rFonts w:ascii="宋体" w:hAnsi="宋体" w:cs="宋体"/>
          <w:bCs/>
          <w:color w:val="auto"/>
          <w:szCs w:val="22"/>
          <w:highlight w:val="none"/>
        </w:rPr>
        <w:fldChar w:fldCharType="end"/>
      </w:r>
    </w:p>
    <w:p w14:paraId="14D95EA7">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_Toc13320 </w:instrText>
      </w:r>
      <w:r>
        <w:rPr>
          <w:rFonts w:ascii="宋体" w:hAnsi="宋体" w:cs="宋体"/>
          <w:bCs/>
          <w:color w:val="auto"/>
          <w:szCs w:val="22"/>
          <w:highlight w:val="none"/>
        </w:rPr>
        <w:fldChar w:fldCharType="separate"/>
      </w:r>
      <w:r>
        <w:rPr>
          <w:rFonts w:hint="eastAsia" w:hAnsi="宋体"/>
          <w:bCs/>
          <w:color w:val="auto"/>
          <w:szCs w:val="22"/>
          <w:highlight w:val="none"/>
        </w:rPr>
        <w:t>34. 开工</w:t>
      </w:r>
      <w:r>
        <w:rPr>
          <w:color w:val="auto"/>
          <w:highlight w:val="none"/>
        </w:rPr>
        <w:tab/>
      </w:r>
      <w:r>
        <w:rPr>
          <w:color w:val="auto"/>
          <w:highlight w:val="none"/>
        </w:rPr>
        <w:fldChar w:fldCharType="begin"/>
      </w:r>
      <w:r>
        <w:rPr>
          <w:color w:val="auto"/>
          <w:highlight w:val="none"/>
        </w:rPr>
        <w:instrText xml:space="preserve"> PAGEREF _Toc13320 \h </w:instrText>
      </w:r>
      <w:r>
        <w:rPr>
          <w:color w:val="auto"/>
          <w:highlight w:val="none"/>
        </w:rPr>
        <w:fldChar w:fldCharType="separate"/>
      </w:r>
      <w:r>
        <w:rPr>
          <w:color w:val="auto"/>
          <w:highlight w:val="none"/>
        </w:rPr>
        <w:t>100</w:t>
      </w:r>
      <w:r>
        <w:rPr>
          <w:color w:val="auto"/>
          <w:highlight w:val="none"/>
        </w:rPr>
        <w:fldChar w:fldCharType="end"/>
      </w:r>
      <w:r>
        <w:rPr>
          <w:rFonts w:ascii="宋体" w:hAnsi="宋体" w:cs="宋体"/>
          <w:bCs/>
          <w:color w:val="auto"/>
          <w:szCs w:val="22"/>
          <w:highlight w:val="none"/>
        </w:rPr>
        <w:fldChar w:fldCharType="end"/>
      </w:r>
    </w:p>
    <w:p w14:paraId="56DFD91A">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_Toc10114 </w:instrText>
      </w:r>
      <w:r>
        <w:rPr>
          <w:rFonts w:ascii="宋体" w:hAnsi="宋体" w:cs="宋体"/>
          <w:bCs/>
          <w:color w:val="auto"/>
          <w:szCs w:val="22"/>
          <w:highlight w:val="none"/>
        </w:rPr>
        <w:fldChar w:fldCharType="separate"/>
      </w:r>
      <w:r>
        <w:rPr>
          <w:rFonts w:hint="eastAsia" w:hAnsi="宋体"/>
          <w:bCs/>
          <w:color w:val="auto"/>
          <w:szCs w:val="22"/>
          <w:highlight w:val="none"/>
        </w:rPr>
        <w:t>35.暂停施工和复工</w:t>
      </w:r>
      <w:r>
        <w:rPr>
          <w:color w:val="auto"/>
          <w:highlight w:val="none"/>
        </w:rPr>
        <w:tab/>
      </w:r>
      <w:r>
        <w:rPr>
          <w:color w:val="auto"/>
          <w:highlight w:val="none"/>
        </w:rPr>
        <w:fldChar w:fldCharType="begin"/>
      </w:r>
      <w:r>
        <w:rPr>
          <w:color w:val="auto"/>
          <w:highlight w:val="none"/>
        </w:rPr>
        <w:instrText xml:space="preserve"> PAGEREF _Toc10114 \h </w:instrText>
      </w:r>
      <w:r>
        <w:rPr>
          <w:color w:val="auto"/>
          <w:highlight w:val="none"/>
        </w:rPr>
        <w:fldChar w:fldCharType="separate"/>
      </w:r>
      <w:r>
        <w:rPr>
          <w:color w:val="auto"/>
          <w:highlight w:val="none"/>
        </w:rPr>
        <w:t>100</w:t>
      </w:r>
      <w:r>
        <w:rPr>
          <w:color w:val="auto"/>
          <w:highlight w:val="none"/>
        </w:rPr>
        <w:fldChar w:fldCharType="end"/>
      </w:r>
      <w:r>
        <w:rPr>
          <w:rFonts w:ascii="宋体" w:hAnsi="宋体" w:cs="宋体"/>
          <w:bCs/>
          <w:color w:val="auto"/>
          <w:szCs w:val="22"/>
          <w:highlight w:val="none"/>
        </w:rPr>
        <w:fldChar w:fldCharType="end"/>
      </w:r>
    </w:p>
    <w:p w14:paraId="5AFD96EA">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_Toc29108 </w:instrText>
      </w:r>
      <w:r>
        <w:rPr>
          <w:rFonts w:ascii="宋体" w:hAnsi="宋体" w:cs="宋体"/>
          <w:bCs/>
          <w:color w:val="auto"/>
          <w:szCs w:val="22"/>
          <w:highlight w:val="none"/>
        </w:rPr>
        <w:fldChar w:fldCharType="separate"/>
      </w:r>
      <w:r>
        <w:rPr>
          <w:rFonts w:hint="eastAsia" w:hAnsi="宋体"/>
          <w:bCs/>
          <w:color w:val="auto"/>
          <w:szCs w:val="22"/>
          <w:highlight w:val="none"/>
        </w:rPr>
        <w:t>36. 工期及工期延误</w:t>
      </w:r>
      <w:r>
        <w:rPr>
          <w:color w:val="auto"/>
          <w:highlight w:val="none"/>
        </w:rPr>
        <w:tab/>
      </w:r>
      <w:r>
        <w:rPr>
          <w:color w:val="auto"/>
          <w:highlight w:val="none"/>
        </w:rPr>
        <w:fldChar w:fldCharType="begin"/>
      </w:r>
      <w:r>
        <w:rPr>
          <w:color w:val="auto"/>
          <w:highlight w:val="none"/>
        </w:rPr>
        <w:instrText xml:space="preserve"> PAGEREF _Toc29108 \h </w:instrText>
      </w:r>
      <w:r>
        <w:rPr>
          <w:color w:val="auto"/>
          <w:highlight w:val="none"/>
        </w:rPr>
        <w:fldChar w:fldCharType="separate"/>
      </w:r>
      <w:r>
        <w:rPr>
          <w:color w:val="auto"/>
          <w:highlight w:val="none"/>
        </w:rPr>
        <w:t>101</w:t>
      </w:r>
      <w:r>
        <w:rPr>
          <w:color w:val="auto"/>
          <w:highlight w:val="none"/>
        </w:rPr>
        <w:fldChar w:fldCharType="end"/>
      </w:r>
      <w:r>
        <w:rPr>
          <w:rFonts w:ascii="宋体" w:hAnsi="宋体" w:cs="宋体"/>
          <w:bCs/>
          <w:color w:val="auto"/>
          <w:szCs w:val="22"/>
          <w:highlight w:val="none"/>
        </w:rPr>
        <w:fldChar w:fldCharType="end"/>
      </w:r>
    </w:p>
    <w:p w14:paraId="172EF88B">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_Toc16235 </w:instrText>
      </w:r>
      <w:r>
        <w:rPr>
          <w:rFonts w:ascii="宋体" w:hAnsi="宋体" w:cs="宋体"/>
          <w:bCs/>
          <w:color w:val="auto"/>
          <w:szCs w:val="22"/>
          <w:highlight w:val="none"/>
        </w:rPr>
        <w:fldChar w:fldCharType="separate"/>
      </w:r>
      <w:r>
        <w:rPr>
          <w:rFonts w:hint="eastAsia" w:hAnsi="宋体"/>
          <w:bCs/>
          <w:color w:val="auto"/>
          <w:szCs w:val="22"/>
          <w:highlight w:val="none"/>
        </w:rPr>
        <w:t>38. 竣工日期</w:t>
      </w:r>
      <w:r>
        <w:rPr>
          <w:color w:val="auto"/>
          <w:highlight w:val="none"/>
        </w:rPr>
        <w:tab/>
      </w:r>
      <w:r>
        <w:rPr>
          <w:color w:val="auto"/>
          <w:highlight w:val="none"/>
        </w:rPr>
        <w:fldChar w:fldCharType="begin"/>
      </w:r>
      <w:r>
        <w:rPr>
          <w:color w:val="auto"/>
          <w:highlight w:val="none"/>
        </w:rPr>
        <w:instrText xml:space="preserve"> PAGEREF _Toc16235 \h </w:instrText>
      </w:r>
      <w:r>
        <w:rPr>
          <w:color w:val="auto"/>
          <w:highlight w:val="none"/>
        </w:rPr>
        <w:fldChar w:fldCharType="separate"/>
      </w:r>
      <w:r>
        <w:rPr>
          <w:color w:val="auto"/>
          <w:highlight w:val="none"/>
        </w:rPr>
        <w:t>102</w:t>
      </w:r>
      <w:r>
        <w:rPr>
          <w:color w:val="auto"/>
          <w:highlight w:val="none"/>
        </w:rPr>
        <w:fldChar w:fldCharType="end"/>
      </w:r>
      <w:r>
        <w:rPr>
          <w:rFonts w:ascii="宋体" w:hAnsi="宋体" w:cs="宋体"/>
          <w:bCs/>
          <w:color w:val="auto"/>
          <w:szCs w:val="22"/>
          <w:highlight w:val="none"/>
        </w:rPr>
        <w:fldChar w:fldCharType="end"/>
      </w:r>
    </w:p>
    <w:p w14:paraId="0F79F308">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_Toc17101 </w:instrText>
      </w:r>
      <w:r>
        <w:rPr>
          <w:rFonts w:ascii="宋体" w:hAnsi="宋体" w:cs="宋体"/>
          <w:bCs/>
          <w:color w:val="auto"/>
          <w:szCs w:val="22"/>
          <w:highlight w:val="none"/>
        </w:rPr>
        <w:fldChar w:fldCharType="separate"/>
      </w:r>
      <w:r>
        <w:rPr>
          <w:rFonts w:hint="eastAsia" w:hAnsi="宋体"/>
          <w:bCs/>
          <w:color w:val="auto"/>
          <w:szCs w:val="22"/>
          <w:highlight w:val="none"/>
        </w:rPr>
        <w:t>3</w:t>
      </w:r>
      <w:r>
        <w:rPr>
          <w:rFonts w:hAnsi="宋体"/>
          <w:bCs/>
          <w:color w:val="auto"/>
          <w:szCs w:val="22"/>
          <w:highlight w:val="none"/>
        </w:rPr>
        <w:t>9.</w:t>
      </w:r>
      <w:r>
        <w:rPr>
          <w:rFonts w:hint="eastAsia" w:hAnsi="宋体"/>
          <w:bCs/>
          <w:color w:val="auto"/>
          <w:szCs w:val="22"/>
          <w:highlight w:val="none"/>
        </w:rPr>
        <w:t>提前竣工</w:t>
      </w:r>
      <w:r>
        <w:rPr>
          <w:color w:val="auto"/>
          <w:highlight w:val="none"/>
        </w:rPr>
        <w:tab/>
      </w:r>
      <w:r>
        <w:rPr>
          <w:color w:val="auto"/>
          <w:highlight w:val="none"/>
        </w:rPr>
        <w:fldChar w:fldCharType="begin"/>
      </w:r>
      <w:r>
        <w:rPr>
          <w:color w:val="auto"/>
          <w:highlight w:val="none"/>
        </w:rPr>
        <w:instrText xml:space="preserve"> PAGEREF _Toc17101 \h </w:instrText>
      </w:r>
      <w:r>
        <w:rPr>
          <w:color w:val="auto"/>
          <w:highlight w:val="none"/>
        </w:rPr>
        <w:fldChar w:fldCharType="separate"/>
      </w:r>
      <w:r>
        <w:rPr>
          <w:color w:val="auto"/>
          <w:highlight w:val="none"/>
        </w:rPr>
        <w:t>102</w:t>
      </w:r>
      <w:r>
        <w:rPr>
          <w:color w:val="auto"/>
          <w:highlight w:val="none"/>
        </w:rPr>
        <w:fldChar w:fldCharType="end"/>
      </w:r>
      <w:r>
        <w:rPr>
          <w:rFonts w:ascii="宋体" w:hAnsi="宋体" w:cs="宋体"/>
          <w:bCs/>
          <w:color w:val="auto"/>
          <w:szCs w:val="22"/>
          <w:highlight w:val="none"/>
        </w:rPr>
        <w:fldChar w:fldCharType="end"/>
      </w:r>
    </w:p>
    <w:p w14:paraId="780CCCA9">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_Toc24259 </w:instrText>
      </w:r>
      <w:r>
        <w:rPr>
          <w:rFonts w:ascii="宋体" w:hAnsi="宋体" w:cs="宋体"/>
          <w:bCs/>
          <w:color w:val="auto"/>
          <w:szCs w:val="22"/>
          <w:highlight w:val="none"/>
        </w:rPr>
        <w:fldChar w:fldCharType="separate"/>
      </w:r>
      <w:r>
        <w:rPr>
          <w:rFonts w:hint="eastAsia" w:hAnsi="宋体"/>
          <w:bCs/>
          <w:color w:val="auto"/>
          <w:szCs w:val="22"/>
          <w:highlight w:val="none"/>
        </w:rPr>
        <w:t>4</w:t>
      </w:r>
      <w:r>
        <w:rPr>
          <w:rFonts w:hAnsi="宋体"/>
          <w:bCs/>
          <w:color w:val="auto"/>
          <w:szCs w:val="22"/>
          <w:highlight w:val="none"/>
        </w:rPr>
        <w:t>0</w:t>
      </w:r>
      <w:r>
        <w:rPr>
          <w:rFonts w:hint="eastAsia" w:hAnsi="宋体"/>
          <w:bCs/>
          <w:color w:val="auto"/>
          <w:szCs w:val="22"/>
          <w:highlight w:val="none"/>
        </w:rPr>
        <w:t>误期赔偿</w:t>
      </w:r>
      <w:r>
        <w:rPr>
          <w:color w:val="auto"/>
          <w:highlight w:val="none"/>
        </w:rPr>
        <w:tab/>
      </w:r>
      <w:r>
        <w:rPr>
          <w:color w:val="auto"/>
          <w:highlight w:val="none"/>
        </w:rPr>
        <w:fldChar w:fldCharType="begin"/>
      </w:r>
      <w:r>
        <w:rPr>
          <w:color w:val="auto"/>
          <w:highlight w:val="none"/>
        </w:rPr>
        <w:instrText xml:space="preserve"> PAGEREF _Toc24259 \h </w:instrText>
      </w:r>
      <w:r>
        <w:rPr>
          <w:color w:val="auto"/>
          <w:highlight w:val="none"/>
        </w:rPr>
        <w:fldChar w:fldCharType="separate"/>
      </w:r>
      <w:r>
        <w:rPr>
          <w:color w:val="auto"/>
          <w:highlight w:val="none"/>
        </w:rPr>
        <w:t>102</w:t>
      </w:r>
      <w:r>
        <w:rPr>
          <w:color w:val="auto"/>
          <w:highlight w:val="none"/>
        </w:rPr>
        <w:fldChar w:fldCharType="end"/>
      </w:r>
      <w:r>
        <w:rPr>
          <w:rFonts w:ascii="宋体" w:hAnsi="宋体" w:cs="宋体"/>
          <w:bCs/>
          <w:color w:val="auto"/>
          <w:szCs w:val="22"/>
          <w:highlight w:val="none"/>
        </w:rPr>
        <w:fldChar w:fldCharType="end"/>
      </w:r>
    </w:p>
    <w:p w14:paraId="6AD86ABB">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_Toc5505 </w:instrText>
      </w:r>
      <w:r>
        <w:rPr>
          <w:rFonts w:ascii="宋体" w:hAnsi="宋体" w:cs="宋体"/>
          <w:bCs/>
          <w:color w:val="auto"/>
          <w:szCs w:val="22"/>
          <w:highlight w:val="none"/>
        </w:rPr>
        <w:fldChar w:fldCharType="separate"/>
      </w:r>
      <w:r>
        <w:rPr>
          <w:rFonts w:hint="eastAsia" w:hAnsi="宋体"/>
          <w:bCs/>
          <w:color w:val="auto"/>
          <w:szCs w:val="22"/>
          <w:highlight w:val="none"/>
        </w:rPr>
        <w:t>★41  质量与安全管理</w:t>
      </w:r>
      <w:r>
        <w:rPr>
          <w:color w:val="auto"/>
          <w:highlight w:val="none"/>
        </w:rPr>
        <w:tab/>
      </w:r>
      <w:r>
        <w:rPr>
          <w:color w:val="auto"/>
          <w:highlight w:val="none"/>
        </w:rPr>
        <w:fldChar w:fldCharType="begin"/>
      </w:r>
      <w:r>
        <w:rPr>
          <w:color w:val="auto"/>
          <w:highlight w:val="none"/>
        </w:rPr>
        <w:instrText xml:space="preserve"> PAGEREF _Toc5505 \h </w:instrText>
      </w:r>
      <w:r>
        <w:rPr>
          <w:color w:val="auto"/>
          <w:highlight w:val="none"/>
        </w:rPr>
        <w:fldChar w:fldCharType="separate"/>
      </w:r>
      <w:r>
        <w:rPr>
          <w:color w:val="auto"/>
          <w:highlight w:val="none"/>
        </w:rPr>
        <w:t>102</w:t>
      </w:r>
      <w:r>
        <w:rPr>
          <w:color w:val="auto"/>
          <w:highlight w:val="none"/>
        </w:rPr>
        <w:fldChar w:fldCharType="end"/>
      </w:r>
      <w:r>
        <w:rPr>
          <w:rFonts w:ascii="宋体" w:hAnsi="宋体" w:cs="宋体"/>
          <w:bCs/>
          <w:color w:val="auto"/>
          <w:szCs w:val="22"/>
          <w:highlight w:val="none"/>
        </w:rPr>
        <w:fldChar w:fldCharType="end"/>
      </w:r>
    </w:p>
    <w:p w14:paraId="6A19610D">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_Toc6806 </w:instrText>
      </w:r>
      <w:r>
        <w:rPr>
          <w:rFonts w:ascii="宋体" w:hAnsi="宋体" w:cs="宋体"/>
          <w:bCs/>
          <w:color w:val="auto"/>
          <w:szCs w:val="22"/>
          <w:highlight w:val="none"/>
        </w:rPr>
        <w:fldChar w:fldCharType="separate"/>
      </w:r>
      <w:r>
        <w:rPr>
          <w:rFonts w:hint="eastAsia" w:hAnsi="宋体"/>
          <w:bCs/>
          <w:color w:val="auto"/>
          <w:szCs w:val="22"/>
          <w:highlight w:val="none"/>
        </w:rPr>
        <w:t>★42. 质量标准、目标</w:t>
      </w:r>
      <w:r>
        <w:rPr>
          <w:color w:val="auto"/>
          <w:highlight w:val="none"/>
        </w:rPr>
        <w:tab/>
      </w:r>
      <w:r>
        <w:rPr>
          <w:color w:val="auto"/>
          <w:highlight w:val="none"/>
        </w:rPr>
        <w:fldChar w:fldCharType="begin"/>
      </w:r>
      <w:r>
        <w:rPr>
          <w:color w:val="auto"/>
          <w:highlight w:val="none"/>
        </w:rPr>
        <w:instrText xml:space="preserve"> PAGEREF _Toc6806 \h </w:instrText>
      </w:r>
      <w:r>
        <w:rPr>
          <w:color w:val="auto"/>
          <w:highlight w:val="none"/>
        </w:rPr>
        <w:fldChar w:fldCharType="separate"/>
      </w:r>
      <w:r>
        <w:rPr>
          <w:color w:val="auto"/>
          <w:highlight w:val="none"/>
        </w:rPr>
        <w:t>103</w:t>
      </w:r>
      <w:r>
        <w:rPr>
          <w:color w:val="auto"/>
          <w:highlight w:val="none"/>
        </w:rPr>
        <w:fldChar w:fldCharType="end"/>
      </w:r>
      <w:r>
        <w:rPr>
          <w:rFonts w:ascii="宋体" w:hAnsi="宋体" w:cs="宋体"/>
          <w:bCs/>
          <w:color w:val="auto"/>
          <w:szCs w:val="22"/>
          <w:highlight w:val="none"/>
        </w:rPr>
        <w:fldChar w:fldCharType="end"/>
      </w:r>
    </w:p>
    <w:p w14:paraId="37C82565">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_Toc29661 </w:instrText>
      </w:r>
      <w:r>
        <w:rPr>
          <w:rFonts w:ascii="宋体" w:hAnsi="宋体" w:cs="宋体"/>
          <w:bCs/>
          <w:color w:val="auto"/>
          <w:szCs w:val="22"/>
          <w:highlight w:val="none"/>
        </w:rPr>
        <w:fldChar w:fldCharType="separate"/>
      </w:r>
      <w:r>
        <w:rPr>
          <w:rFonts w:hint="eastAsia" w:hAnsi="宋体"/>
          <w:bCs/>
          <w:color w:val="auto"/>
          <w:szCs w:val="22"/>
          <w:highlight w:val="none"/>
        </w:rPr>
        <w:t>4</w:t>
      </w:r>
      <w:r>
        <w:rPr>
          <w:rFonts w:hAnsi="宋体"/>
          <w:bCs/>
          <w:color w:val="auto"/>
          <w:szCs w:val="22"/>
          <w:highlight w:val="none"/>
        </w:rPr>
        <w:t>4</w:t>
      </w:r>
      <w:r>
        <w:rPr>
          <w:rFonts w:hint="eastAsia" w:hAnsi="宋体"/>
          <w:bCs/>
          <w:color w:val="auto"/>
          <w:szCs w:val="22"/>
          <w:highlight w:val="none"/>
        </w:rPr>
        <w:t>工程的照管</w:t>
      </w:r>
      <w:r>
        <w:rPr>
          <w:color w:val="auto"/>
          <w:highlight w:val="none"/>
        </w:rPr>
        <w:tab/>
      </w:r>
      <w:r>
        <w:rPr>
          <w:color w:val="auto"/>
          <w:highlight w:val="none"/>
        </w:rPr>
        <w:fldChar w:fldCharType="begin"/>
      </w:r>
      <w:r>
        <w:rPr>
          <w:color w:val="auto"/>
          <w:highlight w:val="none"/>
        </w:rPr>
        <w:instrText xml:space="preserve"> PAGEREF _Toc29661 \h </w:instrText>
      </w:r>
      <w:r>
        <w:rPr>
          <w:color w:val="auto"/>
          <w:highlight w:val="none"/>
        </w:rPr>
        <w:fldChar w:fldCharType="separate"/>
      </w:r>
      <w:r>
        <w:rPr>
          <w:color w:val="auto"/>
          <w:highlight w:val="none"/>
        </w:rPr>
        <w:t>104</w:t>
      </w:r>
      <w:r>
        <w:rPr>
          <w:color w:val="auto"/>
          <w:highlight w:val="none"/>
        </w:rPr>
        <w:fldChar w:fldCharType="end"/>
      </w:r>
      <w:r>
        <w:rPr>
          <w:rFonts w:ascii="宋体" w:hAnsi="宋体" w:cs="宋体"/>
          <w:bCs/>
          <w:color w:val="auto"/>
          <w:szCs w:val="22"/>
          <w:highlight w:val="none"/>
        </w:rPr>
        <w:fldChar w:fldCharType="end"/>
      </w:r>
    </w:p>
    <w:p w14:paraId="1C169FA2">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_Toc16681 </w:instrText>
      </w:r>
      <w:r>
        <w:rPr>
          <w:rFonts w:ascii="宋体" w:hAnsi="宋体" w:cs="宋体"/>
          <w:bCs/>
          <w:color w:val="auto"/>
          <w:szCs w:val="22"/>
          <w:highlight w:val="none"/>
        </w:rPr>
        <w:fldChar w:fldCharType="separate"/>
      </w:r>
      <w:r>
        <w:rPr>
          <w:rFonts w:hint="eastAsia" w:hAnsi="宋体"/>
          <w:bCs/>
          <w:color w:val="auto"/>
          <w:szCs w:val="22"/>
          <w:highlight w:val="none"/>
        </w:rPr>
        <w:t>★45. 绿色施工安全防护</w:t>
      </w:r>
      <w:r>
        <w:rPr>
          <w:color w:val="auto"/>
          <w:highlight w:val="none"/>
        </w:rPr>
        <w:tab/>
      </w:r>
      <w:r>
        <w:rPr>
          <w:color w:val="auto"/>
          <w:highlight w:val="none"/>
        </w:rPr>
        <w:fldChar w:fldCharType="begin"/>
      </w:r>
      <w:r>
        <w:rPr>
          <w:color w:val="auto"/>
          <w:highlight w:val="none"/>
        </w:rPr>
        <w:instrText xml:space="preserve"> PAGEREF _Toc16681 \h </w:instrText>
      </w:r>
      <w:r>
        <w:rPr>
          <w:color w:val="auto"/>
          <w:highlight w:val="none"/>
        </w:rPr>
        <w:fldChar w:fldCharType="separate"/>
      </w:r>
      <w:r>
        <w:rPr>
          <w:color w:val="auto"/>
          <w:highlight w:val="none"/>
        </w:rPr>
        <w:t>104</w:t>
      </w:r>
      <w:r>
        <w:rPr>
          <w:color w:val="auto"/>
          <w:highlight w:val="none"/>
        </w:rPr>
        <w:fldChar w:fldCharType="end"/>
      </w:r>
      <w:r>
        <w:rPr>
          <w:rFonts w:ascii="宋体" w:hAnsi="宋体" w:cs="宋体"/>
          <w:bCs/>
          <w:color w:val="auto"/>
          <w:szCs w:val="22"/>
          <w:highlight w:val="none"/>
        </w:rPr>
        <w:fldChar w:fldCharType="end"/>
      </w:r>
    </w:p>
    <w:p w14:paraId="724B74A6">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_Toc21968 </w:instrText>
      </w:r>
      <w:r>
        <w:rPr>
          <w:rFonts w:ascii="宋体" w:hAnsi="宋体" w:cs="宋体"/>
          <w:bCs/>
          <w:color w:val="auto"/>
          <w:szCs w:val="22"/>
          <w:highlight w:val="none"/>
        </w:rPr>
        <w:fldChar w:fldCharType="separate"/>
      </w:r>
      <w:r>
        <w:rPr>
          <w:rFonts w:hint="eastAsia" w:hAnsi="宋体"/>
          <w:bCs/>
          <w:color w:val="auto"/>
          <w:szCs w:val="22"/>
          <w:highlight w:val="none"/>
        </w:rPr>
        <w:t>46. 测量放线</w:t>
      </w:r>
      <w:r>
        <w:rPr>
          <w:color w:val="auto"/>
          <w:highlight w:val="none"/>
        </w:rPr>
        <w:tab/>
      </w:r>
      <w:r>
        <w:rPr>
          <w:color w:val="auto"/>
          <w:highlight w:val="none"/>
        </w:rPr>
        <w:fldChar w:fldCharType="begin"/>
      </w:r>
      <w:r>
        <w:rPr>
          <w:color w:val="auto"/>
          <w:highlight w:val="none"/>
        </w:rPr>
        <w:instrText xml:space="preserve"> PAGEREF _Toc21968 \h </w:instrText>
      </w:r>
      <w:r>
        <w:rPr>
          <w:color w:val="auto"/>
          <w:highlight w:val="none"/>
        </w:rPr>
        <w:fldChar w:fldCharType="separate"/>
      </w:r>
      <w:r>
        <w:rPr>
          <w:color w:val="auto"/>
          <w:highlight w:val="none"/>
        </w:rPr>
        <w:t>106</w:t>
      </w:r>
      <w:r>
        <w:rPr>
          <w:color w:val="auto"/>
          <w:highlight w:val="none"/>
        </w:rPr>
        <w:fldChar w:fldCharType="end"/>
      </w:r>
      <w:r>
        <w:rPr>
          <w:rFonts w:ascii="宋体" w:hAnsi="宋体" w:cs="宋体"/>
          <w:bCs/>
          <w:color w:val="auto"/>
          <w:szCs w:val="22"/>
          <w:highlight w:val="none"/>
        </w:rPr>
        <w:fldChar w:fldCharType="end"/>
      </w:r>
    </w:p>
    <w:p w14:paraId="1C5861D4">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_Toc19045 </w:instrText>
      </w:r>
      <w:r>
        <w:rPr>
          <w:rFonts w:ascii="宋体" w:hAnsi="宋体" w:cs="宋体"/>
          <w:bCs/>
          <w:color w:val="auto"/>
          <w:szCs w:val="22"/>
          <w:highlight w:val="none"/>
        </w:rPr>
        <w:fldChar w:fldCharType="separate"/>
      </w:r>
      <w:r>
        <w:rPr>
          <w:rFonts w:hint="eastAsia" w:hAnsi="宋体"/>
          <w:bCs/>
          <w:color w:val="auto"/>
          <w:szCs w:val="22"/>
          <w:highlight w:val="none"/>
        </w:rPr>
        <w:t>48.发包人供应材料和工程设备</w:t>
      </w:r>
      <w:r>
        <w:rPr>
          <w:color w:val="auto"/>
          <w:highlight w:val="none"/>
        </w:rPr>
        <w:tab/>
      </w:r>
      <w:r>
        <w:rPr>
          <w:color w:val="auto"/>
          <w:highlight w:val="none"/>
        </w:rPr>
        <w:fldChar w:fldCharType="begin"/>
      </w:r>
      <w:r>
        <w:rPr>
          <w:color w:val="auto"/>
          <w:highlight w:val="none"/>
        </w:rPr>
        <w:instrText xml:space="preserve"> PAGEREF _Toc19045 \h </w:instrText>
      </w:r>
      <w:r>
        <w:rPr>
          <w:color w:val="auto"/>
          <w:highlight w:val="none"/>
        </w:rPr>
        <w:fldChar w:fldCharType="separate"/>
      </w:r>
      <w:r>
        <w:rPr>
          <w:color w:val="auto"/>
          <w:highlight w:val="none"/>
        </w:rPr>
        <w:t>107</w:t>
      </w:r>
      <w:r>
        <w:rPr>
          <w:color w:val="auto"/>
          <w:highlight w:val="none"/>
        </w:rPr>
        <w:fldChar w:fldCharType="end"/>
      </w:r>
      <w:r>
        <w:rPr>
          <w:rFonts w:ascii="宋体" w:hAnsi="宋体" w:cs="宋体"/>
          <w:bCs/>
          <w:color w:val="auto"/>
          <w:szCs w:val="22"/>
          <w:highlight w:val="none"/>
        </w:rPr>
        <w:fldChar w:fldCharType="end"/>
      </w:r>
    </w:p>
    <w:p w14:paraId="09E1B7C9">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_Toc7286 </w:instrText>
      </w:r>
      <w:r>
        <w:rPr>
          <w:rFonts w:ascii="宋体" w:hAnsi="宋体" w:cs="宋体"/>
          <w:bCs/>
          <w:color w:val="auto"/>
          <w:szCs w:val="22"/>
          <w:highlight w:val="none"/>
        </w:rPr>
        <w:fldChar w:fldCharType="separate"/>
      </w:r>
      <w:r>
        <w:rPr>
          <w:rFonts w:hint="eastAsia" w:hAnsi="宋体"/>
          <w:bCs/>
          <w:color w:val="auto"/>
          <w:szCs w:val="22"/>
          <w:highlight w:val="none"/>
        </w:rPr>
        <w:t>49. 承包人采购材料和工程设备</w:t>
      </w:r>
      <w:r>
        <w:rPr>
          <w:color w:val="auto"/>
          <w:highlight w:val="none"/>
        </w:rPr>
        <w:tab/>
      </w:r>
      <w:r>
        <w:rPr>
          <w:color w:val="auto"/>
          <w:highlight w:val="none"/>
        </w:rPr>
        <w:fldChar w:fldCharType="begin"/>
      </w:r>
      <w:r>
        <w:rPr>
          <w:color w:val="auto"/>
          <w:highlight w:val="none"/>
        </w:rPr>
        <w:instrText xml:space="preserve"> PAGEREF _Toc7286 \h </w:instrText>
      </w:r>
      <w:r>
        <w:rPr>
          <w:color w:val="auto"/>
          <w:highlight w:val="none"/>
        </w:rPr>
        <w:fldChar w:fldCharType="separate"/>
      </w:r>
      <w:r>
        <w:rPr>
          <w:color w:val="auto"/>
          <w:highlight w:val="none"/>
        </w:rPr>
        <w:t>107</w:t>
      </w:r>
      <w:r>
        <w:rPr>
          <w:color w:val="auto"/>
          <w:highlight w:val="none"/>
        </w:rPr>
        <w:fldChar w:fldCharType="end"/>
      </w:r>
      <w:r>
        <w:rPr>
          <w:rFonts w:ascii="宋体" w:hAnsi="宋体" w:cs="宋体"/>
          <w:bCs/>
          <w:color w:val="auto"/>
          <w:szCs w:val="22"/>
          <w:highlight w:val="none"/>
        </w:rPr>
        <w:fldChar w:fldCharType="end"/>
      </w:r>
    </w:p>
    <w:p w14:paraId="18AC1D51">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_Toc134 </w:instrText>
      </w:r>
      <w:r>
        <w:rPr>
          <w:rFonts w:ascii="宋体" w:hAnsi="宋体" w:cs="宋体"/>
          <w:bCs/>
          <w:color w:val="auto"/>
          <w:szCs w:val="22"/>
          <w:highlight w:val="none"/>
        </w:rPr>
        <w:fldChar w:fldCharType="separate"/>
      </w:r>
      <w:r>
        <w:rPr>
          <w:rFonts w:hint="eastAsia" w:hAnsi="宋体"/>
          <w:bCs/>
          <w:color w:val="auto"/>
          <w:szCs w:val="22"/>
          <w:highlight w:val="none"/>
        </w:rPr>
        <w:t>50. 材料和工程设备的检验试验</w:t>
      </w:r>
      <w:r>
        <w:rPr>
          <w:color w:val="auto"/>
          <w:highlight w:val="none"/>
        </w:rPr>
        <w:tab/>
      </w:r>
      <w:r>
        <w:rPr>
          <w:color w:val="auto"/>
          <w:highlight w:val="none"/>
        </w:rPr>
        <w:fldChar w:fldCharType="begin"/>
      </w:r>
      <w:r>
        <w:rPr>
          <w:color w:val="auto"/>
          <w:highlight w:val="none"/>
        </w:rPr>
        <w:instrText xml:space="preserve"> PAGEREF _Toc134 \h </w:instrText>
      </w:r>
      <w:r>
        <w:rPr>
          <w:color w:val="auto"/>
          <w:highlight w:val="none"/>
        </w:rPr>
        <w:fldChar w:fldCharType="separate"/>
      </w:r>
      <w:r>
        <w:rPr>
          <w:color w:val="auto"/>
          <w:highlight w:val="none"/>
        </w:rPr>
        <w:t>108</w:t>
      </w:r>
      <w:r>
        <w:rPr>
          <w:color w:val="auto"/>
          <w:highlight w:val="none"/>
        </w:rPr>
        <w:fldChar w:fldCharType="end"/>
      </w:r>
      <w:r>
        <w:rPr>
          <w:rFonts w:ascii="宋体" w:hAnsi="宋体" w:cs="宋体"/>
          <w:bCs/>
          <w:color w:val="auto"/>
          <w:szCs w:val="22"/>
          <w:highlight w:val="none"/>
        </w:rPr>
        <w:fldChar w:fldCharType="end"/>
      </w:r>
    </w:p>
    <w:p w14:paraId="71730EA6">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_Toc18555 </w:instrText>
      </w:r>
      <w:r>
        <w:rPr>
          <w:rFonts w:ascii="宋体" w:hAnsi="宋体" w:cs="宋体"/>
          <w:bCs/>
          <w:color w:val="auto"/>
          <w:szCs w:val="22"/>
          <w:highlight w:val="none"/>
        </w:rPr>
        <w:fldChar w:fldCharType="separate"/>
      </w:r>
      <w:r>
        <w:rPr>
          <w:rFonts w:hint="eastAsia" w:hAnsi="宋体"/>
          <w:bCs/>
          <w:color w:val="auto"/>
          <w:szCs w:val="22"/>
          <w:highlight w:val="none"/>
        </w:rPr>
        <w:t>51. 施工设备和临时设施</w:t>
      </w:r>
      <w:r>
        <w:rPr>
          <w:color w:val="auto"/>
          <w:highlight w:val="none"/>
        </w:rPr>
        <w:tab/>
      </w:r>
      <w:r>
        <w:rPr>
          <w:color w:val="auto"/>
          <w:highlight w:val="none"/>
        </w:rPr>
        <w:fldChar w:fldCharType="begin"/>
      </w:r>
      <w:r>
        <w:rPr>
          <w:color w:val="auto"/>
          <w:highlight w:val="none"/>
        </w:rPr>
        <w:instrText xml:space="preserve"> PAGEREF _Toc18555 \h </w:instrText>
      </w:r>
      <w:r>
        <w:rPr>
          <w:color w:val="auto"/>
          <w:highlight w:val="none"/>
        </w:rPr>
        <w:fldChar w:fldCharType="separate"/>
      </w:r>
      <w:r>
        <w:rPr>
          <w:color w:val="auto"/>
          <w:highlight w:val="none"/>
        </w:rPr>
        <w:t>109</w:t>
      </w:r>
      <w:r>
        <w:rPr>
          <w:color w:val="auto"/>
          <w:highlight w:val="none"/>
        </w:rPr>
        <w:fldChar w:fldCharType="end"/>
      </w:r>
      <w:r>
        <w:rPr>
          <w:rFonts w:ascii="宋体" w:hAnsi="宋体" w:cs="宋体"/>
          <w:bCs/>
          <w:color w:val="auto"/>
          <w:szCs w:val="22"/>
          <w:highlight w:val="none"/>
        </w:rPr>
        <w:fldChar w:fldCharType="end"/>
      </w:r>
    </w:p>
    <w:p w14:paraId="4FDD025E">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_Toc19296 </w:instrText>
      </w:r>
      <w:r>
        <w:rPr>
          <w:rFonts w:ascii="宋体" w:hAnsi="宋体" w:cs="宋体"/>
          <w:bCs/>
          <w:color w:val="auto"/>
          <w:szCs w:val="22"/>
          <w:highlight w:val="none"/>
        </w:rPr>
        <w:fldChar w:fldCharType="separate"/>
      </w:r>
      <w:r>
        <w:rPr>
          <w:rFonts w:hint="eastAsia" w:hAnsi="宋体"/>
          <w:bCs/>
          <w:color w:val="auto"/>
          <w:szCs w:val="22"/>
          <w:highlight w:val="none"/>
        </w:rPr>
        <w:t>5</w:t>
      </w:r>
      <w:r>
        <w:rPr>
          <w:rFonts w:hAnsi="宋体"/>
          <w:bCs/>
          <w:color w:val="auto"/>
          <w:szCs w:val="22"/>
          <w:highlight w:val="none"/>
        </w:rPr>
        <w:t>2</w:t>
      </w:r>
      <w:r>
        <w:rPr>
          <w:rFonts w:hint="eastAsia" w:hAnsi="宋体"/>
          <w:bCs/>
          <w:color w:val="auto"/>
          <w:szCs w:val="22"/>
          <w:highlight w:val="none"/>
        </w:rPr>
        <w:t>工程质量检查</w:t>
      </w:r>
      <w:r>
        <w:rPr>
          <w:color w:val="auto"/>
          <w:highlight w:val="none"/>
        </w:rPr>
        <w:tab/>
      </w:r>
      <w:r>
        <w:rPr>
          <w:color w:val="auto"/>
          <w:highlight w:val="none"/>
        </w:rPr>
        <w:fldChar w:fldCharType="begin"/>
      </w:r>
      <w:r>
        <w:rPr>
          <w:color w:val="auto"/>
          <w:highlight w:val="none"/>
        </w:rPr>
        <w:instrText xml:space="preserve"> PAGEREF _Toc19296 \h </w:instrText>
      </w:r>
      <w:r>
        <w:rPr>
          <w:color w:val="auto"/>
          <w:highlight w:val="none"/>
        </w:rPr>
        <w:fldChar w:fldCharType="separate"/>
      </w:r>
      <w:r>
        <w:rPr>
          <w:color w:val="auto"/>
          <w:highlight w:val="none"/>
        </w:rPr>
        <w:t>109</w:t>
      </w:r>
      <w:r>
        <w:rPr>
          <w:color w:val="auto"/>
          <w:highlight w:val="none"/>
        </w:rPr>
        <w:fldChar w:fldCharType="end"/>
      </w:r>
      <w:r>
        <w:rPr>
          <w:rFonts w:ascii="宋体" w:hAnsi="宋体" w:cs="宋体"/>
          <w:bCs/>
          <w:color w:val="auto"/>
          <w:szCs w:val="22"/>
          <w:highlight w:val="none"/>
        </w:rPr>
        <w:fldChar w:fldCharType="end"/>
      </w:r>
    </w:p>
    <w:p w14:paraId="753481D5">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_Toc19668 </w:instrText>
      </w:r>
      <w:r>
        <w:rPr>
          <w:rFonts w:ascii="宋体" w:hAnsi="宋体" w:cs="宋体"/>
          <w:bCs/>
          <w:color w:val="auto"/>
          <w:szCs w:val="22"/>
          <w:highlight w:val="none"/>
        </w:rPr>
        <w:fldChar w:fldCharType="separate"/>
      </w:r>
      <w:r>
        <w:rPr>
          <w:rFonts w:hint="eastAsia" w:hAnsi="宋体"/>
          <w:bCs/>
          <w:color w:val="auto"/>
          <w:szCs w:val="22"/>
          <w:highlight w:val="none"/>
        </w:rPr>
        <w:t>53. 隐蔽工程和中间验收</w:t>
      </w:r>
      <w:r>
        <w:rPr>
          <w:color w:val="auto"/>
          <w:highlight w:val="none"/>
        </w:rPr>
        <w:tab/>
      </w:r>
      <w:r>
        <w:rPr>
          <w:color w:val="auto"/>
          <w:highlight w:val="none"/>
        </w:rPr>
        <w:fldChar w:fldCharType="begin"/>
      </w:r>
      <w:r>
        <w:rPr>
          <w:color w:val="auto"/>
          <w:highlight w:val="none"/>
        </w:rPr>
        <w:instrText xml:space="preserve"> PAGEREF _Toc19668 \h </w:instrText>
      </w:r>
      <w:r>
        <w:rPr>
          <w:color w:val="auto"/>
          <w:highlight w:val="none"/>
        </w:rPr>
        <w:fldChar w:fldCharType="separate"/>
      </w:r>
      <w:r>
        <w:rPr>
          <w:color w:val="auto"/>
          <w:highlight w:val="none"/>
        </w:rPr>
        <w:t>109</w:t>
      </w:r>
      <w:r>
        <w:rPr>
          <w:color w:val="auto"/>
          <w:highlight w:val="none"/>
        </w:rPr>
        <w:fldChar w:fldCharType="end"/>
      </w:r>
      <w:r>
        <w:rPr>
          <w:rFonts w:ascii="宋体" w:hAnsi="宋体" w:cs="宋体"/>
          <w:bCs/>
          <w:color w:val="auto"/>
          <w:szCs w:val="22"/>
          <w:highlight w:val="none"/>
        </w:rPr>
        <w:fldChar w:fldCharType="end"/>
      </w:r>
    </w:p>
    <w:p w14:paraId="64249EF0">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_Toc6843 </w:instrText>
      </w:r>
      <w:r>
        <w:rPr>
          <w:rFonts w:ascii="宋体" w:hAnsi="宋体" w:cs="宋体"/>
          <w:bCs/>
          <w:color w:val="auto"/>
          <w:szCs w:val="22"/>
          <w:highlight w:val="none"/>
        </w:rPr>
        <w:fldChar w:fldCharType="separate"/>
      </w:r>
      <w:r>
        <w:rPr>
          <w:rFonts w:hint="eastAsia" w:hAnsi="宋体"/>
          <w:bCs/>
          <w:color w:val="auto"/>
          <w:szCs w:val="22"/>
          <w:highlight w:val="none"/>
        </w:rPr>
        <w:t>55. 工程试车</w:t>
      </w:r>
      <w:r>
        <w:rPr>
          <w:color w:val="auto"/>
          <w:highlight w:val="none"/>
        </w:rPr>
        <w:tab/>
      </w:r>
      <w:r>
        <w:rPr>
          <w:color w:val="auto"/>
          <w:highlight w:val="none"/>
        </w:rPr>
        <w:fldChar w:fldCharType="begin"/>
      </w:r>
      <w:r>
        <w:rPr>
          <w:color w:val="auto"/>
          <w:highlight w:val="none"/>
        </w:rPr>
        <w:instrText xml:space="preserve"> PAGEREF _Toc6843 \h </w:instrText>
      </w:r>
      <w:r>
        <w:rPr>
          <w:color w:val="auto"/>
          <w:highlight w:val="none"/>
        </w:rPr>
        <w:fldChar w:fldCharType="separate"/>
      </w:r>
      <w:r>
        <w:rPr>
          <w:color w:val="auto"/>
          <w:highlight w:val="none"/>
        </w:rPr>
        <w:t>110</w:t>
      </w:r>
      <w:r>
        <w:rPr>
          <w:color w:val="auto"/>
          <w:highlight w:val="none"/>
        </w:rPr>
        <w:fldChar w:fldCharType="end"/>
      </w:r>
      <w:r>
        <w:rPr>
          <w:rFonts w:ascii="宋体" w:hAnsi="宋体" w:cs="宋体"/>
          <w:bCs/>
          <w:color w:val="auto"/>
          <w:szCs w:val="22"/>
          <w:highlight w:val="none"/>
        </w:rPr>
        <w:fldChar w:fldCharType="end"/>
      </w:r>
    </w:p>
    <w:p w14:paraId="64384788">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_Toc10286 </w:instrText>
      </w:r>
      <w:r>
        <w:rPr>
          <w:rFonts w:ascii="宋体" w:hAnsi="宋体" w:cs="宋体"/>
          <w:bCs/>
          <w:color w:val="auto"/>
          <w:szCs w:val="22"/>
          <w:highlight w:val="none"/>
        </w:rPr>
        <w:fldChar w:fldCharType="separate"/>
      </w:r>
      <w:r>
        <w:rPr>
          <w:rFonts w:hint="eastAsia" w:hAnsi="宋体"/>
          <w:bCs/>
          <w:color w:val="auto"/>
          <w:szCs w:val="22"/>
          <w:highlight w:val="none"/>
        </w:rPr>
        <w:t>56．工程变更</w:t>
      </w:r>
      <w:r>
        <w:rPr>
          <w:color w:val="auto"/>
          <w:highlight w:val="none"/>
        </w:rPr>
        <w:tab/>
      </w:r>
      <w:r>
        <w:rPr>
          <w:color w:val="auto"/>
          <w:highlight w:val="none"/>
        </w:rPr>
        <w:fldChar w:fldCharType="begin"/>
      </w:r>
      <w:r>
        <w:rPr>
          <w:color w:val="auto"/>
          <w:highlight w:val="none"/>
        </w:rPr>
        <w:instrText xml:space="preserve"> PAGEREF _Toc10286 \h </w:instrText>
      </w:r>
      <w:r>
        <w:rPr>
          <w:color w:val="auto"/>
          <w:highlight w:val="none"/>
        </w:rPr>
        <w:fldChar w:fldCharType="separate"/>
      </w:r>
      <w:r>
        <w:rPr>
          <w:color w:val="auto"/>
          <w:highlight w:val="none"/>
        </w:rPr>
        <w:t>110</w:t>
      </w:r>
      <w:r>
        <w:rPr>
          <w:color w:val="auto"/>
          <w:highlight w:val="none"/>
        </w:rPr>
        <w:fldChar w:fldCharType="end"/>
      </w:r>
      <w:r>
        <w:rPr>
          <w:rFonts w:ascii="宋体" w:hAnsi="宋体" w:cs="宋体"/>
          <w:bCs/>
          <w:color w:val="auto"/>
          <w:szCs w:val="22"/>
          <w:highlight w:val="none"/>
        </w:rPr>
        <w:fldChar w:fldCharType="end"/>
      </w:r>
    </w:p>
    <w:p w14:paraId="55FE3EE6">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_Toc4239 </w:instrText>
      </w:r>
      <w:r>
        <w:rPr>
          <w:rFonts w:ascii="宋体" w:hAnsi="宋体" w:cs="宋体"/>
          <w:bCs/>
          <w:color w:val="auto"/>
          <w:szCs w:val="22"/>
          <w:highlight w:val="none"/>
        </w:rPr>
        <w:fldChar w:fldCharType="separate"/>
      </w:r>
      <w:r>
        <w:rPr>
          <w:rFonts w:hint="eastAsia" w:hAnsi="宋体"/>
          <w:bCs/>
          <w:color w:val="auto"/>
          <w:szCs w:val="22"/>
          <w:highlight w:val="none"/>
        </w:rPr>
        <w:t>★58. 竣工验收</w:t>
      </w:r>
      <w:r>
        <w:rPr>
          <w:color w:val="auto"/>
          <w:highlight w:val="none"/>
        </w:rPr>
        <w:tab/>
      </w:r>
      <w:r>
        <w:rPr>
          <w:color w:val="auto"/>
          <w:highlight w:val="none"/>
        </w:rPr>
        <w:fldChar w:fldCharType="begin"/>
      </w:r>
      <w:r>
        <w:rPr>
          <w:color w:val="auto"/>
          <w:highlight w:val="none"/>
        </w:rPr>
        <w:instrText xml:space="preserve"> PAGEREF _Toc4239 \h </w:instrText>
      </w:r>
      <w:r>
        <w:rPr>
          <w:color w:val="auto"/>
          <w:highlight w:val="none"/>
        </w:rPr>
        <w:fldChar w:fldCharType="separate"/>
      </w:r>
      <w:r>
        <w:rPr>
          <w:color w:val="auto"/>
          <w:highlight w:val="none"/>
        </w:rPr>
        <w:t>112</w:t>
      </w:r>
      <w:r>
        <w:rPr>
          <w:color w:val="auto"/>
          <w:highlight w:val="none"/>
        </w:rPr>
        <w:fldChar w:fldCharType="end"/>
      </w:r>
      <w:r>
        <w:rPr>
          <w:rFonts w:ascii="宋体" w:hAnsi="宋体" w:cs="宋体"/>
          <w:bCs/>
          <w:color w:val="auto"/>
          <w:szCs w:val="22"/>
          <w:highlight w:val="none"/>
        </w:rPr>
        <w:fldChar w:fldCharType="end"/>
      </w:r>
    </w:p>
    <w:p w14:paraId="2BA26086">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_Toc688 </w:instrText>
      </w:r>
      <w:r>
        <w:rPr>
          <w:rFonts w:ascii="宋体" w:hAnsi="宋体" w:cs="宋体"/>
          <w:bCs/>
          <w:color w:val="auto"/>
          <w:szCs w:val="22"/>
          <w:highlight w:val="none"/>
        </w:rPr>
        <w:fldChar w:fldCharType="separate"/>
      </w:r>
      <w:r>
        <w:rPr>
          <w:rFonts w:hint="eastAsia" w:hAnsi="宋体"/>
          <w:bCs/>
          <w:color w:val="auto"/>
          <w:szCs w:val="22"/>
          <w:highlight w:val="none"/>
        </w:rPr>
        <w:t>59. 缺陷责任与质量保修</w:t>
      </w:r>
      <w:r>
        <w:rPr>
          <w:color w:val="auto"/>
          <w:highlight w:val="none"/>
        </w:rPr>
        <w:tab/>
      </w:r>
      <w:r>
        <w:rPr>
          <w:color w:val="auto"/>
          <w:highlight w:val="none"/>
        </w:rPr>
        <w:fldChar w:fldCharType="begin"/>
      </w:r>
      <w:r>
        <w:rPr>
          <w:color w:val="auto"/>
          <w:highlight w:val="none"/>
        </w:rPr>
        <w:instrText xml:space="preserve"> PAGEREF _Toc688 \h </w:instrText>
      </w:r>
      <w:r>
        <w:rPr>
          <w:color w:val="auto"/>
          <w:highlight w:val="none"/>
        </w:rPr>
        <w:fldChar w:fldCharType="separate"/>
      </w:r>
      <w:r>
        <w:rPr>
          <w:color w:val="auto"/>
          <w:highlight w:val="none"/>
        </w:rPr>
        <w:t>113</w:t>
      </w:r>
      <w:r>
        <w:rPr>
          <w:color w:val="auto"/>
          <w:highlight w:val="none"/>
        </w:rPr>
        <w:fldChar w:fldCharType="end"/>
      </w:r>
      <w:r>
        <w:rPr>
          <w:rFonts w:ascii="宋体" w:hAnsi="宋体" w:cs="宋体"/>
          <w:bCs/>
          <w:color w:val="auto"/>
          <w:szCs w:val="22"/>
          <w:highlight w:val="none"/>
        </w:rPr>
        <w:fldChar w:fldCharType="end"/>
      </w:r>
    </w:p>
    <w:p w14:paraId="3F692053">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_Toc21036 </w:instrText>
      </w:r>
      <w:r>
        <w:rPr>
          <w:rFonts w:ascii="宋体" w:hAnsi="宋体" w:cs="宋体"/>
          <w:bCs/>
          <w:color w:val="auto"/>
          <w:szCs w:val="22"/>
          <w:highlight w:val="none"/>
        </w:rPr>
        <w:fldChar w:fldCharType="separate"/>
      </w:r>
      <w:r>
        <w:rPr>
          <w:rFonts w:hint="eastAsia" w:hAnsi="宋体"/>
          <w:bCs/>
          <w:color w:val="auto"/>
          <w:szCs w:val="22"/>
          <w:highlight w:val="none"/>
        </w:rPr>
        <w:t>61. 工程量</w:t>
      </w:r>
      <w:r>
        <w:rPr>
          <w:color w:val="auto"/>
          <w:highlight w:val="none"/>
        </w:rPr>
        <w:tab/>
      </w:r>
      <w:r>
        <w:rPr>
          <w:color w:val="auto"/>
          <w:highlight w:val="none"/>
        </w:rPr>
        <w:fldChar w:fldCharType="begin"/>
      </w:r>
      <w:r>
        <w:rPr>
          <w:color w:val="auto"/>
          <w:highlight w:val="none"/>
        </w:rPr>
        <w:instrText xml:space="preserve"> PAGEREF _Toc21036 \h </w:instrText>
      </w:r>
      <w:r>
        <w:rPr>
          <w:color w:val="auto"/>
          <w:highlight w:val="none"/>
        </w:rPr>
        <w:fldChar w:fldCharType="separate"/>
      </w:r>
      <w:r>
        <w:rPr>
          <w:color w:val="auto"/>
          <w:highlight w:val="none"/>
        </w:rPr>
        <w:t>114</w:t>
      </w:r>
      <w:r>
        <w:rPr>
          <w:color w:val="auto"/>
          <w:highlight w:val="none"/>
        </w:rPr>
        <w:fldChar w:fldCharType="end"/>
      </w:r>
      <w:r>
        <w:rPr>
          <w:rFonts w:ascii="宋体" w:hAnsi="宋体" w:cs="宋体"/>
          <w:bCs/>
          <w:color w:val="auto"/>
          <w:szCs w:val="22"/>
          <w:highlight w:val="none"/>
        </w:rPr>
        <w:fldChar w:fldCharType="end"/>
      </w:r>
    </w:p>
    <w:p w14:paraId="77CA4066">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_Toc15120 </w:instrText>
      </w:r>
      <w:r>
        <w:rPr>
          <w:rFonts w:ascii="宋体" w:hAnsi="宋体" w:cs="宋体"/>
          <w:bCs/>
          <w:color w:val="auto"/>
          <w:szCs w:val="22"/>
          <w:highlight w:val="none"/>
        </w:rPr>
        <w:fldChar w:fldCharType="separate"/>
      </w:r>
      <w:r>
        <w:rPr>
          <w:rFonts w:hint="eastAsia" w:hAnsi="宋体"/>
          <w:bCs/>
          <w:color w:val="auto"/>
          <w:szCs w:val="22"/>
          <w:highlight w:val="none"/>
        </w:rPr>
        <w:t>6</w:t>
      </w:r>
      <w:r>
        <w:rPr>
          <w:rFonts w:hAnsi="宋体"/>
          <w:bCs/>
          <w:color w:val="auto"/>
          <w:szCs w:val="22"/>
          <w:highlight w:val="none"/>
        </w:rPr>
        <w:t>2.</w:t>
      </w:r>
      <w:r>
        <w:rPr>
          <w:rFonts w:hint="eastAsia" w:hAnsi="宋体"/>
          <w:bCs/>
          <w:color w:val="auto"/>
          <w:szCs w:val="22"/>
          <w:highlight w:val="none"/>
        </w:rPr>
        <w:t>工程计量和计价</w:t>
      </w:r>
      <w:r>
        <w:rPr>
          <w:color w:val="auto"/>
          <w:highlight w:val="none"/>
        </w:rPr>
        <w:tab/>
      </w:r>
      <w:r>
        <w:rPr>
          <w:color w:val="auto"/>
          <w:highlight w:val="none"/>
        </w:rPr>
        <w:fldChar w:fldCharType="begin"/>
      </w:r>
      <w:r>
        <w:rPr>
          <w:color w:val="auto"/>
          <w:highlight w:val="none"/>
        </w:rPr>
        <w:instrText xml:space="preserve"> PAGEREF _Toc15120 \h </w:instrText>
      </w:r>
      <w:r>
        <w:rPr>
          <w:color w:val="auto"/>
          <w:highlight w:val="none"/>
        </w:rPr>
        <w:fldChar w:fldCharType="separate"/>
      </w:r>
      <w:r>
        <w:rPr>
          <w:color w:val="auto"/>
          <w:highlight w:val="none"/>
        </w:rPr>
        <w:t>114</w:t>
      </w:r>
      <w:r>
        <w:rPr>
          <w:color w:val="auto"/>
          <w:highlight w:val="none"/>
        </w:rPr>
        <w:fldChar w:fldCharType="end"/>
      </w:r>
      <w:r>
        <w:rPr>
          <w:rFonts w:ascii="宋体" w:hAnsi="宋体" w:cs="宋体"/>
          <w:bCs/>
          <w:color w:val="auto"/>
          <w:szCs w:val="22"/>
          <w:highlight w:val="none"/>
        </w:rPr>
        <w:fldChar w:fldCharType="end"/>
      </w:r>
    </w:p>
    <w:p w14:paraId="0C086D8D">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_Toc24462 </w:instrText>
      </w:r>
      <w:r>
        <w:rPr>
          <w:rFonts w:ascii="宋体" w:hAnsi="宋体" w:cs="宋体"/>
          <w:bCs/>
          <w:color w:val="auto"/>
          <w:szCs w:val="22"/>
          <w:highlight w:val="none"/>
        </w:rPr>
        <w:fldChar w:fldCharType="separate"/>
      </w:r>
      <w:r>
        <w:rPr>
          <w:rFonts w:hint="eastAsia" w:hAnsi="宋体"/>
          <w:bCs/>
          <w:color w:val="auto"/>
          <w:szCs w:val="22"/>
          <w:highlight w:val="none"/>
        </w:rPr>
        <w:t>★63. 暂列金额</w:t>
      </w:r>
      <w:r>
        <w:rPr>
          <w:color w:val="auto"/>
          <w:highlight w:val="none"/>
        </w:rPr>
        <w:tab/>
      </w:r>
      <w:r>
        <w:rPr>
          <w:color w:val="auto"/>
          <w:highlight w:val="none"/>
        </w:rPr>
        <w:fldChar w:fldCharType="begin"/>
      </w:r>
      <w:r>
        <w:rPr>
          <w:color w:val="auto"/>
          <w:highlight w:val="none"/>
        </w:rPr>
        <w:instrText xml:space="preserve"> PAGEREF _Toc24462 \h </w:instrText>
      </w:r>
      <w:r>
        <w:rPr>
          <w:color w:val="auto"/>
          <w:highlight w:val="none"/>
        </w:rPr>
        <w:fldChar w:fldCharType="separate"/>
      </w:r>
      <w:r>
        <w:rPr>
          <w:color w:val="auto"/>
          <w:highlight w:val="none"/>
        </w:rPr>
        <w:t>114</w:t>
      </w:r>
      <w:r>
        <w:rPr>
          <w:color w:val="auto"/>
          <w:highlight w:val="none"/>
        </w:rPr>
        <w:fldChar w:fldCharType="end"/>
      </w:r>
      <w:r>
        <w:rPr>
          <w:rFonts w:ascii="宋体" w:hAnsi="宋体" w:cs="宋体"/>
          <w:bCs/>
          <w:color w:val="auto"/>
          <w:szCs w:val="22"/>
          <w:highlight w:val="none"/>
        </w:rPr>
        <w:fldChar w:fldCharType="end"/>
      </w:r>
    </w:p>
    <w:p w14:paraId="474B1775">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_Toc25863 </w:instrText>
      </w:r>
      <w:r>
        <w:rPr>
          <w:rFonts w:ascii="宋体" w:hAnsi="宋体" w:cs="宋体"/>
          <w:bCs/>
          <w:color w:val="auto"/>
          <w:szCs w:val="22"/>
          <w:highlight w:val="none"/>
        </w:rPr>
        <w:fldChar w:fldCharType="separate"/>
      </w:r>
      <w:r>
        <w:rPr>
          <w:rFonts w:hint="eastAsia" w:hAnsi="宋体"/>
          <w:bCs/>
          <w:color w:val="auto"/>
          <w:szCs w:val="22"/>
          <w:highlight w:val="none"/>
        </w:rPr>
        <w:t>★65. 暂估价</w:t>
      </w:r>
      <w:r>
        <w:rPr>
          <w:color w:val="auto"/>
          <w:highlight w:val="none"/>
        </w:rPr>
        <w:tab/>
      </w:r>
      <w:r>
        <w:rPr>
          <w:color w:val="auto"/>
          <w:highlight w:val="none"/>
        </w:rPr>
        <w:fldChar w:fldCharType="begin"/>
      </w:r>
      <w:r>
        <w:rPr>
          <w:color w:val="auto"/>
          <w:highlight w:val="none"/>
        </w:rPr>
        <w:instrText xml:space="preserve"> PAGEREF _Toc25863 \h </w:instrText>
      </w:r>
      <w:r>
        <w:rPr>
          <w:color w:val="auto"/>
          <w:highlight w:val="none"/>
        </w:rPr>
        <w:fldChar w:fldCharType="separate"/>
      </w:r>
      <w:r>
        <w:rPr>
          <w:color w:val="auto"/>
          <w:highlight w:val="none"/>
        </w:rPr>
        <w:t>114</w:t>
      </w:r>
      <w:r>
        <w:rPr>
          <w:color w:val="auto"/>
          <w:highlight w:val="none"/>
        </w:rPr>
        <w:fldChar w:fldCharType="end"/>
      </w:r>
      <w:r>
        <w:rPr>
          <w:rFonts w:ascii="宋体" w:hAnsi="宋体" w:cs="宋体"/>
          <w:bCs/>
          <w:color w:val="auto"/>
          <w:szCs w:val="22"/>
          <w:highlight w:val="none"/>
        </w:rPr>
        <w:fldChar w:fldCharType="end"/>
      </w:r>
    </w:p>
    <w:p w14:paraId="16C8950E">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_Toc2673 </w:instrText>
      </w:r>
      <w:r>
        <w:rPr>
          <w:rFonts w:ascii="宋体" w:hAnsi="宋体" w:cs="宋体"/>
          <w:bCs/>
          <w:color w:val="auto"/>
          <w:szCs w:val="22"/>
          <w:highlight w:val="none"/>
        </w:rPr>
        <w:fldChar w:fldCharType="separate"/>
      </w:r>
      <w:r>
        <w:rPr>
          <w:rFonts w:hint="eastAsia" w:hAnsi="宋体"/>
          <w:bCs/>
          <w:color w:val="auto"/>
          <w:szCs w:val="22"/>
          <w:highlight w:val="none"/>
        </w:rPr>
        <w:t>★66. 提前竣工奖与误期赔偿费</w:t>
      </w:r>
      <w:r>
        <w:rPr>
          <w:color w:val="auto"/>
          <w:highlight w:val="none"/>
        </w:rPr>
        <w:tab/>
      </w:r>
      <w:r>
        <w:rPr>
          <w:color w:val="auto"/>
          <w:highlight w:val="none"/>
        </w:rPr>
        <w:fldChar w:fldCharType="begin"/>
      </w:r>
      <w:r>
        <w:rPr>
          <w:color w:val="auto"/>
          <w:highlight w:val="none"/>
        </w:rPr>
        <w:instrText xml:space="preserve"> PAGEREF _Toc2673 \h </w:instrText>
      </w:r>
      <w:r>
        <w:rPr>
          <w:color w:val="auto"/>
          <w:highlight w:val="none"/>
        </w:rPr>
        <w:fldChar w:fldCharType="separate"/>
      </w:r>
      <w:r>
        <w:rPr>
          <w:color w:val="auto"/>
          <w:highlight w:val="none"/>
        </w:rPr>
        <w:t>115</w:t>
      </w:r>
      <w:r>
        <w:rPr>
          <w:color w:val="auto"/>
          <w:highlight w:val="none"/>
        </w:rPr>
        <w:fldChar w:fldCharType="end"/>
      </w:r>
      <w:r>
        <w:rPr>
          <w:rFonts w:ascii="宋体" w:hAnsi="宋体" w:cs="宋体"/>
          <w:bCs/>
          <w:color w:val="auto"/>
          <w:szCs w:val="22"/>
          <w:highlight w:val="none"/>
        </w:rPr>
        <w:fldChar w:fldCharType="end"/>
      </w:r>
    </w:p>
    <w:p w14:paraId="7749953B">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_Toc3237 </w:instrText>
      </w:r>
      <w:r>
        <w:rPr>
          <w:rFonts w:ascii="宋体" w:hAnsi="宋体" w:cs="宋体"/>
          <w:bCs/>
          <w:color w:val="auto"/>
          <w:szCs w:val="22"/>
          <w:highlight w:val="none"/>
        </w:rPr>
        <w:fldChar w:fldCharType="separate"/>
      </w:r>
      <w:r>
        <w:rPr>
          <w:rFonts w:hint="eastAsia" w:hAnsi="宋体"/>
          <w:bCs/>
          <w:color w:val="auto"/>
          <w:szCs w:val="22"/>
          <w:highlight w:val="none"/>
        </w:rPr>
        <w:t>★67. 工程优质费、工程建设标准费用</w:t>
      </w:r>
      <w:r>
        <w:rPr>
          <w:color w:val="auto"/>
          <w:highlight w:val="none"/>
        </w:rPr>
        <w:tab/>
      </w:r>
      <w:r>
        <w:rPr>
          <w:color w:val="auto"/>
          <w:highlight w:val="none"/>
        </w:rPr>
        <w:fldChar w:fldCharType="begin"/>
      </w:r>
      <w:r>
        <w:rPr>
          <w:color w:val="auto"/>
          <w:highlight w:val="none"/>
        </w:rPr>
        <w:instrText xml:space="preserve"> PAGEREF _Toc3237 \h </w:instrText>
      </w:r>
      <w:r>
        <w:rPr>
          <w:color w:val="auto"/>
          <w:highlight w:val="none"/>
        </w:rPr>
        <w:fldChar w:fldCharType="separate"/>
      </w:r>
      <w:r>
        <w:rPr>
          <w:color w:val="auto"/>
          <w:highlight w:val="none"/>
        </w:rPr>
        <w:t>115</w:t>
      </w:r>
      <w:r>
        <w:rPr>
          <w:color w:val="auto"/>
          <w:highlight w:val="none"/>
        </w:rPr>
        <w:fldChar w:fldCharType="end"/>
      </w:r>
      <w:r>
        <w:rPr>
          <w:rFonts w:ascii="宋体" w:hAnsi="宋体" w:cs="宋体"/>
          <w:bCs/>
          <w:color w:val="auto"/>
          <w:szCs w:val="22"/>
          <w:highlight w:val="none"/>
        </w:rPr>
        <w:fldChar w:fldCharType="end"/>
      </w:r>
    </w:p>
    <w:p w14:paraId="586E4B9F">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_Toc13024 </w:instrText>
      </w:r>
      <w:r>
        <w:rPr>
          <w:rFonts w:ascii="宋体" w:hAnsi="宋体" w:cs="宋体"/>
          <w:bCs/>
          <w:color w:val="auto"/>
          <w:szCs w:val="22"/>
          <w:highlight w:val="none"/>
        </w:rPr>
        <w:fldChar w:fldCharType="separate"/>
      </w:r>
      <w:r>
        <w:rPr>
          <w:rFonts w:hint="eastAsia" w:hAnsi="宋体"/>
          <w:bCs/>
          <w:color w:val="auto"/>
          <w:szCs w:val="22"/>
          <w:highlight w:val="none"/>
        </w:rPr>
        <w:t>★68. 合同价款的约定与调整</w:t>
      </w:r>
      <w:r>
        <w:rPr>
          <w:color w:val="auto"/>
          <w:highlight w:val="none"/>
        </w:rPr>
        <w:tab/>
      </w:r>
      <w:r>
        <w:rPr>
          <w:color w:val="auto"/>
          <w:highlight w:val="none"/>
        </w:rPr>
        <w:fldChar w:fldCharType="begin"/>
      </w:r>
      <w:r>
        <w:rPr>
          <w:color w:val="auto"/>
          <w:highlight w:val="none"/>
        </w:rPr>
        <w:instrText xml:space="preserve"> PAGEREF _Toc13024 \h </w:instrText>
      </w:r>
      <w:r>
        <w:rPr>
          <w:color w:val="auto"/>
          <w:highlight w:val="none"/>
        </w:rPr>
        <w:fldChar w:fldCharType="separate"/>
      </w:r>
      <w:r>
        <w:rPr>
          <w:color w:val="auto"/>
          <w:highlight w:val="none"/>
        </w:rPr>
        <w:t>116</w:t>
      </w:r>
      <w:r>
        <w:rPr>
          <w:color w:val="auto"/>
          <w:highlight w:val="none"/>
        </w:rPr>
        <w:fldChar w:fldCharType="end"/>
      </w:r>
      <w:r>
        <w:rPr>
          <w:rFonts w:ascii="宋体" w:hAnsi="宋体" w:cs="宋体"/>
          <w:bCs/>
          <w:color w:val="auto"/>
          <w:szCs w:val="22"/>
          <w:highlight w:val="none"/>
        </w:rPr>
        <w:fldChar w:fldCharType="end"/>
      </w:r>
    </w:p>
    <w:p w14:paraId="26D78897">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_Toc27932 </w:instrText>
      </w:r>
      <w:r>
        <w:rPr>
          <w:rFonts w:ascii="宋体" w:hAnsi="宋体" w:cs="宋体"/>
          <w:bCs/>
          <w:color w:val="auto"/>
          <w:szCs w:val="22"/>
          <w:highlight w:val="none"/>
        </w:rPr>
        <w:fldChar w:fldCharType="separate"/>
      </w:r>
      <w:r>
        <w:rPr>
          <w:rFonts w:hAnsi="宋体"/>
          <w:bCs/>
          <w:color w:val="auto"/>
          <w:szCs w:val="22"/>
          <w:highlight w:val="none"/>
        </w:rPr>
        <w:t xml:space="preserve">72. </w:t>
      </w:r>
      <w:r>
        <w:rPr>
          <w:rFonts w:hint="eastAsia" w:hAnsi="宋体"/>
          <w:bCs/>
          <w:color w:val="auto"/>
          <w:szCs w:val="22"/>
          <w:highlight w:val="none"/>
        </w:rPr>
        <w:t>工程变更事件</w:t>
      </w:r>
      <w:r>
        <w:rPr>
          <w:color w:val="auto"/>
          <w:highlight w:val="none"/>
        </w:rPr>
        <w:tab/>
      </w:r>
      <w:r>
        <w:rPr>
          <w:color w:val="auto"/>
          <w:highlight w:val="none"/>
        </w:rPr>
        <w:fldChar w:fldCharType="begin"/>
      </w:r>
      <w:r>
        <w:rPr>
          <w:color w:val="auto"/>
          <w:highlight w:val="none"/>
        </w:rPr>
        <w:instrText xml:space="preserve"> PAGEREF _Toc27932 \h </w:instrText>
      </w:r>
      <w:r>
        <w:rPr>
          <w:color w:val="auto"/>
          <w:highlight w:val="none"/>
        </w:rPr>
        <w:fldChar w:fldCharType="separate"/>
      </w:r>
      <w:r>
        <w:rPr>
          <w:color w:val="auto"/>
          <w:highlight w:val="none"/>
        </w:rPr>
        <w:t>119</w:t>
      </w:r>
      <w:r>
        <w:rPr>
          <w:color w:val="auto"/>
          <w:highlight w:val="none"/>
        </w:rPr>
        <w:fldChar w:fldCharType="end"/>
      </w:r>
      <w:r>
        <w:rPr>
          <w:rFonts w:ascii="宋体" w:hAnsi="宋体" w:cs="宋体"/>
          <w:bCs/>
          <w:color w:val="auto"/>
          <w:szCs w:val="22"/>
          <w:highlight w:val="none"/>
        </w:rPr>
        <w:fldChar w:fldCharType="end"/>
      </w:r>
    </w:p>
    <w:p w14:paraId="3B8E0283">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_Toc23887 </w:instrText>
      </w:r>
      <w:r>
        <w:rPr>
          <w:rFonts w:ascii="宋体" w:hAnsi="宋体" w:cs="宋体"/>
          <w:bCs/>
          <w:color w:val="auto"/>
          <w:szCs w:val="22"/>
          <w:highlight w:val="none"/>
        </w:rPr>
        <w:fldChar w:fldCharType="separate"/>
      </w:r>
      <w:r>
        <w:rPr>
          <w:rFonts w:hAnsi="宋体"/>
          <w:bCs/>
          <w:color w:val="auto"/>
          <w:szCs w:val="22"/>
          <w:highlight w:val="none"/>
        </w:rPr>
        <w:t xml:space="preserve">73. </w:t>
      </w:r>
      <w:r>
        <w:rPr>
          <w:rFonts w:hint="eastAsia" w:hAnsi="宋体"/>
          <w:bCs/>
          <w:color w:val="auto"/>
          <w:szCs w:val="22"/>
          <w:highlight w:val="none"/>
        </w:rPr>
        <w:t>工程量偏差事件</w:t>
      </w:r>
      <w:r>
        <w:rPr>
          <w:color w:val="auto"/>
          <w:highlight w:val="none"/>
        </w:rPr>
        <w:tab/>
      </w:r>
      <w:r>
        <w:rPr>
          <w:color w:val="auto"/>
          <w:highlight w:val="none"/>
        </w:rPr>
        <w:fldChar w:fldCharType="begin"/>
      </w:r>
      <w:r>
        <w:rPr>
          <w:color w:val="auto"/>
          <w:highlight w:val="none"/>
        </w:rPr>
        <w:instrText xml:space="preserve"> PAGEREF _Toc23887 \h </w:instrText>
      </w:r>
      <w:r>
        <w:rPr>
          <w:color w:val="auto"/>
          <w:highlight w:val="none"/>
        </w:rPr>
        <w:fldChar w:fldCharType="separate"/>
      </w:r>
      <w:r>
        <w:rPr>
          <w:color w:val="auto"/>
          <w:highlight w:val="none"/>
        </w:rPr>
        <w:t>119</w:t>
      </w:r>
      <w:r>
        <w:rPr>
          <w:color w:val="auto"/>
          <w:highlight w:val="none"/>
        </w:rPr>
        <w:fldChar w:fldCharType="end"/>
      </w:r>
      <w:r>
        <w:rPr>
          <w:rFonts w:ascii="宋体" w:hAnsi="宋体" w:cs="宋体"/>
          <w:bCs/>
          <w:color w:val="auto"/>
          <w:szCs w:val="22"/>
          <w:highlight w:val="none"/>
        </w:rPr>
        <w:fldChar w:fldCharType="end"/>
      </w:r>
    </w:p>
    <w:p w14:paraId="110DC2B0">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_Toc32499 </w:instrText>
      </w:r>
      <w:r>
        <w:rPr>
          <w:rFonts w:ascii="宋体" w:hAnsi="宋体" w:cs="宋体"/>
          <w:bCs/>
          <w:color w:val="auto"/>
          <w:szCs w:val="22"/>
          <w:highlight w:val="none"/>
        </w:rPr>
        <w:fldChar w:fldCharType="separate"/>
      </w:r>
      <w:r>
        <w:rPr>
          <w:rFonts w:hint="eastAsia" w:hAnsi="宋体"/>
          <w:bCs/>
          <w:color w:val="auto"/>
          <w:szCs w:val="22"/>
          <w:highlight w:val="none"/>
        </w:rPr>
        <w:t>75. 现场签证事件</w:t>
      </w:r>
      <w:r>
        <w:rPr>
          <w:color w:val="auto"/>
          <w:highlight w:val="none"/>
        </w:rPr>
        <w:tab/>
      </w:r>
      <w:r>
        <w:rPr>
          <w:color w:val="auto"/>
          <w:highlight w:val="none"/>
        </w:rPr>
        <w:fldChar w:fldCharType="begin"/>
      </w:r>
      <w:r>
        <w:rPr>
          <w:color w:val="auto"/>
          <w:highlight w:val="none"/>
        </w:rPr>
        <w:instrText xml:space="preserve"> PAGEREF _Toc32499 \h </w:instrText>
      </w:r>
      <w:r>
        <w:rPr>
          <w:color w:val="auto"/>
          <w:highlight w:val="none"/>
        </w:rPr>
        <w:fldChar w:fldCharType="separate"/>
      </w:r>
      <w:r>
        <w:rPr>
          <w:color w:val="auto"/>
          <w:highlight w:val="none"/>
        </w:rPr>
        <w:t>119</w:t>
      </w:r>
      <w:r>
        <w:rPr>
          <w:color w:val="auto"/>
          <w:highlight w:val="none"/>
        </w:rPr>
        <w:fldChar w:fldCharType="end"/>
      </w:r>
      <w:r>
        <w:rPr>
          <w:rFonts w:ascii="宋体" w:hAnsi="宋体" w:cs="宋体"/>
          <w:bCs/>
          <w:color w:val="auto"/>
          <w:szCs w:val="22"/>
          <w:highlight w:val="none"/>
        </w:rPr>
        <w:fldChar w:fldCharType="end"/>
      </w:r>
    </w:p>
    <w:p w14:paraId="2E9AAB9D">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_Toc5765 </w:instrText>
      </w:r>
      <w:r>
        <w:rPr>
          <w:rFonts w:ascii="宋体" w:hAnsi="宋体" w:cs="宋体"/>
          <w:bCs/>
          <w:color w:val="auto"/>
          <w:szCs w:val="22"/>
          <w:highlight w:val="none"/>
        </w:rPr>
        <w:fldChar w:fldCharType="separate"/>
      </w:r>
      <w:r>
        <w:rPr>
          <w:rFonts w:hint="eastAsia" w:hAnsi="宋体"/>
          <w:bCs/>
          <w:color w:val="auto"/>
          <w:szCs w:val="22"/>
          <w:highlight w:val="none"/>
        </w:rPr>
        <w:t>★76. 物价涨落事件</w:t>
      </w:r>
      <w:r>
        <w:rPr>
          <w:color w:val="auto"/>
          <w:highlight w:val="none"/>
        </w:rPr>
        <w:tab/>
      </w:r>
      <w:r>
        <w:rPr>
          <w:color w:val="auto"/>
          <w:highlight w:val="none"/>
        </w:rPr>
        <w:fldChar w:fldCharType="begin"/>
      </w:r>
      <w:r>
        <w:rPr>
          <w:color w:val="auto"/>
          <w:highlight w:val="none"/>
        </w:rPr>
        <w:instrText xml:space="preserve"> PAGEREF _Toc5765 \h </w:instrText>
      </w:r>
      <w:r>
        <w:rPr>
          <w:color w:val="auto"/>
          <w:highlight w:val="none"/>
        </w:rPr>
        <w:fldChar w:fldCharType="separate"/>
      </w:r>
      <w:r>
        <w:rPr>
          <w:color w:val="auto"/>
          <w:highlight w:val="none"/>
        </w:rPr>
        <w:t>119</w:t>
      </w:r>
      <w:r>
        <w:rPr>
          <w:color w:val="auto"/>
          <w:highlight w:val="none"/>
        </w:rPr>
        <w:fldChar w:fldCharType="end"/>
      </w:r>
      <w:r>
        <w:rPr>
          <w:rFonts w:ascii="宋体" w:hAnsi="宋体" w:cs="宋体"/>
          <w:bCs/>
          <w:color w:val="auto"/>
          <w:szCs w:val="22"/>
          <w:highlight w:val="none"/>
        </w:rPr>
        <w:fldChar w:fldCharType="end"/>
      </w:r>
    </w:p>
    <w:p w14:paraId="1ABEBD68">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_Toc8384 </w:instrText>
      </w:r>
      <w:r>
        <w:rPr>
          <w:rFonts w:ascii="宋体" w:hAnsi="宋体" w:cs="宋体"/>
          <w:bCs/>
          <w:color w:val="auto"/>
          <w:szCs w:val="22"/>
          <w:highlight w:val="none"/>
        </w:rPr>
        <w:fldChar w:fldCharType="separate"/>
      </w:r>
      <w:r>
        <w:rPr>
          <w:rFonts w:hint="eastAsia" w:hAnsi="宋体"/>
          <w:bCs/>
          <w:color w:val="auto"/>
          <w:szCs w:val="22"/>
          <w:highlight w:val="none"/>
        </w:rPr>
        <w:t>78. 支付事项</w:t>
      </w:r>
      <w:r>
        <w:rPr>
          <w:color w:val="auto"/>
          <w:highlight w:val="none"/>
        </w:rPr>
        <w:tab/>
      </w:r>
      <w:r>
        <w:rPr>
          <w:color w:val="auto"/>
          <w:highlight w:val="none"/>
        </w:rPr>
        <w:fldChar w:fldCharType="begin"/>
      </w:r>
      <w:r>
        <w:rPr>
          <w:color w:val="auto"/>
          <w:highlight w:val="none"/>
        </w:rPr>
        <w:instrText xml:space="preserve"> PAGEREF _Toc8384 \h </w:instrText>
      </w:r>
      <w:r>
        <w:rPr>
          <w:color w:val="auto"/>
          <w:highlight w:val="none"/>
        </w:rPr>
        <w:fldChar w:fldCharType="separate"/>
      </w:r>
      <w:r>
        <w:rPr>
          <w:color w:val="auto"/>
          <w:highlight w:val="none"/>
        </w:rPr>
        <w:t>120</w:t>
      </w:r>
      <w:r>
        <w:rPr>
          <w:color w:val="auto"/>
          <w:highlight w:val="none"/>
        </w:rPr>
        <w:fldChar w:fldCharType="end"/>
      </w:r>
      <w:r>
        <w:rPr>
          <w:rFonts w:ascii="宋体" w:hAnsi="宋体" w:cs="宋体"/>
          <w:bCs/>
          <w:color w:val="auto"/>
          <w:szCs w:val="22"/>
          <w:highlight w:val="none"/>
        </w:rPr>
        <w:fldChar w:fldCharType="end"/>
      </w:r>
    </w:p>
    <w:p w14:paraId="22CD65B8">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_Toc31718 </w:instrText>
      </w:r>
      <w:r>
        <w:rPr>
          <w:rFonts w:ascii="宋体" w:hAnsi="宋体" w:cs="宋体"/>
          <w:bCs/>
          <w:color w:val="auto"/>
          <w:szCs w:val="22"/>
          <w:highlight w:val="none"/>
        </w:rPr>
        <w:fldChar w:fldCharType="separate"/>
      </w:r>
      <w:r>
        <w:rPr>
          <w:rFonts w:hint="eastAsia" w:hAnsi="宋体"/>
          <w:bCs/>
          <w:color w:val="auto"/>
          <w:szCs w:val="22"/>
          <w:highlight w:val="none"/>
        </w:rPr>
        <w:t>★79. 预付款</w:t>
      </w:r>
      <w:r>
        <w:rPr>
          <w:color w:val="auto"/>
          <w:highlight w:val="none"/>
        </w:rPr>
        <w:tab/>
      </w:r>
      <w:r>
        <w:rPr>
          <w:color w:val="auto"/>
          <w:highlight w:val="none"/>
        </w:rPr>
        <w:fldChar w:fldCharType="begin"/>
      </w:r>
      <w:r>
        <w:rPr>
          <w:color w:val="auto"/>
          <w:highlight w:val="none"/>
        </w:rPr>
        <w:instrText xml:space="preserve"> PAGEREF _Toc31718 \h </w:instrText>
      </w:r>
      <w:r>
        <w:rPr>
          <w:color w:val="auto"/>
          <w:highlight w:val="none"/>
        </w:rPr>
        <w:fldChar w:fldCharType="separate"/>
      </w:r>
      <w:r>
        <w:rPr>
          <w:color w:val="auto"/>
          <w:highlight w:val="none"/>
        </w:rPr>
        <w:t>120</w:t>
      </w:r>
      <w:r>
        <w:rPr>
          <w:color w:val="auto"/>
          <w:highlight w:val="none"/>
        </w:rPr>
        <w:fldChar w:fldCharType="end"/>
      </w:r>
      <w:r>
        <w:rPr>
          <w:rFonts w:ascii="宋体" w:hAnsi="宋体" w:cs="宋体"/>
          <w:bCs/>
          <w:color w:val="auto"/>
          <w:szCs w:val="22"/>
          <w:highlight w:val="none"/>
        </w:rPr>
        <w:fldChar w:fldCharType="end"/>
      </w:r>
    </w:p>
    <w:p w14:paraId="3B72A847">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_Toc30435 </w:instrText>
      </w:r>
      <w:r>
        <w:rPr>
          <w:rFonts w:ascii="宋体" w:hAnsi="宋体" w:cs="宋体"/>
          <w:bCs/>
          <w:color w:val="auto"/>
          <w:szCs w:val="22"/>
          <w:highlight w:val="none"/>
        </w:rPr>
        <w:fldChar w:fldCharType="separate"/>
      </w:r>
      <w:r>
        <w:rPr>
          <w:rFonts w:hint="eastAsia" w:hAnsi="宋体"/>
          <w:bCs/>
          <w:color w:val="auto"/>
          <w:szCs w:val="22"/>
          <w:highlight w:val="none"/>
        </w:rPr>
        <w:t>★80. 绿色施工安全防护费</w:t>
      </w:r>
      <w:r>
        <w:rPr>
          <w:color w:val="auto"/>
          <w:highlight w:val="none"/>
        </w:rPr>
        <w:tab/>
      </w:r>
      <w:r>
        <w:rPr>
          <w:color w:val="auto"/>
          <w:highlight w:val="none"/>
        </w:rPr>
        <w:fldChar w:fldCharType="begin"/>
      </w:r>
      <w:r>
        <w:rPr>
          <w:color w:val="auto"/>
          <w:highlight w:val="none"/>
        </w:rPr>
        <w:instrText xml:space="preserve"> PAGEREF _Toc30435 \h </w:instrText>
      </w:r>
      <w:r>
        <w:rPr>
          <w:color w:val="auto"/>
          <w:highlight w:val="none"/>
        </w:rPr>
        <w:fldChar w:fldCharType="separate"/>
      </w:r>
      <w:r>
        <w:rPr>
          <w:color w:val="auto"/>
          <w:highlight w:val="none"/>
        </w:rPr>
        <w:t>121</w:t>
      </w:r>
      <w:r>
        <w:rPr>
          <w:color w:val="auto"/>
          <w:highlight w:val="none"/>
        </w:rPr>
        <w:fldChar w:fldCharType="end"/>
      </w:r>
      <w:r>
        <w:rPr>
          <w:rFonts w:ascii="宋体" w:hAnsi="宋体" w:cs="宋体"/>
          <w:bCs/>
          <w:color w:val="auto"/>
          <w:szCs w:val="22"/>
          <w:highlight w:val="none"/>
        </w:rPr>
        <w:fldChar w:fldCharType="end"/>
      </w:r>
    </w:p>
    <w:p w14:paraId="091F37ED">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_Toc13007 </w:instrText>
      </w:r>
      <w:r>
        <w:rPr>
          <w:rFonts w:ascii="宋体" w:hAnsi="宋体" w:cs="宋体"/>
          <w:bCs/>
          <w:color w:val="auto"/>
          <w:szCs w:val="22"/>
          <w:highlight w:val="none"/>
        </w:rPr>
        <w:fldChar w:fldCharType="separate"/>
      </w:r>
      <w:r>
        <w:rPr>
          <w:rFonts w:hint="eastAsia" w:hAnsi="宋体"/>
          <w:bCs/>
          <w:color w:val="auto"/>
          <w:szCs w:val="22"/>
          <w:highlight w:val="none"/>
        </w:rPr>
        <w:t>★81. 进度款</w:t>
      </w:r>
      <w:r>
        <w:rPr>
          <w:color w:val="auto"/>
          <w:highlight w:val="none"/>
        </w:rPr>
        <w:tab/>
      </w:r>
      <w:r>
        <w:rPr>
          <w:color w:val="auto"/>
          <w:highlight w:val="none"/>
        </w:rPr>
        <w:fldChar w:fldCharType="begin"/>
      </w:r>
      <w:r>
        <w:rPr>
          <w:color w:val="auto"/>
          <w:highlight w:val="none"/>
        </w:rPr>
        <w:instrText xml:space="preserve"> PAGEREF _Toc13007 \h </w:instrText>
      </w:r>
      <w:r>
        <w:rPr>
          <w:color w:val="auto"/>
          <w:highlight w:val="none"/>
        </w:rPr>
        <w:fldChar w:fldCharType="separate"/>
      </w:r>
      <w:r>
        <w:rPr>
          <w:color w:val="auto"/>
          <w:highlight w:val="none"/>
        </w:rPr>
        <w:t>122</w:t>
      </w:r>
      <w:r>
        <w:rPr>
          <w:color w:val="auto"/>
          <w:highlight w:val="none"/>
        </w:rPr>
        <w:fldChar w:fldCharType="end"/>
      </w:r>
      <w:r>
        <w:rPr>
          <w:rFonts w:ascii="宋体" w:hAnsi="宋体" w:cs="宋体"/>
          <w:bCs/>
          <w:color w:val="auto"/>
          <w:szCs w:val="22"/>
          <w:highlight w:val="none"/>
        </w:rPr>
        <w:fldChar w:fldCharType="end"/>
      </w:r>
    </w:p>
    <w:p w14:paraId="4EAFBE5A">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_Toc16849 </w:instrText>
      </w:r>
      <w:r>
        <w:rPr>
          <w:rFonts w:ascii="宋体" w:hAnsi="宋体" w:cs="宋体"/>
          <w:bCs/>
          <w:color w:val="auto"/>
          <w:szCs w:val="22"/>
          <w:highlight w:val="none"/>
        </w:rPr>
        <w:fldChar w:fldCharType="separate"/>
      </w:r>
      <w:r>
        <w:rPr>
          <w:rFonts w:hint="eastAsia" w:hAnsi="宋体"/>
          <w:bCs/>
          <w:color w:val="auto"/>
          <w:szCs w:val="22"/>
          <w:highlight w:val="none"/>
        </w:rPr>
        <w:t>82. 竣工结算</w:t>
      </w:r>
      <w:r>
        <w:rPr>
          <w:color w:val="auto"/>
          <w:highlight w:val="none"/>
        </w:rPr>
        <w:tab/>
      </w:r>
      <w:r>
        <w:rPr>
          <w:color w:val="auto"/>
          <w:highlight w:val="none"/>
        </w:rPr>
        <w:fldChar w:fldCharType="begin"/>
      </w:r>
      <w:r>
        <w:rPr>
          <w:color w:val="auto"/>
          <w:highlight w:val="none"/>
        </w:rPr>
        <w:instrText xml:space="preserve"> PAGEREF _Toc16849 \h </w:instrText>
      </w:r>
      <w:r>
        <w:rPr>
          <w:color w:val="auto"/>
          <w:highlight w:val="none"/>
        </w:rPr>
        <w:fldChar w:fldCharType="separate"/>
      </w:r>
      <w:r>
        <w:rPr>
          <w:color w:val="auto"/>
          <w:highlight w:val="none"/>
        </w:rPr>
        <w:t>124</w:t>
      </w:r>
      <w:r>
        <w:rPr>
          <w:color w:val="auto"/>
          <w:highlight w:val="none"/>
        </w:rPr>
        <w:fldChar w:fldCharType="end"/>
      </w:r>
      <w:r>
        <w:rPr>
          <w:rFonts w:ascii="宋体" w:hAnsi="宋体" w:cs="宋体"/>
          <w:bCs/>
          <w:color w:val="auto"/>
          <w:szCs w:val="22"/>
          <w:highlight w:val="none"/>
        </w:rPr>
        <w:fldChar w:fldCharType="end"/>
      </w:r>
    </w:p>
    <w:p w14:paraId="58DEB2B0">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_Toc12331 </w:instrText>
      </w:r>
      <w:r>
        <w:rPr>
          <w:rFonts w:ascii="宋体" w:hAnsi="宋体" w:cs="宋体"/>
          <w:bCs/>
          <w:color w:val="auto"/>
          <w:szCs w:val="22"/>
          <w:highlight w:val="none"/>
        </w:rPr>
        <w:fldChar w:fldCharType="separate"/>
      </w:r>
      <w:r>
        <w:rPr>
          <w:rFonts w:hint="eastAsia" w:hAnsi="宋体"/>
          <w:bCs/>
          <w:color w:val="auto"/>
          <w:szCs w:val="22"/>
          <w:highlight w:val="none"/>
        </w:rPr>
        <w:t>★83. 结算款</w:t>
      </w:r>
      <w:r>
        <w:rPr>
          <w:color w:val="auto"/>
          <w:highlight w:val="none"/>
        </w:rPr>
        <w:tab/>
      </w:r>
      <w:r>
        <w:rPr>
          <w:color w:val="auto"/>
          <w:highlight w:val="none"/>
        </w:rPr>
        <w:fldChar w:fldCharType="begin"/>
      </w:r>
      <w:r>
        <w:rPr>
          <w:color w:val="auto"/>
          <w:highlight w:val="none"/>
        </w:rPr>
        <w:instrText xml:space="preserve"> PAGEREF _Toc12331 \h </w:instrText>
      </w:r>
      <w:r>
        <w:rPr>
          <w:color w:val="auto"/>
          <w:highlight w:val="none"/>
        </w:rPr>
        <w:fldChar w:fldCharType="separate"/>
      </w:r>
      <w:r>
        <w:rPr>
          <w:color w:val="auto"/>
          <w:highlight w:val="none"/>
        </w:rPr>
        <w:t>126</w:t>
      </w:r>
      <w:r>
        <w:rPr>
          <w:color w:val="auto"/>
          <w:highlight w:val="none"/>
        </w:rPr>
        <w:fldChar w:fldCharType="end"/>
      </w:r>
      <w:r>
        <w:rPr>
          <w:rFonts w:ascii="宋体" w:hAnsi="宋体" w:cs="宋体"/>
          <w:bCs/>
          <w:color w:val="auto"/>
          <w:szCs w:val="22"/>
          <w:highlight w:val="none"/>
        </w:rPr>
        <w:fldChar w:fldCharType="end"/>
      </w:r>
    </w:p>
    <w:p w14:paraId="36948B67">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_Toc10219 </w:instrText>
      </w:r>
      <w:r>
        <w:rPr>
          <w:rFonts w:ascii="宋体" w:hAnsi="宋体" w:cs="宋体"/>
          <w:bCs/>
          <w:color w:val="auto"/>
          <w:szCs w:val="22"/>
          <w:highlight w:val="none"/>
        </w:rPr>
        <w:fldChar w:fldCharType="separate"/>
      </w:r>
      <w:r>
        <w:rPr>
          <w:rFonts w:hint="eastAsia" w:hAnsi="宋体"/>
          <w:bCs/>
          <w:color w:val="auto"/>
          <w:szCs w:val="22"/>
          <w:highlight w:val="none"/>
        </w:rPr>
        <w:t>★84. 质量保证金</w:t>
      </w:r>
      <w:r>
        <w:rPr>
          <w:color w:val="auto"/>
          <w:highlight w:val="none"/>
        </w:rPr>
        <w:tab/>
      </w:r>
      <w:r>
        <w:rPr>
          <w:color w:val="auto"/>
          <w:highlight w:val="none"/>
        </w:rPr>
        <w:fldChar w:fldCharType="begin"/>
      </w:r>
      <w:r>
        <w:rPr>
          <w:color w:val="auto"/>
          <w:highlight w:val="none"/>
        </w:rPr>
        <w:instrText xml:space="preserve"> PAGEREF _Toc10219 \h </w:instrText>
      </w:r>
      <w:r>
        <w:rPr>
          <w:color w:val="auto"/>
          <w:highlight w:val="none"/>
        </w:rPr>
        <w:fldChar w:fldCharType="separate"/>
      </w:r>
      <w:r>
        <w:rPr>
          <w:color w:val="auto"/>
          <w:highlight w:val="none"/>
        </w:rPr>
        <w:t>126</w:t>
      </w:r>
      <w:r>
        <w:rPr>
          <w:color w:val="auto"/>
          <w:highlight w:val="none"/>
        </w:rPr>
        <w:fldChar w:fldCharType="end"/>
      </w:r>
      <w:r>
        <w:rPr>
          <w:rFonts w:ascii="宋体" w:hAnsi="宋体" w:cs="宋体"/>
          <w:bCs/>
          <w:color w:val="auto"/>
          <w:szCs w:val="22"/>
          <w:highlight w:val="none"/>
        </w:rPr>
        <w:fldChar w:fldCharType="end"/>
      </w:r>
    </w:p>
    <w:p w14:paraId="2DDAD1D4">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_Toc31089 </w:instrText>
      </w:r>
      <w:r>
        <w:rPr>
          <w:rFonts w:ascii="宋体" w:hAnsi="宋体" w:cs="宋体"/>
          <w:bCs/>
          <w:color w:val="auto"/>
          <w:szCs w:val="22"/>
          <w:highlight w:val="none"/>
        </w:rPr>
        <w:fldChar w:fldCharType="separate"/>
      </w:r>
      <w:r>
        <w:rPr>
          <w:rFonts w:hint="eastAsia" w:hAnsi="宋体"/>
          <w:bCs/>
          <w:color w:val="auto"/>
          <w:szCs w:val="22"/>
          <w:highlight w:val="none"/>
        </w:rPr>
        <w:t>85. 最终清算款</w:t>
      </w:r>
      <w:r>
        <w:rPr>
          <w:color w:val="auto"/>
          <w:highlight w:val="none"/>
        </w:rPr>
        <w:tab/>
      </w:r>
      <w:r>
        <w:rPr>
          <w:color w:val="auto"/>
          <w:highlight w:val="none"/>
        </w:rPr>
        <w:fldChar w:fldCharType="begin"/>
      </w:r>
      <w:r>
        <w:rPr>
          <w:color w:val="auto"/>
          <w:highlight w:val="none"/>
        </w:rPr>
        <w:instrText xml:space="preserve"> PAGEREF _Toc31089 \h </w:instrText>
      </w:r>
      <w:r>
        <w:rPr>
          <w:color w:val="auto"/>
          <w:highlight w:val="none"/>
        </w:rPr>
        <w:fldChar w:fldCharType="separate"/>
      </w:r>
      <w:r>
        <w:rPr>
          <w:color w:val="auto"/>
          <w:highlight w:val="none"/>
        </w:rPr>
        <w:t>127</w:t>
      </w:r>
      <w:r>
        <w:rPr>
          <w:color w:val="auto"/>
          <w:highlight w:val="none"/>
        </w:rPr>
        <w:fldChar w:fldCharType="end"/>
      </w:r>
      <w:r>
        <w:rPr>
          <w:rFonts w:ascii="宋体" w:hAnsi="宋体" w:cs="宋体"/>
          <w:bCs/>
          <w:color w:val="auto"/>
          <w:szCs w:val="22"/>
          <w:highlight w:val="none"/>
        </w:rPr>
        <w:fldChar w:fldCharType="end"/>
      </w:r>
    </w:p>
    <w:p w14:paraId="6B5C29C0">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_Toc5889 </w:instrText>
      </w:r>
      <w:r>
        <w:rPr>
          <w:rFonts w:ascii="宋体" w:hAnsi="宋体" w:cs="宋体"/>
          <w:bCs/>
          <w:color w:val="auto"/>
          <w:szCs w:val="22"/>
          <w:highlight w:val="none"/>
        </w:rPr>
        <w:fldChar w:fldCharType="separate"/>
      </w:r>
      <w:r>
        <w:rPr>
          <w:rFonts w:hint="eastAsia" w:hAnsi="宋体"/>
          <w:bCs/>
          <w:color w:val="auto"/>
          <w:szCs w:val="22"/>
          <w:highlight w:val="none"/>
        </w:rPr>
        <w:t>86. 合同争议</w:t>
      </w:r>
      <w:r>
        <w:rPr>
          <w:color w:val="auto"/>
          <w:highlight w:val="none"/>
        </w:rPr>
        <w:tab/>
      </w:r>
      <w:r>
        <w:rPr>
          <w:color w:val="auto"/>
          <w:highlight w:val="none"/>
        </w:rPr>
        <w:fldChar w:fldCharType="begin"/>
      </w:r>
      <w:r>
        <w:rPr>
          <w:color w:val="auto"/>
          <w:highlight w:val="none"/>
        </w:rPr>
        <w:instrText xml:space="preserve"> PAGEREF _Toc5889 \h </w:instrText>
      </w:r>
      <w:r>
        <w:rPr>
          <w:color w:val="auto"/>
          <w:highlight w:val="none"/>
        </w:rPr>
        <w:fldChar w:fldCharType="separate"/>
      </w:r>
      <w:r>
        <w:rPr>
          <w:color w:val="auto"/>
          <w:highlight w:val="none"/>
        </w:rPr>
        <w:t>127</w:t>
      </w:r>
      <w:r>
        <w:rPr>
          <w:color w:val="auto"/>
          <w:highlight w:val="none"/>
        </w:rPr>
        <w:fldChar w:fldCharType="end"/>
      </w:r>
      <w:r>
        <w:rPr>
          <w:rFonts w:ascii="宋体" w:hAnsi="宋体" w:cs="宋体"/>
          <w:bCs/>
          <w:color w:val="auto"/>
          <w:szCs w:val="22"/>
          <w:highlight w:val="none"/>
        </w:rPr>
        <w:fldChar w:fldCharType="end"/>
      </w:r>
    </w:p>
    <w:p w14:paraId="0ABEEA3C">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_Toc17130 </w:instrText>
      </w:r>
      <w:r>
        <w:rPr>
          <w:rFonts w:ascii="宋体" w:hAnsi="宋体" w:cs="宋体"/>
          <w:bCs/>
          <w:color w:val="auto"/>
          <w:szCs w:val="22"/>
          <w:highlight w:val="none"/>
        </w:rPr>
        <w:fldChar w:fldCharType="separate"/>
      </w:r>
      <w:r>
        <w:rPr>
          <w:rFonts w:hint="eastAsia" w:hAnsi="宋体"/>
          <w:bCs/>
          <w:color w:val="auto"/>
          <w:szCs w:val="22"/>
          <w:highlight w:val="none"/>
        </w:rPr>
        <w:t>8</w:t>
      </w:r>
      <w:r>
        <w:rPr>
          <w:rFonts w:hAnsi="宋体"/>
          <w:bCs/>
          <w:color w:val="auto"/>
          <w:szCs w:val="22"/>
          <w:highlight w:val="none"/>
        </w:rPr>
        <w:t>7.</w:t>
      </w:r>
      <w:r>
        <w:rPr>
          <w:rFonts w:hint="eastAsia" w:hAnsi="宋体"/>
          <w:bCs/>
          <w:color w:val="auto"/>
          <w:szCs w:val="22"/>
          <w:highlight w:val="none"/>
        </w:rPr>
        <w:t>合同解除</w:t>
      </w:r>
      <w:r>
        <w:rPr>
          <w:color w:val="auto"/>
          <w:highlight w:val="none"/>
        </w:rPr>
        <w:tab/>
      </w:r>
      <w:r>
        <w:rPr>
          <w:color w:val="auto"/>
          <w:highlight w:val="none"/>
        </w:rPr>
        <w:fldChar w:fldCharType="begin"/>
      </w:r>
      <w:r>
        <w:rPr>
          <w:color w:val="auto"/>
          <w:highlight w:val="none"/>
        </w:rPr>
        <w:instrText xml:space="preserve"> PAGEREF _Toc17130 \h </w:instrText>
      </w:r>
      <w:r>
        <w:rPr>
          <w:color w:val="auto"/>
          <w:highlight w:val="none"/>
        </w:rPr>
        <w:fldChar w:fldCharType="separate"/>
      </w:r>
      <w:r>
        <w:rPr>
          <w:color w:val="auto"/>
          <w:highlight w:val="none"/>
        </w:rPr>
        <w:t>128</w:t>
      </w:r>
      <w:r>
        <w:rPr>
          <w:color w:val="auto"/>
          <w:highlight w:val="none"/>
        </w:rPr>
        <w:fldChar w:fldCharType="end"/>
      </w:r>
      <w:r>
        <w:rPr>
          <w:rFonts w:ascii="宋体" w:hAnsi="宋体" w:cs="宋体"/>
          <w:bCs/>
          <w:color w:val="auto"/>
          <w:szCs w:val="22"/>
          <w:highlight w:val="none"/>
        </w:rPr>
        <w:fldChar w:fldCharType="end"/>
      </w:r>
    </w:p>
    <w:p w14:paraId="33C71E76">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_Toc10457 </w:instrText>
      </w:r>
      <w:r>
        <w:rPr>
          <w:rFonts w:ascii="宋体" w:hAnsi="宋体" w:cs="宋体"/>
          <w:bCs/>
          <w:color w:val="auto"/>
          <w:szCs w:val="22"/>
          <w:highlight w:val="none"/>
        </w:rPr>
        <w:fldChar w:fldCharType="separate"/>
      </w:r>
      <w:r>
        <w:rPr>
          <w:rFonts w:hint="eastAsia" w:hAnsi="宋体"/>
          <w:bCs/>
          <w:color w:val="auto"/>
          <w:szCs w:val="22"/>
          <w:highlight w:val="none"/>
        </w:rPr>
        <w:t>94. 保密要求</w:t>
      </w:r>
      <w:r>
        <w:rPr>
          <w:color w:val="auto"/>
          <w:highlight w:val="none"/>
        </w:rPr>
        <w:tab/>
      </w:r>
      <w:r>
        <w:rPr>
          <w:color w:val="auto"/>
          <w:highlight w:val="none"/>
        </w:rPr>
        <w:fldChar w:fldCharType="begin"/>
      </w:r>
      <w:r>
        <w:rPr>
          <w:color w:val="auto"/>
          <w:highlight w:val="none"/>
        </w:rPr>
        <w:instrText xml:space="preserve"> PAGEREF _Toc10457 \h </w:instrText>
      </w:r>
      <w:r>
        <w:rPr>
          <w:color w:val="auto"/>
          <w:highlight w:val="none"/>
        </w:rPr>
        <w:fldChar w:fldCharType="separate"/>
      </w:r>
      <w:r>
        <w:rPr>
          <w:color w:val="auto"/>
          <w:highlight w:val="none"/>
        </w:rPr>
        <w:t>128</w:t>
      </w:r>
      <w:r>
        <w:rPr>
          <w:color w:val="auto"/>
          <w:highlight w:val="none"/>
        </w:rPr>
        <w:fldChar w:fldCharType="end"/>
      </w:r>
      <w:r>
        <w:rPr>
          <w:rFonts w:ascii="宋体" w:hAnsi="宋体" w:cs="宋体"/>
          <w:bCs/>
          <w:color w:val="auto"/>
          <w:szCs w:val="22"/>
          <w:highlight w:val="none"/>
        </w:rPr>
        <w:fldChar w:fldCharType="end"/>
      </w:r>
    </w:p>
    <w:p w14:paraId="30B6511F">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_Toc12760 </w:instrText>
      </w:r>
      <w:r>
        <w:rPr>
          <w:rFonts w:ascii="宋体" w:hAnsi="宋体" w:cs="宋体"/>
          <w:bCs/>
          <w:color w:val="auto"/>
          <w:szCs w:val="22"/>
          <w:highlight w:val="none"/>
        </w:rPr>
        <w:fldChar w:fldCharType="separate"/>
      </w:r>
      <w:r>
        <w:rPr>
          <w:rFonts w:hint="eastAsia" w:hAnsi="宋体"/>
          <w:bCs/>
          <w:color w:val="auto"/>
          <w:szCs w:val="22"/>
          <w:highlight w:val="none"/>
        </w:rPr>
        <w:t>97. 合同份数</w:t>
      </w:r>
      <w:r>
        <w:rPr>
          <w:color w:val="auto"/>
          <w:highlight w:val="none"/>
        </w:rPr>
        <w:tab/>
      </w:r>
      <w:r>
        <w:rPr>
          <w:color w:val="auto"/>
          <w:highlight w:val="none"/>
        </w:rPr>
        <w:fldChar w:fldCharType="begin"/>
      </w:r>
      <w:r>
        <w:rPr>
          <w:color w:val="auto"/>
          <w:highlight w:val="none"/>
        </w:rPr>
        <w:instrText xml:space="preserve"> PAGEREF _Toc12760 \h </w:instrText>
      </w:r>
      <w:r>
        <w:rPr>
          <w:color w:val="auto"/>
          <w:highlight w:val="none"/>
        </w:rPr>
        <w:fldChar w:fldCharType="separate"/>
      </w:r>
      <w:r>
        <w:rPr>
          <w:color w:val="auto"/>
          <w:highlight w:val="none"/>
        </w:rPr>
        <w:t>128</w:t>
      </w:r>
      <w:r>
        <w:rPr>
          <w:color w:val="auto"/>
          <w:highlight w:val="none"/>
        </w:rPr>
        <w:fldChar w:fldCharType="end"/>
      </w:r>
      <w:r>
        <w:rPr>
          <w:rFonts w:ascii="宋体" w:hAnsi="宋体" w:cs="宋体"/>
          <w:bCs/>
          <w:color w:val="auto"/>
          <w:szCs w:val="22"/>
          <w:highlight w:val="none"/>
        </w:rPr>
        <w:fldChar w:fldCharType="end"/>
      </w:r>
    </w:p>
    <w:p w14:paraId="3D215FE4">
      <w:pPr>
        <w:pStyle w:val="30"/>
        <w:tabs>
          <w:tab w:val="right" w:leader="dot" w:pos="10204"/>
        </w:tabs>
        <w:rPr>
          <w:color w:val="auto"/>
          <w:highlight w:val="none"/>
        </w:rPr>
      </w:pPr>
      <w:r>
        <w:rPr>
          <w:rFonts w:ascii="宋体" w:hAnsi="宋体" w:cs="宋体"/>
          <w:bCs w:val="0"/>
          <w:color w:val="auto"/>
          <w:szCs w:val="22"/>
          <w:highlight w:val="none"/>
        </w:rPr>
        <w:fldChar w:fldCharType="begin"/>
      </w:r>
      <w:r>
        <w:rPr>
          <w:rFonts w:ascii="宋体" w:hAnsi="宋体" w:cs="宋体"/>
          <w:bCs w:val="0"/>
          <w:color w:val="auto"/>
          <w:szCs w:val="22"/>
          <w:highlight w:val="none"/>
        </w:rPr>
        <w:instrText xml:space="preserve"> HYPERLINK \l _Toc18468 </w:instrText>
      </w:r>
      <w:r>
        <w:rPr>
          <w:rFonts w:ascii="宋体" w:hAnsi="宋体" w:cs="宋体"/>
          <w:bCs w:val="0"/>
          <w:color w:val="auto"/>
          <w:szCs w:val="22"/>
          <w:highlight w:val="none"/>
        </w:rPr>
        <w:fldChar w:fldCharType="separate"/>
      </w:r>
      <w:r>
        <w:rPr>
          <w:rFonts w:hint="eastAsia" w:ascii="方正黑体_GBK" w:hAnsi="方正黑体_GBK" w:eastAsia="方正黑体_GBK" w:cs="方正黑体_GBK"/>
          <w:bCs/>
          <w:color w:val="auto"/>
          <w:highlight w:val="none"/>
        </w:rPr>
        <w:t>第四部分  附件与格式</w:t>
      </w:r>
      <w:r>
        <w:rPr>
          <w:color w:val="auto"/>
          <w:highlight w:val="none"/>
        </w:rPr>
        <w:tab/>
      </w:r>
      <w:r>
        <w:rPr>
          <w:color w:val="auto"/>
          <w:highlight w:val="none"/>
        </w:rPr>
        <w:fldChar w:fldCharType="begin"/>
      </w:r>
      <w:r>
        <w:rPr>
          <w:color w:val="auto"/>
          <w:highlight w:val="none"/>
        </w:rPr>
        <w:instrText xml:space="preserve"> PAGEREF _Toc18468 \h </w:instrText>
      </w:r>
      <w:r>
        <w:rPr>
          <w:color w:val="auto"/>
          <w:highlight w:val="none"/>
        </w:rPr>
        <w:fldChar w:fldCharType="separate"/>
      </w:r>
      <w:r>
        <w:rPr>
          <w:color w:val="auto"/>
          <w:highlight w:val="none"/>
        </w:rPr>
        <w:t>130</w:t>
      </w:r>
      <w:r>
        <w:rPr>
          <w:color w:val="auto"/>
          <w:highlight w:val="none"/>
        </w:rPr>
        <w:fldChar w:fldCharType="end"/>
      </w:r>
      <w:r>
        <w:rPr>
          <w:rFonts w:ascii="宋体" w:hAnsi="宋体" w:cs="宋体"/>
          <w:bCs w:val="0"/>
          <w:color w:val="auto"/>
          <w:szCs w:val="22"/>
          <w:highlight w:val="none"/>
        </w:rPr>
        <w:fldChar w:fldCharType="end"/>
      </w:r>
    </w:p>
    <w:p w14:paraId="7D86BB00">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_Toc3155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附件一：承包人提供的材料和工程设备一览表</w:t>
      </w:r>
      <w:r>
        <w:rPr>
          <w:color w:val="auto"/>
          <w:highlight w:val="none"/>
        </w:rPr>
        <w:tab/>
      </w:r>
      <w:r>
        <w:rPr>
          <w:color w:val="auto"/>
          <w:highlight w:val="none"/>
        </w:rPr>
        <w:fldChar w:fldCharType="begin"/>
      </w:r>
      <w:r>
        <w:rPr>
          <w:color w:val="auto"/>
          <w:highlight w:val="none"/>
        </w:rPr>
        <w:instrText xml:space="preserve"> PAGEREF _Toc3155 \h </w:instrText>
      </w:r>
      <w:r>
        <w:rPr>
          <w:color w:val="auto"/>
          <w:highlight w:val="none"/>
        </w:rPr>
        <w:fldChar w:fldCharType="separate"/>
      </w:r>
      <w:r>
        <w:rPr>
          <w:color w:val="auto"/>
          <w:highlight w:val="none"/>
        </w:rPr>
        <w:t>130</w:t>
      </w:r>
      <w:r>
        <w:rPr>
          <w:color w:val="auto"/>
          <w:highlight w:val="none"/>
        </w:rPr>
        <w:fldChar w:fldCharType="end"/>
      </w:r>
      <w:r>
        <w:rPr>
          <w:rFonts w:ascii="宋体" w:hAnsi="宋体" w:cs="宋体"/>
          <w:bCs/>
          <w:color w:val="auto"/>
          <w:szCs w:val="22"/>
          <w:highlight w:val="none"/>
        </w:rPr>
        <w:fldChar w:fldCharType="end"/>
      </w:r>
    </w:p>
    <w:p w14:paraId="679E7F0F">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_Toc6592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附件二：发包人提供的材料和工程设备一览表（本工程不采用此表）</w:t>
      </w:r>
      <w:r>
        <w:rPr>
          <w:color w:val="auto"/>
          <w:highlight w:val="none"/>
        </w:rPr>
        <w:tab/>
      </w:r>
      <w:r>
        <w:rPr>
          <w:color w:val="auto"/>
          <w:highlight w:val="none"/>
        </w:rPr>
        <w:fldChar w:fldCharType="begin"/>
      </w:r>
      <w:r>
        <w:rPr>
          <w:color w:val="auto"/>
          <w:highlight w:val="none"/>
        </w:rPr>
        <w:instrText xml:space="preserve"> PAGEREF _Toc6592 \h </w:instrText>
      </w:r>
      <w:r>
        <w:rPr>
          <w:color w:val="auto"/>
          <w:highlight w:val="none"/>
        </w:rPr>
        <w:fldChar w:fldCharType="separate"/>
      </w:r>
      <w:r>
        <w:rPr>
          <w:color w:val="auto"/>
          <w:highlight w:val="none"/>
        </w:rPr>
        <w:t>131</w:t>
      </w:r>
      <w:r>
        <w:rPr>
          <w:color w:val="auto"/>
          <w:highlight w:val="none"/>
        </w:rPr>
        <w:fldChar w:fldCharType="end"/>
      </w:r>
      <w:r>
        <w:rPr>
          <w:rFonts w:ascii="宋体" w:hAnsi="宋体" w:cs="宋体"/>
          <w:bCs/>
          <w:color w:val="auto"/>
          <w:szCs w:val="22"/>
          <w:highlight w:val="none"/>
        </w:rPr>
        <w:fldChar w:fldCharType="end"/>
      </w:r>
    </w:p>
    <w:p w14:paraId="71CAF356">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_Toc22013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附件三：履约担保格式（建议格式，最终以银行格式为准）</w:t>
      </w:r>
      <w:r>
        <w:rPr>
          <w:color w:val="auto"/>
          <w:highlight w:val="none"/>
        </w:rPr>
        <w:tab/>
      </w:r>
      <w:r>
        <w:rPr>
          <w:color w:val="auto"/>
          <w:highlight w:val="none"/>
        </w:rPr>
        <w:fldChar w:fldCharType="begin"/>
      </w:r>
      <w:r>
        <w:rPr>
          <w:color w:val="auto"/>
          <w:highlight w:val="none"/>
        </w:rPr>
        <w:instrText xml:space="preserve"> PAGEREF _Toc22013 \h </w:instrText>
      </w:r>
      <w:r>
        <w:rPr>
          <w:color w:val="auto"/>
          <w:highlight w:val="none"/>
        </w:rPr>
        <w:fldChar w:fldCharType="separate"/>
      </w:r>
      <w:r>
        <w:rPr>
          <w:color w:val="auto"/>
          <w:highlight w:val="none"/>
        </w:rPr>
        <w:t>132</w:t>
      </w:r>
      <w:r>
        <w:rPr>
          <w:color w:val="auto"/>
          <w:highlight w:val="none"/>
        </w:rPr>
        <w:fldChar w:fldCharType="end"/>
      </w:r>
      <w:r>
        <w:rPr>
          <w:rFonts w:ascii="宋体" w:hAnsi="宋体" w:cs="宋体"/>
          <w:bCs/>
          <w:color w:val="auto"/>
          <w:szCs w:val="22"/>
          <w:highlight w:val="none"/>
        </w:rPr>
        <w:fldChar w:fldCharType="end"/>
      </w:r>
    </w:p>
    <w:p w14:paraId="2551A23B">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_Toc23663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附件四：质量保修书格式</w:t>
      </w:r>
      <w:r>
        <w:rPr>
          <w:color w:val="auto"/>
          <w:highlight w:val="none"/>
        </w:rPr>
        <w:tab/>
      </w:r>
      <w:r>
        <w:rPr>
          <w:color w:val="auto"/>
          <w:highlight w:val="none"/>
        </w:rPr>
        <w:fldChar w:fldCharType="begin"/>
      </w:r>
      <w:r>
        <w:rPr>
          <w:color w:val="auto"/>
          <w:highlight w:val="none"/>
        </w:rPr>
        <w:instrText xml:space="preserve"> PAGEREF _Toc23663 \h </w:instrText>
      </w:r>
      <w:r>
        <w:rPr>
          <w:color w:val="auto"/>
          <w:highlight w:val="none"/>
        </w:rPr>
        <w:fldChar w:fldCharType="separate"/>
      </w:r>
      <w:r>
        <w:rPr>
          <w:color w:val="auto"/>
          <w:highlight w:val="none"/>
        </w:rPr>
        <w:t>134</w:t>
      </w:r>
      <w:r>
        <w:rPr>
          <w:color w:val="auto"/>
          <w:highlight w:val="none"/>
        </w:rPr>
        <w:fldChar w:fldCharType="end"/>
      </w:r>
      <w:r>
        <w:rPr>
          <w:rFonts w:ascii="宋体" w:hAnsi="宋体" w:cs="宋体"/>
          <w:bCs/>
          <w:color w:val="auto"/>
          <w:szCs w:val="22"/>
          <w:highlight w:val="none"/>
        </w:rPr>
        <w:fldChar w:fldCharType="end"/>
      </w:r>
    </w:p>
    <w:p w14:paraId="74EE5C4B">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_Toc7566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附件五：廉政责任书格式</w:t>
      </w:r>
      <w:r>
        <w:rPr>
          <w:color w:val="auto"/>
          <w:highlight w:val="none"/>
        </w:rPr>
        <w:tab/>
      </w:r>
      <w:r>
        <w:rPr>
          <w:color w:val="auto"/>
          <w:highlight w:val="none"/>
        </w:rPr>
        <w:fldChar w:fldCharType="begin"/>
      </w:r>
      <w:r>
        <w:rPr>
          <w:color w:val="auto"/>
          <w:highlight w:val="none"/>
        </w:rPr>
        <w:instrText xml:space="preserve"> PAGEREF _Toc7566 \h </w:instrText>
      </w:r>
      <w:r>
        <w:rPr>
          <w:color w:val="auto"/>
          <w:highlight w:val="none"/>
        </w:rPr>
        <w:fldChar w:fldCharType="separate"/>
      </w:r>
      <w:r>
        <w:rPr>
          <w:color w:val="auto"/>
          <w:highlight w:val="none"/>
        </w:rPr>
        <w:t>136</w:t>
      </w:r>
      <w:r>
        <w:rPr>
          <w:color w:val="auto"/>
          <w:highlight w:val="none"/>
        </w:rPr>
        <w:fldChar w:fldCharType="end"/>
      </w:r>
      <w:r>
        <w:rPr>
          <w:rFonts w:ascii="宋体" w:hAnsi="宋体" w:cs="宋体"/>
          <w:bCs/>
          <w:color w:val="auto"/>
          <w:szCs w:val="22"/>
          <w:highlight w:val="none"/>
        </w:rPr>
        <w:fldChar w:fldCharType="end"/>
      </w:r>
    </w:p>
    <w:p w14:paraId="4D3AB7BC">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_Toc2815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附件六：</w:t>
      </w:r>
      <w:r>
        <w:rPr>
          <w:rFonts w:ascii="宋体" w:hAnsi="宋体" w:cs="宋体"/>
          <w:bCs/>
          <w:color w:val="auto"/>
          <w:szCs w:val="22"/>
          <w:highlight w:val="none"/>
        </w:rPr>
        <w:t>安全</w:t>
      </w:r>
      <w:r>
        <w:rPr>
          <w:rFonts w:hint="eastAsia" w:ascii="宋体" w:hAnsi="宋体" w:cs="宋体"/>
          <w:bCs/>
          <w:color w:val="auto"/>
          <w:szCs w:val="22"/>
          <w:highlight w:val="none"/>
        </w:rPr>
        <w:t>生产和文明施工</w:t>
      </w:r>
      <w:r>
        <w:rPr>
          <w:rFonts w:ascii="宋体" w:hAnsi="宋体" w:cs="宋体"/>
          <w:bCs/>
          <w:color w:val="auto"/>
          <w:szCs w:val="22"/>
          <w:highlight w:val="none"/>
        </w:rPr>
        <w:t>管理协议书</w:t>
      </w:r>
      <w:r>
        <w:rPr>
          <w:rFonts w:hint="eastAsia" w:ascii="宋体" w:hAnsi="宋体" w:cs="宋体"/>
          <w:bCs/>
          <w:color w:val="auto"/>
          <w:szCs w:val="22"/>
          <w:highlight w:val="none"/>
        </w:rPr>
        <w:t>格式</w:t>
      </w:r>
      <w:r>
        <w:rPr>
          <w:color w:val="auto"/>
          <w:highlight w:val="none"/>
        </w:rPr>
        <w:tab/>
      </w:r>
      <w:r>
        <w:rPr>
          <w:color w:val="auto"/>
          <w:highlight w:val="none"/>
        </w:rPr>
        <w:fldChar w:fldCharType="begin"/>
      </w:r>
      <w:r>
        <w:rPr>
          <w:color w:val="auto"/>
          <w:highlight w:val="none"/>
        </w:rPr>
        <w:instrText xml:space="preserve"> PAGEREF _Toc2815 \h </w:instrText>
      </w:r>
      <w:r>
        <w:rPr>
          <w:color w:val="auto"/>
          <w:highlight w:val="none"/>
        </w:rPr>
        <w:fldChar w:fldCharType="separate"/>
      </w:r>
      <w:r>
        <w:rPr>
          <w:color w:val="auto"/>
          <w:highlight w:val="none"/>
        </w:rPr>
        <w:t>138</w:t>
      </w:r>
      <w:r>
        <w:rPr>
          <w:color w:val="auto"/>
          <w:highlight w:val="none"/>
        </w:rPr>
        <w:fldChar w:fldCharType="end"/>
      </w:r>
      <w:r>
        <w:rPr>
          <w:rFonts w:ascii="宋体" w:hAnsi="宋体" w:cs="宋体"/>
          <w:bCs/>
          <w:color w:val="auto"/>
          <w:szCs w:val="22"/>
          <w:highlight w:val="none"/>
        </w:rPr>
        <w:fldChar w:fldCharType="end"/>
      </w:r>
    </w:p>
    <w:p w14:paraId="6B3247AF">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_Toc26033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附件七：《番禺区财政性投资建设项目工程变更管理规定》</w:t>
      </w:r>
      <w:r>
        <w:rPr>
          <w:color w:val="auto"/>
          <w:highlight w:val="none"/>
        </w:rPr>
        <w:tab/>
      </w:r>
      <w:r>
        <w:rPr>
          <w:color w:val="auto"/>
          <w:highlight w:val="none"/>
        </w:rPr>
        <w:fldChar w:fldCharType="begin"/>
      </w:r>
      <w:r>
        <w:rPr>
          <w:color w:val="auto"/>
          <w:highlight w:val="none"/>
        </w:rPr>
        <w:instrText xml:space="preserve"> PAGEREF _Toc26033 \h </w:instrText>
      </w:r>
      <w:r>
        <w:rPr>
          <w:color w:val="auto"/>
          <w:highlight w:val="none"/>
        </w:rPr>
        <w:fldChar w:fldCharType="separate"/>
      </w:r>
      <w:r>
        <w:rPr>
          <w:color w:val="auto"/>
          <w:highlight w:val="none"/>
        </w:rPr>
        <w:t>144</w:t>
      </w:r>
      <w:r>
        <w:rPr>
          <w:color w:val="auto"/>
          <w:highlight w:val="none"/>
        </w:rPr>
        <w:fldChar w:fldCharType="end"/>
      </w:r>
      <w:r>
        <w:rPr>
          <w:rFonts w:ascii="宋体" w:hAnsi="宋体" w:cs="宋体"/>
          <w:bCs/>
          <w:color w:val="auto"/>
          <w:szCs w:val="22"/>
          <w:highlight w:val="none"/>
        </w:rPr>
        <w:fldChar w:fldCharType="end"/>
      </w:r>
    </w:p>
    <w:p w14:paraId="3E21F098">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_Toc3134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附件八：广州市建委关于加强市政重点工程文明施工管理的通知</w:t>
      </w:r>
      <w:r>
        <w:rPr>
          <w:color w:val="auto"/>
          <w:highlight w:val="none"/>
        </w:rPr>
        <w:tab/>
      </w:r>
      <w:r>
        <w:rPr>
          <w:color w:val="auto"/>
          <w:highlight w:val="none"/>
        </w:rPr>
        <w:fldChar w:fldCharType="begin"/>
      </w:r>
      <w:r>
        <w:rPr>
          <w:color w:val="auto"/>
          <w:highlight w:val="none"/>
        </w:rPr>
        <w:instrText xml:space="preserve"> PAGEREF _Toc3134 \h </w:instrText>
      </w:r>
      <w:r>
        <w:rPr>
          <w:color w:val="auto"/>
          <w:highlight w:val="none"/>
        </w:rPr>
        <w:fldChar w:fldCharType="separate"/>
      </w:r>
      <w:r>
        <w:rPr>
          <w:color w:val="auto"/>
          <w:highlight w:val="none"/>
        </w:rPr>
        <w:t>170</w:t>
      </w:r>
      <w:r>
        <w:rPr>
          <w:color w:val="auto"/>
          <w:highlight w:val="none"/>
        </w:rPr>
        <w:fldChar w:fldCharType="end"/>
      </w:r>
      <w:r>
        <w:rPr>
          <w:rFonts w:ascii="宋体" w:hAnsi="宋体" w:cs="宋体"/>
          <w:bCs/>
          <w:color w:val="auto"/>
          <w:szCs w:val="22"/>
          <w:highlight w:val="none"/>
        </w:rPr>
        <w:fldChar w:fldCharType="end"/>
      </w:r>
    </w:p>
    <w:p w14:paraId="5AF7AE78">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_Toc21915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附件九：关于加强市政重点工程文明施工管理的通知</w:t>
      </w:r>
      <w:r>
        <w:rPr>
          <w:color w:val="auto"/>
          <w:highlight w:val="none"/>
        </w:rPr>
        <w:tab/>
      </w:r>
      <w:r>
        <w:rPr>
          <w:color w:val="auto"/>
          <w:highlight w:val="none"/>
        </w:rPr>
        <w:fldChar w:fldCharType="begin"/>
      </w:r>
      <w:r>
        <w:rPr>
          <w:color w:val="auto"/>
          <w:highlight w:val="none"/>
        </w:rPr>
        <w:instrText xml:space="preserve"> PAGEREF _Toc21915 \h </w:instrText>
      </w:r>
      <w:r>
        <w:rPr>
          <w:color w:val="auto"/>
          <w:highlight w:val="none"/>
        </w:rPr>
        <w:fldChar w:fldCharType="separate"/>
      </w:r>
      <w:r>
        <w:rPr>
          <w:color w:val="auto"/>
          <w:highlight w:val="none"/>
        </w:rPr>
        <w:t>173</w:t>
      </w:r>
      <w:r>
        <w:rPr>
          <w:color w:val="auto"/>
          <w:highlight w:val="none"/>
        </w:rPr>
        <w:fldChar w:fldCharType="end"/>
      </w:r>
      <w:r>
        <w:rPr>
          <w:rFonts w:ascii="宋体" w:hAnsi="宋体" w:cs="宋体"/>
          <w:bCs/>
          <w:color w:val="auto"/>
          <w:szCs w:val="22"/>
          <w:highlight w:val="none"/>
        </w:rPr>
        <w:fldChar w:fldCharType="end"/>
      </w:r>
    </w:p>
    <w:p w14:paraId="61ADAAA3">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_Toc24484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附件十：中标通知书</w:t>
      </w:r>
      <w:r>
        <w:rPr>
          <w:color w:val="auto"/>
          <w:highlight w:val="none"/>
        </w:rPr>
        <w:tab/>
      </w:r>
      <w:r>
        <w:rPr>
          <w:color w:val="auto"/>
          <w:highlight w:val="none"/>
        </w:rPr>
        <w:fldChar w:fldCharType="begin"/>
      </w:r>
      <w:r>
        <w:rPr>
          <w:color w:val="auto"/>
          <w:highlight w:val="none"/>
        </w:rPr>
        <w:instrText xml:space="preserve"> PAGEREF _Toc24484 \h </w:instrText>
      </w:r>
      <w:r>
        <w:rPr>
          <w:color w:val="auto"/>
          <w:highlight w:val="none"/>
        </w:rPr>
        <w:fldChar w:fldCharType="separate"/>
      </w:r>
      <w:r>
        <w:rPr>
          <w:color w:val="auto"/>
          <w:highlight w:val="none"/>
        </w:rPr>
        <w:t>174</w:t>
      </w:r>
      <w:r>
        <w:rPr>
          <w:color w:val="auto"/>
          <w:highlight w:val="none"/>
        </w:rPr>
        <w:fldChar w:fldCharType="end"/>
      </w:r>
      <w:r>
        <w:rPr>
          <w:rFonts w:ascii="宋体" w:hAnsi="宋体" w:cs="宋体"/>
          <w:bCs/>
          <w:color w:val="auto"/>
          <w:szCs w:val="22"/>
          <w:highlight w:val="none"/>
        </w:rPr>
        <w:fldChar w:fldCharType="end"/>
      </w:r>
    </w:p>
    <w:p w14:paraId="0C33A18B">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_Toc30620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附件十一：施工管理及处罚条例</w:t>
      </w:r>
      <w:r>
        <w:rPr>
          <w:color w:val="auto"/>
          <w:highlight w:val="none"/>
        </w:rPr>
        <w:tab/>
      </w:r>
      <w:r>
        <w:rPr>
          <w:color w:val="auto"/>
          <w:highlight w:val="none"/>
        </w:rPr>
        <w:fldChar w:fldCharType="begin"/>
      </w:r>
      <w:r>
        <w:rPr>
          <w:color w:val="auto"/>
          <w:highlight w:val="none"/>
        </w:rPr>
        <w:instrText xml:space="preserve"> PAGEREF _Toc30620 \h </w:instrText>
      </w:r>
      <w:r>
        <w:rPr>
          <w:color w:val="auto"/>
          <w:highlight w:val="none"/>
        </w:rPr>
        <w:fldChar w:fldCharType="separate"/>
      </w:r>
      <w:r>
        <w:rPr>
          <w:color w:val="auto"/>
          <w:highlight w:val="none"/>
        </w:rPr>
        <w:t>175</w:t>
      </w:r>
      <w:r>
        <w:rPr>
          <w:color w:val="auto"/>
          <w:highlight w:val="none"/>
        </w:rPr>
        <w:fldChar w:fldCharType="end"/>
      </w:r>
      <w:r>
        <w:rPr>
          <w:rFonts w:ascii="宋体" w:hAnsi="宋体" w:cs="宋体"/>
          <w:bCs/>
          <w:color w:val="auto"/>
          <w:szCs w:val="22"/>
          <w:highlight w:val="none"/>
        </w:rPr>
        <w:fldChar w:fldCharType="end"/>
      </w:r>
    </w:p>
    <w:p w14:paraId="22CF9BD6">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_Toc5166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附件十二：通信联系方式格式</w:t>
      </w:r>
      <w:r>
        <w:rPr>
          <w:color w:val="auto"/>
          <w:highlight w:val="none"/>
        </w:rPr>
        <w:tab/>
      </w:r>
      <w:r>
        <w:rPr>
          <w:color w:val="auto"/>
          <w:highlight w:val="none"/>
        </w:rPr>
        <w:fldChar w:fldCharType="begin"/>
      </w:r>
      <w:r>
        <w:rPr>
          <w:color w:val="auto"/>
          <w:highlight w:val="none"/>
        </w:rPr>
        <w:instrText xml:space="preserve"> PAGEREF _Toc5166 \h </w:instrText>
      </w:r>
      <w:r>
        <w:rPr>
          <w:color w:val="auto"/>
          <w:highlight w:val="none"/>
        </w:rPr>
        <w:fldChar w:fldCharType="separate"/>
      </w:r>
      <w:r>
        <w:rPr>
          <w:color w:val="auto"/>
          <w:highlight w:val="none"/>
        </w:rPr>
        <w:t>182</w:t>
      </w:r>
      <w:r>
        <w:rPr>
          <w:color w:val="auto"/>
          <w:highlight w:val="none"/>
        </w:rPr>
        <w:fldChar w:fldCharType="end"/>
      </w:r>
      <w:r>
        <w:rPr>
          <w:rFonts w:ascii="宋体" w:hAnsi="宋体" w:cs="宋体"/>
          <w:bCs/>
          <w:color w:val="auto"/>
          <w:szCs w:val="22"/>
          <w:highlight w:val="none"/>
        </w:rPr>
        <w:fldChar w:fldCharType="end"/>
      </w:r>
    </w:p>
    <w:p w14:paraId="55D31529">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_Toc15609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附件十三：工程技术标准（按实际招标项目修订）</w:t>
      </w:r>
      <w:r>
        <w:rPr>
          <w:color w:val="auto"/>
          <w:highlight w:val="none"/>
        </w:rPr>
        <w:tab/>
      </w:r>
      <w:r>
        <w:rPr>
          <w:color w:val="auto"/>
          <w:highlight w:val="none"/>
        </w:rPr>
        <w:fldChar w:fldCharType="begin"/>
      </w:r>
      <w:r>
        <w:rPr>
          <w:color w:val="auto"/>
          <w:highlight w:val="none"/>
        </w:rPr>
        <w:instrText xml:space="preserve"> PAGEREF _Toc15609 \h </w:instrText>
      </w:r>
      <w:r>
        <w:rPr>
          <w:color w:val="auto"/>
          <w:highlight w:val="none"/>
        </w:rPr>
        <w:fldChar w:fldCharType="separate"/>
      </w:r>
      <w:r>
        <w:rPr>
          <w:color w:val="auto"/>
          <w:highlight w:val="none"/>
        </w:rPr>
        <w:t>183</w:t>
      </w:r>
      <w:r>
        <w:rPr>
          <w:color w:val="auto"/>
          <w:highlight w:val="none"/>
        </w:rPr>
        <w:fldChar w:fldCharType="end"/>
      </w:r>
      <w:r>
        <w:rPr>
          <w:rFonts w:ascii="宋体" w:hAnsi="宋体" w:cs="宋体"/>
          <w:bCs/>
          <w:color w:val="auto"/>
          <w:szCs w:val="22"/>
          <w:highlight w:val="none"/>
        </w:rPr>
        <w:fldChar w:fldCharType="end"/>
      </w:r>
    </w:p>
    <w:p w14:paraId="0F978A1E">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_Toc837 </w:instrText>
      </w:r>
      <w:r>
        <w:rPr>
          <w:rFonts w:ascii="宋体" w:hAnsi="宋体" w:cs="宋体"/>
          <w:bCs/>
          <w:color w:val="auto"/>
          <w:szCs w:val="22"/>
          <w:highlight w:val="none"/>
        </w:rPr>
        <w:fldChar w:fldCharType="separate"/>
      </w:r>
      <w:r>
        <w:rPr>
          <w:rFonts w:hint="eastAsia" w:ascii="宋体" w:hAnsi="宋体" w:cs="宋体"/>
          <w:bCs/>
          <w:color w:val="auto"/>
          <w:szCs w:val="22"/>
          <w:highlight w:val="none"/>
        </w:rPr>
        <w:t>附件十四：工程结算工作协议书</w:t>
      </w:r>
      <w:r>
        <w:rPr>
          <w:color w:val="auto"/>
          <w:highlight w:val="none"/>
        </w:rPr>
        <w:tab/>
      </w:r>
      <w:r>
        <w:rPr>
          <w:color w:val="auto"/>
          <w:highlight w:val="none"/>
        </w:rPr>
        <w:fldChar w:fldCharType="begin"/>
      </w:r>
      <w:r>
        <w:rPr>
          <w:color w:val="auto"/>
          <w:highlight w:val="none"/>
        </w:rPr>
        <w:instrText xml:space="preserve"> PAGEREF _Toc837 \h </w:instrText>
      </w:r>
      <w:r>
        <w:rPr>
          <w:color w:val="auto"/>
          <w:highlight w:val="none"/>
        </w:rPr>
        <w:fldChar w:fldCharType="separate"/>
      </w:r>
      <w:r>
        <w:rPr>
          <w:color w:val="auto"/>
          <w:highlight w:val="none"/>
        </w:rPr>
        <w:t>184</w:t>
      </w:r>
      <w:r>
        <w:rPr>
          <w:color w:val="auto"/>
          <w:highlight w:val="none"/>
        </w:rPr>
        <w:fldChar w:fldCharType="end"/>
      </w:r>
      <w:r>
        <w:rPr>
          <w:rFonts w:ascii="宋体" w:hAnsi="宋体" w:cs="宋体"/>
          <w:bCs/>
          <w:color w:val="auto"/>
          <w:szCs w:val="22"/>
          <w:highlight w:val="none"/>
        </w:rPr>
        <w:fldChar w:fldCharType="end"/>
      </w:r>
    </w:p>
    <w:p w14:paraId="72ABDEA1">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_Toc31180 </w:instrText>
      </w:r>
      <w:r>
        <w:rPr>
          <w:rFonts w:ascii="宋体" w:hAnsi="宋体" w:cs="宋体"/>
          <w:bCs/>
          <w:color w:val="auto"/>
          <w:szCs w:val="22"/>
          <w:highlight w:val="none"/>
        </w:rPr>
        <w:fldChar w:fldCharType="separate"/>
      </w:r>
      <w:r>
        <w:rPr>
          <w:rFonts w:hint="eastAsia" w:ascii="宋体" w:hAnsi="宋体" w:cs="宋体"/>
          <w:bCs/>
          <w:color w:val="auto"/>
          <w:kern w:val="0"/>
          <w:szCs w:val="22"/>
          <w:highlight w:val="none"/>
        </w:rPr>
        <w:t>附件十五：本工程的主要管理和技术人员情况表</w:t>
      </w:r>
      <w:r>
        <w:rPr>
          <w:color w:val="auto"/>
          <w:highlight w:val="none"/>
        </w:rPr>
        <w:tab/>
      </w:r>
      <w:r>
        <w:rPr>
          <w:color w:val="auto"/>
          <w:highlight w:val="none"/>
        </w:rPr>
        <w:fldChar w:fldCharType="begin"/>
      </w:r>
      <w:r>
        <w:rPr>
          <w:color w:val="auto"/>
          <w:highlight w:val="none"/>
        </w:rPr>
        <w:instrText xml:space="preserve"> PAGEREF _Toc31180 \h </w:instrText>
      </w:r>
      <w:r>
        <w:rPr>
          <w:color w:val="auto"/>
          <w:highlight w:val="none"/>
        </w:rPr>
        <w:fldChar w:fldCharType="separate"/>
      </w:r>
      <w:r>
        <w:rPr>
          <w:color w:val="auto"/>
          <w:highlight w:val="none"/>
        </w:rPr>
        <w:t>187</w:t>
      </w:r>
      <w:r>
        <w:rPr>
          <w:color w:val="auto"/>
          <w:highlight w:val="none"/>
        </w:rPr>
        <w:fldChar w:fldCharType="end"/>
      </w:r>
      <w:r>
        <w:rPr>
          <w:rFonts w:ascii="宋体" w:hAnsi="宋体" w:cs="宋体"/>
          <w:bCs/>
          <w:color w:val="auto"/>
          <w:szCs w:val="22"/>
          <w:highlight w:val="none"/>
        </w:rPr>
        <w:fldChar w:fldCharType="end"/>
      </w:r>
    </w:p>
    <w:p w14:paraId="5729DB00">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_Toc22436 </w:instrText>
      </w:r>
      <w:r>
        <w:rPr>
          <w:rFonts w:ascii="宋体" w:hAnsi="宋体" w:cs="宋体"/>
          <w:bCs/>
          <w:color w:val="auto"/>
          <w:szCs w:val="22"/>
          <w:highlight w:val="none"/>
        </w:rPr>
        <w:fldChar w:fldCharType="separate"/>
      </w:r>
      <w:r>
        <w:rPr>
          <w:rFonts w:hint="eastAsia" w:ascii="宋体" w:hAnsi="宋体" w:cs="宋体"/>
          <w:bCs/>
          <w:color w:val="auto"/>
          <w:kern w:val="0"/>
          <w:szCs w:val="22"/>
          <w:highlight w:val="none"/>
        </w:rPr>
        <w:t>附件十六：遵守《施工总承包单位安全总责承诺书》的承诺书</w:t>
      </w:r>
      <w:r>
        <w:rPr>
          <w:color w:val="auto"/>
          <w:highlight w:val="none"/>
        </w:rPr>
        <w:tab/>
      </w:r>
      <w:r>
        <w:rPr>
          <w:color w:val="auto"/>
          <w:highlight w:val="none"/>
        </w:rPr>
        <w:fldChar w:fldCharType="begin"/>
      </w:r>
      <w:r>
        <w:rPr>
          <w:color w:val="auto"/>
          <w:highlight w:val="none"/>
        </w:rPr>
        <w:instrText xml:space="preserve"> PAGEREF _Toc22436 \h </w:instrText>
      </w:r>
      <w:r>
        <w:rPr>
          <w:color w:val="auto"/>
          <w:highlight w:val="none"/>
        </w:rPr>
        <w:fldChar w:fldCharType="separate"/>
      </w:r>
      <w:r>
        <w:rPr>
          <w:color w:val="auto"/>
          <w:highlight w:val="none"/>
        </w:rPr>
        <w:t>188</w:t>
      </w:r>
      <w:r>
        <w:rPr>
          <w:color w:val="auto"/>
          <w:highlight w:val="none"/>
        </w:rPr>
        <w:fldChar w:fldCharType="end"/>
      </w:r>
      <w:r>
        <w:rPr>
          <w:rFonts w:ascii="宋体" w:hAnsi="宋体" w:cs="宋体"/>
          <w:bCs/>
          <w:color w:val="auto"/>
          <w:szCs w:val="22"/>
          <w:highlight w:val="none"/>
        </w:rPr>
        <w:fldChar w:fldCharType="end"/>
      </w:r>
    </w:p>
    <w:p w14:paraId="5B70CFDD">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_Toc24774 </w:instrText>
      </w:r>
      <w:r>
        <w:rPr>
          <w:rFonts w:ascii="宋体" w:hAnsi="宋体" w:cs="宋体"/>
          <w:bCs/>
          <w:color w:val="auto"/>
          <w:szCs w:val="22"/>
          <w:highlight w:val="none"/>
        </w:rPr>
        <w:fldChar w:fldCharType="separate"/>
      </w:r>
      <w:r>
        <w:rPr>
          <w:rFonts w:hint="eastAsia" w:ascii="宋体" w:hAnsi="宋体" w:cs="宋体"/>
          <w:bCs/>
          <w:color w:val="auto"/>
          <w:kern w:val="0"/>
          <w:szCs w:val="22"/>
          <w:highlight w:val="none"/>
        </w:rPr>
        <w:t>附件十七： 广州市住房和城乡建设委员会关于印发建设工程扬尘防治“6个100%” 管理标准细化措施的通知</w:t>
      </w:r>
      <w:r>
        <w:rPr>
          <w:color w:val="auto"/>
          <w:highlight w:val="none"/>
        </w:rPr>
        <w:tab/>
      </w:r>
      <w:r>
        <w:rPr>
          <w:color w:val="auto"/>
          <w:highlight w:val="none"/>
        </w:rPr>
        <w:fldChar w:fldCharType="begin"/>
      </w:r>
      <w:r>
        <w:rPr>
          <w:color w:val="auto"/>
          <w:highlight w:val="none"/>
        </w:rPr>
        <w:instrText xml:space="preserve"> PAGEREF _Toc24774 \h </w:instrText>
      </w:r>
      <w:r>
        <w:rPr>
          <w:color w:val="auto"/>
          <w:highlight w:val="none"/>
        </w:rPr>
        <w:fldChar w:fldCharType="separate"/>
      </w:r>
      <w:r>
        <w:rPr>
          <w:color w:val="auto"/>
          <w:highlight w:val="none"/>
        </w:rPr>
        <w:t>189</w:t>
      </w:r>
      <w:r>
        <w:rPr>
          <w:color w:val="auto"/>
          <w:highlight w:val="none"/>
        </w:rPr>
        <w:fldChar w:fldCharType="end"/>
      </w:r>
      <w:r>
        <w:rPr>
          <w:rFonts w:ascii="宋体" w:hAnsi="宋体" w:cs="宋体"/>
          <w:bCs/>
          <w:color w:val="auto"/>
          <w:szCs w:val="22"/>
          <w:highlight w:val="none"/>
        </w:rPr>
        <w:fldChar w:fldCharType="end"/>
      </w:r>
    </w:p>
    <w:p w14:paraId="55F1D2B6">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_Toc26772 </w:instrText>
      </w:r>
      <w:r>
        <w:rPr>
          <w:rFonts w:ascii="宋体" w:hAnsi="宋体" w:cs="宋体"/>
          <w:bCs/>
          <w:color w:val="auto"/>
          <w:szCs w:val="22"/>
          <w:highlight w:val="none"/>
        </w:rPr>
        <w:fldChar w:fldCharType="separate"/>
      </w:r>
      <w:r>
        <w:rPr>
          <w:rFonts w:hint="eastAsia" w:ascii="宋体" w:hAnsi="宋体" w:cs="宋体"/>
          <w:bCs/>
          <w:color w:val="auto"/>
          <w:kern w:val="0"/>
          <w:szCs w:val="22"/>
          <w:highlight w:val="none"/>
        </w:rPr>
        <w:t>附件十八：番禺区水务工程参建单位管理人员考核要求</w:t>
      </w:r>
      <w:r>
        <w:rPr>
          <w:color w:val="auto"/>
          <w:highlight w:val="none"/>
        </w:rPr>
        <w:tab/>
      </w:r>
      <w:r>
        <w:rPr>
          <w:color w:val="auto"/>
          <w:highlight w:val="none"/>
        </w:rPr>
        <w:fldChar w:fldCharType="begin"/>
      </w:r>
      <w:r>
        <w:rPr>
          <w:color w:val="auto"/>
          <w:highlight w:val="none"/>
        </w:rPr>
        <w:instrText xml:space="preserve"> PAGEREF _Toc26772 \h </w:instrText>
      </w:r>
      <w:r>
        <w:rPr>
          <w:color w:val="auto"/>
          <w:highlight w:val="none"/>
        </w:rPr>
        <w:fldChar w:fldCharType="separate"/>
      </w:r>
      <w:r>
        <w:rPr>
          <w:color w:val="auto"/>
          <w:highlight w:val="none"/>
        </w:rPr>
        <w:t>202</w:t>
      </w:r>
      <w:r>
        <w:rPr>
          <w:color w:val="auto"/>
          <w:highlight w:val="none"/>
        </w:rPr>
        <w:fldChar w:fldCharType="end"/>
      </w:r>
      <w:r>
        <w:rPr>
          <w:rFonts w:ascii="宋体" w:hAnsi="宋体" w:cs="宋体"/>
          <w:bCs/>
          <w:color w:val="auto"/>
          <w:szCs w:val="22"/>
          <w:highlight w:val="none"/>
        </w:rPr>
        <w:fldChar w:fldCharType="end"/>
      </w:r>
    </w:p>
    <w:p w14:paraId="0319D02C">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_Toc1531 </w:instrText>
      </w:r>
      <w:r>
        <w:rPr>
          <w:rFonts w:ascii="宋体" w:hAnsi="宋体" w:cs="宋体"/>
          <w:bCs/>
          <w:color w:val="auto"/>
          <w:szCs w:val="22"/>
          <w:highlight w:val="none"/>
        </w:rPr>
        <w:fldChar w:fldCharType="separate"/>
      </w:r>
      <w:r>
        <w:rPr>
          <w:rFonts w:hint="eastAsia" w:ascii="宋体" w:hAnsi="宋体" w:cs="宋体"/>
          <w:bCs/>
          <w:color w:val="auto"/>
          <w:kern w:val="0"/>
          <w:szCs w:val="22"/>
          <w:highlight w:val="none"/>
        </w:rPr>
        <w:t>附件十九：广州市水务工程建设项目从业单位法定代表人授权书</w:t>
      </w:r>
      <w:r>
        <w:rPr>
          <w:color w:val="auto"/>
          <w:highlight w:val="none"/>
        </w:rPr>
        <w:tab/>
      </w:r>
      <w:r>
        <w:rPr>
          <w:color w:val="auto"/>
          <w:highlight w:val="none"/>
        </w:rPr>
        <w:fldChar w:fldCharType="begin"/>
      </w:r>
      <w:r>
        <w:rPr>
          <w:color w:val="auto"/>
          <w:highlight w:val="none"/>
        </w:rPr>
        <w:instrText xml:space="preserve"> PAGEREF _Toc1531 \h </w:instrText>
      </w:r>
      <w:r>
        <w:rPr>
          <w:color w:val="auto"/>
          <w:highlight w:val="none"/>
        </w:rPr>
        <w:fldChar w:fldCharType="separate"/>
      </w:r>
      <w:r>
        <w:rPr>
          <w:color w:val="auto"/>
          <w:highlight w:val="none"/>
        </w:rPr>
        <w:t>209</w:t>
      </w:r>
      <w:r>
        <w:rPr>
          <w:color w:val="auto"/>
          <w:highlight w:val="none"/>
        </w:rPr>
        <w:fldChar w:fldCharType="end"/>
      </w:r>
      <w:r>
        <w:rPr>
          <w:rFonts w:ascii="宋体" w:hAnsi="宋体" w:cs="宋体"/>
          <w:bCs/>
          <w:color w:val="auto"/>
          <w:szCs w:val="22"/>
          <w:highlight w:val="none"/>
        </w:rPr>
        <w:fldChar w:fldCharType="end"/>
      </w:r>
    </w:p>
    <w:p w14:paraId="3F43360C">
      <w:pPr>
        <w:pStyle w:val="35"/>
        <w:tabs>
          <w:tab w:val="right" w:leader="dot" w:pos="10204"/>
        </w:tabs>
        <w:rPr>
          <w:color w:val="auto"/>
          <w:highlight w:val="none"/>
        </w:rPr>
      </w:pPr>
      <w:r>
        <w:rPr>
          <w:rFonts w:ascii="宋体" w:hAnsi="宋体" w:cs="宋体"/>
          <w:bCs/>
          <w:color w:val="auto"/>
          <w:szCs w:val="22"/>
          <w:highlight w:val="none"/>
        </w:rPr>
        <w:fldChar w:fldCharType="begin"/>
      </w:r>
      <w:r>
        <w:rPr>
          <w:rFonts w:ascii="宋体" w:hAnsi="宋体" w:cs="宋体"/>
          <w:bCs/>
          <w:color w:val="auto"/>
          <w:szCs w:val="22"/>
          <w:highlight w:val="none"/>
        </w:rPr>
        <w:instrText xml:space="preserve"> HYPERLINK \l _Toc29699 </w:instrText>
      </w:r>
      <w:r>
        <w:rPr>
          <w:rFonts w:ascii="宋体" w:hAnsi="宋体" w:cs="宋体"/>
          <w:bCs/>
          <w:color w:val="auto"/>
          <w:szCs w:val="22"/>
          <w:highlight w:val="none"/>
        </w:rPr>
        <w:fldChar w:fldCharType="separate"/>
      </w:r>
      <w:r>
        <w:rPr>
          <w:rFonts w:hint="eastAsia" w:ascii="宋体" w:hAnsi="宋体" w:cs="宋体"/>
          <w:bCs/>
          <w:color w:val="auto"/>
          <w:kern w:val="0"/>
          <w:szCs w:val="22"/>
          <w:highlight w:val="none"/>
        </w:rPr>
        <w:t>附件二十：广州市水务工程项目负责人质量终身责任承诺书（施工单位范本）</w:t>
      </w:r>
      <w:r>
        <w:rPr>
          <w:color w:val="auto"/>
          <w:highlight w:val="none"/>
        </w:rPr>
        <w:tab/>
      </w:r>
      <w:r>
        <w:rPr>
          <w:color w:val="auto"/>
          <w:highlight w:val="none"/>
        </w:rPr>
        <w:fldChar w:fldCharType="begin"/>
      </w:r>
      <w:r>
        <w:rPr>
          <w:color w:val="auto"/>
          <w:highlight w:val="none"/>
        </w:rPr>
        <w:instrText xml:space="preserve"> PAGEREF _Toc29699 \h </w:instrText>
      </w:r>
      <w:r>
        <w:rPr>
          <w:color w:val="auto"/>
          <w:highlight w:val="none"/>
        </w:rPr>
        <w:fldChar w:fldCharType="separate"/>
      </w:r>
      <w:r>
        <w:rPr>
          <w:color w:val="auto"/>
          <w:highlight w:val="none"/>
        </w:rPr>
        <w:t>210</w:t>
      </w:r>
      <w:r>
        <w:rPr>
          <w:color w:val="auto"/>
          <w:highlight w:val="none"/>
        </w:rPr>
        <w:fldChar w:fldCharType="end"/>
      </w:r>
      <w:r>
        <w:rPr>
          <w:rFonts w:ascii="宋体" w:hAnsi="宋体" w:cs="宋体"/>
          <w:bCs/>
          <w:color w:val="auto"/>
          <w:szCs w:val="22"/>
          <w:highlight w:val="none"/>
        </w:rPr>
        <w:fldChar w:fldCharType="end"/>
      </w:r>
    </w:p>
    <w:p w14:paraId="6B2A3BE1">
      <w:pPr>
        <w:spacing w:line="360" w:lineRule="exact"/>
        <w:rPr>
          <w:rFonts w:ascii="宋体" w:hAnsi="宋体" w:cs="宋体"/>
          <w:b/>
          <w:bCs/>
          <w:color w:val="auto"/>
          <w:sz w:val="22"/>
          <w:szCs w:val="22"/>
          <w:highlight w:val="none"/>
        </w:rPr>
      </w:pPr>
      <w:r>
        <w:rPr>
          <w:rFonts w:ascii="宋体" w:hAnsi="宋体" w:cs="宋体"/>
          <w:b/>
          <w:bCs/>
          <w:color w:val="auto"/>
          <w:szCs w:val="22"/>
          <w:highlight w:val="none"/>
        </w:rPr>
        <w:fldChar w:fldCharType="end"/>
      </w:r>
    </w:p>
    <w:p w14:paraId="47AEB118">
      <w:pPr>
        <w:widowControl/>
        <w:jc w:val="left"/>
        <w:rPr>
          <w:rFonts w:ascii="宋体" w:hAnsi="宋体" w:cs="宋体"/>
          <w:color w:val="auto"/>
          <w:kern w:val="0"/>
          <w:sz w:val="22"/>
          <w:szCs w:val="22"/>
          <w:highlight w:val="none"/>
        </w:rPr>
      </w:pPr>
      <w:bookmarkStart w:id="4" w:name="_Toc266892751"/>
      <w:r>
        <w:rPr>
          <w:rFonts w:ascii="宋体" w:hAnsi="宋体" w:cs="宋体"/>
          <w:color w:val="auto"/>
          <w:kern w:val="0"/>
          <w:sz w:val="22"/>
          <w:szCs w:val="22"/>
          <w:highlight w:val="none"/>
        </w:rPr>
        <w:br w:type="page"/>
      </w:r>
    </w:p>
    <w:p w14:paraId="2976E383">
      <w:pPr>
        <w:widowControl/>
        <w:spacing w:line="420" w:lineRule="exact"/>
        <w:jc w:val="left"/>
        <w:rPr>
          <w:rFonts w:ascii="宋体" w:hAnsi="宋体" w:cs="宋体"/>
          <w:color w:val="auto"/>
          <w:sz w:val="22"/>
          <w:szCs w:val="22"/>
          <w:highlight w:val="none"/>
        </w:rPr>
      </w:pPr>
    </w:p>
    <w:p w14:paraId="0181C8C5">
      <w:pPr>
        <w:pStyle w:val="94"/>
        <w:spacing w:before="0" w:after="0" w:line="420" w:lineRule="exact"/>
        <w:jc w:val="center"/>
        <w:outlineLvl w:val="0"/>
        <w:rPr>
          <w:rFonts w:ascii="方正黑体_GBK" w:hAnsi="方正黑体_GBK" w:eastAsia="方正黑体_GBK" w:cs="方正黑体_GBK"/>
          <w:color w:val="auto"/>
          <w:sz w:val="28"/>
          <w:szCs w:val="28"/>
          <w:highlight w:val="none"/>
          <w:lang w:val="zh-CN"/>
        </w:rPr>
      </w:pPr>
      <w:bookmarkStart w:id="5" w:name="_Toc10892"/>
      <w:bookmarkStart w:id="6" w:name="_Toc17430"/>
      <w:bookmarkStart w:id="7" w:name="_Toc30979"/>
      <w:bookmarkStart w:id="8" w:name="_Toc24828"/>
      <w:bookmarkStart w:id="9" w:name="_Toc15019"/>
      <w:bookmarkStart w:id="10" w:name="_Toc155166127"/>
      <w:bookmarkStart w:id="11" w:name="_Toc6563"/>
      <w:r>
        <w:rPr>
          <w:rFonts w:hint="eastAsia" w:ascii="方正黑体_GBK" w:hAnsi="方正黑体_GBK" w:eastAsia="方正黑体_GBK" w:cs="方正黑体_GBK"/>
          <w:color w:val="auto"/>
          <w:sz w:val="28"/>
          <w:szCs w:val="28"/>
          <w:highlight w:val="none"/>
          <w:lang w:val="zh-CN"/>
        </w:rPr>
        <w:t>总  说  明</w:t>
      </w:r>
      <w:bookmarkEnd w:id="5"/>
      <w:bookmarkEnd w:id="6"/>
      <w:bookmarkEnd w:id="7"/>
      <w:bookmarkEnd w:id="8"/>
      <w:bookmarkEnd w:id="9"/>
      <w:bookmarkEnd w:id="10"/>
      <w:bookmarkEnd w:id="11"/>
    </w:p>
    <w:p w14:paraId="2E66081B">
      <w:pPr>
        <w:spacing w:line="420" w:lineRule="exact"/>
        <w:rPr>
          <w:rFonts w:ascii="宋体" w:hAnsi="宋体" w:cs="宋体"/>
          <w:color w:val="auto"/>
          <w:sz w:val="22"/>
          <w:szCs w:val="22"/>
          <w:highlight w:val="none"/>
          <w:lang w:val="zh-CN"/>
        </w:rPr>
      </w:pPr>
    </w:p>
    <w:p w14:paraId="104AF39C">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为了指导建设工程施工合同当事人的签约行为，维护合同当事人的合法权益，依据《中华人民共和国合同法》、《中华人民共和国建筑法》、《中华人民共和国招标投标法》以及相关法律法规，参照《建设工程施工合同（示范文本）》（GF—2017—0201）、《广东省建设工程标准施工合同（2009年版）》等合同范本，广州市住房和城乡建设局、广州市市场监督管理局联合制定了合同示范文本《广州市建设工程施工合同》（SF-2019-0204）。为了便于合同当事人使用《广州市建设工程施工合同》（SF-2019-0204），现就有关问题说明如下：</w:t>
      </w:r>
    </w:p>
    <w:p w14:paraId="2BC7A27C">
      <w:pPr>
        <w:spacing w:line="420" w:lineRule="exact"/>
        <w:ind w:firstLine="440" w:firstLineChars="200"/>
        <w:rPr>
          <w:rFonts w:ascii="宋体" w:hAnsi="宋体" w:cs="宋体"/>
          <w:color w:val="auto"/>
          <w:sz w:val="22"/>
          <w:szCs w:val="22"/>
          <w:highlight w:val="none"/>
        </w:rPr>
      </w:pPr>
      <w:bookmarkStart w:id="12" w:name="_Toc25956"/>
      <w:bookmarkStart w:id="13" w:name="_Toc21289"/>
      <w:bookmarkStart w:id="14" w:name="_Toc26723"/>
      <w:bookmarkStart w:id="15" w:name="_Toc8080"/>
      <w:bookmarkStart w:id="16" w:name="_Toc28455"/>
      <w:r>
        <w:rPr>
          <w:rFonts w:hint="eastAsia" w:ascii="宋体" w:hAnsi="宋体" w:cs="宋体"/>
          <w:color w:val="auto"/>
          <w:sz w:val="22"/>
          <w:szCs w:val="22"/>
          <w:highlight w:val="none"/>
        </w:rPr>
        <w:t>一、项目业主首要责任制</w:t>
      </w:r>
      <w:bookmarkEnd w:id="12"/>
      <w:bookmarkEnd w:id="13"/>
      <w:bookmarkEnd w:id="14"/>
      <w:bookmarkEnd w:id="15"/>
      <w:bookmarkEnd w:id="16"/>
    </w:p>
    <w:p w14:paraId="73A4952D">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项目业主或发包方应履行基本建设程序，按照先勘察、后设计、再施工的原则实施工程建设，及时办理各项建设工程手续，并具备法律法规规定的开工条件，在依法领取施工许可证等有关证件后再开工建设；同时需负责整个建设项目全过程的安全管理，包括对设备厂家、设计单位、监理单位、检测单位及各施工单位安全监督管理。</w:t>
      </w:r>
    </w:p>
    <w:p w14:paraId="0DFCF3C5">
      <w:pPr>
        <w:spacing w:line="420" w:lineRule="exact"/>
        <w:ind w:firstLine="440" w:firstLineChars="200"/>
        <w:rPr>
          <w:rFonts w:ascii="宋体" w:hAnsi="宋体" w:cs="宋体"/>
          <w:color w:val="auto"/>
          <w:sz w:val="22"/>
          <w:szCs w:val="22"/>
          <w:highlight w:val="none"/>
        </w:rPr>
      </w:pPr>
      <w:bookmarkStart w:id="17" w:name="_Toc30283"/>
      <w:bookmarkStart w:id="18" w:name="_Toc11121"/>
      <w:bookmarkStart w:id="19" w:name="_Toc32121"/>
      <w:bookmarkStart w:id="20" w:name="_Toc17024"/>
      <w:bookmarkStart w:id="21" w:name="_Toc1329"/>
      <w:r>
        <w:rPr>
          <w:rFonts w:hint="eastAsia" w:ascii="宋体" w:hAnsi="宋体" w:cs="宋体"/>
          <w:color w:val="auto"/>
          <w:sz w:val="22"/>
          <w:szCs w:val="22"/>
          <w:highlight w:val="none"/>
        </w:rPr>
        <w:t>二、《广州市建设工程施工合同》（SF-2019-0204）的组成</w:t>
      </w:r>
      <w:bookmarkEnd w:id="17"/>
      <w:bookmarkEnd w:id="18"/>
      <w:bookmarkEnd w:id="19"/>
      <w:bookmarkEnd w:id="20"/>
      <w:bookmarkEnd w:id="21"/>
    </w:p>
    <w:p w14:paraId="1B5F5CEC">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《广州市建设工程施工合同》（SF-2019-0204）由协议书、通用条款和专用条款三部分组成。</w:t>
      </w:r>
    </w:p>
    <w:p w14:paraId="181A760B">
      <w:pPr>
        <w:spacing w:line="420" w:lineRule="exact"/>
        <w:ind w:firstLine="440" w:firstLineChars="200"/>
        <w:rPr>
          <w:rFonts w:ascii="宋体" w:hAnsi="宋体" w:cs="宋体"/>
          <w:color w:val="auto"/>
          <w:sz w:val="22"/>
          <w:szCs w:val="22"/>
          <w:highlight w:val="none"/>
        </w:rPr>
      </w:pPr>
      <w:bookmarkStart w:id="22" w:name="_Toc1306"/>
      <w:bookmarkStart w:id="23" w:name="_Toc30334"/>
      <w:bookmarkStart w:id="24" w:name="_Toc23610"/>
      <w:r>
        <w:rPr>
          <w:rFonts w:hint="eastAsia" w:ascii="宋体" w:hAnsi="宋体" w:cs="宋体"/>
          <w:color w:val="auto"/>
          <w:sz w:val="22"/>
          <w:szCs w:val="22"/>
          <w:highlight w:val="none"/>
        </w:rPr>
        <w:t>（一）协议书</w:t>
      </w:r>
      <w:bookmarkEnd w:id="22"/>
      <w:bookmarkEnd w:id="23"/>
      <w:bookmarkEnd w:id="24"/>
    </w:p>
    <w:p w14:paraId="19E3B26F">
      <w:pPr>
        <w:spacing w:line="420" w:lineRule="exact"/>
        <w:ind w:left="147" w:leftChars="70" w:firstLine="330" w:firstLineChars="150"/>
        <w:rPr>
          <w:rFonts w:ascii="宋体" w:hAnsi="宋体" w:cs="宋体"/>
          <w:color w:val="auto"/>
          <w:sz w:val="22"/>
          <w:szCs w:val="22"/>
          <w:highlight w:val="none"/>
        </w:rPr>
      </w:pPr>
      <w:r>
        <w:rPr>
          <w:rFonts w:hint="eastAsia" w:ascii="宋体" w:hAnsi="宋体" w:cs="宋体"/>
          <w:color w:val="auto"/>
          <w:sz w:val="22"/>
          <w:szCs w:val="22"/>
          <w:highlight w:val="none"/>
        </w:rPr>
        <w:t>《广州市建设工程施工合同》（SF-2019-0204）协议书集中约定了合同当事人基本的合同权利义务。</w:t>
      </w:r>
    </w:p>
    <w:p w14:paraId="43AADABC">
      <w:pPr>
        <w:spacing w:line="420" w:lineRule="exact"/>
        <w:ind w:firstLine="440" w:firstLineChars="200"/>
        <w:rPr>
          <w:rFonts w:ascii="宋体" w:hAnsi="宋体" w:cs="宋体"/>
          <w:color w:val="auto"/>
          <w:sz w:val="22"/>
          <w:szCs w:val="22"/>
          <w:highlight w:val="none"/>
        </w:rPr>
      </w:pPr>
      <w:bookmarkStart w:id="25" w:name="_Toc24448"/>
      <w:bookmarkStart w:id="26" w:name="_Toc27092"/>
      <w:bookmarkStart w:id="27" w:name="_Toc3727"/>
      <w:r>
        <w:rPr>
          <w:rFonts w:hint="eastAsia" w:ascii="宋体" w:hAnsi="宋体" w:cs="宋体"/>
          <w:color w:val="auto"/>
          <w:sz w:val="22"/>
          <w:szCs w:val="22"/>
          <w:highlight w:val="none"/>
        </w:rPr>
        <w:t>（二）通用条款</w:t>
      </w:r>
      <w:bookmarkEnd w:id="25"/>
      <w:bookmarkEnd w:id="26"/>
      <w:bookmarkEnd w:id="27"/>
    </w:p>
    <w:p w14:paraId="77CC8FEC">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通用条款是合同当事人根据《中华人民共和国合同法》、《中华人民共和国建筑法》等法律法规的规定，就工程施工的实施及相关事项，对合同当事人的权利义务作出的原则性约定。</w:t>
      </w:r>
    </w:p>
    <w:p w14:paraId="4B1EEFF9">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通用条款既考虑了现行法律法规对工程发承包计价的有关要求，也考虑了工程施工管理的特殊需要。</w:t>
      </w:r>
    </w:p>
    <w:p w14:paraId="57C6041E">
      <w:pPr>
        <w:spacing w:line="420" w:lineRule="exact"/>
        <w:ind w:firstLine="440" w:firstLineChars="200"/>
        <w:rPr>
          <w:rFonts w:ascii="宋体" w:hAnsi="宋体" w:cs="宋体"/>
          <w:color w:val="auto"/>
          <w:sz w:val="22"/>
          <w:szCs w:val="22"/>
          <w:highlight w:val="none"/>
        </w:rPr>
      </w:pPr>
      <w:bookmarkStart w:id="28" w:name="_Toc6130"/>
      <w:bookmarkStart w:id="29" w:name="_Toc3388"/>
      <w:bookmarkStart w:id="30" w:name="_Toc10281"/>
      <w:r>
        <w:rPr>
          <w:rFonts w:hint="eastAsia" w:ascii="宋体" w:hAnsi="宋体" w:cs="宋体"/>
          <w:color w:val="auto"/>
          <w:sz w:val="22"/>
          <w:szCs w:val="22"/>
          <w:highlight w:val="none"/>
        </w:rPr>
        <w:t>（三）专用条款</w:t>
      </w:r>
      <w:bookmarkEnd w:id="28"/>
      <w:bookmarkEnd w:id="29"/>
      <w:bookmarkEnd w:id="30"/>
    </w:p>
    <w:p w14:paraId="4201A296">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专用条款是对通用条款原则性约定的细化、完善、补充、修改或另行约定的条款。合同当事人可以根据不同建设工程的特点及发承包计价的具体情况，通过双方的谈判、协商对相应的专用条款进行修改补充。在使用专用条款时，应注意以下事项：</w:t>
      </w:r>
    </w:p>
    <w:p w14:paraId="01449354">
      <w:pPr>
        <w:spacing w:line="420" w:lineRule="exact"/>
        <w:ind w:right="25" w:rightChars="12"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1.专用条款的编号应与相应的通用条款的编号一致；</w:t>
      </w:r>
    </w:p>
    <w:p w14:paraId="392CCB9B">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2.合同当事人可以通过对专用条款的修改，满足具体工程的特殊要求，避免直接修改通用条款；</w:t>
      </w:r>
    </w:p>
    <w:p w14:paraId="1486C0DC">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3.在专用条款中有横道线的地方，合同当事人可针对相应的通用条款进行细化、完善、补充、修改或另行约定；如无细化、完善、补充、修改或另行约定，则填写“无”或划“/”。</w:t>
      </w:r>
    </w:p>
    <w:p w14:paraId="06EEBC14">
      <w:pPr>
        <w:spacing w:line="420" w:lineRule="exact"/>
        <w:ind w:firstLine="440" w:firstLineChars="200"/>
        <w:rPr>
          <w:rFonts w:ascii="宋体" w:hAnsi="宋体" w:cs="宋体"/>
          <w:color w:val="auto"/>
          <w:sz w:val="22"/>
          <w:szCs w:val="22"/>
          <w:highlight w:val="none"/>
        </w:rPr>
      </w:pPr>
      <w:bookmarkStart w:id="31" w:name="_Toc7078"/>
      <w:bookmarkStart w:id="32" w:name="_Toc11448"/>
      <w:bookmarkStart w:id="33" w:name="_Toc13413"/>
      <w:bookmarkStart w:id="34" w:name="_Toc8843"/>
      <w:bookmarkStart w:id="35" w:name="_Toc12808"/>
      <w:r>
        <w:rPr>
          <w:rFonts w:hint="eastAsia" w:ascii="宋体" w:hAnsi="宋体" w:cs="宋体"/>
          <w:color w:val="auto"/>
          <w:sz w:val="22"/>
          <w:szCs w:val="22"/>
          <w:highlight w:val="none"/>
        </w:rPr>
        <w:t>三、《广州市建设工程施工合同》（SF-2019-0204）的适用范围</w:t>
      </w:r>
      <w:bookmarkEnd w:id="31"/>
      <w:bookmarkEnd w:id="32"/>
      <w:bookmarkEnd w:id="33"/>
      <w:bookmarkEnd w:id="34"/>
      <w:bookmarkEnd w:id="35"/>
    </w:p>
    <w:p w14:paraId="2D8C4C28">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《广州市建设工程施工合同》（SF-2019-0204）适用于广州市行政区域内建设工程的新建、扩建、改建、装修、修缮等施工项目的合同订立。其中，通用条款中带</w:t>
      </w:r>
      <w:r>
        <w:rPr>
          <w:rFonts w:hint="eastAsia" w:ascii="宋体" w:hAnsi="宋体" w:cs="宋体"/>
          <w:b/>
          <w:bCs/>
          <w:color w:val="auto"/>
          <w:sz w:val="22"/>
          <w:szCs w:val="22"/>
          <w:highlight w:val="none"/>
        </w:rPr>
        <w:t>★</w:t>
      </w:r>
      <w:r>
        <w:rPr>
          <w:rFonts w:hint="eastAsia" w:ascii="宋体" w:hAnsi="宋体" w:cs="宋体"/>
          <w:color w:val="auto"/>
          <w:sz w:val="22"/>
          <w:szCs w:val="22"/>
          <w:highlight w:val="none"/>
        </w:rPr>
        <w:t>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建设工程施工合同》（SF-2019-0204）的内容，约定双方具体的权利义务。</w:t>
      </w:r>
    </w:p>
    <w:p w14:paraId="7E02EEFD">
      <w:pPr>
        <w:spacing w:line="420" w:lineRule="exact"/>
        <w:ind w:firstLine="440" w:firstLineChars="200"/>
        <w:rPr>
          <w:rFonts w:ascii="宋体" w:hAnsi="宋体" w:cs="宋体"/>
          <w:color w:val="auto"/>
          <w:sz w:val="22"/>
          <w:szCs w:val="22"/>
          <w:highlight w:val="none"/>
        </w:rPr>
      </w:pPr>
      <w:bookmarkStart w:id="36" w:name="_Toc18758"/>
      <w:bookmarkStart w:id="37" w:name="_Toc15764"/>
      <w:bookmarkStart w:id="38" w:name="_Toc1479"/>
      <w:bookmarkStart w:id="39" w:name="_Toc10358"/>
      <w:bookmarkStart w:id="40" w:name="_Toc22036"/>
      <w:r>
        <w:rPr>
          <w:rFonts w:hint="eastAsia" w:ascii="宋体" w:hAnsi="宋体" w:cs="宋体"/>
          <w:color w:val="auto"/>
          <w:sz w:val="22"/>
          <w:szCs w:val="22"/>
          <w:highlight w:val="none"/>
        </w:rPr>
        <w:t>四、其他事项</w:t>
      </w:r>
      <w:bookmarkEnd w:id="36"/>
      <w:bookmarkEnd w:id="37"/>
      <w:bookmarkEnd w:id="38"/>
      <w:bookmarkEnd w:id="39"/>
      <w:bookmarkEnd w:id="40"/>
    </w:p>
    <w:p w14:paraId="2439F876">
      <w:pPr>
        <w:spacing w:line="420" w:lineRule="exact"/>
        <w:ind w:firstLine="565" w:firstLineChars="257"/>
        <w:rPr>
          <w:rFonts w:ascii="宋体" w:hAnsi="宋体" w:cs="宋体"/>
          <w:color w:val="auto"/>
          <w:sz w:val="22"/>
          <w:szCs w:val="22"/>
          <w:highlight w:val="none"/>
        </w:rPr>
      </w:pPr>
      <w:r>
        <w:rPr>
          <w:rFonts w:hint="eastAsia" w:ascii="宋体" w:hAnsi="宋体" w:cs="宋体"/>
          <w:color w:val="auto"/>
          <w:sz w:val="22"/>
          <w:szCs w:val="22"/>
          <w:highlight w:val="none"/>
        </w:rPr>
        <w:t>《广州市建设工程施工合同》（SF-2019-0204）》专用条款中的“预付款”、“进度款”、“竣工结算”条款，在签订合同时优先选择本合同中已列的支付条件、支付方式，如选择“其它方式”或“另作约定”形式的，需以合同附件的形式予以说明原因。</w:t>
      </w:r>
    </w:p>
    <w:p w14:paraId="7B39040F">
      <w:pPr>
        <w:widowControl/>
        <w:spacing w:beforeAutospacing="1" w:afterAutospacing="1" w:line="420" w:lineRule="exact"/>
        <w:jc w:val="left"/>
        <w:rPr>
          <w:rFonts w:ascii="宋体" w:hAnsi="宋体" w:cs="宋体"/>
          <w:color w:val="auto"/>
          <w:kern w:val="0"/>
          <w:sz w:val="22"/>
          <w:szCs w:val="22"/>
          <w:highlight w:val="none"/>
        </w:rPr>
        <w:sectPr>
          <w:footerReference r:id="rId4" w:type="default"/>
          <w:endnotePr>
            <w:numFmt w:val="decimal"/>
          </w:endnotePr>
          <w:pgSz w:w="11906" w:h="16838"/>
          <w:pgMar w:top="1191" w:right="851" w:bottom="794" w:left="851" w:header="0" w:footer="0" w:gutter="0"/>
          <w:pgNumType w:start="1"/>
          <w:cols w:space="720" w:num="1"/>
          <w:titlePg/>
          <w:docGrid w:linePitch="286" w:charSpace="0"/>
        </w:sectPr>
      </w:pPr>
    </w:p>
    <w:p w14:paraId="61E1A02F">
      <w:pPr>
        <w:widowControl/>
        <w:spacing w:line="420" w:lineRule="exact"/>
        <w:jc w:val="left"/>
        <w:rPr>
          <w:rFonts w:ascii="宋体" w:hAnsi="宋体" w:cs="宋体"/>
          <w:color w:val="auto"/>
          <w:sz w:val="22"/>
          <w:szCs w:val="22"/>
          <w:highlight w:val="none"/>
        </w:rPr>
      </w:pPr>
    </w:p>
    <w:bookmarkEnd w:id="0"/>
    <w:bookmarkEnd w:id="1"/>
    <w:bookmarkEnd w:id="2"/>
    <w:bookmarkEnd w:id="3"/>
    <w:bookmarkEnd w:id="4"/>
    <w:p w14:paraId="522E8A02">
      <w:pPr>
        <w:spacing w:line="420" w:lineRule="exact"/>
        <w:jc w:val="center"/>
        <w:outlineLvl w:val="0"/>
        <w:rPr>
          <w:rFonts w:ascii="方正黑体_GBK" w:hAnsi="方正黑体_GBK" w:eastAsia="方正黑体_GBK" w:cs="方正黑体_GBK"/>
          <w:b/>
          <w:bCs/>
          <w:color w:val="auto"/>
          <w:sz w:val="28"/>
          <w:szCs w:val="28"/>
          <w:highlight w:val="none"/>
        </w:rPr>
      </w:pPr>
      <w:bookmarkStart w:id="41" w:name="_Toc3401"/>
      <w:bookmarkStart w:id="42" w:name="_Toc17387"/>
      <w:bookmarkStart w:id="43" w:name="_Toc155166128"/>
      <w:bookmarkStart w:id="44" w:name="_Toc22839"/>
      <w:bookmarkStart w:id="45" w:name="_Toc469383967"/>
      <w:bookmarkStart w:id="46" w:name="_Toc20439"/>
      <w:bookmarkStart w:id="47" w:name="_Toc31199"/>
      <w:bookmarkStart w:id="48" w:name="_Toc16641"/>
      <w:r>
        <w:rPr>
          <w:rFonts w:hint="eastAsia" w:ascii="方正黑体_GBK" w:hAnsi="方正黑体_GBK" w:eastAsia="方正黑体_GBK" w:cs="方正黑体_GBK"/>
          <w:b/>
          <w:bCs/>
          <w:color w:val="auto"/>
          <w:sz w:val="28"/>
          <w:szCs w:val="28"/>
          <w:highlight w:val="none"/>
        </w:rPr>
        <w:t>第一部分  协  议  书</w:t>
      </w:r>
      <w:bookmarkEnd w:id="41"/>
      <w:bookmarkEnd w:id="42"/>
      <w:bookmarkEnd w:id="43"/>
      <w:bookmarkEnd w:id="44"/>
      <w:bookmarkEnd w:id="45"/>
      <w:bookmarkEnd w:id="46"/>
      <w:bookmarkEnd w:id="47"/>
      <w:bookmarkEnd w:id="48"/>
    </w:p>
    <w:p w14:paraId="00455DF1">
      <w:pPr>
        <w:spacing w:line="420" w:lineRule="exact"/>
        <w:jc w:val="center"/>
        <w:rPr>
          <w:rFonts w:ascii="宋体" w:hAnsi="宋体" w:cs="宋体"/>
          <w:color w:val="auto"/>
          <w:sz w:val="22"/>
          <w:szCs w:val="22"/>
          <w:highlight w:val="none"/>
        </w:rPr>
      </w:pPr>
    </w:p>
    <w:p w14:paraId="0BA18C2B">
      <w:pPr>
        <w:spacing w:line="420" w:lineRule="exact"/>
        <w:jc w:val="center"/>
        <w:rPr>
          <w:rFonts w:ascii="宋体" w:hAnsi="宋体" w:cs="宋体"/>
          <w:color w:val="auto"/>
          <w:sz w:val="22"/>
          <w:szCs w:val="22"/>
          <w:highlight w:val="none"/>
        </w:rPr>
      </w:pPr>
    </w:p>
    <w:p w14:paraId="0ED98B23">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发包人:（全称）</w:t>
      </w:r>
      <w:r>
        <w:rPr>
          <w:rFonts w:hint="eastAsia"/>
          <w:color w:val="auto"/>
          <w:sz w:val="22"/>
          <w:szCs w:val="22"/>
          <w:highlight w:val="none"/>
          <w:u w:val="single"/>
        </w:rPr>
        <w:t>广州市番禺区水务工程建管中心（广州市番禺区水旱灾害防御中心）</w:t>
      </w:r>
    </w:p>
    <w:p w14:paraId="135EA4CA">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承包人:（全称）</w:t>
      </w:r>
      <w:r>
        <w:rPr>
          <w:rFonts w:hint="eastAsia" w:ascii="宋体" w:hAnsi="宋体" w:cs="宋体"/>
          <w:color w:val="auto"/>
          <w:sz w:val="22"/>
          <w:szCs w:val="22"/>
          <w:highlight w:val="none"/>
          <w:u w:val="single"/>
        </w:rPr>
        <w:t xml:space="preserve">                   </w:t>
      </w:r>
      <w:r>
        <w:rPr>
          <w:rFonts w:hint="eastAsia" w:hAnsi="宋体"/>
          <w:color w:val="auto"/>
          <w:sz w:val="22"/>
          <w:szCs w:val="22"/>
          <w:highlight w:val="none"/>
          <w:u w:val="single"/>
        </w:rPr>
        <w:t>（中标人）</w:t>
      </w:r>
      <w:r>
        <w:rPr>
          <w:rFonts w:hint="eastAsia" w:ascii="宋体" w:hAnsi="宋体" w:cs="宋体"/>
          <w:color w:val="auto"/>
          <w:sz w:val="22"/>
          <w:szCs w:val="22"/>
          <w:highlight w:val="none"/>
          <w:u w:val="single"/>
        </w:rPr>
        <w:t xml:space="preserve">                               </w:t>
      </w:r>
    </w:p>
    <w:p w14:paraId="575FC27E">
      <w:pPr>
        <w:spacing w:line="420" w:lineRule="exact"/>
        <w:rPr>
          <w:rFonts w:ascii="宋体" w:hAnsi="宋体" w:cs="宋体"/>
          <w:color w:val="auto"/>
          <w:sz w:val="22"/>
          <w:szCs w:val="22"/>
          <w:highlight w:val="none"/>
        </w:rPr>
      </w:pPr>
    </w:p>
    <w:p w14:paraId="648C53F8">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根据《广州市番禺区人民政府关于印发番禺区政府投资区属非经营性项目代建管理办法（试行）的通知》（番府规[2019]8号）、《广州市番禺区人民政府办公室批转番禺区水务局关于调整完善排水工程建设和运营维护机制工作意见的通知》（番府办[2020]6号）等相关文件精神，本项目采用代建制管理模式，建设单位为广州市番禺区水务局，代建单位即为本合同的发包人。</w:t>
      </w:r>
    </w:p>
    <w:p w14:paraId="1B93A683">
      <w:pPr>
        <w:spacing w:line="420" w:lineRule="exact"/>
        <w:ind w:firstLine="440" w:firstLineChars="200"/>
        <w:rPr>
          <w:rFonts w:ascii="宋体" w:hAnsi="宋体" w:cs="宋体"/>
          <w:color w:val="auto"/>
          <w:sz w:val="22"/>
          <w:szCs w:val="22"/>
          <w:highlight w:val="none"/>
        </w:rPr>
      </w:pPr>
      <w:r>
        <w:rPr>
          <w:rFonts w:ascii="宋体" w:hAnsi="宋体" w:cs="宋体"/>
          <w:color w:val="auto"/>
          <w:sz w:val="22"/>
          <w:szCs w:val="22"/>
          <w:highlight w:val="none"/>
        </w:rPr>
        <w:t>发包人为建设</w:t>
      </w:r>
      <w:r>
        <w:rPr>
          <w:rFonts w:hint="eastAsia" w:ascii="宋体" w:hAnsi="宋体" w:cs="宋体"/>
          <w:color w:val="auto"/>
          <w:sz w:val="22"/>
          <w:szCs w:val="22"/>
          <w:highlight w:val="none"/>
          <w:u w:val="single"/>
        </w:rPr>
        <w:t xml:space="preserve">                           </w:t>
      </w:r>
      <w:r>
        <w:rPr>
          <w:rFonts w:ascii="宋体" w:hAnsi="宋体" w:cs="宋体"/>
          <w:color w:val="auto"/>
          <w:sz w:val="22"/>
          <w:szCs w:val="22"/>
          <w:highlight w:val="none"/>
        </w:rPr>
        <w:t>（以下简称“本工程”），已接受承包人提出的承担本工程的施工、竣工、交付并维修其任何缺陷的投标。依照《中华人民共和国招标投标法》、《中华人民共和国</w:t>
      </w:r>
      <w:r>
        <w:rPr>
          <w:rFonts w:hint="eastAsia" w:ascii="宋体" w:hAnsi="宋体" w:cs="宋体"/>
          <w:color w:val="auto"/>
          <w:sz w:val="22"/>
          <w:szCs w:val="22"/>
          <w:highlight w:val="none"/>
        </w:rPr>
        <w:t>民法</w:t>
      </w:r>
      <w:r>
        <w:rPr>
          <w:rFonts w:ascii="宋体" w:hAnsi="宋体" w:cs="宋体"/>
          <w:color w:val="auto"/>
          <w:sz w:val="22"/>
          <w:szCs w:val="22"/>
          <w:highlight w:val="none"/>
        </w:rPr>
        <w:t>典》、《中华人民共和国建筑法》、</w:t>
      </w:r>
      <w:r>
        <w:rPr>
          <w:rFonts w:hint="eastAsia" w:ascii="宋体" w:hAnsi="宋体" w:cs="宋体"/>
          <w:color w:val="auto"/>
          <w:sz w:val="22"/>
          <w:szCs w:val="22"/>
          <w:highlight w:val="none"/>
        </w:rPr>
        <w:t>《广州市番禺区人民政府关于印发番禺区加强财政性投资建设项目标后管理工作意见（试行）的通知》（番府[2014]106号）</w:t>
      </w:r>
      <w:r>
        <w:rPr>
          <w:rFonts w:ascii="宋体" w:hAnsi="宋体" w:cs="宋体"/>
          <w:color w:val="auto"/>
          <w:sz w:val="22"/>
          <w:szCs w:val="22"/>
          <w:highlight w:val="none"/>
        </w:rPr>
        <w:t>及其他有关法律、行政法规，遵循平等、自愿、公平和诚实信用的原则，发包人</w:t>
      </w:r>
      <w:r>
        <w:rPr>
          <w:rFonts w:hint="eastAsia" w:ascii="宋体" w:hAnsi="宋体" w:cs="宋体"/>
          <w:color w:val="auto"/>
          <w:sz w:val="22"/>
          <w:szCs w:val="22"/>
          <w:highlight w:val="none"/>
        </w:rPr>
        <w:t>、</w:t>
      </w:r>
      <w:r>
        <w:rPr>
          <w:rFonts w:ascii="宋体" w:hAnsi="宋体" w:cs="宋体"/>
          <w:color w:val="auto"/>
          <w:sz w:val="22"/>
          <w:szCs w:val="22"/>
          <w:highlight w:val="none"/>
        </w:rPr>
        <w:t>承包人双方共同达成并订立如下协议。</w:t>
      </w:r>
    </w:p>
    <w:p w14:paraId="31CA9004">
      <w:pPr>
        <w:spacing w:line="420" w:lineRule="exact"/>
        <w:rPr>
          <w:rFonts w:ascii="宋体" w:hAnsi="宋体" w:cs="宋体"/>
          <w:color w:val="auto"/>
          <w:sz w:val="22"/>
          <w:szCs w:val="22"/>
          <w:highlight w:val="none"/>
        </w:rPr>
      </w:pPr>
    </w:p>
    <w:p w14:paraId="0AFB8F64">
      <w:pPr>
        <w:spacing w:line="420" w:lineRule="exact"/>
        <w:outlineLvl w:val="1"/>
        <w:rPr>
          <w:rFonts w:ascii="方正小标宋_GBK" w:hAnsi="方正小标宋_GBK" w:eastAsia="方正小标宋_GBK" w:cs="方正小标宋_GBK"/>
          <w:b/>
          <w:bCs/>
          <w:color w:val="auto"/>
          <w:sz w:val="24"/>
          <w:szCs w:val="24"/>
          <w:highlight w:val="none"/>
        </w:rPr>
      </w:pPr>
      <w:bookmarkStart w:id="49" w:name="_Toc24082"/>
      <w:bookmarkStart w:id="50" w:name="_Toc266892752"/>
      <w:bookmarkStart w:id="51" w:name="_Toc469383968"/>
      <w:bookmarkStart w:id="52" w:name="_Toc155166129"/>
      <w:bookmarkStart w:id="53" w:name="_Toc963"/>
      <w:bookmarkStart w:id="54" w:name="_Toc15700"/>
      <w:bookmarkStart w:id="55" w:name="_Toc22198"/>
      <w:r>
        <w:rPr>
          <w:rFonts w:hint="eastAsia" w:ascii="方正小标宋_GBK" w:hAnsi="方正小标宋_GBK" w:eastAsia="方正小标宋_GBK" w:cs="方正小标宋_GBK"/>
          <w:b/>
          <w:bCs/>
          <w:color w:val="auto"/>
          <w:sz w:val="24"/>
          <w:szCs w:val="24"/>
          <w:highlight w:val="none"/>
        </w:rPr>
        <w:t>一、工程概况</w:t>
      </w:r>
      <w:bookmarkEnd w:id="49"/>
      <w:bookmarkEnd w:id="50"/>
      <w:bookmarkEnd w:id="51"/>
      <w:bookmarkEnd w:id="52"/>
      <w:bookmarkEnd w:id="53"/>
      <w:bookmarkEnd w:id="54"/>
      <w:bookmarkEnd w:id="55"/>
    </w:p>
    <w:p w14:paraId="3165A00B">
      <w:pPr>
        <w:spacing w:line="420" w:lineRule="exact"/>
        <w:ind w:firstLine="440" w:firstLineChars="200"/>
        <w:rPr>
          <w:rFonts w:ascii="宋体" w:hAnsi="宋体" w:cs="宋体"/>
          <w:color w:val="auto"/>
          <w:sz w:val="22"/>
          <w:szCs w:val="22"/>
          <w:highlight w:val="none"/>
        </w:rPr>
      </w:pPr>
    </w:p>
    <w:p w14:paraId="7AB12A47">
      <w:pPr>
        <w:spacing w:line="420" w:lineRule="exact"/>
        <w:ind w:firstLine="440" w:firstLineChars="200"/>
        <w:rPr>
          <w:rFonts w:ascii="宋体" w:hAnsi="宋体" w:cs="宋体"/>
          <w:color w:val="auto"/>
          <w:sz w:val="22"/>
          <w:szCs w:val="22"/>
          <w:highlight w:val="none"/>
          <w:u w:val="single"/>
        </w:rPr>
      </w:pPr>
      <w:r>
        <w:rPr>
          <w:rFonts w:hint="eastAsia" w:ascii="宋体" w:hAnsi="宋体" w:cs="宋体"/>
          <w:color w:val="auto"/>
          <w:sz w:val="22"/>
          <w:szCs w:val="22"/>
          <w:highlight w:val="none"/>
        </w:rPr>
        <w:t>立项批文编号或广东省企业基本建设投资项目备案证备案项目编号：</w:t>
      </w:r>
      <w:r>
        <w:rPr>
          <w:rFonts w:hint="eastAsia" w:ascii="宋体" w:hAnsi="宋体" w:cs="宋体"/>
          <w:color w:val="auto"/>
          <w:sz w:val="22"/>
          <w:szCs w:val="22"/>
          <w:highlight w:val="none"/>
          <w:u w:val="single"/>
        </w:rPr>
        <w:t xml:space="preserve">           </w:t>
      </w:r>
    </w:p>
    <w:p w14:paraId="14E58F40">
      <w:pPr>
        <w:spacing w:line="420" w:lineRule="exact"/>
        <w:ind w:firstLine="465"/>
        <w:rPr>
          <w:rFonts w:ascii="宋体" w:hAnsi="宋体" w:cs="宋体"/>
          <w:color w:val="auto"/>
          <w:sz w:val="22"/>
          <w:szCs w:val="22"/>
          <w:highlight w:val="none"/>
          <w:u w:val="single"/>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u w:val="single"/>
        </w:rPr>
        <w:t xml:space="preserve">                                                             </w:t>
      </w:r>
    </w:p>
    <w:p w14:paraId="6ABA0850">
      <w:pPr>
        <w:spacing w:line="420" w:lineRule="exact"/>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合同类型：□总承包施工合同   □专业分包施工合同   □其它：</w:t>
      </w:r>
    </w:p>
    <w:p w14:paraId="14A2ACE6">
      <w:pPr>
        <w:spacing w:line="420" w:lineRule="exact"/>
        <w:ind w:firstLine="480"/>
        <w:rPr>
          <w:rFonts w:ascii="宋体" w:hAnsi="宋体" w:cs="宋体"/>
          <w:color w:val="auto"/>
          <w:sz w:val="22"/>
          <w:szCs w:val="22"/>
          <w:highlight w:val="none"/>
          <w:u w:val="single"/>
        </w:rPr>
      </w:pPr>
      <w:r>
        <w:rPr>
          <w:rFonts w:hint="eastAsia" w:ascii="宋体" w:hAnsi="宋体" w:cs="宋体"/>
          <w:color w:val="auto"/>
          <w:sz w:val="22"/>
          <w:szCs w:val="22"/>
          <w:highlight w:val="none"/>
        </w:rPr>
        <w:t>工程规模：</w:t>
      </w:r>
      <w:r>
        <w:rPr>
          <w:rFonts w:hint="eastAsia" w:ascii="宋体" w:hAnsi="宋体" w:cs="宋体"/>
          <w:color w:val="auto"/>
          <w:sz w:val="22"/>
          <w:szCs w:val="22"/>
          <w:highlight w:val="none"/>
          <w:u w:val="single"/>
        </w:rPr>
        <w:t xml:space="preserve">                                                             </w:t>
      </w:r>
    </w:p>
    <w:p w14:paraId="4C44BE3F">
      <w:pPr>
        <w:spacing w:line="420" w:lineRule="exact"/>
        <w:ind w:firstLine="440" w:firstLineChars="200"/>
        <w:rPr>
          <w:rFonts w:ascii="宋体" w:hAnsi="宋体" w:cs="宋体"/>
          <w:color w:val="auto"/>
          <w:sz w:val="22"/>
          <w:szCs w:val="22"/>
          <w:highlight w:val="none"/>
          <w:u w:val="single"/>
        </w:rPr>
      </w:pPr>
      <w:r>
        <w:rPr>
          <w:rFonts w:hint="eastAsia" w:ascii="宋体" w:hAnsi="宋体" w:cs="宋体"/>
          <w:color w:val="auto"/>
          <w:sz w:val="22"/>
          <w:szCs w:val="22"/>
          <w:highlight w:val="none"/>
        </w:rPr>
        <w:t>结构形式：</w:t>
      </w:r>
      <w:r>
        <w:rPr>
          <w:rFonts w:hint="eastAsia" w:ascii="宋体" w:hAnsi="宋体" w:cs="宋体"/>
          <w:color w:val="auto"/>
          <w:sz w:val="22"/>
          <w:szCs w:val="22"/>
          <w:highlight w:val="none"/>
          <w:u w:val="single"/>
        </w:rPr>
        <w:t xml:space="preserve">                                                             </w:t>
      </w:r>
    </w:p>
    <w:p w14:paraId="68594207">
      <w:pPr>
        <w:spacing w:line="420" w:lineRule="exact"/>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资金来源：</w:t>
      </w:r>
      <w:r>
        <w:rPr>
          <w:rFonts w:hint="eastAsia" w:ascii="宋体" w:hAnsi="宋体" w:cs="宋体"/>
          <w:color w:val="auto"/>
          <w:sz w:val="22"/>
          <w:szCs w:val="22"/>
          <w:highlight w:val="none"/>
          <w:u w:val="single"/>
        </w:rPr>
        <w:t>财政资金。</w:t>
      </w:r>
    </w:p>
    <w:p w14:paraId="364BE797">
      <w:pPr>
        <w:spacing w:line="420" w:lineRule="exact"/>
        <w:ind w:firstLine="480"/>
        <w:rPr>
          <w:rFonts w:ascii="宋体" w:hAnsi="宋体" w:cs="宋体"/>
          <w:color w:val="auto"/>
          <w:sz w:val="22"/>
          <w:szCs w:val="22"/>
          <w:highlight w:val="none"/>
        </w:rPr>
      </w:pPr>
      <w:r>
        <w:rPr>
          <w:rFonts w:hint="eastAsia" w:ascii="宋体" w:hAnsi="宋体" w:cs="宋体"/>
          <w:color w:val="auto"/>
          <w:sz w:val="22"/>
          <w:szCs w:val="22"/>
          <w:highlight w:val="none"/>
        </w:rPr>
        <w:t>其他：</w:t>
      </w:r>
      <w:r>
        <w:rPr>
          <w:rFonts w:hint="eastAsia" w:ascii="宋体" w:hAnsi="宋体" w:cs="宋体"/>
          <w:color w:val="auto"/>
          <w:sz w:val="22"/>
          <w:szCs w:val="22"/>
          <w:highlight w:val="none"/>
          <w:u w:val="single"/>
        </w:rPr>
        <w:t xml:space="preserve">                                                                 </w:t>
      </w:r>
    </w:p>
    <w:p w14:paraId="53272C1A">
      <w:pPr>
        <w:spacing w:line="420" w:lineRule="exact"/>
        <w:rPr>
          <w:rFonts w:ascii="宋体" w:hAnsi="宋体" w:cs="宋体"/>
          <w:color w:val="auto"/>
          <w:sz w:val="22"/>
          <w:szCs w:val="22"/>
          <w:highlight w:val="none"/>
          <w:u w:val="single"/>
        </w:rPr>
      </w:pPr>
    </w:p>
    <w:p w14:paraId="772621CC">
      <w:pPr>
        <w:spacing w:line="420" w:lineRule="exact"/>
        <w:outlineLvl w:val="1"/>
        <w:rPr>
          <w:rFonts w:ascii="方正小标宋_GBK" w:hAnsi="方正小标宋_GBK" w:eastAsia="方正小标宋_GBK" w:cs="方正小标宋_GBK"/>
          <w:b/>
          <w:bCs/>
          <w:color w:val="auto"/>
          <w:sz w:val="24"/>
          <w:szCs w:val="24"/>
          <w:highlight w:val="none"/>
        </w:rPr>
      </w:pPr>
      <w:bookmarkStart w:id="56" w:name="_Toc29604"/>
      <w:bookmarkStart w:id="57" w:name="_Toc24411"/>
      <w:bookmarkStart w:id="58" w:name="_Toc266892753"/>
      <w:bookmarkStart w:id="59" w:name="_Toc13388"/>
      <w:bookmarkStart w:id="60" w:name="_Toc469383969"/>
      <w:bookmarkStart w:id="61" w:name="_Toc29652"/>
      <w:bookmarkStart w:id="62" w:name="_Toc155166130"/>
      <w:r>
        <w:rPr>
          <w:rFonts w:hint="eastAsia" w:ascii="方正小标宋_GBK" w:hAnsi="方正小标宋_GBK" w:eastAsia="方正小标宋_GBK" w:cs="方正小标宋_GBK"/>
          <w:b/>
          <w:bCs/>
          <w:color w:val="auto"/>
          <w:sz w:val="24"/>
          <w:szCs w:val="24"/>
          <w:highlight w:val="none"/>
        </w:rPr>
        <w:t>二、工程内容与承包范围</w:t>
      </w:r>
      <w:bookmarkEnd w:id="56"/>
      <w:bookmarkEnd w:id="57"/>
      <w:bookmarkEnd w:id="58"/>
      <w:bookmarkEnd w:id="59"/>
      <w:bookmarkEnd w:id="60"/>
      <w:bookmarkEnd w:id="61"/>
      <w:bookmarkEnd w:id="62"/>
    </w:p>
    <w:p w14:paraId="41D6F8B9">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58565998">
      <w:pPr>
        <w:spacing w:line="420" w:lineRule="exact"/>
        <w:ind w:firstLine="440" w:firstLineChars="200"/>
        <w:rPr>
          <w:rFonts w:ascii="宋体" w:hAnsi="宋体" w:cs="宋体"/>
          <w:color w:val="auto"/>
          <w:sz w:val="22"/>
          <w:szCs w:val="22"/>
          <w:highlight w:val="none"/>
          <w:u w:val="single"/>
        </w:rPr>
      </w:pPr>
      <w:r>
        <w:rPr>
          <w:rFonts w:hint="eastAsia" w:ascii="宋体" w:hAnsi="宋体" w:cs="宋体"/>
          <w:color w:val="auto"/>
          <w:sz w:val="22"/>
          <w:szCs w:val="22"/>
          <w:highlight w:val="none"/>
        </w:rPr>
        <w:t>工程内容与承包范围:</w:t>
      </w:r>
    </w:p>
    <w:p w14:paraId="01EDFE20">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1、承包范围包括但不限于：</w:t>
      </w:r>
    </w:p>
    <w:p w14:paraId="5315D1CF">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包工、包料、包措施费、包质量、包安全生产、包文明施工、包工期、包移交、包结算、包工程组织实施工作和资料整理，包组织竣工验收。</w:t>
      </w:r>
    </w:p>
    <w:p w14:paraId="6B30888A">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2、技术标准：详见合同附件十三《工程技术标准》。 </w:t>
      </w:r>
    </w:p>
    <w:p w14:paraId="52FB6FCA">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3、职业健康安全管理目标：杜绝一般及以上等级生产安全事故的发生，控制工伤事故在千分之一内。</w:t>
      </w:r>
    </w:p>
    <w:p w14:paraId="4AEF55F3">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4、环境管理目标：《广州市建设工程文明施工管理规定》（穗府[2012]第62号令）、《广州市番禺区水务局关于印发进一步提升水务工程施工围蔽水平工作方案的通知》（番水〔2014〕197号）、《广州市建设工程施工围蔽标准图集》。</w:t>
      </w:r>
    </w:p>
    <w:p w14:paraId="12410223">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5、扬尘防治管理目标：达到广州市建设工程扬尘防治管理标准。必须按照广州市住建委《广州市住房和城乡建设委员会关于印发建设工程扬尘防治“6个100%” 管理标准细化措施的通知》（穗建质[2018]1394号）、《广州市住房和城乡建设委员会 广州市环境保护局广州市交通委员会 广州市林业和园林局 广州市水务局 广州市港务局关于安装扬尘在线监测设备工作的通知》（穗建质〔2018〕2267号）及《广州市水务局转发关于安装扬尘在线监测设备工作的通知》（穗水质安〔2018〕144号）的要求执行。 </w:t>
      </w:r>
    </w:p>
    <w:p w14:paraId="006A937B">
      <w:pPr>
        <w:spacing w:line="420" w:lineRule="exact"/>
        <w:ind w:firstLine="479" w:firstLineChars="218"/>
        <w:rPr>
          <w:rFonts w:ascii="宋体" w:hAnsi="宋体" w:cs="宋体"/>
          <w:color w:val="auto"/>
          <w:sz w:val="22"/>
          <w:szCs w:val="22"/>
          <w:highlight w:val="none"/>
          <w:u w:val="single"/>
        </w:rPr>
      </w:pPr>
    </w:p>
    <w:p w14:paraId="2DBC2F0D">
      <w:pPr>
        <w:spacing w:line="420" w:lineRule="exact"/>
        <w:outlineLvl w:val="1"/>
        <w:rPr>
          <w:rFonts w:ascii="方正小标宋_GBK" w:hAnsi="方正小标宋_GBK" w:eastAsia="方正小标宋_GBK" w:cs="方正小标宋_GBK"/>
          <w:b/>
          <w:bCs/>
          <w:color w:val="auto"/>
          <w:sz w:val="24"/>
          <w:szCs w:val="24"/>
          <w:highlight w:val="none"/>
        </w:rPr>
      </w:pPr>
      <w:bookmarkStart w:id="63" w:name="_Toc2374"/>
      <w:bookmarkStart w:id="64" w:name="_Toc266892754"/>
      <w:bookmarkStart w:id="65" w:name="_Toc15086"/>
      <w:bookmarkStart w:id="66" w:name="_Toc14787"/>
      <w:bookmarkStart w:id="67" w:name="_Toc469383970"/>
      <w:bookmarkStart w:id="68" w:name="_Toc155166131"/>
      <w:bookmarkStart w:id="69" w:name="_Toc17144"/>
      <w:r>
        <w:rPr>
          <w:rFonts w:hint="eastAsia" w:ascii="方正小标宋_GBK" w:hAnsi="方正小标宋_GBK" w:eastAsia="方正小标宋_GBK" w:cs="方正小标宋_GBK"/>
          <w:b/>
          <w:bCs/>
          <w:color w:val="auto"/>
          <w:sz w:val="24"/>
          <w:szCs w:val="24"/>
          <w:highlight w:val="none"/>
        </w:rPr>
        <w:t>三、合同工期</w:t>
      </w:r>
      <w:bookmarkEnd w:id="63"/>
      <w:bookmarkEnd w:id="64"/>
      <w:bookmarkEnd w:id="65"/>
      <w:bookmarkEnd w:id="66"/>
      <w:bookmarkEnd w:id="67"/>
      <w:bookmarkEnd w:id="68"/>
      <w:bookmarkEnd w:id="69"/>
    </w:p>
    <w:p w14:paraId="58DB7D24">
      <w:pPr>
        <w:spacing w:line="420" w:lineRule="exact"/>
        <w:ind w:left="1100" w:hanging="1100" w:hangingChars="500"/>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2777C600">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1、工程合同工期总日历天数：</w:t>
      </w:r>
      <w:r>
        <w:rPr>
          <w:rFonts w:ascii="宋体" w:hAnsi="宋体" w:cs="宋体"/>
          <w:color w:val="auto"/>
          <w:sz w:val="22"/>
          <w:szCs w:val="22"/>
          <w:highlight w:val="none"/>
          <w:u w:val="single"/>
        </w:rPr>
        <w:t xml:space="preserve">      </w:t>
      </w:r>
      <w:r>
        <w:rPr>
          <w:rFonts w:hint="eastAsia" w:ascii="宋体" w:hAnsi="宋体" w:cs="宋体"/>
          <w:color w:val="auto"/>
          <w:sz w:val="22"/>
          <w:szCs w:val="22"/>
          <w:highlight w:val="none"/>
        </w:rPr>
        <w:t>天。暂定从</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月</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日开始施工，至</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月</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日竣工完成，具体开工日期以现场具备施工条件且在项目依法领取施工许可证后，以</w:t>
      </w:r>
      <w:r>
        <w:rPr>
          <w:rFonts w:ascii="宋体" w:hAnsi="宋体" w:cs="宋体"/>
          <w:color w:val="auto"/>
          <w:sz w:val="22"/>
          <w:szCs w:val="22"/>
          <w:highlight w:val="none"/>
        </w:rPr>
        <w:t>监理人</w:t>
      </w:r>
      <w:r>
        <w:rPr>
          <w:rFonts w:hint="eastAsia" w:ascii="宋体" w:hAnsi="宋体" w:cs="宋体"/>
          <w:color w:val="auto"/>
          <w:sz w:val="22"/>
          <w:szCs w:val="22"/>
          <w:highlight w:val="none"/>
        </w:rPr>
        <w:t>签发的开工令日期为准。工期总日历天数与根据前述计划开竣工日期计算的工期天数不一致的，以工期总日历天数为准。</w:t>
      </w:r>
    </w:p>
    <w:p w14:paraId="4ADAE5FB">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2、发包人根据工程实施情况，有权对本工程中的关键节点工期进行适当调整，承包人必须采取一切有效措施保证关键节点工期的调整，不得延误，并不得要求另行增加费用。</w:t>
      </w:r>
    </w:p>
    <w:p w14:paraId="307578DC">
      <w:pPr>
        <w:spacing w:line="420" w:lineRule="exact"/>
        <w:rPr>
          <w:rFonts w:ascii="宋体" w:hAnsi="宋体" w:cs="宋体"/>
          <w:color w:val="auto"/>
          <w:sz w:val="22"/>
          <w:szCs w:val="22"/>
          <w:highlight w:val="none"/>
        </w:rPr>
      </w:pPr>
    </w:p>
    <w:p w14:paraId="6667E934">
      <w:pPr>
        <w:spacing w:line="420" w:lineRule="exact"/>
        <w:outlineLvl w:val="1"/>
        <w:rPr>
          <w:rFonts w:ascii="方正小标宋_GBK" w:hAnsi="方正小标宋_GBK" w:eastAsia="方正小标宋_GBK" w:cs="方正小标宋_GBK"/>
          <w:b/>
          <w:bCs/>
          <w:color w:val="auto"/>
          <w:sz w:val="24"/>
          <w:szCs w:val="24"/>
          <w:highlight w:val="none"/>
        </w:rPr>
      </w:pPr>
      <w:bookmarkStart w:id="70" w:name="_Toc28417"/>
      <w:bookmarkStart w:id="71" w:name="_Toc266892755"/>
      <w:bookmarkStart w:id="72" w:name="_Toc155166132"/>
      <w:bookmarkStart w:id="73" w:name="_Toc15104"/>
      <w:bookmarkStart w:id="74" w:name="_Toc469383971"/>
      <w:bookmarkStart w:id="75" w:name="_Toc6143"/>
      <w:bookmarkStart w:id="76" w:name="_Toc9222"/>
      <w:r>
        <w:rPr>
          <w:rFonts w:hint="eastAsia" w:ascii="方正小标宋_GBK" w:hAnsi="方正小标宋_GBK" w:eastAsia="方正小标宋_GBK" w:cs="方正小标宋_GBK"/>
          <w:b/>
          <w:bCs/>
          <w:color w:val="auto"/>
          <w:sz w:val="24"/>
          <w:szCs w:val="24"/>
          <w:highlight w:val="none"/>
        </w:rPr>
        <w:t>★四、质量标准</w:t>
      </w:r>
      <w:bookmarkEnd w:id="70"/>
      <w:bookmarkEnd w:id="71"/>
      <w:bookmarkEnd w:id="72"/>
      <w:bookmarkEnd w:id="73"/>
      <w:bookmarkEnd w:id="74"/>
      <w:bookmarkEnd w:id="75"/>
      <w:bookmarkEnd w:id="76"/>
    </w:p>
    <w:p w14:paraId="2BBA196C">
      <w:pPr>
        <w:spacing w:line="420" w:lineRule="exact"/>
        <w:ind w:left="440" w:hanging="440" w:hangingChars="200"/>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3EC1F316">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工程质量标准：</w:t>
      </w:r>
    </w:p>
    <w:p w14:paraId="5E39EFB4">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 确保符合国家、省、市</w:t>
      </w:r>
      <w:r>
        <w:rPr>
          <w:rFonts w:hint="eastAsia" w:ascii="宋体" w:hAnsi="宋体"/>
          <w:snapToGrid w:val="0"/>
          <w:color w:val="auto"/>
          <w:kern w:val="0"/>
          <w:sz w:val="24"/>
          <w:highlight w:val="none"/>
        </w:rPr>
        <w:t>有关现行工程</w:t>
      </w:r>
      <w:r>
        <w:rPr>
          <w:rFonts w:hint="eastAsia" w:ascii="宋体" w:hAnsi="宋体" w:cs="宋体"/>
          <w:color w:val="auto"/>
          <w:sz w:val="22"/>
          <w:szCs w:val="22"/>
          <w:highlight w:val="none"/>
        </w:rPr>
        <w:t>质量验收标准，并达到合格或（以上标准）。</w:t>
      </w:r>
    </w:p>
    <w:p w14:paraId="1060273F">
      <w:pPr>
        <w:spacing w:line="420" w:lineRule="exact"/>
        <w:ind w:left="479" w:leftChars="228" w:firstLine="39" w:firstLineChars="18"/>
        <w:rPr>
          <w:rFonts w:ascii="宋体" w:hAnsi="宋体" w:cs="宋体"/>
          <w:color w:val="auto"/>
          <w:sz w:val="22"/>
          <w:szCs w:val="22"/>
          <w:highlight w:val="none"/>
          <w:u w:val="single"/>
        </w:rPr>
      </w:pPr>
      <w:r>
        <w:rPr>
          <w:rFonts w:hint="eastAsia" w:ascii="宋体" w:hAnsi="宋体" w:cs="宋体"/>
          <w:color w:val="auto"/>
          <w:sz w:val="22"/>
          <w:szCs w:val="22"/>
          <w:highlight w:val="none"/>
        </w:rPr>
        <w:t>□ 以及符合优质工程</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质量验收标准。</w:t>
      </w:r>
    </w:p>
    <w:p w14:paraId="08501204">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创优目标：</w:t>
      </w:r>
    </w:p>
    <w:p w14:paraId="1A18D4A7">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 市级工程优质奖；</w:t>
      </w:r>
    </w:p>
    <w:p w14:paraId="00A69489">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 省级工程优质奖；</w:t>
      </w:r>
    </w:p>
    <w:p w14:paraId="67EA14C0">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 国家级工程优质奖；</w:t>
      </w:r>
    </w:p>
    <w:p w14:paraId="3777DA36">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 其它</w:t>
      </w:r>
    </w:p>
    <w:p w14:paraId="2779216C">
      <w:pPr>
        <w:spacing w:line="420" w:lineRule="exact"/>
        <w:ind w:firstLine="440" w:firstLineChars="200"/>
        <w:rPr>
          <w:rFonts w:ascii="宋体" w:hAnsi="宋体" w:cs="宋体"/>
          <w:color w:val="auto"/>
          <w:sz w:val="22"/>
          <w:szCs w:val="22"/>
          <w:highlight w:val="none"/>
          <w:u w:val="single"/>
        </w:rPr>
      </w:pPr>
    </w:p>
    <w:p w14:paraId="426A56EB">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创文明工地目标：</w:t>
      </w:r>
    </w:p>
    <w:p w14:paraId="0FB3B20F">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 市级安全文明绿色施工样板工地；</w:t>
      </w:r>
    </w:p>
    <w:p w14:paraId="56721E2A">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 省级安全文明示范工地；</w:t>
      </w:r>
    </w:p>
    <w:p w14:paraId="5C0B4F11">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 国家级安全文明工地；</w:t>
      </w:r>
    </w:p>
    <w:p w14:paraId="2E6C6B41">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 广州市建筑业绿色施工示范工程；</w:t>
      </w:r>
    </w:p>
    <w:p w14:paraId="150C8783">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 广东省建筑业绿色施工示范工程；</w:t>
      </w:r>
    </w:p>
    <w:p w14:paraId="71A155E6">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 全国建筑业绿色施工示范工程；</w:t>
      </w:r>
    </w:p>
    <w:p w14:paraId="3EBD75CA">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 其它</w:t>
      </w:r>
    </w:p>
    <w:p w14:paraId="567A4C69">
      <w:pPr>
        <w:spacing w:line="420" w:lineRule="exact"/>
        <w:rPr>
          <w:rFonts w:ascii="宋体" w:hAnsi="宋体" w:cs="宋体"/>
          <w:color w:val="auto"/>
          <w:sz w:val="22"/>
          <w:szCs w:val="22"/>
          <w:highlight w:val="none"/>
          <w:u w:val="single"/>
        </w:rPr>
      </w:pPr>
    </w:p>
    <w:p w14:paraId="44C3CA52">
      <w:pPr>
        <w:spacing w:line="420" w:lineRule="exact"/>
        <w:outlineLvl w:val="1"/>
        <w:rPr>
          <w:rFonts w:ascii="方正小标宋_GBK" w:hAnsi="方正小标宋_GBK" w:eastAsia="方正小标宋_GBK" w:cs="方正小标宋_GBK"/>
          <w:b/>
          <w:bCs/>
          <w:color w:val="auto"/>
          <w:sz w:val="24"/>
          <w:szCs w:val="24"/>
          <w:highlight w:val="none"/>
        </w:rPr>
      </w:pPr>
      <w:bookmarkStart w:id="77" w:name="_Toc26659"/>
      <w:bookmarkStart w:id="78" w:name="_Toc18893"/>
      <w:bookmarkStart w:id="79" w:name="_Toc266892756"/>
      <w:bookmarkStart w:id="80" w:name="_Toc469383972"/>
      <w:bookmarkStart w:id="81" w:name="_Toc26362"/>
      <w:bookmarkStart w:id="82" w:name="_Toc10276"/>
      <w:bookmarkStart w:id="83" w:name="_Toc9894"/>
      <w:bookmarkStart w:id="84" w:name="_Toc155166133"/>
      <w:bookmarkStart w:id="85" w:name="_Toc14264"/>
      <w:r>
        <w:rPr>
          <w:rFonts w:hint="eastAsia" w:ascii="方正小标宋_GBK" w:hAnsi="方正小标宋_GBK" w:eastAsia="方正小标宋_GBK" w:cs="方正小标宋_GBK"/>
          <w:b/>
          <w:bCs/>
          <w:color w:val="auto"/>
          <w:sz w:val="24"/>
          <w:szCs w:val="24"/>
          <w:highlight w:val="none"/>
        </w:rPr>
        <w:t>五、合同价款</w:t>
      </w:r>
      <w:bookmarkEnd w:id="77"/>
      <w:bookmarkEnd w:id="78"/>
      <w:bookmarkEnd w:id="79"/>
      <w:bookmarkEnd w:id="80"/>
      <w:bookmarkEnd w:id="81"/>
      <w:bookmarkEnd w:id="82"/>
      <w:bookmarkEnd w:id="83"/>
      <w:bookmarkEnd w:id="84"/>
      <w:bookmarkEnd w:id="85"/>
    </w:p>
    <w:p w14:paraId="4E479B29">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31A35780">
      <w:pPr>
        <w:spacing w:line="420" w:lineRule="exact"/>
        <w:ind w:left="479" w:leftChars="228" w:firstLine="39" w:firstLineChars="18"/>
        <w:rPr>
          <w:rFonts w:ascii="宋体" w:hAnsi="宋体" w:cs="宋体"/>
          <w:color w:val="auto"/>
          <w:sz w:val="22"/>
          <w:szCs w:val="22"/>
          <w:highlight w:val="none"/>
        </w:rPr>
      </w:pPr>
      <w:r>
        <w:rPr>
          <w:rFonts w:ascii="宋体" w:hAnsi="宋体" w:cs="宋体"/>
          <w:color w:val="auto"/>
          <w:sz w:val="22"/>
          <w:szCs w:val="22"/>
          <w:highlight w:val="none"/>
        </w:rPr>
        <w:t>本合同采用</w:t>
      </w:r>
      <w:r>
        <w:rPr>
          <w:rFonts w:hint="eastAsia" w:ascii="宋体" w:hAnsi="宋体" w:cs="宋体"/>
          <w:color w:val="auto"/>
          <w:sz w:val="22"/>
          <w:szCs w:val="22"/>
          <w:highlight w:val="none"/>
          <w:u w:val="single"/>
        </w:rPr>
        <w:t xml:space="preserve">   按招标图纸固定总价承包</w:t>
      </w:r>
      <w:r>
        <w:rPr>
          <w:rFonts w:ascii="宋体" w:hAnsi="宋体" w:cs="宋体"/>
          <w:color w:val="auto"/>
          <w:sz w:val="22"/>
          <w:szCs w:val="22"/>
          <w:highlight w:val="none"/>
          <w:u w:val="single"/>
        </w:rPr>
        <w:t> </w:t>
      </w:r>
      <w:r>
        <w:rPr>
          <w:rFonts w:ascii="宋体" w:hAnsi="宋体" w:cs="宋体"/>
          <w:color w:val="auto"/>
          <w:sz w:val="22"/>
          <w:szCs w:val="22"/>
          <w:highlight w:val="none"/>
        </w:rPr>
        <w:t>合同形式。</w:t>
      </w:r>
    </w:p>
    <w:p w14:paraId="63EF2946">
      <w:pPr>
        <w:spacing w:line="420" w:lineRule="exact"/>
        <w:ind w:left="479" w:leftChars="228"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招标时提供的招标工程量清单仅作参考，相关风险包含在签约合同价中。</w:t>
      </w:r>
    </w:p>
    <w:p w14:paraId="38A21360">
      <w:pPr>
        <w:spacing w:line="420" w:lineRule="exact"/>
        <w:ind w:firstLine="479" w:firstLineChars="218"/>
        <w:rPr>
          <w:rFonts w:ascii="宋体" w:hAnsi="宋体" w:cs="宋体"/>
          <w:color w:val="auto"/>
          <w:sz w:val="22"/>
          <w:szCs w:val="22"/>
          <w:highlight w:val="none"/>
        </w:rPr>
      </w:pPr>
      <w:r>
        <w:rPr>
          <w:rFonts w:hint="eastAsia" w:ascii="宋体" w:hAnsi="宋体" w:cs="宋体"/>
          <w:color w:val="auto"/>
          <w:sz w:val="22"/>
          <w:szCs w:val="22"/>
          <w:highlight w:val="none"/>
        </w:rPr>
        <w:t>含税合同总价（大写）：</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元；</w:t>
      </w:r>
    </w:p>
    <w:p w14:paraId="0427644C">
      <w:pPr>
        <w:spacing w:line="420" w:lineRule="exact"/>
        <w:ind w:firstLine="1797" w:firstLineChars="817"/>
        <w:rPr>
          <w:rFonts w:ascii="宋体" w:hAnsi="宋体" w:cs="宋体"/>
          <w:color w:val="auto"/>
          <w:sz w:val="22"/>
          <w:szCs w:val="22"/>
          <w:highlight w:val="none"/>
        </w:rPr>
      </w:pPr>
      <w:r>
        <w:rPr>
          <w:rFonts w:hint="eastAsia" w:ascii="宋体" w:hAnsi="宋体" w:cs="宋体"/>
          <w:color w:val="auto"/>
          <w:sz w:val="22"/>
          <w:szCs w:val="22"/>
          <w:highlight w:val="none"/>
        </w:rPr>
        <w:t>（小写）：</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元。</w:t>
      </w:r>
    </w:p>
    <w:p w14:paraId="75DDB950">
      <w:pPr>
        <w:autoSpaceDE w:val="0"/>
        <w:autoSpaceDN w:val="0"/>
        <w:adjustRightInd w:val="0"/>
        <w:spacing w:line="420" w:lineRule="exact"/>
        <w:ind w:firstLine="1430" w:firstLineChars="6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其中：暂列金额</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16FF91D7">
      <w:pPr>
        <w:spacing w:line="420" w:lineRule="exact"/>
        <w:ind w:firstLine="2200" w:firstLineChars="1000"/>
        <w:rPr>
          <w:rFonts w:ascii="宋体" w:hAnsi="宋体" w:cs="宋体"/>
          <w:color w:val="auto"/>
          <w:kern w:val="0"/>
          <w:sz w:val="22"/>
          <w:szCs w:val="22"/>
          <w:highlight w:val="none"/>
        </w:rPr>
      </w:pPr>
      <w:r>
        <w:rPr>
          <w:rFonts w:hint="eastAsia" w:ascii="宋体" w:hAnsi="宋体" w:cs="宋体"/>
          <w:color w:val="auto"/>
          <w:kern w:val="0"/>
          <w:sz w:val="22"/>
          <w:szCs w:val="22"/>
          <w:highlight w:val="none"/>
        </w:rPr>
        <w:t>安全防护、文明施工措施费用</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1890828F">
      <w:pPr>
        <w:spacing w:line="420" w:lineRule="exact"/>
        <w:ind w:firstLine="2090" w:firstLineChars="950"/>
        <w:rPr>
          <w:rFonts w:ascii="宋体" w:hAnsi="宋体" w:cs="宋体"/>
          <w:color w:val="auto"/>
          <w:sz w:val="22"/>
          <w:szCs w:val="22"/>
          <w:highlight w:val="none"/>
        </w:rPr>
      </w:pPr>
      <w:r>
        <w:rPr>
          <w:rFonts w:hint="eastAsia" w:ascii="宋体" w:hAnsi="宋体" w:cs="宋体"/>
          <w:color w:val="auto"/>
          <w:kern w:val="0"/>
          <w:sz w:val="22"/>
          <w:szCs w:val="22"/>
          <w:highlight w:val="none"/>
        </w:rPr>
        <w:t xml:space="preserve"> 余泥渣土（土方、石方、淤泥）场外运输与排放费用</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570890D4">
      <w:pPr>
        <w:spacing w:line="420" w:lineRule="exact"/>
        <w:ind w:firstLine="479" w:firstLineChars="218"/>
        <w:rPr>
          <w:rFonts w:ascii="宋体" w:hAnsi="宋体" w:cs="宋体"/>
          <w:color w:val="auto"/>
          <w:sz w:val="22"/>
          <w:szCs w:val="22"/>
          <w:highlight w:val="none"/>
        </w:rPr>
      </w:pPr>
      <w:r>
        <w:rPr>
          <w:rFonts w:hint="eastAsia" w:ascii="宋体" w:hAnsi="宋体" w:cs="宋体"/>
          <w:color w:val="auto"/>
          <w:sz w:val="22"/>
          <w:szCs w:val="22"/>
          <w:highlight w:val="none"/>
        </w:rPr>
        <w:t>项目单价：□详见承包人的投标报价书（招标工程）；</w:t>
      </w:r>
    </w:p>
    <w:p w14:paraId="42A9B77E">
      <w:pPr>
        <w:spacing w:line="420" w:lineRule="exact"/>
        <w:ind w:firstLine="1540" w:firstLineChars="700"/>
        <w:rPr>
          <w:rFonts w:ascii="宋体" w:hAnsi="宋体" w:cs="宋体"/>
          <w:color w:val="auto"/>
          <w:sz w:val="22"/>
          <w:szCs w:val="22"/>
          <w:highlight w:val="none"/>
        </w:rPr>
      </w:pPr>
      <w:r>
        <w:rPr>
          <w:rFonts w:hint="eastAsia" w:ascii="宋体" w:hAnsi="宋体" w:cs="宋体"/>
          <w:color w:val="auto"/>
          <w:sz w:val="22"/>
          <w:szCs w:val="22"/>
          <w:highlight w:val="none"/>
        </w:rPr>
        <w:t>□详见经确认的工程量清单报价单或施工图预算书（非招标工程）。</w:t>
      </w:r>
    </w:p>
    <w:p w14:paraId="5BD1ACC1">
      <w:pPr>
        <w:spacing w:line="420" w:lineRule="exact"/>
        <w:ind w:firstLine="1540" w:firstLineChars="700"/>
        <w:rPr>
          <w:rFonts w:ascii="宋体" w:hAnsi="宋体" w:cs="宋体"/>
          <w:color w:val="auto"/>
          <w:sz w:val="22"/>
          <w:szCs w:val="22"/>
          <w:highlight w:val="none"/>
        </w:rPr>
      </w:pPr>
    </w:p>
    <w:p w14:paraId="5C99609A">
      <w:pPr>
        <w:spacing w:line="420" w:lineRule="exact"/>
        <w:outlineLvl w:val="1"/>
        <w:rPr>
          <w:rFonts w:ascii="方正小标宋_GBK" w:hAnsi="方正小标宋_GBK" w:eastAsia="方正小标宋_GBK" w:cs="方正小标宋_GBK"/>
          <w:b/>
          <w:bCs/>
          <w:color w:val="auto"/>
          <w:sz w:val="24"/>
          <w:szCs w:val="24"/>
          <w:highlight w:val="none"/>
        </w:rPr>
      </w:pPr>
      <w:bookmarkStart w:id="86" w:name="_Toc155166134"/>
      <w:bookmarkStart w:id="87" w:name="_Toc23971"/>
      <w:bookmarkStart w:id="88" w:name="_Toc981"/>
      <w:bookmarkStart w:id="89" w:name="_Toc5926"/>
      <w:bookmarkStart w:id="90" w:name="_Toc27531"/>
      <w:r>
        <w:rPr>
          <w:rFonts w:hint="eastAsia" w:ascii="方正小标宋_GBK" w:hAnsi="方正小标宋_GBK" w:eastAsia="方正小标宋_GBK" w:cs="方正小标宋_GBK"/>
          <w:b/>
          <w:bCs/>
          <w:color w:val="auto"/>
          <w:sz w:val="24"/>
          <w:szCs w:val="24"/>
          <w:highlight w:val="none"/>
        </w:rPr>
        <w:t>★六、工人工资支付分账</w:t>
      </w:r>
      <w:bookmarkEnd w:id="86"/>
      <w:bookmarkEnd w:id="87"/>
      <w:bookmarkEnd w:id="88"/>
      <w:bookmarkEnd w:id="89"/>
      <w:bookmarkEnd w:id="90"/>
    </w:p>
    <w:p w14:paraId="72A75842">
      <w:pPr>
        <w:spacing w:line="360" w:lineRule="auto"/>
        <w:ind w:firstLine="480" w:firstLineChars="200"/>
        <w:rPr>
          <w:rFonts w:hAnsi="宋体"/>
          <w:color w:val="auto"/>
          <w:sz w:val="24"/>
          <w:highlight w:val="none"/>
        </w:rPr>
      </w:pPr>
    </w:p>
    <w:p w14:paraId="271BD6D9">
      <w:pPr>
        <w:pStyle w:val="22"/>
        <w:spacing w:line="360" w:lineRule="auto"/>
        <w:ind w:firstLine="440" w:firstLineChars="200"/>
        <w:rPr>
          <w:rFonts w:hAnsi="宋体"/>
          <w:color w:val="auto"/>
          <w:sz w:val="22"/>
          <w:szCs w:val="22"/>
          <w:highlight w:val="none"/>
          <w:u w:val="single"/>
        </w:rPr>
      </w:pPr>
      <w:r>
        <w:rPr>
          <w:rFonts w:hint="eastAsia" w:hAnsi="宋体"/>
          <w:color w:val="auto"/>
          <w:kern w:val="0"/>
          <w:sz w:val="22"/>
          <w:szCs w:val="22"/>
          <w:highlight w:val="none"/>
        </w:rPr>
        <w:t>工人工资款支付专用账户开设的约定内容：</w:t>
      </w:r>
    </w:p>
    <w:p w14:paraId="69667F95">
      <w:pPr>
        <w:spacing w:line="420" w:lineRule="exact"/>
        <w:ind w:firstLine="495"/>
        <w:rPr>
          <w:rFonts w:ascii="宋体" w:hAnsi="宋体" w:cs="宋体"/>
          <w:color w:val="auto"/>
          <w:kern w:val="0"/>
          <w:sz w:val="22"/>
          <w:szCs w:val="22"/>
          <w:highlight w:val="none"/>
        </w:rPr>
      </w:pPr>
      <w:r>
        <w:rPr>
          <w:rFonts w:hint="eastAsia" w:ascii="宋体" w:hAnsi="宋体" w:cs="宋体"/>
          <w:color w:val="auto"/>
          <w:kern w:val="0"/>
          <w:sz w:val="22"/>
          <w:szCs w:val="22"/>
          <w:highlight w:val="none"/>
        </w:rPr>
        <w:t>工人工资款支付专用账户开户银行（如有）：</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1AA49894">
      <w:pPr>
        <w:spacing w:line="420" w:lineRule="exact"/>
        <w:ind w:firstLine="495"/>
        <w:rPr>
          <w:rFonts w:ascii="宋体" w:hAnsi="宋体" w:cs="宋体"/>
          <w:color w:val="auto"/>
          <w:kern w:val="0"/>
          <w:sz w:val="22"/>
          <w:szCs w:val="22"/>
          <w:highlight w:val="none"/>
        </w:rPr>
      </w:pPr>
      <w:r>
        <w:rPr>
          <w:rFonts w:hint="eastAsia" w:ascii="宋体" w:hAnsi="宋体" w:cs="宋体"/>
          <w:color w:val="auto"/>
          <w:kern w:val="0"/>
          <w:sz w:val="22"/>
          <w:szCs w:val="22"/>
          <w:highlight w:val="none"/>
        </w:rPr>
        <w:t>工人工资款支付专用账户（如有）：</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4AA01A3A">
      <w:pPr>
        <w:spacing w:line="420" w:lineRule="exact"/>
        <w:ind w:left="479" w:leftChars="228" w:firstLine="11" w:firstLineChars="5"/>
        <w:rPr>
          <w:rFonts w:ascii="宋体" w:hAnsi="宋体" w:cs="宋体"/>
          <w:color w:val="auto"/>
          <w:kern w:val="0"/>
          <w:sz w:val="22"/>
          <w:szCs w:val="22"/>
          <w:highlight w:val="none"/>
        </w:rPr>
      </w:pPr>
      <w:r>
        <w:rPr>
          <w:rFonts w:hint="eastAsia" w:ascii="宋体" w:hAnsi="宋体" w:cs="宋体"/>
          <w:color w:val="auto"/>
          <w:kern w:val="0"/>
          <w:sz w:val="22"/>
          <w:szCs w:val="22"/>
          <w:highlight w:val="none"/>
        </w:rPr>
        <w:t>工程款中的工人工资款比例：</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0B121CFB">
      <w:pPr>
        <w:spacing w:line="420" w:lineRule="exact"/>
        <w:ind w:left="479" w:leftChars="228" w:firstLine="11" w:firstLineChars="5"/>
        <w:rPr>
          <w:rFonts w:ascii="宋体" w:hAnsi="宋体" w:cs="宋体"/>
          <w:color w:val="auto"/>
          <w:kern w:val="0"/>
          <w:sz w:val="22"/>
          <w:szCs w:val="22"/>
          <w:highlight w:val="none"/>
        </w:rPr>
      </w:pPr>
      <w:r>
        <w:rPr>
          <w:rFonts w:hint="eastAsia" w:ascii="宋体" w:hAnsi="宋体" w:cs="宋体"/>
          <w:color w:val="auto"/>
          <w:kern w:val="0"/>
          <w:sz w:val="22"/>
          <w:szCs w:val="22"/>
          <w:highlight w:val="none"/>
        </w:rPr>
        <w:t>其中：每一期工程进度款中的工人工资款比例：</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66C20A5D">
      <w:pPr>
        <w:spacing w:line="420" w:lineRule="exact"/>
        <w:ind w:firstLine="1100" w:firstLineChars="5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工人工资支付周期：</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757CA3C5">
      <w:pPr>
        <w:spacing w:line="420" w:lineRule="exact"/>
        <w:ind w:firstLine="465"/>
        <w:rPr>
          <w:rFonts w:ascii="宋体" w:hAnsi="宋体" w:cs="宋体"/>
          <w:color w:val="auto"/>
          <w:kern w:val="0"/>
          <w:sz w:val="22"/>
          <w:szCs w:val="22"/>
          <w:highlight w:val="none"/>
        </w:rPr>
      </w:pPr>
      <w:r>
        <w:rPr>
          <w:rFonts w:hint="eastAsia" w:ascii="宋体" w:hAnsi="宋体" w:cs="宋体"/>
          <w:color w:val="auto"/>
          <w:kern w:val="0"/>
          <w:sz w:val="22"/>
          <w:szCs w:val="22"/>
          <w:highlight w:val="none"/>
        </w:rPr>
        <w:t>承包人已确认上述约定工程款中的工人工资款比例能满足本工程项目的工人工资支付。</w:t>
      </w:r>
    </w:p>
    <w:p w14:paraId="0F3FC112">
      <w:pPr>
        <w:spacing w:line="420" w:lineRule="exact"/>
        <w:ind w:firstLine="465"/>
        <w:rPr>
          <w:rFonts w:ascii="宋体" w:hAnsi="宋体" w:cs="宋体"/>
          <w:color w:val="auto"/>
          <w:kern w:val="0"/>
          <w:sz w:val="22"/>
          <w:szCs w:val="22"/>
          <w:highlight w:val="none"/>
        </w:rPr>
      </w:pPr>
    </w:p>
    <w:p w14:paraId="5DEEB955">
      <w:pPr>
        <w:spacing w:line="420" w:lineRule="exact"/>
        <w:outlineLvl w:val="1"/>
        <w:rPr>
          <w:rFonts w:ascii="方正小标宋_GBK" w:hAnsi="方正小标宋_GBK" w:eastAsia="方正小标宋_GBK" w:cs="方正小标宋_GBK"/>
          <w:b/>
          <w:bCs/>
          <w:color w:val="auto"/>
          <w:sz w:val="24"/>
          <w:szCs w:val="24"/>
          <w:highlight w:val="none"/>
        </w:rPr>
      </w:pPr>
      <w:bookmarkStart w:id="91" w:name="_Toc266892757"/>
      <w:bookmarkStart w:id="92" w:name="_Toc155166135"/>
      <w:bookmarkStart w:id="93" w:name="_Toc6160"/>
      <w:bookmarkStart w:id="94" w:name="_Toc6861"/>
      <w:bookmarkStart w:id="95" w:name="_Toc469383973"/>
      <w:bookmarkStart w:id="96" w:name="_Toc2265"/>
      <w:bookmarkStart w:id="97" w:name="_Toc18815"/>
      <w:r>
        <w:rPr>
          <w:rFonts w:hint="eastAsia" w:ascii="方正小标宋_GBK" w:hAnsi="方正小标宋_GBK" w:eastAsia="方正小标宋_GBK" w:cs="方正小标宋_GBK"/>
          <w:b/>
          <w:bCs/>
          <w:color w:val="auto"/>
          <w:sz w:val="24"/>
          <w:szCs w:val="24"/>
          <w:highlight w:val="none"/>
        </w:rPr>
        <w:t>七、组成合同的文件</w:t>
      </w:r>
      <w:bookmarkEnd w:id="91"/>
      <w:bookmarkEnd w:id="92"/>
      <w:bookmarkEnd w:id="93"/>
      <w:bookmarkEnd w:id="94"/>
      <w:bookmarkEnd w:id="95"/>
      <w:bookmarkEnd w:id="96"/>
      <w:bookmarkEnd w:id="97"/>
    </w:p>
    <w:p w14:paraId="21BB0246">
      <w:pPr>
        <w:spacing w:line="360" w:lineRule="auto"/>
        <w:ind w:firstLine="480" w:firstLineChars="200"/>
        <w:rPr>
          <w:rFonts w:hAnsi="宋体"/>
          <w:color w:val="auto"/>
          <w:sz w:val="24"/>
          <w:highlight w:val="none"/>
        </w:rPr>
      </w:pPr>
    </w:p>
    <w:p w14:paraId="76854241">
      <w:pPr>
        <w:spacing w:line="360" w:lineRule="auto"/>
        <w:ind w:firstLine="440" w:firstLineChars="200"/>
        <w:rPr>
          <w:color w:val="auto"/>
          <w:sz w:val="22"/>
          <w:szCs w:val="22"/>
          <w:highlight w:val="none"/>
        </w:rPr>
      </w:pPr>
      <w:r>
        <w:rPr>
          <w:rFonts w:hAnsi="宋体"/>
          <w:color w:val="auto"/>
          <w:sz w:val="22"/>
          <w:szCs w:val="22"/>
          <w:highlight w:val="none"/>
        </w:rPr>
        <w:t>下列文件共同构成合同文件：</w:t>
      </w:r>
    </w:p>
    <w:p w14:paraId="095513C2">
      <w:pPr>
        <w:numPr>
          <w:ilvl w:val="0"/>
          <w:numId w:val="2"/>
        </w:numPr>
        <w:spacing w:line="360" w:lineRule="auto"/>
        <w:ind w:left="426" w:firstLine="48" w:firstLineChars="22"/>
        <w:rPr>
          <w:color w:val="auto"/>
          <w:sz w:val="22"/>
          <w:szCs w:val="22"/>
          <w:highlight w:val="none"/>
        </w:rPr>
      </w:pPr>
      <w:r>
        <w:rPr>
          <w:rFonts w:hint="eastAsia"/>
          <w:color w:val="auto"/>
          <w:sz w:val="22"/>
          <w:szCs w:val="22"/>
          <w:highlight w:val="none"/>
        </w:rPr>
        <w:t>履行本合同的相关补充协议（含工程洽商记录、会议纪要、工程变更、现场签</w:t>
      </w:r>
    </w:p>
    <w:p w14:paraId="7A3E7C45">
      <w:pPr>
        <w:spacing w:line="360" w:lineRule="auto"/>
        <w:ind w:firstLine="440" w:firstLineChars="200"/>
        <w:rPr>
          <w:color w:val="auto"/>
          <w:sz w:val="22"/>
          <w:szCs w:val="22"/>
          <w:highlight w:val="none"/>
        </w:rPr>
      </w:pPr>
      <w:r>
        <w:rPr>
          <w:rFonts w:hint="eastAsia"/>
          <w:color w:val="auto"/>
          <w:sz w:val="22"/>
          <w:szCs w:val="22"/>
          <w:highlight w:val="none"/>
        </w:rPr>
        <w:t>证、等修正文件）；</w:t>
      </w:r>
    </w:p>
    <w:p w14:paraId="6F6B7333">
      <w:pPr>
        <w:numPr>
          <w:ilvl w:val="0"/>
          <w:numId w:val="2"/>
        </w:numPr>
        <w:spacing w:line="360" w:lineRule="auto"/>
        <w:ind w:left="426" w:firstLine="48" w:firstLineChars="22"/>
        <w:rPr>
          <w:color w:val="auto"/>
          <w:sz w:val="22"/>
          <w:szCs w:val="22"/>
          <w:highlight w:val="none"/>
        </w:rPr>
      </w:pPr>
      <w:r>
        <w:rPr>
          <w:rFonts w:hint="eastAsia"/>
          <w:color w:val="auto"/>
          <w:sz w:val="22"/>
          <w:szCs w:val="22"/>
          <w:highlight w:val="none"/>
        </w:rPr>
        <w:t>协议书；</w:t>
      </w:r>
    </w:p>
    <w:p w14:paraId="414B86BB">
      <w:pPr>
        <w:numPr>
          <w:ilvl w:val="0"/>
          <w:numId w:val="2"/>
        </w:numPr>
        <w:spacing w:line="360" w:lineRule="auto"/>
        <w:ind w:left="426" w:firstLine="48" w:firstLineChars="22"/>
        <w:rPr>
          <w:color w:val="auto"/>
          <w:sz w:val="22"/>
          <w:szCs w:val="22"/>
          <w:highlight w:val="none"/>
        </w:rPr>
      </w:pPr>
      <w:r>
        <w:rPr>
          <w:rFonts w:hint="eastAsia"/>
          <w:color w:val="auto"/>
          <w:sz w:val="22"/>
          <w:szCs w:val="22"/>
          <w:highlight w:val="none"/>
        </w:rPr>
        <w:t>中标通知书（适用于招标工程）；</w:t>
      </w:r>
    </w:p>
    <w:p w14:paraId="66098C02">
      <w:pPr>
        <w:numPr>
          <w:ilvl w:val="0"/>
          <w:numId w:val="2"/>
        </w:numPr>
        <w:spacing w:line="360" w:lineRule="auto"/>
        <w:ind w:left="426" w:firstLine="48" w:firstLineChars="22"/>
        <w:rPr>
          <w:color w:val="auto"/>
          <w:sz w:val="22"/>
          <w:szCs w:val="22"/>
          <w:highlight w:val="none"/>
        </w:rPr>
      </w:pPr>
      <w:r>
        <w:rPr>
          <w:rFonts w:hint="eastAsia"/>
          <w:color w:val="auto"/>
          <w:sz w:val="22"/>
          <w:szCs w:val="22"/>
          <w:highlight w:val="none"/>
        </w:rPr>
        <w:t>承包人投标文件及其附件（含评标期间的澄清文件和补充资料）（适用于招标工程）；确认的工程量清单报价单或施工图预算书（适用于非招标工程）；</w:t>
      </w:r>
    </w:p>
    <w:p w14:paraId="3573852B">
      <w:pPr>
        <w:numPr>
          <w:ilvl w:val="0"/>
          <w:numId w:val="2"/>
        </w:numPr>
        <w:spacing w:line="360" w:lineRule="auto"/>
        <w:ind w:left="426" w:firstLine="48" w:firstLineChars="22"/>
        <w:rPr>
          <w:color w:val="auto"/>
          <w:sz w:val="22"/>
          <w:szCs w:val="22"/>
          <w:highlight w:val="none"/>
        </w:rPr>
      </w:pPr>
      <w:r>
        <w:rPr>
          <w:rFonts w:hint="eastAsia"/>
          <w:color w:val="auto"/>
          <w:sz w:val="22"/>
          <w:szCs w:val="22"/>
          <w:highlight w:val="none"/>
        </w:rPr>
        <w:t>专用条款；</w:t>
      </w:r>
    </w:p>
    <w:p w14:paraId="61930283">
      <w:pPr>
        <w:numPr>
          <w:ilvl w:val="0"/>
          <w:numId w:val="2"/>
        </w:numPr>
        <w:spacing w:line="360" w:lineRule="auto"/>
        <w:ind w:left="426" w:firstLine="48" w:firstLineChars="22"/>
        <w:rPr>
          <w:color w:val="auto"/>
          <w:sz w:val="22"/>
          <w:szCs w:val="22"/>
          <w:highlight w:val="none"/>
        </w:rPr>
      </w:pPr>
      <w:r>
        <w:rPr>
          <w:rFonts w:hint="eastAsia"/>
          <w:color w:val="auto"/>
          <w:sz w:val="22"/>
          <w:szCs w:val="22"/>
          <w:highlight w:val="none"/>
        </w:rPr>
        <w:t>通用条款；</w:t>
      </w:r>
    </w:p>
    <w:p w14:paraId="78606760">
      <w:pPr>
        <w:numPr>
          <w:ilvl w:val="0"/>
          <w:numId w:val="2"/>
        </w:numPr>
        <w:spacing w:line="360" w:lineRule="auto"/>
        <w:ind w:left="426" w:firstLine="48" w:firstLineChars="22"/>
        <w:rPr>
          <w:color w:val="auto"/>
          <w:sz w:val="22"/>
          <w:szCs w:val="22"/>
          <w:highlight w:val="none"/>
        </w:rPr>
      </w:pPr>
      <w:r>
        <w:rPr>
          <w:rFonts w:hint="eastAsia"/>
          <w:color w:val="auto"/>
          <w:sz w:val="22"/>
          <w:szCs w:val="22"/>
          <w:highlight w:val="none"/>
        </w:rPr>
        <w:t>标准、规范及有关技术文件；</w:t>
      </w:r>
    </w:p>
    <w:p w14:paraId="49ABB4A5">
      <w:pPr>
        <w:numPr>
          <w:ilvl w:val="0"/>
          <w:numId w:val="2"/>
        </w:numPr>
        <w:spacing w:line="360" w:lineRule="auto"/>
        <w:ind w:left="426" w:firstLine="48" w:firstLineChars="22"/>
        <w:rPr>
          <w:color w:val="auto"/>
          <w:sz w:val="22"/>
          <w:szCs w:val="22"/>
          <w:highlight w:val="none"/>
        </w:rPr>
      </w:pPr>
      <w:r>
        <w:rPr>
          <w:rFonts w:hint="eastAsia"/>
          <w:color w:val="auto"/>
          <w:sz w:val="22"/>
          <w:szCs w:val="22"/>
          <w:highlight w:val="none"/>
        </w:rPr>
        <w:t>施工设计图纸；</w:t>
      </w:r>
    </w:p>
    <w:p w14:paraId="4819B901">
      <w:pPr>
        <w:numPr>
          <w:ilvl w:val="0"/>
          <w:numId w:val="2"/>
        </w:numPr>
        <w:spacing w:line="360" w:lineRule="auto"/>
        <w:ind w:left="426" w:firstLine="48" w:firstLineChars="22"/>
        <w:rPr>
          <w:color w:val="auto"/>
          <w:sz w:val="22"/>
          <w:szCs w:val="22"/>
          <w:highlight w:val="none"/>
        </w:rPr>
      </w:pPr>
      <w:r>
        <w:rPr>
          <w:rFonts w:hint="eastAsia"/>
          <w:color w:val="auto"/>
          <w:sz w:val="22"/>
          <w:szCs w:val="22"/>
          <w:highlight w:val="none"/>
        </w:rPr>
        <w:t>招标文件（包括补充、修改、澄清的文件、招标图纸、答疑纪要、工程量清单及总说明等）；</w:t>
      </w:r>
    </w:p>
    <w:p w14:paraId="5A9AACE9">
      <w:pPr>
        <w:numPr>
          <w:ilvl w:val="0"/>
          <w:numId w:val="3"/>
        </w:numPr>
        <w:tabs>
          <w:tab w:val="left" w:pos="1080"/>
        </w:tabs>
        <w:spacing w:line="360" w:lineRule="auto"/>
        <w:ind w:left="426" w:firstLine="48" w:firstLineChars="22"/>
        <w:rPr>
          <w:color w:val="auto"/>
          <w:sz w:val="22"/>
          <w:szCs w:val="22"/>
          <w:highlight w:val="none"/>
        </w:rPr>
      </w:pPr>
      <w:r>
        <w:rPr>
          <w:rFonts w:hint="eastAsia"/>
          <w:color w:val="auto"/>
          <w:sz w:val="22"/>
          <w:szCs w:val="22"/>
          <w:highlight w:val="none"/>
        </w:rPr>
        <w:t>专用条款约定的其他文件。</w:t>
      </w:r>
    </w:p>
    <w:p w14:paraId="07553936">
      <w:pPr>
        <w:pStyle w:val="22"/>
        <w:tabs>
          <w:tab w:val="left" w:pos="1260"/>
        </w:tabs>
        <w:spacing w:line="420" w:lineRule="exact"/>
        <w:ind w:firstLine="440" w:firstLineChars="200"/>
        <w:rPr>
          <w:rFonts w:hAnsi="宋体"/>
          <w:color w:val="auto"/>
          <w:sz w:val="22"/>
          <w:szCs w:val="22"/>
          <w:highlight w:val="none"/>
        </w:rPr>
      </w:pPr>
      <w:r>
        <w:rPr>
          <w:rFonts w:hint="eastAsia" w:hAnsi="宋体"/>
          <w:color w:val="auto"/>
          <w:sz w:val="22"/>
          <w:szCs w:val="22"/>
          <w:highlight w:val="none"/>
        </w:rPr>
        <w:t>组成本合同的文件及其优先解释顺序与本合同第二部分《通用条款》第2.2款赋予的规定一致。</w:t>
      </w:r>
    </w:p>
    <w:p w14:paraId="5D0E3D8C">
      <w:pPr>
        <w:pStyle w:val="22"/>
        <w:tabs>
          <w:tab w:val="left" w:pos="1260"/>
        </w:tabs>
        <w:spacing w:line="420" w:lineRule="exact"/>
        <w:ind w:firstLine="477" w:firstLineChars="217"/>
        <w:rPr>
          <w:rFonts w:hAnsi="宋体"/>
          <w:color w:val="auto"/>
          <w:sz w:val="22"/>
          <w:szCs w:val="22"/>
          <w:highlight w:val="none"/>
        </w:rPr>
      </w:pPr>
    </w:p>
    <w:p w14:paraId="151130BD">
      <w:pPr>
        <w:spacing w:line="420" w:lineRule="exact"/>
        <w:outlineLvl w:val="1"/>
        <w:rPr>
          <w:rFonts w:ascii="方正小标宋_GBK" w:hAnsi="方正小标宋_GBK" w:eastAsia="方正小标宋_GBK" w:cs="方正小标宋_GBK"/>
          <w:b/>
          <w:bCs/>
          <w:color w:val="auto"/>
          <w:sz w:val="24"/>
          <w:szCs w:val="24"/>
          <w:highlight w:val="none"/>
        </w:rPr>
      </w:pPr>
      <w:bookmarkStart w:id="98" w:name="_Toc29166"/>
      <w:bookmarkStart w:id="99" w:name="_Toc28990"/>
      <w:bookmarkStart w:id="100" w:name="_Toc266892758"/>
      <w:bookmarkStart w:id="101" w:name="_Toc7824"/>
      <w:bookmarkStart w:id="102" w:name="_Toc469383974"/>
      <w:bookmarkStart w:id="103" w:name="_Toc3157"/>
      <w:bookmarkStart w:id="104" w:name="_Toc155166136"/>
      <w:r>
        <w:rPr>
          <w:rFonts w:hint="eastAsia" w:ascii="方正小标宋_GBK" w:hAnsi="方正小标宋_GBK" w:eastAsia="方正小标宋_GBK" w:cs="方正小标宋_GBK"/>
          <w:b/>
          <w:bCs/>
          <w:color w:val="auto"/>
          <w:sz w:val="24"/>
          <w:szCs w:val="24"/>
          <w:highlight w:val="none"/>
        </w:rPr>
        <w:t>八、词语含义</w:t>
      </w:r>
      <w:bookmarkEnd w:id="98"/>
      <w:bookmarkEnd w:id="99"/>
      <w:bookmarkEnd w:id="100"/>
      <w:bookmarkEnd w:id="101"/>
      <w:bookmarkEnd w:id="102"/>
      <w:bookmarkEnd w:id="103"/>
      <w:bookmarkEnd w:id="104"/>
    </w:p>
    <w:p w14:paraId="54F2ECBD">
      <w:pPr>
        <w:pStyle w:val="18"/>
        <w:spacing w:line="420" w:lineRule="exact"/>
        <w:ind w:firstLine="440" w:firstLineChars="200"/>
        <w:rPr>
          <w:rFonts w:hAnsi="宋体"/>
          <w:color w:val="auto"/>
          <w:sz w:val="22"/>
          <w:szCs w:val="22"/>
          <w:highlight w:val="none"/>
        </w:rPr>
      </w:pPr>
    </w:p>
    <w:p w14:paraId="4D6A009D">
      <w:pPr>
        <w:pStyle w:val="18"/>
        <w:spacing w:line="420" w:lineRule="exact"/>
        <w:ind w:firstLine="440" w:firstLineChars="200"/>
        <w:rPr>
          <w:rFonts w:hAnsi="宋体"/>
          <w:color w:val="auto"/>
          <w:sz w:val="22"/>
          <w:szCs w:val="22"/>
          <w:highlight w:val="none"/>
        </w:rPr>
      </w:pPr>
      <w:r>
        <w:rPr>
          <w:rFonts w:hint="eastAsia" w:hAnsi="宋体"/>
          <w:color w:val="auto"/>
          <w:sz w:val="22"/>
          <w:szCs w:val="22"/>
          <w:highlight w:val="none"/>
        </w:rPr>
        <w:t>本协议书中有关词语含义与本合同第二部分《通用条款》第1条赋予它们的定义相同。</w:t>
      </w:r>
    </w:p>
    <w:p w14:paraId="1A9F393F">
      <w:pPr>
        <w:pStyle w:val="18"/>
        <w:spacing w:line="420" w:lineRule="exact"/>
        <w:ind w:firstLine="0"/>
        <w:rPr>
          <w:rFonts w:hAnsi="宋体"/>
          <w:color w:val="auto"/>
          <w:sz w:val="22"/>
          <w:szCs w:val="22"/>
          <w:highlight w:val="none"/>
        </w:rPr>
      </w:pPr>
    </w:p>
    <w:p w14:paraId="7A59D584">
      <w:pPr>
        <w:spacing w:line="420" w:lineRule="exact"/>
        <w:outlineLvl w:val="1"/>
        <w:rPr>
          <w:rFonts w:ascii="方正小标宋_GBK" w:hAnsi="方正小标宋_GBK" w:eastAsia="方正小标宋_GBK" w:cs="方正小标宋_GBK"/>
          <w:b/>
          <w:bCs/>
          <w:color w:val="auto"/>
          <w:sz w:val="24"/>
          <w:szCs w:val="24"/>
          <w:highlight w:val="none"/>
        </w:rPr>
      </w:pPr>
      <w:bookmarkStart w:id="105" w:name="_Toc469383975"/>
      <w:bookmarkStart w:id="106" w:name="_Toc3256"/>
      <w:bookmarkStart w:id="107" w:name="_Toc31504"/>
      <w:bookmarkStart w:id="108" w:name="_Toc17891"/>
      <w:bookmarkStart w:id="109" w:name="_Toc12309"/>
      <w:bookmarkStart w:id="110" w:name="_Toc266892759"/>
      <w:bookmarkStart w:id="111" w:name="_Toc155166137"/>
      <w:r>
        <w:rPr>
          <w:rFonts w:hint="eastAsia" w:ascii="方正小标宋_GBK" w:hAnsi="方正小标宋_GBK" w:eastAsia="方正小标宋_GBK" w:cs="方正小标宋_GBK"/>
          <w:b/>
          <w:bCs/>
          <w:color w:val="auto"/>
          <w:sz w:val="24"/>
          <w:szCs w:val="24"/>
          <w:highlight w:val="none"/>
        </w:rPr>
        <w:t>九、承包人承诺</w:t>
      </w:r>
      <w:bookmarkEnd w:id="105"/>
      <w:bookmarkEnd w:id="106"/>
      <w:bookmarkEnd w:id="107"/>
      <w:bookmarkEnd w:id="108"/>
      <w:bookmarkEnd w:id="109"/>
      <w:bookmarkEnd w:id="110"/>
      <w:bookmarkEnd w:id="111"/>
    </w:p>
    <w:p w14:paraId="18F90AA5">
      <w:pPr>
        <w:pStyle w:val="18"/>
        <w:spacing w:line="420" w:lineRule="exact"/>
        <w:ind w:firstLine="440" w:firstLineChars="200"/>
        <w:rPr>
          <w:rFonts w:hAnsi="宋体"/>
          <w:color w:val="auto"/>
          <w:sz w:val="22"/>
          <w:szCs w:val="22"/>
          <w:highlight w:val="none"/>
        </w:rPr>
      </w:pPr>
    </w:p>
    <w:p w14:paraId="4536833F">
      <w:pPr>
        <w:pStyle w:val="18"/>
        <w:spacing w:line="420" w:lineRule="exact"/>
        <w:ind w:firstLine="440" w:firstLineChars="200"/>
        <w:rPr>
          <w:rFonts w:hAnsi="宋体"/>
          <w:color w:val="auto"/>
          <w:sz w:val="22"/>
          <w:szCs w:val="22"/>
          <w:highlight w:val="none"/>
        </w:rPr>
      </w:pPr>
      <w:r>
        <w:rPr>
          <w:rFonts w:hint="eastAsia" w:hAnsi="宋体"/>
          <w:color w:val="auto"/>
          <w:sz w:val="22"/>
          <w:szCs w:val="22"/>
          <w:highlight w:val="none"/>
        </w:rPr>
        <w:t>1、</w:t>
      </w:r>
      <w:r>
        <w:rPr>
          <w:rFonts w:hAnsi="宋体"/>
          <w:color w:val="auto"/>
          <w:sz w:val="22"/>
          <w:szCs w:val="22"/>
          <w:highlight w:val="none"/>
        </w:rPr>
        <w:t>按照合同约定进行施工、竣工、交付并在缺陷责任期内对工程缺陷承担维修责任。</w:t>
      </w:r>
    </w:p>
    <w:p w14:paraId="39AD01D1">
      <w:pPr>
        <w:pStyle w:val="18"/>
        <w:spacing w:line="420" w:lineRule="exact"/>
        <w:ind w:firstLine="440" w:firstLineChars="200"/>
        <w:rPr>
          <w:rFonts w:hAnsi="宋体"/>
          <w:color w:val="auto"/>
          <w:sz w:val="22"/>
          <w:szCs w:val="22"/>
          <w:highlight w:val="none"/>
        </w:rPr>
      </w:pPr>
      <w:r>
        <w:rPr>
          <w:rFonts w:hint="eastAsia" w:hAnsi="宋体"/>
          <w:color w:val="auto"/>
          <w:sz w:val="22"/>
          <w:szCs w:val="22"/>
          <w:highlight w:val="none"/>
        </w:rPr>
        <w:t>2、按照招标文件的要求，向发包人提交为本工程开设的工人工资支付专用账户及工程项目其它费用支付专用账户。其中，工人工资支付专用账户的开设和管理参照《广州市住房和城乡建设局、广州市人力资源和社会保障局、广州市交通运输局等关于印发广州市建设领域工人工资支付分账管理实施细则的通知》（穗建规字〔2020〕37号）的相关规定执行。若在合同期内相关行政部门发布工人工资管理文件，则执行最新文件规定。</w:t>
      </w:r>
    </w:p>
    <w:p w14:paraId="373CFBD8">
      <w:pPr>
        <w:pStyle w:val="18"/>
        <w:spacing w:line="420" w:lineRule="exact"/>
        <w:ind w:firstLine="440" w:firstLineChars="200"/>
        <w:rPr>
          <w:rFonts w:hAnsi="宋体"/>
          <w:color w:val="auto"/>
          <w:sz w:val="22"/>
          <w:szCs w:val="22"/>
          <w:highlight w:val="none"/>
        </w:rPr>
      </w:pPr>
      <w:r>
        <w:rPr>
          <w:rFonts w:hint="eastAsia" w:hAnsi="宋体"/>
          <w:color w:val="auto"/>
          <w:sz w:val="22"/>
          <w:szCs w:val="22"/>
          <w:highlight w:val="none"/>
        </w:rPr>
        <w:t>未经发包人同意，承包人使用的银行名称及账号至全部款项结清前不得变更，否则发包人有权停止工程款项的拨付及解除合同，由此造成的一切责任由承包人承担。</w:t>
      </w:r>
    </w:p>
    <w:p w14:paraId="524EEBCB">
      <w:pPr>
        <w:pStyle w:val="18"/>
        <w:spacing w:line="420" w:lineRule="exact"/>
        <w:ind w:firstLine="440" w:firstLineChars="200"/>
        <w:rPr>
          <w:rFonts w:hAnsi="宋体"/>
          <w:color w:val="auto"/>
          <w:sz w:val="22"/>
          <w:szCs w:val="22"/>
          <w:highlight w:val="none"/>
        </w:rPr>
      </w:pPr>
      <w:r>
        <w:rPr>
          <w:rFonts w:hint="eastAsia" w:hAnsi="宋体"/>
          <w:color w:val="auto"/>
          <w:sz w:val="22"/>
          <w:szCs w:val="22"/>
          <w:highlight w:val="none"/>
        </w:rPr>
        <w:t>3、执行《关于印发&lt;广东省建设工程领域用工实名管理暂行办法&gt;的通知》（粤建规范[2019]1号）等文件的相关规定。</w:t>
      </w:r>
    </w:p>
    <w:p w14:paraId="1C75B2AC">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4、承包人向发包人承诺已阅读、理解并接受本合同所有条款，按照本合同约定实施、完成并保修合同工程，履行本合同所约定的全部义务。</w:t>
      </w:r>
    </w:p>
    <w:p w14:paraId="7A9D5E1B">
      <w:pPr>
        <w:spacing w:line="420" w:lineRule="exact"/>
        <w:ind w:firstLine="440" w:firstLineChars="200"/>
        <w:rPr>
          <w:rFonts w:ascii="宋体" w:hAnsi="宋体" w:cs="宋体"/>
          <w:color w:val="auto"/>
          <w:sz w:val="22"/>
          <w:szCs w:val="22"/>
          <w:highlight w:val="none"/>
        </w:rPr>
      </w:pPr>
    </w:p>
    <w:p w14:paraId="086DEE1B">
      <w:pPr>
        <w:spacing w:line="420" w:lineRule="exact"/>
        <w:outlineLvl w:val="1"/>
        <w:rPr>
          <w:rFonts w:ascii="方正小标宋_GBK" w:hAnsi="方正小标宋_GBK" w:eastAsia="方正小标宋_GBK" w:cs="方正小标宋_GBK"/>
          <w:b/>
          <w:bCs/>
          <w:color w:val="auto"/>
          <w:sz w:val="24"/>
          <w:szCs w:val="24"/>
          <w:highlight w:val="none"/>
        </w:rPr>
      </w:pPr>
      <w:bookmarkStart w:id="112" w:name="_Toc12416"/>
      <w:bookmarkStart w:id="113" w:name="_Toc17639"/>
      <w:bookmarkStart w:id="114" w:name="_Toc155166138"/>
      <w:bookmarkStart w:id="115" w:name="_Toc469383976"/>
      <w:bookmarkStart w:id="116" w:name="_Toc266892760"/>
      <w:bookmarkStart w:id="117" w:name="_Toc9211"/>
      <w:bookmarkStart w:id="118" w:name="_Toc3013"/>
      <w:r>
        <w:rPr>
          <w:rFonts w:hint="eastAsia" w:ascii="方正小标宋_GBK" w:hAnsi="方正小标宋_GBK" w:eastAsia="方正小标宋_GBK" w:cs="方正小标宋_GBK"/>
          <w:b/>
          <w:bCs/>
          <w:color w:val="auto"/>
          <w:sz w:val="24"/>
          <w:szCs w:val="24"/>
          <w:highlight w:val="none"/>
        </w:rPr>
        <w:t>十、发包人承诺</w:t>
      </w:r>
      <w:bookmarkEnd w:id="112"/>
      <w:bookmarkEnd w:id="113"/>
      <w:bookmarkEnd w:id="114"/>
      <w:bookmarkEnd w:id="115"/>
      <w:bookmarkEnd w:id="116"/>
      <w:bookmarkEnd w:id="117"/>
      <w:bookmarkEnd w:id="118"/>
    </w:p>
    <w:p w14:paraId="5AA03F09">
      <w:pPr>
        <w:spacing w:line="420" w:lineRule="exact"/>
        <w:ind w:firstLine="440" w:firstLineChars="200"/>
        <w:rPr>
          <w:rFonts w:ascii="宋体" w:hAnsi="宋体" w:cs="宋体"/>
          <w:color w:val="auto"/>
          <w:sz w:val="22"/>
          <w:szCs w:val="22"/>
          <w:highlight w:val="none"/>
        </w:rPr>
      </w:pPr>
    </w:p>
    <w:p w14:paraId="33B29EFA">
      <w:pPr>
        <w:pStyle w:val="18"/>
        <w:spacing w:line="420" w:lineRule="exact"/>
        <w:ind w:firstLine="440" w:firstLineChars="200"/>
        <w:rPr>
          <w:rFonts w:hAnsi="宋体"/>
          <w:color w:val="auto"/>
          <w:sz w:val="22"/>
          <w:szCs w:val="22"/>
          <w:highlight w:val="none"/>
        </w:rPr>
      </w:pPr>
      <w:r>
        <w:rPr>
          <w:rFonts w:hAnsi="宋体"/>
          <w:color w:val="auto"/>
          <w:sz w:val="22"/>
          <w:szCs w:val="22"/>
          <w:highlight w:val="none"/>
        </w:rPr>
        <w:t>按照合同约定的条件、期限和方式向承包人支付</w:t>
      </w:r>
      <w:r>
        <w:rPr>
          <w:rFonts w:hint="eastAsia" w:hAnsi="宋体"/>
          <w:color w:val="auto"/>
          <w:sz w:val="22"/>
          <w:szCs w:val="22"/>
          <w:highlight w:val="none"/>
        </w:rPr>
        <w:t>签约合同价</w:t>
      </w:r>
      <w:r>
        <w:rPr>
          <w:rFonts w:hAnsi="宋体"/>
          <w:color w:val="auto"/>
          <w:sz w:val="22"/>
          <w:szCs w:val="22"/>
          <w:highlight w:val="none"/>
        </w:rPr>
        <w:t>。</w:t>
      </w:r>
      <w:r>
        <w:rPr>
          <w:rFonts w:hint="eastAsia" w:hAnsi="宋体"/>
          <w:color w:val="auto"/>
          <w:sz w:val="22"/>
          <w:szCs w:val="22"/>
          <w:highlight w:val="none"/>
        </w:rPr>
        <w:t>本工程的请款程序如下：</w:t>
      </w:r>
    </w:p>
    <w:p w14:paraId="7422EDF0">
      <w:pPr>
        <w:pStyle w:val="18"/>
        <w:spacing w:line="420" w:lineRule="exact"/>
        <w:ind w:firstLine="440" w:firstLineChars="200"/>
        <w:rPr>
          <w:rFonts w:hAnsi="宋体"/>
          <w:color w:val="auto"/>
          <w:sz w:val="22"/>
          <w:szCs w:val="22"/>
          <w:highlight w:val="none"/>
        </w:rPr>
      </w:pPr>
      <w:r>
        <w:rPr>
          <w:rFonts w:hint="eastAsia" w:hAnsi="宋体"/>
          <w:color w:val="auto"/>
          <w:sz w:val="22"/>
          <w:szCs w:val="22"/>
          <w:highlight w:val="none"/>
        </w:rPr>
        <w:t>根据实际工程进度，发包人向建设单位转交经发包人审核确认的完整请款资料（对应不同的资金支付方编制相应的请款资料，请款资料包括但不限于请款函、项目相关批文、相关合同、开户许可证、发票等，具体资料以发包人及建设单位最新要求为准，资料必须加盖发包人公章），建设单位审批后，将属于市级财政资金的请款资料转报市级相应行政部门，将属于区级财政资金的请款资料转报区财政局。各级财政局将相应款项以转账等形式分别直接支付至承包方提供的收款账户中。</w:t>
      </w:r>
    </w:p>
    <w:p w14:paraId="62C19B46">
      <w:pPr>
        <w:pStyle w:val="18"/>
        <w:spacing w:line="420" w:lineRule="exact"/>
        <w:ind w:firstLine="440" w:firstLineChars="200"/>
        <w:rPr>
          <w:rFonts w:hAnsi="宋体"/>
          <w:color w:val="auto"/>
          <w:sz w:val="22"/>
          <w:szCs w:val="22"/>
          <w:highlight w:val="none"/>
        </w:rPr>
      </w:pPr>
      <w:r>
        <w:rPr>
          <w:rFonts w:hint="eastAsia" w:hAnsi="宋体"/>
          <w:color w:val="auto"/>
          <w:sz w:val="22"/>
          <w:szCs w:val="22"/>
          <w:highlight w:val="none"/>
        </w:rPr>
        <w:t>支付进度详见第三部分《专用条款》第</w:t>
      </w:r>
      <w:r>
        <w:rPr>
          <w:rFonts w:hAnsi="宋体"/>
          <w:color w:val="auto"/>
          <w:sz w:val="22"/>
          <w:szCs w:val="22"/>
          <w:highlight w:val="none"/>
        </w:rPr>
        <w:t>62</w:t>
      </w:r>
      <w:r>
        <w:rPr>
          <w:rFonts w:hint="eastAsia" w:hAnsi="宋体"/>
          <w:color w:val="auto"/>
          <w:sz w:val="22"/>
          <w:szCs w:val="22"/>
          <w:highlight w:val="none"/>
        </w:rPr>
        <w:t>条“工程计量与计价”、第8</w:t>
      </w:r>
      <w:r>
        <w:rPr>
          <w:rFonts w:hAnsi="宋体"/>
          <w:color w:val="auto"/>
          <w:sz w:val="22"/>
          <w:szCs w:val="22"/>
          <w:highlight w:val="none"/>
        </w:rPr>
        <w:t>1</w:t>
      </w:r>
      <w:r>
        <w:rPr>
          <w:rFonts w:hint="eastAsia" w:hAnsi="宋体"/>
          <w:color w:val="auto"/>
          <w:sz w:val="22"/>
          <w:szCs w:val="22"/>
          <w:highlight w:val="none"/>
        </w:rPr>
        <w:t>条“进度款”。</w:t>
      </w:r>
    </w:p>
    <w:p w14:paraId="0B1109E0">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发包人向承包人承诺已阅读、理解并接受本合同所有条款，按照本合同约定的时限和方法支付工程款及其他应当支付的款项，履行本合同所约定的全部义务。</w:t>
      </w:r>
    </w:p>
    <w:p w14:paraId="5AFF9FA0">
      <w:pPr>
        <w:spacing w:line="420" w:lineRule="exact"/>
        <w:ind w:firstLine="440" w:firstLineChars="200"/>
        <w:rPr>
          <w:rFonts w:ascii="宋体" w:hAnsi="宋体" w:cs="宋体"/>
          <w:color w:val="auto"/>
          <w:sz w:val="22"/>
          <w:szCs w:val="22"/>
          <w:highlight w:val="none"/>
        </w:rPr>
      </w:pPr>
    </w:p>
    <w:p w14:paraId="00DB5130">
      <w:pPr>
        <w:spacing w:line="420" w:lineRule="exact"/>
        <w:outlineLvl w:val="1"/>
        <w:rPr>
          <w:rFonts w:ascii="方正小标宋_GBK" w:hAnsi="方正小标宋_GBK" w:eastAsia="方正小标宋_GBK" w:cs="方正小标宋_GBK"/>
          <w:b/>
          <w:bCs/>
          <w:color w:val="auto"/>
          <w:sz w:val="24"/>
          <w:szCs w:val="24"/>
          <w:highlight w:val="none"/>
        </w:rPr>
      </w:pPr>
      <w:bookmarkStart w:id="119" w:name="_Toc11801"/>
      <w:bookmarkStart w:id="120" w:name="_Toc31578"/>
      <w:bookmarkStart w:id="121" w:name="_Toc27590"/>
      <w:bookmarkStart w:id="122" w:name="_Toc155166139"/>
      <w:bookmarkStart w:id="123" w:name="_Toc30366"/>
      <w:r>
        <w:rPr>
          <w:rFonts w:hint="eastAsia" w:ascii="方正小标宋_GBK" w:hAnsi="方正小标宋_GBK" w:eastAsia="方正小标宋_GBK" w:cs="方正小标宋_GBK"/>
          <w:b/>
          <w:bCs/>
          <w:color w:val="auto"/>
          <w:sz w:val="24"/>
          <w:szCs w:val="24"/>
          <w:highlight w:val="none"/>
        </w:rPr>
        <w:t>十一、发包人对承包人项目机构人员的管理要求</w:t>
      </w:r>
      <w:bookmarkEnd w:id="119"/>
      <w:bookmarkEnd w:id="120"/>
      <w:bookmarkEnd w:id="121"/>
      <w:bookmarkEnd w:id="122"/>
      <w:bookmarkEnd w:id="123"/>
    </w:p>
    <w:p w14:paraId="5C5517B8">
      <w:pPr>
        <w:pStyle w:val="18"/>
        <w:spacing w:line="420" w:lineRule="exact"/>
        <w:ind w:firstLine="440" w:firstLineChars="200"/>
        <w:rPr>
          <w:rFonts w:hAnsi="宋体"/>
          <w:color w:val="auto"/>
          <w:sz w:val="22"/>
          <w:szCs w:val="22"/>
          <w:highlight w:val="none"/>
        </w:rPr>
      </w:pPr>
    </w:p>
    <w:p w14:paraId="716BCA63">
      <w:pPr>
        <w:pStyle w:val="18"/>
        <w:spacing w:line="420" w:lineRule="exact"/>
        <w:ind w:firstLine="440" w:firstLineChars="200"/>
        <w:rPr>
          <w:rFonts w:hAnsi="宋体"/>
          <w:color w:val="auto"/>
          <w:sz w:val="22"/>
          <w:szCs w:val="22"/>
          <w:highlight w:val="none"/>
        </w:rPr>
      </w:pPr>
      <w:bookmarkStart w:id="124" w:name="_Toc377540494"/>
      <w:r>
        <w:rPr>
          <w:rFonts w:hint="eastAsia" w:hAnsi="宋体"/>
          <w:color w:val="auto"/>
          <w:sz w:val="22"/>
          <w:szCs w:val="22"/>
          <w:highlight w:val="none"/>
        </w:rPr>
        <w:t>1、承包人应在收到中标通知书之日起5日内以书面形式向发包人提交其法定代表人、承包人代表（项目负责人）的姓名、身份证复印件、职务、职称、联系方式（包括办公电话、手机、传真号码）、通信地址等信息（格式详见本合同《附件十二：通信联系方式格式》）。</w:t>
      </w:r>
      <w:bookmarkEnd w:id="124"/>
    </w:p>
    <w:p w14:paraId="313515F2">
      <w:pPr>
        <w:pStyle w:val="18"/>
        <w:spacing w:line="420" w:lineRule="exact"/>
        <w:ind w:firstLine="440" w:firstLineChars="200"/>
        <w:rPr>
          <w:rFonts w:hAnsi="宋体"/>
          <w:color w:val="auto"/>
          <w:sz w:val="22"/>
          <w:szCs w:val="22"/>
          <w:highlight w:val="none"/>
        </w:rPr>
      </w:pPr>
      <w:bookmarkStart w:id="125" w:name="_Toc377540495"/>
      <w:r>
        <w:rPr>
          <w:rFonts w:hint="eastAsia" w:hAnsi="宋体"/>
          <w:color w:val="auto"/>
          <w:sz w:val="22"/>
          <w:szCs w:val="22"/>
          <w:highlight w:val="none"/>
        </w:rPr>
        <w:t>2、在本合同有效期内，承包人更换本工程承包人代表（项目负责人）的，除按合同专用条款的有关约定承担违约责任外，还应在更换后7日内将新承包人代表（项目负责人）的姓名、职务、职称、联系电话、通信地址等信息提交给发包人。</w:t>
      </w:r>
      <w:bookmarkEnd w:id="125"/>
    </w:p>
    <w:p w14:paraId="6E59876D">
      <w:pPr>
        <w:pStyle w:val="18"/>
        <w:spacing w:line="420" w:lineRule="exact"/>
        <w:ind w:firstLine="440" w:firstLineChars="200"/>
        <w:rPr>
          <w:rFonts w:hAnsi="宋体"/>
          <w:color w:val="auto"/>
          <w:sz w:val="22"/>
          <w:szCs w:val="22"/>
          <w:highlight w:val="none"/>
        </w:rPr>
      </w:pPr>
      <w:r>
        <w:rPr>
          <w:rFonts w:hint="eastAsia" w:hAnsi="宋体"/>
          <w:color w:val="auto"/>
          <w:sz w:val="22"/>
          <w:szCs w:val="22"/>
          <w:highlight w:val="none"/>
        </w:rPr>
        <w:t>3、发包人参照《番禺区水务工程参建单位管理人员考核要求》（详见本合同附件十八）对承包人进行考核评价及执行相关规定。（此条仅适用于最高投标限价5</w:t>
      </w:r>
      <w:r>
        <w:rPr>
          <w:rFonts w:hAnsi="宋体"/>
          <w:color w:val="auto"/>
          <w:sz w:val="22"/>
          <w:szCs w:val="22"/>
          <w:highlight w:val="none"/>
        </w:rPr>
        <w:t>000</w:t>
      </w:r>
      <w:r>
        <w:rPr>
          <w:rFonts w:hint="eastAsia" w:hAnsi="宋体"/>
          <w:color w:val="auto"/>
          <w:sz w:val="22"/>
          <w:szCs w:val="22"/>
          <w:highlight w:val="none"/>
        </w:rPr>
        <w:t>万（含）以上项目）</w:t>
      </w:r>
    </w:p>
    <w:p w14:paraId="16840DBB">
      <w:pPr>
        <w:spacing w:line="420" w:lineRule="exact"/>
        <w:ind w:firstLine="440" w:firstLineChars="200"/>
        <w:rPr>
          <w:rFonts w:ascii="宋体" w:hAnsi="宋体" w:cs="宋体"/>
          <w:color w:val="auto"/>
          <w:sz w:val="22"/>
          <w:szCs w:val="22"/>
          <w:highlight w:val="none"/>
        </w:rPr>
      </w:pPr>
    </w:p>
    <w:p w14:paraId="3E2D788F">
      <w:pPr>
        <w:spacing w:line="420" w:lineRule="exact"/>
        <w:outlineLvl w:val="1"/>
        <w:rPr>
          <w:rFonts w:ascii="方正小标宋_GBK" w:hAnsi="方正小标宋_GBK" w:eastAsia="方正小标宋_GBK" w:cs="方正小标宋_GBK"/>
          <w:b/>
          <w:bCs/>
          <w:color w:val="auto"/>
          <w:sz w:val="24"/>
          <w:szCs w:val="24"/>
          <w:highlight w:val="none"/>
        </w:rPr>
      </w:pPr>
      <w:bookmarkStart w:id="126" w:name="_Toc20579"/>
      <w:bookmarkStart w:id="127" w:name="_Toc155166140"/>
      <w:bookmarkStart w:id="128" w:name="_Toc4361"/>
      <w:bookmarkStart w:id="129" w:name="_Toc18234"/>
      <w:bookmarkStart w:id="130" w:name="_Toc22447"/>
      <w:r>
        <w:rPr>
          <w:rFonts w:hint="eastAsia" w:ascii="方正小标宋_GBK" w:hAnsi="方正小标宋_GBK" w:eastAsia="方正小标宋_GBK" w:cs="方正小标宋_GBK"/>
          <w:b/>
          <w:bCs/>
          <w:color w:val="auto"/>
          <w:sz w:val="24"/>
          <w:szCs w:val="24"/>
          <w:highlight w:val="none"/>
        </w:rPr>
        <w:t>十二、</w:t>
      </w:r>
      <w:bookmarkStart w:id="131" w:name="_Toc354050521"/>
      <w:bookmarkStart w:id="132" w:name="_Toc377540497"/>
      <w:r>
        <w:rPr>
          <w:rFonts w:ascii="方正小标宋_GBK" w:hAnsi="方正小标宋_GBK" w:eastAsia="方正小标宋_GBK" w:cs="方正小标宋_GBK"/>
          <w:b/>
          <w:bCs/>
          <w:color w:val="auto"/>
          <w:sz w:val="24"/>
          <w:szCs w:val="24"/>
          <w:highlight w:val="none"/>
        </w:rPr>
        <w:t>合同未尽事宜，双方另行签订补充协议，但不得背离本协议第八条所约定的合同文件的实质性内容。补充协议是合同文件的组成部分。</w:t>
      </w:r>
      <w:bookmarkEnd w:id="126"/>
      <w:bookmarkEnd w:id="127"/>
      <w:bookmarkEnd w:id="128"/>
      <w:bookmarkEnd w:id="129"/>
      <w:bookmarkEnd w:id="130"/>
      <w:bookmarkEnd w:id="131"/>
      <w:bookmarkEnd w:id="132"/>
    </w:p>
    <w:p w14:paraId="15CB6DC9">
      <w:pPr>
        <w:spacing w:line="420" w:lineRule="exact"/>
        <w:ind w:firstLine="440" w:firstLineChars="200"/>
        <w:rPr>
          <w:rFonts w:ascii="宋体" w:hAnsi="宋体" w:cs="宋体"/>
          <w:color w:val="auto"/>
          <w:sz w:val="22"/>
          <w:szCs w:val="22"/>
          <w:highlight w:val="none"/>
        </w:rPr>
      </w:pPr>
    </w:p>
    <w:p w14:paraId="3C99535C">
      <w:pPr>
        <w:spacing w:line="420" w:lineRule="exact"/>
        <w:outlineLvl w:val="1"/>
        <w:rPr>
          <w:rFonts w:ascii="方正小标宋_GBK" w:hAnsi="方正小标宋_GBK" w:eastAsia="方正小标宋_GBK" w:cs="方正小标宋_GBK"/>
          <w:b/>
          <w:bCs/>
          <w:color w:val="auto"/>
          <w:sz w:val="24"/>
          <w:szCs w:val="24"/>
          <w:highlight w:val="none"/>
        </w:rPr>
      </w:pPr>
      <w:bookmarkStart w:id="133" w:name="_Toc155166141"/>
      <w:bookmarkStart w:id="134" w:name="_Toc469383977"/>
      <w:bookmarkStart w:id="135" w:name="_Toc17593"/>
      <w:bookmarkStart w:id="136" w:name="_Toc266892761"/>
      <w:bookmarkStart w:id="137" w:name="_Toc22270"/>
      <w:bookmarkStart w:id="138" w:name="_Toc18855"/>
      <w:bookmarkStart w:id="139" w:name="_Toc1561"/>
      <w:r>
        <w:rPr>
          <w:rFonts w:hint="eastAsia" w:ascii="方正小标宋_GBK" w:hAnsi="方正小标宋_GBK" w:eastAsia="方正小标宋_GBK" w:cs="方正小标宋_GBK"/>
          <w:b/>
          <w:bCs/>
          <w:color w:val="auto"/>
          <w:sz w:val="24"/>
          <w:szCs w:val="24"/>
          <w:highlight w:val="none"/>
        </w:rPr>
        <w:t>十三、合同生效</w:t>
      </w:r>
      <w:bookmarkEnd w:id="133"/>
      <w:bookmarkEnd w:id="134"/>
      <w:bookmarkEnd w:id="135"/>
      <w:bookmarkEnd w:id="136"/>
      <w:bookmarkEnd w:id="137"/>
      <w:bookmarkEnd w:id="138"/>
      <w:bookmarkEnd w:id="139"/>
    </w:p>
    <w:p w14:paraId="37027F68">
      <w:pPr>
        <w:spacing w:line="420" w:lineRule="exact"/>
        <w:ind w:firstLine="440" w:firstLineChars="200"/>
        <w:rPr>
          <w:rFonts w:ascii="宋体" w:hAnsi="宋体" w:cs="宋体"/>
          <w:color w:val="auto"/>
          <w:sz w:val="22"/>
          <w:szCs w:val="22"/>
          <w:highlight w:val="none"/>
        </w:rPr>
      </w:pPr>
    </w:p>
    <w:p w14:paraId="5C9CC393">
      <w:pPr>
        <w:spacing w:line="420" w:lineRule="exact"/>
        <w:ind w:left="525"/>
        <w:rPr>
          <w:rFonts w:ascii="宋体" w:hAnsi="宋体" w:cs="宋体"/>
          <w:color w:val="auto"/>
          <w:sz w:val="22"/>
          <w:szCs w:val="22"/>
          <w:highlight w:val="none"/>
        </w:rPr>
      </w:pPr>
      <w:r>
        <w:rPr>
          <w:rFonts w:hint="eastAsia" w:ascii="宋体" w:hAnsi="宋体" w:cs="宋体"/>
          <w:color w:val="auto"/>
          <w:sz w:val="22"/>
          <w:szCs w:val="22"/>
          <w:highlight w:val="none"/>
        </w:rPr>
        <w:t>本合同订立时间：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月</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日</w:t>
      </w:r>
    </w:p>
    <w:p w14:paraId="6412FEE5">
      <w:pPr>
        <w:spacing w:line="420" w:lineRule="exact"/>
        <w:ind w:left="525"/>
        <w:rPr>
          <w:rFonts w:ascii="宋体" w:hAnsi="宋体" w:cs="宋体"/>
          <w:color w:val="auto"/>
          <w:sz w:val="22"/>
          <w:szCs w:val="22"/>
          <w:highlight w:val="none"/>
          <w:u w:val="single"/>
        </w:rPr>
      </w:pPr>
      <w:r>
        <w:rPr>
          <w:rFonts w:hint="eastAsia" w:ascii="宋体" w:hAnsi="宋体" w:cs="宋体"/>
          <w:color w:val="auto"/>
          <w:sz w:val="22"/>
          <w:szCs w:val="22"/>
          <w:highlight w:val="none"/>
        </w:rPr>
        <w:t>本合同订立地点：</w:t>
      </w:r>
      <w:r>
        <w:rPr>
          <w:rFonts w:hint="eastAsia" w:ascii="宋体" w:hAnsi="宋体" w:cs="宋体"/>
          <w:color w:val="auto"/>
          <w:sz w:val="22"/>
          <w:szCs w:val="22"/>
          <w:highlight w:val="none"/>
          <w:u w:val="single"/>
        </w:rPr>
        <w:t>广州市番禺区</w:t>
      </w:r>
    </w:p>
    <w:p w14:paraId="4993DEAB">
      <w:pPr>
        <w:spacing w:line="420" w:lineRule="exact"/>
        <w:ind w:left="525"/>
        <w:rPr>
          <w:rFonts w:ascii="宋体" w:hAnsi="宋体" w:cs="宋体"/>
          <w:color w:val="auto"/>
          <w:sz w:val="22"/>
          <w:szCs w:val="22"/>
          <w:highlight w:val="none"/>
          <w:u w:val="single"/>
        </w:rPr>
      </w:pPr>
    </w:p>
    <w:p w14:paraId="6DE39F20">
      <w:pPr>
        <w:spacing w:line="420" w:lineRule="exact"/>
        <w:outlineLvl w:val="1"/>
        <w:rPr>
          <w:rFonts w:ascii="方正小标宋_GBK" w:hAnsi="方正小标宋_GBK" w:eastAsia="方正小标宋_GBK" w:cs="方正小标宋_GBK"/>
          <w:b/>
          <w:bCs/>
          <w:color w:val="auto"/>
          <w:sz w:val="24"/>
          <w:szCs w:val="24"/>
          <w:highlight w:val="none"/>
        </w:rPr>
      </w:pPr>
      <w:bookmarkStart w:id="140" w:name="_Toc8452"/>
      <w:bookmarkStart w:id="141" w:name="_Toc31562"/>
      <w:bookmarkStart w:id="142" w:name="_Toc11895"/>
      <w:bookmarkStart w:id="143" w:name="_Toc155166142"/>
      <w:bookmarkStart w:id="144" w:name="_Toc16052"/>
      <w:r>
        <w:rPr>
          <w:rFonts w:hint="eastAsia" w:ascii="方正小标宋_GBK" w:hAnsi="方正小标宋_GBK" w:eastAsia="方正小标宋_GBK" w:cs="方正小标宋_GBK"/>
          <w:b/>
          <w:bCs/>
          <w:color w:val="auto"/>
          <w:sz w:val="24"/>
          <w:szCs w:val="24"/>
          <w:highlight w:val="none"/>
        </w:rPr>
        <w:t>十四、合同份数</w:t>
      </w:r>
      <w:bookmarkEnd w:id="140"/>
      <w:bookmarkEnd w:id="141"/>
      <w:bookmarkEnd w:id="142"/>
      <w:bookmarkEnd w:id="143"/>
      <w:bookmarkEnd w:id="144"/>
    </w:p>
    <w:p w14:paraId="0BAA48B7">
      <w:pPr>
        <w:spacing w:line="420" w:lineRule="exact"/>
        <w:ind w:firstLine="440" w:firstLineChars="200"/>
        <w:rPr>
          <w:rFonts w:ascii="宋体" w:hAnsi="宋体" w:cs="宋体"/>
          <w:color w:val="auto"/>
          <w:sz w:val="22"/>
          <w:szCs w:val="22"/>
          <w:highlight w:val="none"/>
        </w:rPr>
      </w:pPr>
    </w:p>
    <w:p w14:paraId="5C131ACA">
      <w:pPr>
        <w:pStyle w:val="18"/>
        <w:spacing w:line="420" w:lineRule="exact"/>
        <w:ind w:firstLine="440" w:firstLineChars="200"/>
        <w:rPr>
          <w:rFonts w:hAnsi="宋体"/>
          <w:color w:val="auto"/>
          <w:sz w:val="22"/>
          <w:szCs w:val="22"/>
          <w:highlight w:val="none"/>
        </w:rPr>
      </w:pPr>
      <w:r>
        <w:rPr>
          <w:rFonts w:hAnsi="宋体"/>
          <w:color w:val="auto"/>
          <w:sz w:val="22"/>
          <w:szCs w:val="22"/>
          <w:highlight w:val="none"/>
        </w:rPr>
        <w:t>本协议书连同其他合同文件正本一式两份，合同双方各执一份；副本一式</w:t>
      </w:r>
      <w:r>
        <w:rPr>
          <w:rFonts w:hint="eastAsia" w:hAnsi="宋体"/>
          <w:color w:val="auto"/>
          <w:sz w:val="22"/>
          <w:szCs w:val="22"/>
          <w:highlight w:val="none"/>
        </w:rPr>
        <w:t>捌份，发包人执肆份，承包人执肆份；合同正、副本具有同等法律效力，当正、副本所表述的内容不一致时，以正本为准。</w:t>
      </w:r>
    </w:p>
    <w:p w14:paraId="4FCEB4B1">
      <w:pPr>
        <w:pStyle w:val="18"/>
        <w:spacing w:line="420" w:lineRule="exact"/>
        <w:ind w:firstLine="440" w:firstLineChars="200"/>
        <w:rPr>
          <w:rFonts w:hAnsi="宋体"/>
          <w:color w:val="auto"/>
          <w:sz w:val="22"/>
          <w:szCs w:val="22"/>
          <w:highlight w:val="none"/>
        </w:rPr>
      </w:pPr>
    </w:p>
    <w:p w14:paraId="5F4B0273">
      <w:pPr>
        <w:pStyle w:val="18"/>
        <w:spacing w:line="420" w:lineRule="exact"/>
        <w:ind w:firstLine="440" w:firstLineChars="200"/>
        <w:rPr>
          <w:rFonts w:hAnsi="宋体"/>
          <w:color w:val="auto"/>
          <w:sz w:val="22"/>
          <w:szCs w:val="22"/>
          <w:highlight w:val="none"/>
        </w:rPr>
      </w:pPr>
      <w:r>
        <w:rPr>
          <w:rFonts w:hint="eastAsia" w:hAnsi="宋体"/>
          <w:color w:val="auto"/>
          <w:sz w:val="22"/>
          <w:szCs w:val="22"/>
          <w:highlight w:val="none"/>
        </w:rPr>
        <w:t>本合同双方约定：自双方盖章及双方法定代表人或者授权委托代理人签字或签章之日起生效，委托代理人必须向对方提供单位法定代表人签名及加盖单位公章的授权委托书原件壹份，并注明授权事项及期限。</w:t>
      </w:r>
    </w:p>
    <w:p w14:paraId="702603AC">
      <w:pPr>
        <w:pStyle w:val="18"/>
        <w:spacing w:line="420" w:lineRule="exact"/>
        <w:ind w:firstLine="440" w:firstLineChars="200"/>
        <w:jc w:val="center"/>
        <w:rPr>
          <w:rFonts w:hAnsi="宋体"/>
          <w:color w:val="auto"/>
          <w:sz w:val="22"/>
          <w:szCs w:val="22"/>
          <w:highlight w:val="none"/>
        </w:rPr>
      </w:pPr>
      <w:bookmarkStart w:id="145" w:name="_Toc5872"/>
      <w:bookmarkStart w:id="146" w:name="_Toc32557"/>
      <w:bookmarkStart w:id="147" w:name="_Toc19619"/>
      <w:bookmarkStart w:id="148" w:name="_Toc31854"/>
      <w:r>
        <w:rPr>
          <w:rFonts w:hint="eastAsia" w:hAnsi="宋体"/>
          <w:color w:val="auto"/>
          <w:sz w:val="22"/>
          <w:szCs w:val="22"/>
          <w:highlight w:val="none"/>
        </w:rPr>
        <w:t>（以下无正文）</w:t>
      </w:r>
      <w:bookmarkEnd w:id="145"/>
      <w:bookmarkEnd w:id="146"/>
      <w:bookmarkEnd w:id="147"/>
      <w:bookmarkEnd w:id="148"/>
    </w:p>
    <w:p w14:paraId="361195E2">
      <w:pPr>
        <w:spacing w:line="420" w:lineRule="exact"/>
        <w:ind w:firstLine="990" w:firstLineChars="450"/>
        <w:rPr>
          <w:rFonts w:ascii="宋体" w:hAnsi="宋体" w:cs="宋体"/>
          <w:color w:val="auto"/>
          <w:sz w:val="22"/>
          <w:szCs w:val="22"/>
          <w:highlight w:val="none"/>
        </w:rPr>
      </w:pPr>
    </w:p>
    <w:p w14:paraId="2F590260">
      <w:pPr>
        <w:spacing w:line="420" w:lineRule="exact"/>
        <w:ind w:firstLine="990" w:firstLineChars="450"/>
        <w:rPr>
          <w:rFonts w:hint="eastAsia" w:ascii="宋体" w:hAnsi="宋体" w:cs="宋体"/>
          <w:color w:val="auto"/>
          <w:sz w:val="22"/>
          <w:szCs w:val="22"/>
          <w:highlight w:val="none"/>
        </w:rPr>
      </w:pPr>
      <w:r>
        <w:rPr>
          <w:rFonts w:hint="eastAsia" w:ascii="宋体" w:hAnsi="宋体" w:cs="宋体"/>
          <w:color w:val="auto"/>
          <w:sz w:val="22"/>
          <w:szCs w:val="22"/>
          <w:highlight w:val="none"/>
        </w:rPr>
        <w:t>发包人：（盖章）                            承包人：（盖章）</w:t>
      </w:r>
    </w:p>
    <w:p w14:paraId="01780CAF">
      <w:pPr>
        <w:spacing w:line="420" w:lineRule="exact"/>
        <w:ind w:firstLine="990" w:firstLineChars="450"/>
        <w:rPr>
          <w:rFonts w:hint="eastAsia" w:ascii="宋体" w:hAnsi="宋体" w:cs="宋体"/>
          <w:color w:val="auto"/>
          <w:sz w:val="22"/>
          <w:szCs w:val="22"/>
          <w:highlight w:val="none"/>
        </w:rPr>
      </w:pPr>
    </w:p>
    <w:p w14:paraId="1D447891">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地      址：                               地      址：</w:t>
      </w:r>
    </w:p>
    <w:p w14:paraId="32CD1EEE">
      <w:pPr>
        <w:tabs>
          <w:tab w:val="left" w:pos="525"/>
          <w:tab w:val="left" w:pos="1155"/>
        </w:tabs>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法定代表人：                               法定代表人：</w:t>
      </w:r>
    </w:p>
    <w:p w14:paraId="3BFCEB61">
      <w:pPr>
        <w:tabs>
          <w:tab w:val="left" w:pos="525"/>
          <w:tab w:val="left" w:pos="1155"/>
        </w:tabs>
        <w:spacing w:line="420" w:lineRule="exact"/>
        <w:ind w:left="525" w:leftChars="250" w:firstLine="450"/>
        <w:rPr>
          <w:rFonts w:ascii="宋体" w:hAnsi="宋体" w:cs="宋体"/>
          <w:color w:val="auto"/>
          <w:sz w:val="22"/>
          <w:szCs w:val="22"/>
          <w:highlight w:val="none"/>
        </w:rPr>
      </w:pPr>
      <w:r>
        <w:rPr>
          <w:rFonts w:hint="eastAsia" w:ascii="宋体" w:hAnsi="宋体" w:cs="宋体"/>
          <w:color w:val="auto"/>
          <w:sz w:val="22"/>
          <w:szCs w:val="22"/>
          <w:highlight w:val="none"/>
        </w:rPr>
        <w:t>授权委托代理人：                           授权委托代理人：</w:t>
      </w:r>
    </w:p>
    <w:p w14:paraId="249964E9">
      <w:pPr>
        <w:tabs>
          <w:tab w:val="left" w:pos="525"/>
          <w:tab w:val="left" w:pos="1155"/>
        </w:tabs>
        <w:spacing w:line="420" w:lineRule="exact"/>
        <w:ind w:left="525" w:leftChars="250" w:firstLine="450"/>
        <w:rPr>
          <w:rFonts w:ascii="宋体" w:hAnsi="宋体" w:cs="宋体"/>
          <w:color w:val="auto"/>
          <w:sz w:val="22"/>
          <w:szCs w:val="22"/>
          <w:highlight w:val="none"/>
        </w:rPr>
      </w:pPr>
      <w:r>
        <w:rPr>
          <w:rFonts w:hint="eastAsia" w:ascii="宋体" w:hAnsi="宋体" w:cs="宋体"/>
          <w:color w:val="auto"/>
          <w:sz w:val="22"/>
          <w:szCs w:val="22"/>
          <w:highlight w:val="none"/>
        </w:rPr>
        <w:t xml:space="preserve">承包人代表： </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承包人代表：</w:t>
      </w:r>
    </w:p>
    <w:p w14:paraId="3EC28058">
      <w:pPr>
        <w:tabs>
          <w:tab w:val="left" w:pos="525"/>
          <w:tab w:val="left" w:pos="1155"/>
        </w:tabs>
        <w:spacing w:line="420" w:lineRule="exact"/>
        <w:ind w:left="525" w:leftChars="2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电    话：                                 电    话：</w:t>
      </w:r>
    </w:p>
    <w:p w14:paraId="1113C078">
      <w:pPr>
        <w:tabs>
          <w:tab w:val="left" w:pos="525"/>
          <w:tab w:val="left" w:pos="1155"/>
        </w:tabs>
        <w:spacing w:line="420" w:lineRule="exact"/>
        <w:ind w:left="525" w:leftChars="250"/>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    传    真：                                 传    真：</w:t>
      </w:r>
    </w:p>
    <w:p w14:paraId="6F926EAD">
      <w:pPr>
        <w:tabs>
          <w:tab w:val="left" w:pos="525"/>
          <w:tab w:val="left" w:pos="1155"/>
        </w:tabs>
        <w:spacing w:line="420" w:lineRule="exact"/>
        <w:ind w:left="525" w:leftChars="250"/>
        <w:rPr>
          <w:rFonts w:ascii="宋体" w:hAnsi="宋体" w:cs="宋体"/>
          <w:color w:val="auto"/>
          <w:sz w:val="22"/>
          <w:szCs w:val="22"/>
          <w:highlight w:val="none"/>
        </w:rPr>
      </w:pPr>
      <w:r>
        <w:rPr>
          <w:rFonts w:hint="eastAsia" w:ascii="宋体" w:hAnsi="宋体" w:cs="宋体"/>
          <w:color w:val="auto"/>
          <w:sz w:val="22"/>
          <w:szCs w:val="22"/>
          <w:highlight w:val="none"/>
        </w:rPr>
        <w:t xml:space="preserve">    开户银行：                                 工程款开户银行：</w:t>
      </w:r>
    </w:p>
    <w:p w14:paraId="276EE372">
      <w:pPr>
        <w:tabs>
          <w:tab w:val="left" w:pos="525"/>
          <w:tab w:val="left" w:pos="1155"/>
          <w:tab w:val="left" w:pos="6090"/>
        </w:tabs>
        <w:spacing w:line="420" w:lineRule="exact"/>
        <w:ind w:left="525" w:leftChars="250"/>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帐    号：                                 工程款账号：</w:t>
      </w:r>
    </w:p>
    <w:p w14:paraId="19A7B66C">
      <w:pPr>
        <w:tabs>
          <w:tab w:val="left" w:pos="525"/>
          <w:tab w:val="left" w:pos="1155"/>
          <w:tab w:val="left" w:pos="6090"/>
        </w:tabs>
        <w:spacing w:line="420" w:lineRule="exact"/>
        <w:ind w:left="525" w:leftChars="250"/>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工人工资开户银行：</w:t>
      </w:r>
    </w:p>
    <w:p w14:paraId="4435ACC1">
      <w:pPr>
        <w:tabs>
          <w:tab w:val="left" w:pos="525"/>
          <w:tab w:val="left" w:pos="1155"/>
          <w:tab w:val="left" w:pos="6090"/>
        </w:tabs>
        <w:spacing w:line="420" w:lineRule="exact"/>
        <w:ind w:left="525" w:leftChars="250" w:firstLine="5280" w:firstLineChars="2400"/>
        <w:rPr>
          <w:rFonts w:hint="eastAsia" w:ascii="宋体" w:hAnsi="宋体" w:cs="宋体"/>
          <w:color w:val="auto"/>
          <w:sz w:val="22"/>
          <w:szCs w:val="22"/>
          <w:highlight w:val="none"/>
        </w:rPr>
      </w:pPr>
      <w:r>
        <w:rPr>
          <w:rFonts w:hint="eastAsia" w:ascii="宋体" w:hAnsi="宋体" w:cs="宋体"/>
          <w:color w:val="auto"/>
          <w:sz w:val="22"/>
          <w:szCs w:val="22"/>
          <w:highlight w:val="none"/>
        </w:rPr>
        <w:t>工人工资账号：</w:t>
      </w:r>
    </w:p>
    <w:p w14:paraId="178976FF">
      <w:pPr>
        <w:tabs>
          <w:tab w:val="left" w:pos="525"/>
          <w:tab w:val="left" w:pos="1155"/>
        </w:tabs>
        <w:spacing w:line="420" w:lineRule="exact"/>
        <w:ind w:left="525" w:leftChars="2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邮政编码：                                 邮政编码：</w:t>
      </w:r>
    </w:p>
    <w:p w14:paraId="1016DDFF">
      <w:pPr>
        <w:tabs>
          <w:tab w:val="left" w:pos="525"/>
          <w:tab w:val="left" w:pos="1155"/>
        </w:tabs>
        <w:spacing w:line="420" w:lineRule="exact"/>
        <w:ind w:left="525" w:leftChars="250"/>
        <w:rPr>
          <w:rFonts w:ascii="宋体" w:hAnsi="宋体" w:cs="宋体"/>
          <w:color w:val="auto"/>
          <w:sz w:val="22"/>
          <w:szCs w:val="22"/>
          <w:highlight w:val="none"/>
        </w:rPr>
      </w:pPr>
      <w:r>
        <w:rPr>
          <w:rFonts w:hint="eastAsia" w:ascii="宋体" w:hAnsi="宋体" w:cs="宋体"/>
          <w:color w:val="auto"/>
          <w:sz w:val="22"/>
          <w:szCs w:val="22"/>
          <w:highlight w:val="none"/>
        </w:rPr>
        <w:t xml:space="preserve">     电子邮箱:                                  电子邮箱:</w:t>
      </w:r>
    </w:p>
    <w:p w14:paraId="6696A549">
      <w:pPr>
        <w:widowControl/>
        <w:jc w:val="left"/>
        <w:rPr>
          <w:rFonts w:ascii="方正黑体_GBK" w:hAnsi="方正黑体_GBK" w:eastAsia="方正黑体_GBK" w:cs="方正黑体_GBK"/>
          <w:b/>
          <w:bCs/>
          <w:color w:val="auto"/>
          <w:sz w:val="28"/>
          <w:szCs w:val="28"/>
          <w:highlight w:val="none"/>
        </w:rPr>
      </w:pPr>
      <w:bookmarkStart w:id="149" w:name="_Toc469383978"/>
      <w:r>
        <w:rPr>
          <w:rFonts w:ascii="方正黑体_GBK" w:hAnsi="方正黑体_GBK" w:eastAsia="方正黑体_GBK" w:cs="方正黑体_GBK"/>
          <w:b/>
          <w:bCs/>
          <w:color w:val="auto"/>
          <w:sz w:val="28"/>
          <w:szCs w:val="28"/>
          <w:highlight w:val="none"/>
        </w:rPr>
        <w:br w:type="page"/>
      </w:r>
    </w:p>
    <w:p w14:paraId="5068AF0A">
      <w:pPr>
        <w:spacing w:line="420" w:lineRule="exact"/>
        <w:jc w:val="center"/>
        <w:outlineLvl w:val="0"/>
        <w:rPr>
          <w:rFonts w:ascii="方正黑体_GBK" w:hAnsi="方正黑体_GBK" w:eastAsia="方正黑体_GBK" w:cs="方正黑体_GBK"/>
          <w:b/>
          <w:bCs/>
          <w:color w:val="auto"/>
          <w:sz w:val="28"/>
          <w:szCs w:val="28"/>
          <w:highlight w:val="none"/>
        </w:rPr>
      </w:pPr>
      <w:bookmarkStart w:id="150" w:name="_Toc6982"/>
      <w:bookmarkStart w:id="151" w:name="_Toc29734"/>
      <w:bookmarkStart w:id="152" w:name="_Toc30716"/>
      <w:bookmarkStart w:id="153" w:name="_Toc21656"/>
      <w:bookmarkStart w:id="154" w:name="_Toc9327"/>
      <w:bookmarkStart w:id="155" w:name="_Toc2086"/>
      <w:bookmarkStart w:id="156" w:name="_Toc155166143"/>
      <w:r>
        <w:rPr>
          <w:rFonts w:hint="eastAsia" w:ascii="方正黑体_GBK" w:hAnsi="方正黑体_GBK" w:eastAsia="方正黑体_GBK" w:cs="方正黑体_GBK"/>
          <w:b/>
          <w:bCs/>
          <w:color w:val="auto"/>
          <w:sz w:val="28"/>
          <w:szCs w:val="28"/>
          <w:highlight w:val="none"/>
        </w:rPr>
        <w:t>第二部分  通用条款</w:t>
      </w:r>
      <w:bookmarkEnd w:id="149"/>
      <w:bookmarkEnd w:id="150"/>
      <w:bookmarkEnd w:id="151"/>
      <w:bookmarkEnd w:id="152"/>
      <w:bookmarkEnd w:id="153"/>
      <w:bookmarkEnd w:id="154"/>
      <w:bookmarkEnd w:id="155"/>
      <w:bookmarkEnd w:id="156"/>
    </w:p>
    <w:p w14:paraId="1B7022C4">
      <w:pPr>
        <w:pStyle w:val="22"/>
        <w:adjustRightInd w:val="0"/>
        <w:snapToGrid w:val="0"/>
        <w:spacing w:line="420" w:lineRule="exact"/>
        <w:rPr>
          <w:rFonts w:hAnsi="宋体"/>
          <w:color w:val="auto"/>
          <w:sz w:val="22"/>
          <w:szCs w:val="22"/>
          <w:highlight w:val="none"/>
        </w:rPr>
      </w:pPr>
    </w:p>
    <w:p w14:paraId="3BD32BC7">
      <w:pPr>
        <w:pStyle w:val="22"/>
        <w:adjustRightInd w:val="0"/>
        <w:snapToGrid w:val="0"/>
        <w:spacing w:line="420" w:lineRule="exact"/>
        <w:jc w:val="center"/>
        <w:outlineLvl w:val="1"/>
        <w:rPr>
          <w:rFonts w:ascii="方正小标宋_GBK" w:hAnsi="方正小标宋_GBK" w:eastAsia="方正小标宋_GBK" w:cs="方正小标宋_GBK"/>
          <w:b/>
          <w:bCs/>
          <w:color w:val="auto"/>
          <w:sz w:val="24"/>
          <w:szCs w:val="24"/>
          <w:highlight w:val="none"/>
        </w:rPr>
      </w:pPr>
      <w:bookmarkStart w:id="157" w:name="_Toc469383979"/>
      <w:bookmarkStart w:id="158" w:name="_Toc27322"/>
      <w:bookmarkStart w:id="159" w:name="_Toc4589"/>
      <w:bookmarkStart w:id="160" w:name="_Toc155166144"/>
      <w:bookmarkStart w:id="161" w:name="_Toc23666"/>
      <w:bookmarkStart w:id="162" w:name="_Toc12498"/>
      <w:r>
        <w:rPr>
          <w:rFonts w:hint="eastAsia" w:ascii="方正小标宋_GBK" w:hAnsi="方正小标宋_GBK" w:eastAsia="方正小标宋_GBK" w:cs="方正小标宋_GBK"/>
          <w:b/>
          <w:bCs/>
          <w:color w:val="auto"/>
          <w:sz w:val="24"/>
          <w:szCs w:val="24"/>
          <w:highlight w:val="none"/>
        </w:rPr>
        <w:t>一、总  则</w:t>
      </w:r>
      <w:bookmarkEnd w:id="157"/>
      <w:bookmarkEnd w:id="158"/>
      <w:bookmarkEnd w:id="159"/>
      <w:bookmarkEnd w:id="160"/>
      <w:bookmarkEnd w:id="161"/>
      <w:bookmarkEnd w:id="162"/>
    </w:p>
    <w:p w14:paraId="05546153">
      <w:pPr>
        <w:pStyle w:val="22"/>
        <w:tabs>
          <w:tab w:val="left" w:pos="900"/>
          <w:tab w:val="left" w:pos="1980"/>
        </w:tabs>
        <w:adjustRightInd w:val="0"/>
        <w:spacing w:line="420" w:lineRule="exact"/>
        <w:rPr>
          <w:rFonts w:hAnsi="宋体"/>
          <w:b/>
          <w:bCs/>
          <w:color w:val="auto"/>
          <w:sz w:val="22"/>
          <w:szCs w:val="22"/>
          <w:highlight w:val="none"/>
        </w:rPr>
      </w:pPr>
    </w:p>
    <w:p w14:paraId="0A05B8B3">
      <w:pPr>
        <w:pStyle w:val="22"/>
        <w:tabs>
          <w:tab w:val="left" w:pos="900"/>
          <w:tab w:val="left" w:pos="1080"/>
        </w:tabs>
        <w:spacing w:before="120" w:beforeLines="50" w:after="120" w:afterLines="50" w:line="420" w:lineRule="exact"/>
        <w:outlineLvl w:val="2"/>
        <w:rPr>
          <w:rFonts w:hAnsi="宋体"/>
          <w:b/>
          <w:bCs/>
          <w:color w:val="auto"/>
          <w:sz w:val="22"/>
          <w:szCs w:val="22"/>
          <w:highlight w:val="none"/>
        </w:rPr>
      </w:pPr>
      <w:bookmarkStart w:id="163" w:name="_Toc115"/>
      <w:bookmarkStart w:id="164" w:name="_Toc469383980"/>
      <w:bookmarkStart w:id="165" w:name="_Toc25896"/>
      <w:r>
        <w:rPr>
          <w:rFonts w:hint="eastAsia" w:hAnsi="宋体"/>
          <w:b/>
          <w:bCs/>
          <w:color w:val="auto"/>
          <w:sz w:val="22"/>
          <w:szCs w:val="22"/>
          <w:highlight w:val="none"/>
        </w:rPr>
        <w:t>1  定义</w:t>
      </w:r>
      <w:bookmarkEnd w:id="163"/>
      <w:bookmarkEnd w:id="164"/>
      <w:bookmarkEnd w:id="165"/>
    </w:p>
    <w:p w14:paraId="3292E466">
      <w:pPr>
        <w:pStyle w:val="22"/>
        <w:tabs>
          <w:tab w:val="left" w:pos="900"/>
          <w:tab w:val="left" w:pos="1980"/>
        </w:tabs>
        <w:adjustRightInd w:val="0"/>
        <w:spacing w:line="420" w:lineRule="exact"/>
        <w:rPr>
          <w:rFonts w:hAnsi="宋体"/>
          <w:color w:val="auto"/>
          <w:sz w:val="22"/>
          <w:szCs w:val="22"/>
          <w:highlight w:val="none"/>
        </w:rPr>
      </w:pPr>
      <w:r>
        <w:rPr>
          <w:rFonts w:hint="eastAsia" w:hAnsi="宋体"/>
          <w:b/>
          <w:bCs/>
          <w:color w:val="auto"/>
          <w:sz w:val="22"/>
          <w:szCs w:val="22"/>
          <w:highlight w:val="none"/>
        </w:rPr>
        <w:t xml:space="preserve">           </w:t>
      </w:r>
      <w:r>
        <w:rPr>
          <w:rFonts w:hint="eastAsia" w:hAnsi="宋体"/>
          <w:color w:val="auto"/>
          <w:sz w:val="22"/>
          <w:szCs w:val="22"/>
          <w:highlight w:val="none"/>
        </w:rPr>
        <w:t>下列词语或措辞，除非特别说明，在本合同中均具有以下赋予的含义：</w:t>
      </w:r>
    </w:p>
    <w:p w14:paraId="5A280490">
      <w:pPr>
        <w:pStyle w:val="22"/>
        <w:tabs>
          <w:tab w:val="left" w:pos="1260"/>
          <w:tab w:val="left" w:pos="2160"/>
        </w:tabs>
        <w:adjustRightInd w:val="0"/>
        <w:spacing w:before="120" w:beforeLines="50" w:line="420" w:lineRule="exact"/>
        <w:ind w:left="1468" w:leftChars="686" w:hanging="27" w:hangingChars="12"/>
        <w:rPr>
          <w:rFonts w:hAnsi="宋体"/>
          <w:color w:val="auto"/>
          <w:sz w:val="22"/>
          <w:szCs w:val="22"/>
          <w:highlight w:val="none"/>
          <w:u w:val="dotted"/>
        </w:rPr>
      </w:pPr>
      <w:r>
        <w:rPr>
          <w:rFonts w:hint="eastAsia" w:hAnsi="宋体"/>
          <w:b/>
          <w:bCs/>
          <w:color w:val="auto"/>
          <w:sz w:val="22"/>
          <w:szCs w:val="22"/>
          <w:highlight w:val="none"/>
        </w:rPr>
        <w:t>1.1  合同：</w:t>
      </w:r>
      <w:r>
        <w:rPr>
          <w:rFonts w:hint="eastAsia" w:hAnsi="宋体"/>
          <w:color w:val="auto"/>
          <w:sz w:val="22"/>
          <w:szCs w:val="22"/>
          <w:highlight w:val="none"/>
        </w:rPr>
        <w:t>指合同双方当事人为实施、完成并保修合同工程所订立的合同文件。合同文件由第2.2款所列的文件组成。</w:t>
      </w:r>
    </w:p>
    <w:p w14:paraId="55F154EB">
      <w:pPr>
        <w:pStyle w:val="22"/>
        <w:tabs>
          <w:tab w:val="left" w:pos="2160"/>
          <w:tab w:val="left" w:pos="2520"/>
        </w:tabs>
        <w:adjustRightInd w:val="0"/>
        <w:spacing w:before="192" w:beforeLines="80" w:line="420" w:lineRule="exact"/>
        <w:ind w:left="1467" w:leftChars="685" w:hanging="29" w:hangingChars="13"/>
        <w:rPr>
          <w:rFonts w:hAnsi="宋体"/>
          <w:color w:val="auto"/>
          <w:sz w:val="22"/>
          <w:szCs w:val="22"/>
          <w:highlight w:val="none"/>
          <w:u w:val="dotted"/>
        </w:rPr>
      </w:pPr>
      <w:r>
        <w:rPr>
          <w:rFonts w:hint="eastAsia" w:hAnsi="宋体"/>
          <w:b/>
          <w:bCs/>
          <w:color w:val="auto"/>
          <w:sz w:val="22"/>
          <w:szCs w:val="22"/>
          <w:highlight w:val="none"/>
        </w:rPr>
        <w:t>1.2  协议书：</w:t>
      </w:r>
      <w:r>
        <w:rPr>
          <w:rFonts w:hint="eastAsia" w:hAnsi="宋体"/>
          <w:color w:val="auto"/>
          <w:sz w:val="22"/>
          <w:szCs w:val="22"/>
          <w:highlight w:val="none"/>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30天内签订。</w:t>
      </w:r>
    </w:p>
    <w:p w14:paraId="2A51CF1D">
      <w:pPr>
        <w:pStyle w:val="22"/>
        <w:tabs>
          <w:tab w:val="left" w:pos="2160"/>
        </w:tabs>
        <w:adjustRightInd w:val="0"/>
        <w:spacing w:before="192" w:beforeLines="80" w:line="420" w:lineRule="exact"/>
        <w:ind w:left="1468" w:leftChars="699"/>
        <w:rPr>
          <w:rFonts w:hAnsi="宋体"/>
          <w:color w:val="auto"/>
          <w:sz w:val="22"/>
          <w:szCs w:val="22"/>
          <w:highlight w:val="none"/>
        </w:rPr>
      </w:pPr>
      <w:r>
        <w:rPr>
          <w:rFonts w:hint="eastAsia" w:hAnsi="宋体"/>
          <w:b/>
          <w:bCs/>
          <w:color w:val="auto"/>
          <w:sz w:val="22"/>
          <w:szCs w:val="22"/>
          <w:highlight w:val="none"/>
        </w:rPr>
        <w:t>1.3  通用条款：</w:t>
      </w:r>
      <w:r>
        <w:rPr>
          <w:rFonts w:hint="eastAsia" w:hAnsi="宋体"/>
          <w:color w:val="auto"/>
          <w:sz w:val="22"/>
          <w:szCs w:val="22"/>
          <w:highlight w:val="none"/>
        </w:rPr>
        <w:t>指根据法律、法规和规章的规定以及建设工程施工的需要所订立的，通用于建设工程施工的条款。</w:t>
      </w:r>
    </w:p>
    <w:p w14:paraId="27663E09">
      <w:pPr>
        <w:pStyle w:val="22"/>
        <w:tabs>
          <w:tab w:val="left" w:pos="2160"/>
          <w:tab w:val="left" w:pos="2520"/>
        </w:tabs>
        <w:adjustRightInd w:val="0"/>
        <w:spacing w:before="192" w:beforeLines="80" w:line="420" w:lineRule="exact"/>
        <w:ind w:left="1573" w:leftChars="743" w:hanging="13" w:hangingChars="6"/>
        <w:jc w:val="left"/>
        <w:rPr>
          <w:rFonts w:hAnsi="宋体"/>
          <w:color w:val="auto"/>
          <w:sz w:val="22"/>
          <w:szCs w:val="22"/>
          <w:highlight w:val="none"/>
          <w:u w:val="dotted"/>
        </w:rPr>
      </w:pPr>
      <w:r>
        <w:rPr>
          <w:rFonts w:hint="eastAsia" w:hAnsi="宋体"/>
          <w:b/>
          <w:bCs/>
          <w:color w:val="auto"/>
          <w:sz w:val="22"/>
          <w:szCs w:val="22"/>
          <w:highlight w:val="none"/>
        </w:rPr>
        <w:t>1.4  专用条款：</w:t>
      </w:r>
      <w:r>
        <w:rPr>
          <w:rFonts w:hint="eastAsia" w:hAnsi="宋体"/>
          <w:color w:val="auto"/>
          <w:sz w:val="22"/>
          <w:szCs w:val="22"/>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14:paraId="5EA32EB0">
      <w:pPr>
        <w:pStyle w:val="22"/>
        <w:tabs>
          <w:tab w:val="left" w:pos="2160"/>
        </w:tabs>
        <w:adjustRightInd w:val="0"/>
        <w:spacing w:before="192" w:beforeLines="80" w:line="420" w:lineRule="exact"/>
        <w:ind w:firstLine="1449" w:firstLineChars="656"/>
        <w:rPr>
          <w:rFonts w:hAnsi="宋体"/>
          <w:color w:val="auto"/>
          <w:sz w:val="22"/>
          <w:szCs w:val="22"/>
          <w:highlight w:val="none"/>
          <w:u w:val="dotted"/>
        </w:rPr>
      </w:pPr>
      <w:r>
        <w:rPr>
          <w:rFonts w:hint="eastAsia" w:hAnsi="宋体"/>
          <w:b/>
          <w:bCs/>
          <w:color w:val="auto"/>
          <w:sz w:val="22"/>
          <w:szCs w:val="22"/>
          <w:highlight w:val="none"/>
        </w:rPr>
        <w:t>1.5  中标通知书：</w:t>
      </w:r>
      <w:r>
        <w:rPr>
          <w:rFonts w:hint="eastAsia" w:hAnsi="宋体"/>
          <w:color w:val="auto"/>
          <w:sz w:val="22"/>
          <w:szCs w:val="22"/>
          <w:highlight w:val="none"/>
        </w:rPr>
        <w:t>指发包人正式接受中标人投标文件的书面文件。</w:t>
      </w:r>
    </w:p>
    <w:p w14:paraId="55232CAE">
      <w:pPr>
        <w:pStyle w:val="22"/>
        <w:tabs>
          <w:tab w:val="left" w:pos="2160"/>
        </w:tabs>
        <w:adjustRightInd w:val="0"/>
        <w:spacing w:before="192" w:beforeLines="80" w:line="420" w:lineRule="exact"/>
        <w:ind w:left="1575" w:leftChars="750"/>
        <w:jc w:val="left"/>
        <w:rPr>
          <w:rFonts w:hAnsi="宋体"/>
          <w:color w:val="auto"/>
          <w:sz w:val="22"/>
          <w:szCs w:val="22"/>
          <w:highlight w:val="none"/>
        </w:rPr>
      </w:pPr>
      <w:r>
        <w:rPr>
          <w:rFonts w:hint="eastAsia" w:hAnsi="宋体"/>
          <w:b/>
          <w:bCs/>
          <w:color w:val="auto"/>
          <w:sz w:val="22"/>
          <w:szCs w:val="22"/>
          <w:highlight w:val="none"/>
        </w:rPr>
        <w:t>1.6  承包人投标文件：</w:t>
      </w:r>
      <w:r>
        <w:rPr>
          <w:rFonts w:hint="eastAsia" w:hAnsi="宋体"/>
          <w:color w:val="auto"/>
          <w:sz w:val="22"/>
          <w:szCs w:val="22"/>
          <w:highlight w:val="none"/>
        </w:rPr>
        <w:t>指构成合同文件组成部分的，由承包人根据招标文件编制完成、签字并被中标通知书所接受的，承包人为实施、完成并保修合同工程向发包人提交的技术、经济文件。</w:t>
      </w:r>
    </w:p>
    <w:p w14:paraId="087AFA6F">
      <w:pPr>
        <w:pStyle w:val="22"/>
        <w:tabs>
          <w:tab w:val="left" w:pos="2160"/>
          <w:tab w:val="left" w:pos="2520"/>
        </w:tabs>
        <w:adjustRightInd w:val="0"/>
        <w:spacing w:before="192" w:beforeLines="80" w:line="420" w:lineRule="exact"/>
        <w:ind w:left="1618" w:leftChars="770" w:hanging="1"/>
        <w:jc w:val="left"/>
        <w:rPr>
          <w:rFonts w:hAnsi="宋体"/>
          <w:color w:val="auto"/>
          <w:sz w:val="22"/>
          <w:szCs w:val="22"/>
          <w:highlight w:val="none"/>
        </w:rPr>
      </w:pPr>
      <w:r>
        <w:rPr>
          <w:rFonts w:hint="eastAsia" w:hAnsi="宋体"/>
          <w:b/>
          <w:bCs/>
          <w:color w:val="auto"/>
          <w:sz w:val="22"/>
          <w:szCs w:val="22"/>
          <w:highlight w:val="none"/>
        </w:rPr>
        <w:t>1.7  标准、规范及有关技术文件：</w:t>
      </w:r>
      <w:r>
        <w:rPr>
          <w:rFonts w:hint="eastAsia" w:hAnsi="宋体"/>
          <w:color w:val="auto"/>
          <w:sz w:val="22"/>
          <w:szCs w:val="22"/>
          <w:highlight w:val="none"/>
        </w:rPr>
        <w:t>指构成合同文件组成部分的，本合同所指明的和合同工程依法应适用的标准与规范，以及监理工程师、造价工程师对有关技术方面问题做出的补充、修改和批准文件。</w:t>
      </w:r>
    </w:p>
    <w:p w14:paraId="7E02BC25">
      <w:pPr>
        <w:pStyle w:val="22"/>
        <w:tabs>
          <w:tab w:val="left" w:pos="2160"/>
          <w:tab w:val="left" w:pos="2520"/>
        </w:tabs>
        <w:adjustRightInd w:val="0"/>
        <w:spacing w:before="192" w:beforeLines="80" w:line="420" w:lineRule="exact"/>
        <w:ind w:left="1618" w:leftChars="770" w:hanging="1"/>
        <w:jc w:val="left"/>
        <w:rPr>
          <w:rFonts w:hAnsi="宋体"/>
          <w:color w:val="auto"/>
          <w:sz w:val="22"/>
          <w:szCs w:val="22"/>
          <w:highlight w:val="none"/>
        </w:rPr>
      </w:pPr>
      <w:r>
        <w:rPr>
          <w:rFonts w:hint="eastAsia" w:hAnsi="宋体"/>
          <w:b/>
          <w:bCs/>
          <w:color w:val="auto"/>
          <w:sz w:val="22"/>
          <w:szCs w:val="22"/>
          <w:highlight w:val="none"/>
        </w:rPr>
        <w:t>1.8  施工设计图纸：</w:t>
      </w:r>
      <w:r>
        <w:rPr>
          <w:rFonts w:hint="eastAsia" w:hAnsi="宋体"/>
          <w:color w:val="auto"/>
          <w:sz w:val="22"/>
          <w:szCs w:val="22"/>
          <w:highlight w:val="none"/>
        </w:rPr>
        <w:t>指构成合同文件组成部分的，按规定审批的由发包人提供或经发包人批准由承包人提供，满足承包人施工需要的所有设计文件</w:t>
      </w:r>
      <w:r>
        <w:rPr>
          <w:rFonts w:hint="eastAsia" w:hAnsi="宋体"/>
          <w:color w:val="auto"/>
          <w:kern w:val="0"/>
          <w:sz w:val="22"/>
          <w:szCs w:val="22"/>
          <w:highlight w:val="none"/>
        </w:rPr>
        <w:t>、</w:t>
      </w:r>
      <w:r>
        <w:rPr>
          <w:rFonts w:hint="eastAsia" w:hAnsi="宋体"/>
          <w:color w:val="auto"/>
          <w:sz w:val="22"/>
          <w:szCs w:val="22"/>
          <w:highlight w:val="none"/>
        </w:rPr>
        <w:t>施工图纸、模型（包括任何补充和修改的施工图纸、配套说明和有关资料）。图纸应当按照法律规定审查合格。</w:t>
      </w:r>
    </w:p>
    <w:p w14:paraId="63F62348">
      <w:pPr>
        <w:pStyle w:val="22"/>
        <w:tabs>
          <w:tab w:val="left" w:pos="2160"/>
        </w:tabs>
        <w:adjustRightInd w:val="0"/>
        <w:spacing w:before="192" w:beforeLines="80" w:line="420" w:lineRule="exact"/>
        <w:ind w:left="1575" w:leftChars="750"/>
        <w:jc w:val="left"/>
        <w:rPr>
          <w:rFonts w:hAnsi="宋体"/>
          <w:color w:val="auto"/>
          <w:sz w:val="22"/>
          <w:szCs w:val="22"/>
          <w:highlight w:val="none"/>
        </w:rPr>
      </w:pPr>
      <w:r>
        <w:rPr>
          <w:rFonts w:hint="eastAsia" w:hAnsi="宋体"/>
          <w:b/>
          <w:bCs/>
          <w:color w:val="auto"/>
          <w:sz w:val="22"/>
          <w:szCs w:val="22"/>
          <w:highlight w:val="none"/>
        </w:rPr>
        <w:t>1.9  工程量清单：</w:t>
      </w:r>
      <w:r>
        <w:rPr>
          <w:rFonts w:hint="eastAsia" w:hAnsi="宋体"/>
          <w:color w:val="auto"/>
          <w:sz w:val="22"/>
          <w:szCs w:val="22"/>
          <w:highlight w:val="none"/>
        </w:rPr>
        <w:t>指构成合同文件组成部分的,由发包人在招标文件中提供的,合同工程分部分项工程项目、措施项目、其他项目、规费项目和税金项目的名称和相应数量等的明细清单。</w:t>
      </w:r>
    </w:p>
    <w:p w14:paraId="56BDE2C6">
      <w:pPr>
        <w:pStyle w:val="22"/>
        <w:tabs>
          <w:tab w:val="left" w:pos="2160"/>
        </w:tabs>
        <w:adjustRightInd w:val="0"/>
        <w:spacing w:before="192" w:beforeLines="80" w:line="420" w:lineRule="exact"/>
        <w:ind w:left="1618" w:leftChars="770" w:hanging="1"/>
        <w:jc w:val="left"/>
        <w:rPr>
          <w:rFonts w:hAnsi="宋体"/>
          <w:color w:val="auto"/>
          <w:sz w:val="22"/>
          <w:szCs w:val="22"/>
          <w:highlight w:val="none"/>
        </w:rPr>
      </w:pPr>
      <w:r>
        <w:rPr>
          <w:rFonts w:hint="eastAsia" w:hAnsi="宋体"/>
          <w:b/>
          <w:bCs/>
          <w:color w:val="auto"/>
          <w:sz w:val="22"/>
          <w:szCs w:val="22"/>
          <w:highlight w:val="none"/>
        </w:rPr>
        <w:t>1.10  发包人：</w:t>
      </w:r>
      <w:r>
        <w:rPr>
          <w:rFonts w:hint="eastAsia" w:hAnsi="宋体"/>
          <w:color w:val="auto"/>
          <w:sz w:val="22"/>
          <w:szCs w:val="22"/>
          <w:highlight w:val="none"/>
        </w:rPr>
        <w:t>指在协议书中约定，具有工程发包主体资格和支付工程款能力的当事人，以及取得该当事人资格的合法继承人。</w:t>
      </w:r>
    </w:p>
    <w:p w14:paraId="41A003BB">
      <w:pPr>
        <w:pStyle w:val="22"/>
        <w:tabs>
          <w:tab w:val="left" w:pos="1980"/>
        </w:tabs>
        <w:adjustRightInd w:val="0"/>
        <w:spacing w:before="192" w:beforeLines="80" w:line="420" w:lineRule="exact"/>
        <w:ind w:left="1573" w:leftChars="749"/>
        <w:rPr>
          <w:rFonts w:hAnsi="宋体"/>
          <w:color w:val="auto"/>
          <w:sz w:val="22"/>
          <w:szCs w:val="22"/>
          <w:highlight w:val="none"/>
        </w:rPr>
      </w:pPr>
      <w:r>
        <w:rPr>
          <w:rFonts w:hint="eastAsia" w:hAnsi="宋体"/>
          <w:b/>
          <w:bCs/>
          <w:color w:val="auto"/>
          <w:sz w:val="22"/>
          <w:szCs w:val="22"/>
          <w:highlight w:val="none"/>
        </w:rPr>
        <w:t>1.11  承包人：</w:t>
      </w:r>
      <w:r>
        <w:rPr>
          <w:rFonts w:hint="eastAsia" w:hAnsi="宋体"/>
          <w:color w:val="auto"/>
          <w:sz w:val="22"/>
          <w:szCs w:val="22"/>
          <w:highlight w:val="none"/>
        </w:rPr>
        <w:t>指在协议书中约定，被发包人接受且具有工程施工承包主体资格的当事人，以及取得该当事人资格的合法继承人。</w:t>
      </w:r>
    </w:p>
    <w:p w14:paraId="37602D25">
      <w:pPr>
        <w:pStyle w:val="22"/>
        <w:tabs>
          <w:tab w:val="left" w:pos="1980"/>
        </w:tabs>
        <w:spacing w:before="192" w:beforeLines="80" w:line="420" w:lineRule="exact"/>
        <w:ind w:left="1575" w:leftChars="750"/>
        <w:rPr>
          <w:rFonts w:hAnsi="宋体"/>
          <w:color w:val="auto"/>
          <w:sz w:val="22"/>
          <w:szCs w:val="22"/>
          <w:highlight w:val="none"/>
        </w:rPr>
      </w:pPr>
      <w:r>
        <w:rPr>
          <w:rFonts w:hint="eastAsia" w:hAnsi="宋体"/>
          <w:b/>
          <w:bCs/>
          <w:color w:val="auto"/>
          <w:sz w:val="22"/>
          <w:szCs w:val="22"/>
          <w:highlight w:val="none"/>
        </w:rPr>
        <w:t>1.12  分包人：</w:t>
      </w:r>
      <w:r>
        <w:rPr>
          <w:rFonts w:hint="eastAsia" w:hAnsi="宋体"/>
          <w:color w:val="auto"/>
          <w:sz w:val="22"/>
          <w:szCs w:val="22"/>
          <w:highlight w:val="none"/>
        </w:rPr>
        <w:t>指被发包人接受且具有相应资格，并与承包人签订了分包合同，依法分包合同工程某一部分的当事人，以及取得该当事人资格的合法继承人。</w:t>
      </w:r>
    </w:p>
    <w:p w14:paraId="2B918E0F">
      <w:pPr>
        <w:pStyle w:val="22"/>
        <w:tabs>
          <w:tab w:val="left" w:pos="1980"/>
          <w:tab w:val="left" w:pos="216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1.13  第三方：</w:t>
      </w:r>
      <w:r>
        <w:rPr>
          <w:rFonts w:hint="eastAsia" w:hAnsi="宋体"/>
          <w:color w:val="auto"/>
          <w:sz w:val="22"/>
          <w:szCs w:val="22"/>
          <w:highlight w:val="none"/>
        </w:rPr>
        <w:t>除合同双方当事人(含双方雇员及代表其工作的人员)以外的任何他人或组织。</w:t>
      </w:r>
    </w:p>
    <w:p w14:paraId="2C795253">
      <w:pPr>
        <w:pStyle w:val="22"/>
        <w:tabs>
          <w:tab w:val="left" w:pos="1980"/>
          <w:tab w:val="left" w:pos="2160"/>
        </w:tabs>
        <w:spacing w:before="192" w:beforeLines="80" w:line="420" w:lineRule="exact"/>
        <w:ind w:left="1618" w:leftChars="770" w:hanging="1"/>
        <w:rPr>
          <w:rFonts w:hAnsi="宋体"/>
          <w:color w:val="auto"/>
          <w:sz w:val="22"/>
          <w:szCs w:val="22"/>
          <w:highlight w:val="none"/>
        </w:rPr>
      </w:pPr>
      <w:r>
        <w:rPr>
          <w:rFonts w:hint="eastAsia" w:hAnsi="宋体"/>
          <w:b/>
          <w:bCs/>
          <w:color w:val="auto"/>
          <w:sz w:val="22"/>
          <w:szCs w:val="22"/>
          <w:highlight w:val="none"/>
        </w:rPr>
        <w:t>1.14  设计人：</w:t>
      </w:r>
      <w:r>
        <w:rPr>
          <w:rFonts w:hint="eastAsia" w:hAnsi="宋体"/>
          <w:color w:val="auto"/>
          <w:sz w:val="22"/>
          <w:szCs w:val="22"/>
          <w:highlight w:val="none"/>
        </w:rPr>
        <w:t>指受发包人委托的，负责合同工程的工程设计专业技术且具有相应工程设计资质的当事人，以及取得该当事人资格的合法继承人。</w:t>
      </w:r>
    </w:p>
    <w:p w14:paraId="6F1CEB8A">
      <w:pPr>
        <w:pStyle w:val="22"/>
        <w:tabs>
          <w:tab w:val="left" w:pos="1980"/>
          <w:tab w:val="left" w:pos="2160"/>
        </w:tabs>
        <w:spacing w:before="192" w:beforeLines="80" w:line="420" w:lineRule="exact"/>
        <w:ind w:left="1618" w:leftChars="770" w:hanging="1"/>
        <w:rPr>
          <w:rFonts w:hAnsi="宋体"/>
          <w:color w:val="auto"/>
          <w:sz w:val="22"/>
          <w:szCs w:val="22"/>
          <w:highlight w:val="none"/>
        </w:rPr>
      </w:pPr>
      <w:r>
        <w:rPr>
          <w:rFonts w:hint="eastAsia" w:hAnsi="宋体"/>
          <w:b/>
          <w:bCs/>
          <w:color w:val="auto"/>
          <w:sz w:val="22"/>
          <w:szCs w:val="22"/>
          <w:highlight w:val="none"/>
        </w:rPr>
        <w:t>1.15  监理人：</w:t>
      </w:r>
      <w:r>
        <w:rPr>
          <w:rFonts w:hint="eastAsia" w:hAnsi="宋体"/>
          <w:color w:val="auto"/>
          <w:sz w:val="22"/>
          <w:szCs w:val="22"/>
          <w:highlight w:val="none"/>
        </w:rPr>
        <w:t>指受发包人委托的，负责合同工程的工程监理专业技术且具有相应工程监理资质的当事人，以及取得该当事人资格的合法继承人。</w:t>
      </w:r>
    </w:p>
    <w:p w14:paraId="17C52567">
      <w:pPr>
        <w:pStyle w:val="22"/>
        <w:tabs>
          <w:tab w:val="left" w:pos="1980"/>
          <w:tab w:val="left" w:pos="2160"/>
        </w:tabs>
        <w:spacing w:before="192" w:beforeLines="80" w:line="420" w:lineRule="exact"/>
        <w:ind w:left="1618" w:leftChars="770" w:hanging="1"/>
        <w:rPr>
          <w:rFonts w:hAnsi="宋体"/>
          <w:color w:val="auto"/>
          <w:sz w:val="22"/>
          <w:szCs w:val="22"/>
          <w:highlight w:val="none"/>
        </w:rPr>
      </w:pPr>
      <w:r>
        <w:rPr>
          <w:rFonts w:hint="eastAsia" w:hAnsi="宋体"/>
          <w:b/>
          <w:bCs/>
          <w:color w:val="auto"/>
          <w:sz w:val="22"/>
          <w:szCs w:val="22"/>
          <w:highlight w:val="none"/>
        </w:rPr>
        <w:t>1.16  工程造价咨询人：</w:t>
      </w:r>
      <w:r>
        <w:rPr>
          <w:rFonts w:hint="eastAsia" w:hAnsi="宋体"/>
          <w:color w:val="auto"/>
          <w:sz w:val="22"/>
          <w:szCs w:val="22"/>
          <w:highlight w:val="none"/>
        </w:rPr>
        <w:t>指受发包人委托的，负责合同工程的工程造价专业技术且具有相应工程造价咨询资质的当事人，以及取得该当事人资格的合法继承人。</w:t>
      </w:r>
    </w:p>
    <w:p w14:paraId="65F15F97">
      <w:pPr>
        <w:pStyle w:val="22"/>
        <w:tabs>
          <w:tab w:val="left" w:pos="1980"/>
          <w:tab w:val="left" w:pos="2160"/>
          <w:tab w:val="left" w:pos="252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1.17  工程造价管理机构：</w:t>
      </w:r>
      <w:r>
        <w:rPr>
          <w:rFonts w:hint="eastAsia" w:hAnsi="宋体"/>
          <w:color w:val="auto"/>
          <w:sz w:val="22"/>
          <w:szCs w:val="22"/>
          <w:highlight w:val="none"/>
        </w:rPr>
        <w:t>指国务院有关部门、县级以上人民政府建设行政主管部门或受其委托的工程造价管理机构。</w:t>
      </w:r>
    </w:p>
    <w:p w14:paraId="22605CB2">
      <w:pPr>
        <w:pStyle w:val="22"/>
        <w:tabs>
          <w:tab w:val="left" w:pos="1980"/>
          <w:tab w:val="left" w:pos="2160"/>
          <w:tab w:val="left" w:pos="2520"/>
        </w:tabs>
        <w:spacing w:before="192" w:beforeLines="80" w:line="420" w:lineRule="exact"/>
        <w:ind w:left="1618" w:leftChars="770" w:hanging="1"/>
        <w:rPr>
          <w:rFonts w:hAnsi="宋体"/>
          <w:color w:val="auto"/>
          <w:sz w:val="22"/>
          <w:szCs w:val="22"/>
          <w:highlight w:val="none"/>
        </w:rPr>
      </w:pPr>
      <w:r>
        <w:rPr>
          <w:rFonts w:hint="eastAsia" w:hAnsi="宋体"/>
          <w:b/>
          <w:bCs/>
          <w:color w:val="auto"/>
          <w:sz w:val="22"/>
          <w:szCs w:val="22"/>
          <w:highlight w:val="none"/>
        </w:rPr>
        <w:t>1.18  发包人代表：</w:t>
      </w:r>
      <w:r>
        <w:rPr>
          <w:rFonts w:hint="eastAsia" w:hAnsi="宋体"/>
          <w:color w:val="auto"/>
          <w:sz w:val="22"/>
          <w:szCs w:val="22"/>
          <w:highlight w:val="none"/>
        </w:rPr>
        <w:t>指发包人指定的，履行本合同的全权代表。发包人代表由发包人依据第22.1款规定任命并书面通知承包人。</w:t>
      </w:r>
    </w:p>
    <w:p w14:paraId="06B7F6B7">
      <w:pPr>
        <w:pStyle w:val="22"/>
        <w:tabs>
          <w:tab w:val="left" w:pos="1260"/>
          <w:tab w:val="left" w:pos="1980"/>
          <w:tab w:val="left" w:pos="2160"/>
        </w:tabs>
        <w:spacing w:before="192" w:beforeLines="80" w:line="420" w:lineRule="exact"/>
        <w:ind w:left="1618" w:leftChars="770" w:hanging="1"/>
        <w:rPr>
          <w:rFonts w:hAnsi="宋体"/>
          <w:color w:val="auto"/>
          <w:sz w:val="22"/>
          <w:szCs w:val="22"/>
          <w:highlight w:val="none"/>
        </w:rPr>
      </w:pPr>
      <w:r>
        <w:rPr>
          <w:rFonts w:hint="eastAsia" w:hAnsi="宋体"/>
          <w:b/>
          <w:bCs/>
          <w:color w:val="auto"/>
          <w:sz w:val="22"/>
          <w:szCs w:val="22"/>
          <w:highlight w:val="none"/>
        </w:rPr>
        <w:t>1.19  监理工程师：</w:t>
      </w:r>
      <w:r>
        <w:rPr>
          <w:rFonts w:hint="eastAsia" w:hAnsi="宋体"/>
          <w:color w:val="auto"/>
          <w:sz w:val="22"/>
          <w:szCs w:val="22"/>
          <w:highlight w:val="none"/>
        </w:rPr>
        <w:t>指监理人委派常驻施工现场负责合同工程的工程监理专业技术的专业人员。监理工程师由监理人提名，经发包人依据第23.1款规定任命并书面通知承包人。</w:t>
      </w:r>
    </w:p>
    <w:p w14:paraId="574578EA">
      <w:pPr>
        <w:pStyle w:val="22"/>
        <w:tabs>
          <w:tab w:val="left" w:pos="1980"/>
          <w:tab w:val="left" w:pos="2160"/>
        </w:tabs>
        <w:spacing w:before="192" w:beforeLines="80" w:line="420" w:lineRule="exact"/>
        <w:ind w:left="1618" w:leftChars="770" w:hanging="1"/>
        <w:rPr>
          <w:rFonts w:hAnsi="宋体"/>
          <w:color w:val="auto"/>
          <w:sz w:val="22"/>
          <w:szCs w:val="22"/>
          <w:highlight w:val="none"/>
        </w:rPr>
      </w:pPr>
      <w:r>
        <w:rPr>
          <w:rFonts w:hint="eastAsia" w:hAnsi="宋体"/>
          <w:b/>
          <w:bCs/>
          <w:color w:val="auto"/>
          <w:sz w:val="22"/>
          <w:szCs w:val="22"/>
          <w:highlight w:val="none"/>
        </w:rPr>
        <w:t>1.20  造价工程师：</w:t>
      </w:r>
      <w:r>
        <w:rPr>
          <w:rFonts w:hint="eastAsia" w:hAnsi="宋体"/>
          <w:color w:val="auto"/>
          <w:sz w:val="22"/>
          <w:szCs w:val="22"/>
          <w:highlight w:val="none"/>
        </w:rPr>
        <w:t>指工程造价咨询人或监理人委派常驻施工现场负责合同工程的工程造价专业技术的专业人员。造价工程师由工程造价咨询人或监理人提名，经发包人依据第24.1款规定任命并书面通知承包人。</w:t>
      </w:r>
    </w:p>
    <w:p w14:paraId="0BF80450">
      <w:pPr>
        <w:pStyle w:val="22"/>
        <w:tabs>
          <w:tab w:val="left" w:pos="1620"/>
          <w:tab w:val="left" w:pos="1980"/>
        </w:tabs>
        <w:spacing w:before="192" w:beforeLines="80" w:line="420" w:lineRule="exact"/>
        <w:ind w:left="1620" w:leftChars="771" w:hanging="1"/>
        <w:jc w:val="left"/>
        <w:rPr>
          <w:rFonts w:hAnsi="宋体"/>
          <w:color w:val="auto"/>
          <w:sz w:val="22"/>
          <w:szCs w:val="22"/>
          <w:highlight w:val="none"/>
        </w:rPr>
      </w:pPr>
      <w:r>
        <w:rPr>
          <w:rFonts w:hint="eastAsia" w:hAnsi="宋体"/>
          <w:b/>
          <w:bCs/>
          <w:color w:val="auto"/>
          <w:sz w:val="22"/>
          <w:szCs w:val="22"/>
          <w:highlight w:val="none"/>
        </w:rPr>
        <w:t>1.21  承包人代表：</w:t>
      </w:r>
      <w:r>
        <w:rPr>
          <w:rFonts w:hint="eastAsia" w:hAnsi="宋体"/>
          <w:color w:val="auto"/>
          <w:sz w:val="22"/>
          <w:szCs w:val="22"/>
          <w:highlight w:val="none"/>
        </w:rPr>
        <w:t>指承包人指定的，履行本合同和负责合同工程施工现场管理的全权代表。承包人代表由承包人依据第25.1款规定任命并书面通知发包人。</w:t>
      </w:r>
    </w:p>
    <w:p w14:paraId="6A270729">
      <w:pPr>
        <w:pStyle w:val="22"/>
        <w:tabs>
          <w:tab w:val="left" w:pos="216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1.22  合同工期：</w:t>
      </w:r>
      <w:r>
        <w:rPr>
          <w:rFonts w:hint="eastAsia" w:hAnsi="宋体"/>
          <w:color w:val="auto"/>
          <w:sz w:val="22"/>
          <w:szCs w:val="22"/>
          <w:highlight w:val="none"/>
        </w:rPr>
        <w:t>指合同双方当事人在协议书中约定，按照总日历天数（包括法定节假日）计算的从开始实施到完成合同工程的天数。</w:t>
      </w:r>
    </w:p>
    <w:p w14:paraId="3BBC2C51">
      <w:pPr>
        <w:pStyle w:val="22"/>
        <w:tabs>
          <w:tab w:val="left" w:pos="2160"/>
        </w:tabs>
        <w:spacing w:before="192" w:beforeLines="80" w:line="420" w:lineRule="exact"/>
        <w:ind w:left="1620" w:leftChars="771" w:hanging="1"/>
        <w:jc w:val="left"/>
        <w:rPr>
          <w:rFonts w:hAnsi="宋体"/>
          <w:color w:val="auto"/>
          <w:sz w:val="22"/>
          <w:szCs w:val="22"/>
          <w:highlight w:val="none"/>
        </w:rPr>
      </w:pPr>
      <w:r>
        <w:rPr>
          <w:rFonts w:hint="eastAsia" w:hAnsi="宋体"/>
          <w:b/>
          <w:bCs/>
          <w:color w:val="auto"/>
          <w:sz w:val="22"/>
          <w:szCs w:val="22"/>
          <w:highlight w:val="none"/>
        </w:rPr>
        <w:t>1.23  开工日期：</w:t>
      </w:r>
      <w:r>
        <w:rPr>
          <w:rFonts w:hint="eastAsia" w:hAnsi="宋体"/>
          <w:color w:val="auto"/>
          <w:sz w:val="22"/>
          <w:szCs w:val="22"/>
          <w:highlight w:val="none"/>
        </w:rPr>
        <w:t>指根据第34条规定，监理工程师在开工令中写明的、承包人按照合同约定最迟在该日期开工的日期。</w:t>
      </w:r>
    </w:p>
    <w:p w14:paraId="4E9F3EC5">
      <w:pPr>
        <w:pStyle w:val="22"/>
        <w:tabs>
          <w:tab w:val="left" w:pos="198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1.24  计划竣工日期：</w:t>
      </w:r>
      <w:r>
        <w:rPr>
          <w:rFonts w:hint="eastAsia" w:hAnsi="宋体"/>
          <w:color w:val="auto"/>
          <w:sz w:val="22"/>
          <w:szCs w:val="22"/>
          <w:highlight w:val="none"/>
        </w:rPr>
        <w:t>指自开工日期起根据合同约定要求承包人完成合同工程并竣工的全部时间（包括根据第36条和第37.2款规定所做的调整）。</w:t>
      </w:r>
    </w:p>
    <w:p w14:paraId="10C5775B">
      <w:pPr>
        <w:pStyle w:val="22"/>
        <w:tabs>
          <w:tab w:val="left" w:pos="1980"/>
          <w:tab w:val="left" w:pos="216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1.25  实际竣工日期：</w:t>
      </w:r>
      <w:r>
        <w:rPr>
          <w:rFonts w:hint="eastAsia" w:hAnsi="宋体"/>
          <w:color w:val="auto"/>
          <w:sz w:val="22"/>
          <w:szCs w:val="22"/>
          <w:highlight w:val="none"/>
        </w:rPr>
        <w:t>指承包人实际完成合同工程或某单位工程后，由发包人按照第58条规定组织竣工验收、接收工程并颁发工程接收证书的日期。实际竣工日期，按照第38.2款规定确定。</w:t>
      </w:r>
    </w:p>
    <w:p w14:paraId="3D5840E9">
      <w:pPr>
        <w:pStyle w:val="22"/>
        <w:tabs>
          <w:tab w:val="left" w:pos="1980"/>
          <w:tab w:val="left" w:pos="216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1.26  缺陷责任期：</w:t>
      </w:r>
      <w:r>
        <w:rPr>
          <w:rFonts w:hint="eastAsia" w:hAnsi="宋体"/>
          <w:color w:val="auto"/>
          <w:sz w:val="22"/>
          <w:szCs w:val="22"/>
          <w:highlight w:val="none"/>
        </w:rPr>
        <w:t>指履行第59.3款规定的缺陷责任的期限。具体期限在专用条款中约定，包括第59.2款规定的延长期限。</w:t>
      </w:r>
    </w:p>
    <w:p w14:paraId="0567FC74">
      <w:pPr>
        <w:pStyle w:val="22"/>
        <w:tabs>
          <w:tab w:val="left" w:pos="1980"/>
          <w:tab w:val="left" w:pos="216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1.27  基准日期：</w:t>
      </w:r>
      <w:r>
        <w:rPr>
          <w:rFonts w:hint="eastAsia" w:hAnsi="宋体"/>
          <w:color w:val="auto"/>
          <w:sz w:val="22"/>
          <w:szCs w:val="22"/>
          <w:highlight w:val="none"/>
        </w:rPr>
        <w:t>指招标工程递交投标文件截止日期前28天的日期；非招标工程订立合同前28天的日期。</w:t>
      </w:r>
    </w:p>
    <w:p w14:paraId="712E5AE2">
      <w:pPr>
        <w:pStyle w:val="22"/>
        <w:tabs>
          <w:tab w:val="left" w:pos="2160"/>
        </w:tabs>
        <w:spacing w:before="192" w:beforeLines="80" w:line="420" w:lineRule="exact"/>
        <w:ind w:left="1573" w:leftChars="749"/>
        <w:rPr>
          <w:rFonts w:hAnsi="宋体"/>
          <w:color w:val="auto"/>
          <w:sz w:val="22"/>
          <w:szCs w:val="22"/>
          <w:highlight w:val="none"/>
        </w:rPr>
      </w:pPr>
      <w:r>
        <w:rPr>
          <w:rFonts w:hint="eastAsia" w:hAnsi="宋体"/>
          <w:b/>
          <w:bCs/>
          <w:color w:val="auto"/>
          <w:sz w:val="22"/>
          <w:szCs w:val="22"/>
          <w:highlight w:val="none"/>
        </w:rPr>
        <w:t>1.28  小时或天：</w:t>
      </w:r>
      <w:r>
        <w:rPr>
          <w:rFonts w:hint="eastAsia" w:hAnsi="宋体"/>
          <w:color w:val="auto"/>
          <w:sz w:val="22"/>
          <w:szCs w:val="22"/>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14:paraId="09AFF5AC">
      <w:pPr>
        <w:pStyle w:val="22"/>
        <w:tabs>
          <w:tab w:val="left" w:pos="900"/>
          <w:tab w:val="left" w:pos="2160"/>
        </w:tabs>
        <w:spacing w:before="192" w:beforeLines="80" w:line="420" w:lineRule="exact"/>
        <w:ind w:left="1576" w:leftChars="750" w:hanging="1"/>
        <w:rPr>
          <w:rFonts w:hAnsi="宋体"/>
          <w:color w:val="auto"/>
          <w:sz w:val="22"/>
          <w:szCs w:val="22"/>
          <w:highlight w:val="none"/>
        </w:rPr>
      </w:pPr>
      <w:r>
        <w:rPr>
          <w:rFonts w:hint="eastAsia" w:hAnsi="宋体"/>
          <w:b/>
          <w:bCs/>
          <w:color w:val="auto"/>
          <w:sz w:val="22"/>
          <w:szCs w:val="22"/>
          <w:highlight w:val="none"/>
        </w:rPr>
        <w:t>1.29  中标价格：</w:t>
      </w:r>
      <w:r>
        <w:rPr>
          <w:rFonts w:hint="eastAsia" w:hAnsi="宋体"/>
          <w:color w:val="auto"/>
          <w:sz w:val="22"/>
          <w:szCs w:val="22"/>
          <w:highlight w:val="none"/>
        </w:rPr>
        <w:t>指中标通知书中列明的，发包人接受中标人（承包人）实施、完成并保修合同工程的价格。</w:t>
      </w:r>
    </w:p>
    <w:p w14:paraId="7FCFAECD">
      <w:pPr>
        <w:pStyle w:val="22"/>
        <w:tabs>
          <w:tab w:val="left" w:pos="216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1.30  合同价款：</w:t>
      </w:r>
      <w:r>
        <w:rPr>
          <w:rFonts w:hint="eastAsia" w:hAnsi="宋体"/>
          <w:color w:val="auto"/>
          <w:sz w:val="22"/>
          <w:szCs w:val="22"/>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68.2款规定合同价款调整事件确定。</w:t>
      </w:r>
    </w:p>
    <w:p w14:paraId="0CB714D3">
      <w:pPr>
        <w:pStyle w:val="22"/>
        <w:tabs>
          <w:tab w:val="left" w:pos="216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1.31  费用：</w:t>
      </w:r>
      <w:r>
        <w:rPr>
          <w:rFonts w:hint="eastAsia" w:hAnsi="宋体"/>
          <w:color w:val="auto"/>
          <w:sz w:val="22"/>
          <w:szCs w:val="22"/>
          <w:highlight w:val="none"/>
        </w:rPr>
        <w:t>指为履行合同所发生或将发生的所有合理开支，包括管理费和其他合理分摊的开支，但不包括利润。</w:t>
      </w:r>
    </w:p>
    <w:p w14:paraId="3EB23270">
      <w:pPr>
        <w:pStyle w:val="22"/>
        <w:tabs>
          <w:tab w:val="left" w:pos="1980"/>
          <w:tab w:val="left" w:pos="2160"/>
        </w:tabs>
        <w:spacing w:before="240" w:beforeLines="100" w:line="420" w:lineRule="exact"/>
        <w:ind w:left="1620" w:leftChars="771" w:hanging="1"/>
        <w:jc w:val="left"/>
        <w:rPr>
          <w:rFonts w:hAnsi="宋体"/>
          <w:color w:val="auto"/>
          <w:sz w:val="22"/>
          <w:szCs w:val="22"/>
          <w:highlight w:val="none"/>
        </w:rPr>
      </w:pPr>
      <w:r>
        <w:rPr>
          <w:rFonts w:hint="eastAsia" w:hAnsi="宋体"/>
          <w:b/>
          <w:bCs/>
          <w:color w:val="auto"/>
          <w:sz w:val="22"/>
          <w:szCs w:val="22"/>
          <w:highlight w:val="none"/>
        </w:rPr>
        <w:t>1.32  分部分项工程费：</w:t>
      </w:r>
      <w:r>
        <w:rPr>
          <w:rFonts w:hint="eastAsia" w:hAnsi="宋体"/>
          <w:color w:val="auto"/>
          <w:sz w:val="22"/>
          <w:szCs w:val="22"/>
          <w:highlight w:val="none"/>
        </w:rPr>
        <w:t>指为实施、完成并保修永久工程，发生于工程实体项目所需的人工费、材料费、机械使用费、管理费、利润和风险费用。</w:t>
      </w:r>
    </w:p>
    <w:p w14:paraId="521AD5B4">
      <w:pPr>
        <w:pStyle w:val="22"/>
        <w:tabs>
          <w:tab w:val="left" w:pos="2160"/>
        </w:tabs>
        <w:spacing w:before="240" w:beforeLines="100" w:line="420" w:lineRule="exact"/>
        <w:ind w:left="1618" w:leftChars="770" w:hanging="1"/>
        <w:jc w:val="left"/>
        <w:rPr>
          <w:rFonts w:hAnsi="宋体"/>
          <w:color w:val="auto"/>
          <w:sz w:val="22"/>
          <w:szCs w:val="22"/>
          <w:highlight w:val="none"/>
        </w:rPr>
      </w:pPr>
      <w:r>
        <w:rPr>
          <w:rFonts w:hint="eastAsia" w:hAnsi="宋体"/>
          <w:b/>
          <w:bCs/>
          <w:color w:val="auto"/>
          <w:sz w:val="22"/>
          <w:szCs w:val="22"/>
          <w:highlight w:val="none"/>
        </w:rPr>
        <w:t>1.33  措施项目费：</w:t>
      </w:r>
      <w:r>
        <w:rPr>
          <w:rFonts w:hint="eastAsia" w:hAnsi="宋体"/>
          <w:color w:val="auto"/>
          <w:sz w:val="22"/>
          <w:szCs w:val="22"/>
          <w:highlight w:val="none"/>
        </w:rPr>
        <w:t>指为实施、完成并保修合同工程，发生于合同工程施工准备和施工过程中的技术、生活、安全、环境保护等方面的非工程实体项目费用。</w:t>
      </w:r>
    </w:p>
    <w:p w14:paraId="7F13187C">
      <w:pPr>
        <w:pStyle w:val="22"/>
        <w:tabs>
          <w:tab w:val="left" w:pos="2160"/>
        </w:tabs>
        <w:spacing w:before="240" w:beforeLines="100" w:line="420" w:lineRule="exact"/>
        <w:ind w:left="1620" w:leftChars="771" w:hanging="1"/>
        <w:jc w:val="left"/>
        <w:rPr>
          <w:rFonts w:hAnsi="宋体"/>
          <w:color w:val="auto"/>
          <w:sz w:val="22"/>
          <w:szCs w:val="22"/>
          <w:highlight w:val="none"/>
        </w:rPr>
      </w:pPr>
      <w:r>
        <w:rPr>
          <w:rFonts w:hint="eastAsia" w:hAnsi="宋体"/>
          <w:b/>
          <w:bCs/>
          <w:color w:val="auto"/>
          <w:sz w:val="22"/>
          <w:szCs w:val="22"/>
          <w:highlight w:val="none"/>
        </w:rPr>
        <w:t>1.34  工程款：</w:t>
      </w:r>
      <w:r>
        <w:rPr>
          <w:rFonts w:hint="eastAsia" w:hAnsi="宋体"/>
          <w:color w:val="auto"/>
          <w:sz w:val="22"/>
          <w:szCs w:val="22"/>
          <w:highlight w:val="none"/>
        </w:rPr>
        <w:t>指为实施、完成并保修合同工程，发包人支付或应当支付给承包人的各种价款，包括进度款、结算款等。</w:t>
      </w:r>
    </w:p>
    <w:p w14:paraId="42560E96">
      <w:pPr>
        <w:pStyle w:val="22"/>
        <w:tabs>
          <w:tab w:val="left" w:pos="2160"/>
        </w:tabs>
        <w:spacing w:before="240" w:beforeLines="100" w:line="420" w:lineRule="exact"/>
        <w:ind w:left="1576" w:leftChars="750" w:hanging="1"/>
        <w:jc w:val="left"/>
        <w:rPr>
          <w:rFonts w:hAnsi="宋体"/>
          <w:color w:val="auto"/>
          <w:sz w:val="22"/>
          <w:szCs w:val="22"/>
          <w:highlight w:val="none"/>
        </w:rPr>
      </w:pPr>
      <w:r>
        <w:rPr>
          <w:rFonts w:hint="eastAsia" w:hAnsi="宋体"/>
          <w:b/>
          <w:bCs/>
          <w:color w:val="auto"/>
          <w:sz w:val="22"/>
          <w:szCs w:val="22"/>
          <w:highlight w:val="none"/>
        </w:rPr>
        <w:t>1.35  暂列金额：</w:t>
      </w:r>
      <w:r>
        <w:rPr>
          <w:rFonts w:hint="eastAsia" w:hAnsi="宋体"/>
          <w:color w:val="auto"/>
          <w:sz w:val="22"/>
          <w:szCs w:val="22"/>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75AFF6C9">
      <w:pPr>
        <w:pStyle w:val="22"/>
        <w:tabs>
          <w:tab w:val="left" w:pos="2160"/>
        </w:tabs>
        <w:spacing w:before="240" w:beforeLines="100" w:line="420" w:lineRule="exact"/>
        <w:ind w:left="1576" w:leftChars="750" w:hanging="1"/>
        <w:jc w:val="left"/>
        <w:rPr>
          <w:rFonts w:hAnsi="宋体"/>
          <w:color w:val="auto"/>
          <w:sz w:val="22"/>
          <w:szCs w:val="22"/>
          <w:highlight w:val="none"/>
        </w:rPr>
      </w:pPr>
      <w:r>
        <w:rPr>
          <w:rFonts w:hint="eastAsia" w:hAnsi="宋体"/>
          <w:b/>
          <w:bCs/>
          <w:color w:val="auto"/>
          <w:sz w:val="22"/>
          <w:szCs w:val="22"/>
          <w:highlight w:val="none"/>
        </w:rPr>
        <w:t>1.36  暂估价：</w:t>
      </w:r>
      <w:r>
        <w:rPr>
          <w:rFonts w:hint="eastAsia" w:hAnsi="宋体"/>
          <w:color w:val="auto"/>
          <w:sz w:val="22"/>
          <w:szCs w:val="22"/>
          <w:highlight w:val="none"/>
        </w:rPr>
        <w:t>指发包人在工程量清单中提供的用于支付必然发生但暂时不能确定价格的材料、工程设备以及专业工程的金额。</w:t>
      </w:r>
    </w:p>
    <w:p w14:paraId="712876A9">
      <w:pPr>
        <w:pStyle w:val="22"/>
        <w:tabs>
          <w:tab w:val="left" w:pos="2160"/>
        </w:tabs>
        <w:spacing w:before="240" w:beforeLines="100" w:line="420" w:lineRule="exact"/>
        <w:ind w:left="1620" w:leftChars="771" w:hanging="1"/>
        <w:jc w:val="left"/>
        <w:rPr>
          <w:rFonts w:hAnsi="宋体"/>
          <w:color w:val="auto"/>
          <w:sz w:val="22"/>
          <w:szCs w:val="22"/>
          <w:highlight w:val="none"/>
        </w:rPr>
      </w:pPr>
      <w:r>
        <w:rPr>
          <w:rFonts w:hint="eastAsia" w:hAnsi="宋体"/>
          <w:b/>
          <w:bCs/>
          <w:color w:val="auto"/>
          <w:sz w:val="22"/>
          <w:szCs w:val="22"/>
          <w:highlight w:val="none"/>
        </w:rPr>
        <w:t>1.37  计日工：</w:t>
      </w:r>
      <w:r>
        <w:rPr>
          <w:rFonts w:hint="eastAsia" w:hAnsi="宋体"/>
          <w:color w:val="auto"/>
          <w:sz w:val="22"/>
          <w:szCs w:val="22"/>
          <w:highlight w:val="none"/>
        </w:rPr>
        <w:t>指在施工过程中，承包人完成发包人提出的施工设计图纸以外的零星项目或工作，按照合同中约定计价付款的一种计价方式。</w:t>
      </w:r>
    </w:p>
    <w:p w14:paraId="05E7A82E">
      <w:pPr>
        <w:pStyle w:val="22"/>
        <w:tabs>
          <w:tab w:val="left" w:pos="2160"/>
        </w:tabs>
        <w:spacing w:before="240" w:beforeLines="100" w:line="420" w:lineRule="exact"/>
        <w:ind w:left="1576" w:leftChars="750" w:hanging="1"/>
        <w:jc w:val="left"/>
        <w:rPr>
          <w:rFonts w:hAnsi="宋体"/>
          <w:color w:val="auto"/>
          <w:sz w:val="22"/>
          <w:szCs w:val="22"/>
          <w:highlight w:val="none"/>
        </w:rPr>
      </w:pPr>
      <w:r>
        <w:rPr>
          <w:rFonts w:hint="eastAsia" w:hAnsi="宋体"/>
          <w:b/>
          <w:bCs/>
          <w:color w:val="auto"/>
          <w:sz w:val="22"/>
          <w:szCs w:val="22"/>
          <w:highlight w:val="none"/>
        </w:rPr>
        <w:t>1.38  质量保证金：</w:t>
      </w:r>
      <w:r>
        <w:rPr>
          <w:rFonts w:hint="eastAsia" w:hAnsi="宋体"/>
          <w:color w:val="auto"/>
          <w:sz w:val="22"/>
          <w:szCs w:val="22"/>
          <w:highlight w:val="none"/>
        </w:rPr>
        <w:t>指按照第84条约定用于保证在缺陷责任期内履行缺陷修复义务的金额。</w:t>
      </w:r>
    </w:p>
    <w:p w14:paraId="0B9072EA">
      <w:pPr>
        <w:pStyle w:val="22"/>
        <w:tabs>
          <w:tab w:val="left" w:pos="2160"/>
        </w:tabs>
        <w:spacing w:before="240" w:beforeLines="100" w:line="420" w:lineRule="exact"/>
        <w:ind w:left="1576" w:hanging="1"/>
        <w:rPr>
          <w:rFonts w:hAnsi="宋体"/>
          <w:color w:val="auto"/>
          <w:sz w:val="22"/>
          <w:szCs w:val="22"/>
          <w:highlight w:val="none"/>
        </w:rPr>
      </w:pPr>
      <w:r>
        <w:rPr>
          <w:rFonts w:hint="eastAsia" w:hAnsi="宋体"/>
          <w:b/>
          <w:bCs/>
          <w:color w:val="auto"/>
          <w:sz w:val="22"/>
          <w:szCs w:val="22"/>
          <w:highlight w:val="none"/>
        </w:rPr>
        <w:t>1.39  合同工程：</w:t>
      </w:r>
      <w:r>
        <w:rPr>
          <w:rFonts w:hint="eastAsia" w:hAnsi="宋体"/>
          <w:color w:val="auto"/>
          <w:sz w:val="22"/>
          <w:szCs w:val="22"/>
          <w:highlight w:val="none"/>
        </w:rPr>
        <w:t>指合同双方当事人在协议书中约定的承包范围内的工程，包括永久工程和（或）临时工程。</w:t>
      </w:r>
    </w:p>
    <w:p w14:paraId="5AEC7AB0">
      <w:pPr>
        <w:pStyle w:val="22"/>
        <w:tabs>
          <w:tab w:val="left" w:pos="2160"/>
        </w:tabs>
        <w:spacing w:before="192" w:beforeLines="80" w:line="420" w:lineRule="exact"/>
        <w:ind w:left="1576" w:hanging="1"/>
        <w:rPr>
          <w:rFonts w:hAnsi="宋体"/>
          <w:color w:val="auto"/>
          <w:sz w:val="22"/>
          <w:szCs w:val="22"/>
          <w:highlight w:val="none"/>
        </w:rPr>
      </w:pPr>
      <w:r>
        <w:rPr>
          <w:rFonts w:hint="eastAsia" w:hAnsi="宋体"/>
          <w:b/>
          <w:bCs/>
          <w:color w:val="auto"/>
          <w:sz w:val="22"/>
          <w:szCs w:val="22"/>
          <w:highlight w:val="none"/>
        </w:rPr>
        <w:t>1.40  永久工程：</w:t>
      </w:r>
      <w:r>
        <w:rPr>
          <w:rFonts w:hint="eastAsia" w:hAnsi="宋体"/>
          <w:color w:val="auto"/>
          <w:sz w:val="22"/>
          <w:szCs w:val="22"/>
          <w:highlight w:val="none"/>
        </w:rPr>
        <w:t>指按照合同约定承包人应当实施、完成并移交给发包人的永久性工程，包括工程设备。</w:t>
      </w:r>
    </w:p>
    <w:p w14:paraId="38B4277E">
      <w:pPr>
        <w:pStyle w:val="22"/>
        <w:tabs>
          <w:tab w:val="left" w:pos="2160"/>
        </w:tabs>
        <w:spacing w:before="192" w:beforeLines="80" w:line="420" w:lineRule="exact"/>
        <w:ind w:left="1576" w:hanging="1"/>
        <w:rPr>
          <w:rFonts w:hAnsi="宋体"/>
          <w:color w:val="auto"/>
          <w:sz w:val="22"/>
          <w:szCs w:val="22"/>
          <w:highlight w:val="none"/>
        </w:rPr>
      </w:pPr>
      <w:r>
        <w:rPr>
          <w:rFonts w:hint="eastAsia" w:hAnsi="宋体"/>
          <w:b/>
          <w:bCs/>
          <w:color w:val="auto"/>
          <w:sz w:val="22"/>
          <w:szCs w:val="22"/>
          <w:highlight w:val="none"/>
        </w:rPr>
        <w:t>1.41  临时工程：</w:t>
      </w:r>
      <w:r>
        <w:rPr>
          <w:rFonts w:hint="eastAsia" w:hAnsi="宋体"/>
          <w:color w:val="auto"/>
          <w:sz w:val="22"/>
          <w:szCs w:val="22"/>
          <w:highlight w:val="none"/>
        </w:rPr>
        <w:t>指实施、完成并保修永久工程过程中所需要的各类临时性工程，不包括施工设备。</w:t>
      </w:r>
    </w:p>
    <w:p w14:paraId="2D0D1D99">
      <w:pPr>
        <w:pStyle w:val="22"/>
        <w:tabs>
          <w:tab w:val="left" w:pos="2160"/>
        </w:tabs>
        <w:spacing w:before="192" w:beforeLines="80" w:line="420" w:lineRule="exact"/>
        <w:ind w:left="1576" w:hanging="1"/>
        <w:rPr>
          <w:rFonts w:hAnsi="宋体"/>
          <w:color w:val="auto"/>
          <w:sz w:val="22"/>
          <w:szCs w:val="22"/>
          <w:highlight w:val="none"/>
        </w:rPr>
      </w:pPr>
      <w:r>
        <w:rPr>
          <w:rFonts w:hint="eastAsia" w:hAnsi="宋体"/>
          <w:b/>
          <w:bCs/>
          <w:color w:val="auto"/>
          <w:sz w:val="22"/>
          <w:szCs w:val="22"/>
          <w:highlight w:val="none"/>
        </w:rPr>
        <w:t>1.42  分包工程：</w:t>
      </w:r>
      <w:r>
        <w:rPr>
          <w:rFonts w:hint="eastAsia" w:hAnsi="宋体"/>
          <w:color w:val="auto"/>
          <w:sz w:val="22"/>
          <w:szCs w:val="22"/>
          <w:highlight w:val="none"/>
        </w:rPr>
        <w:t>指合同工程中，由具有相应分包资质的分包人实施、完成的非主体结构（除钢结构外）的专业性工程。</w:t>
      </w:r>
    </w:p>
    <w:p w14:paraId="135410B1">
      <w:pPr>
        <w:pStyle w:val="22"/>
        <w:tabs>
          <w:tab w:val="left" w:pos="216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1.43  单位工程：</w:t>
      </w:r>
      <w:r>
        <w:rPr>
          <w:rFonts w:hint="eastAsia" w:hAnsi="宋体"/>
          <w:color w:val="auto"/>
          <w:sz w:val="22"/>
          <w:szCs w:val="22"/>
          <w:highlight w:val="none"/>
        </w:rPr>
        <w:t>指具有独立的设计文件，竣工后可以独立发挥生产能力和效益的永久工程。组成合同工程的单位工程名称、内容和范围等应在专用条款中明确。</w:t>
      </w:r>
    </w:p>
    <w:p w14:paraId="5103FF4D">
      <w:pPr>
        <w:pStyle w:val="22"/>
        <w:tabs>
          <w:tab w:val="left" w:pos="216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1.44  施工场地（或工地 、现场）：</w:t>
      </w:r>
      <w:r>
        <w:rPr>
          <w:rFonts w:hint="eastAsia" w:hAnsi="宋体"/>
          <w:color w:val="auto"/>
          <w:sz w:val="22"/>
          <w:szCs w:val="22"/>
          <w:highlight w:val="none"/>
        </w:rPr>
        <w:t>指由发包人提供的用于合同工程施工的场所，以及发包人在合同中具体指定的供施工使用的其他任何场所。</w:t>
      </w:r>
    </w:p>
    <w:p w14:paraId="4101B8A6">
      <w:pPr>
        <w:pStyle w:val="22"/>
        <w:tabs>
          <w:tab w:val="left" w:pos="216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1.45  工程设备：</w:t>
      </w:r>
      <w:r>
        <w:rPr>
          <w:rFonts w:hint="eastAsia" w:hAnsi="宋体"/>
          <w:color w:val="auto"/>
          <w:sz w:val="22"/>
          <w:szCs w:val="22"/>
          <w:highlight w:val="none"/>
        </w:rPr>
        <w:t>指构成或计划构成永久工程一部分的机电设备、金属结构设备、仪器装置及其他类似的设备和装置。</w:t>
      </w:r>
    </w:p>
    <w:p w14:paraId="776164F8">
      <w:pPr>
        <w:pStyle w:val="22"/>
        <w:tabs>
          <w:tab w:val="left" w:pos="216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1.46  施工设备：</w:t>
      </w:r>
      <w:r>
        <w:rPr>
          <w:rFonts w:hint="eastAsia" w:hAnsi="宋体"/>
          <w:color w:val="auto"/>
          <w:sz w:val="22"/>
          <w:szCs w:val="22"/>
          <w:highlight w:val="none"/>
        </w:rPr>
        <w:t>指承包人临时带入现场用于合同工程施工的仪器、机械、运输工具或其他物品，但不包括用于或安装在合同工程中的工程设备。</w:t>
      </w:r>
    </w:p>
    <w:p w14:paraId="23075307">
      <w:pPr>
        <w:pStyle w:val="22"/>
        <w:tabs>
          <w:tab w:val="left" w:pos="2160"/>
        </w:tabs>
        <w:spacing w:before="192" w:beforeLines="80" w:line="420" w:lineRule="exact"/>
        <w:ind w:left="1576" w:leftChars="750" w:hanging="1"/>
        <w:jc w:val="left"/>
        <w:rPr>
          <w:rFonts w:hAnsi="宋体"/>
          <w:color w:val="auto"/>
          <w:sz w:val="22"/>
          <w:szCs w:val="22"/>
          <w:highlight w:val="none"/>
        </w:rPr>
      </w:pPr>
      <w:r>
        <w:rPr>
          <w:rFonts w:hint="eastAsia" w:hAnsi="宋体"/>
          <w:b/>
          <w:bCs/>
          <w:color w:val="auto"/>
          <w:sz w:val="22"/>
          <w:szCs w:val="22"/>
          <w:highlight w:val="none"/>
        </w:rPr>
        <w:t>1.47  工程变更：</w:t>
      </w:r>
      <w:r>
        <w:rPr>
          <w:rFonts w:hint="eastAsia" w:hAnsi="宋体"/>
          <w:color w:val="auto"/>
          <w:sz w:val="22"/>
          <w:szCs w:val="22"/>
          <w:highlight w:val="none"/>
        </w:rPr>
        <w:t>指经发包人批准的，由监理工程师根据第56条规定发出指令的工程任何变更。</w:t>
      </w:r>
    </w:p>
    <w:p w14:paraId="07E028D2">
      <w:pPr>
        <w:pStyle w:val="22"/>
        <w:tabs>
          <w:tab w:val="left" w:pos="216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1.48  索赔：</w:t>
      </w:r>
      <w:r>
        <w:rPr>
          <w:rFonts w:hint="eastAsia" w:hAnsi="宋体"/>
          <w:color w:val="auto"/>
          <w:sz w:val="22"/>
          <w:szCs w:val="22"/>
          <w:highlight w:val="none"/>
        </w:rPr>
        <w:t>指合同履行期间，对于非自己的过错而应由对方当事人承担责任的情况所造成的损失，并根据第36条和第74条规定向对方当事人提出费用补偿和（或）工期顺延的要求。</w:t>
      </w:r>
    </w:p>
    <w:p w14:paraId="7FAD0A1D">
      <w:pPr>
        <w:pStyle w:val="22"/>
        <w:tabs>
          <w:tab w:val="left" w:pos="2160"/>
        </w:tabs>
        <w:spacing w:before="192" w:beforeLines="80" w:line="420" w:lineRule="exact"/>
        <w:ind w:left="1575" w:leftChars="750" w:firstLine="95" w:firstLineChars="43"/>
        <w:rPr>
          <w:rFonts w:hAnsi="宋体"/>
          <w:color w:val="auto"/>
          <w:sz w:val="22"/>
          <w:szCs w:val="22"/>
          <w:highlight w:val="none"/>
        </w:rPr>
      </w:pPr>
      <w:r>
        <w:rPr>
          <w:rFonts w:hint="eastAsia" w:hAnsi="宋体"/>
          <w:b/>
          <w:bCs/>
          <w:color w:val="auto"/>
          <w:sz w:val="22"/>
          <w:szCs w:val="22"/>
          <w:highlight w:val="none"/>
        </w:rPr>
        <w:t>1.49  现场签证：</w:t>
      </w:r>
      <w:r>
        <w:rPr>
          <w:rFonts w:hint="eastAsia" w:hAnsi="宋体"/>
          <w:color w:val="auto"/>
          <w:sz w:val="22"/>
          <w:szCs w:val="22"/>
          <w:highlight w:val="none"/>
        </w:rPr>
        <w:t>指合同双方当事人按照第14.2款约定的指定人选根据第75条规定就施工过程中涉及的责任事件所作的签认证明。</w:t>
      </w:r>
    </w:p>
    <w:p w14:paraId="231FA1C9">
      <w:pPr>
        <w:pStyle w:val="22"/>
        <w:tabs>
          <w:tab w:val="left" w:pos="2160"/>
        </w:tabs>
        <w:spacing w:before="192" w:beforeLines="80" w:line="420" w:lineRule="exact"/>
        <w:ind w:firstLine="1449" w:firstLineChars="656"/>
        <w:rPr>
          <w:rFonts w:hAnsi="宋体"/>
          <w:color w:val="auto"/>
          <w:sz w:val="22"/>
          <w:szCs w:val="22"/>
          <w:highlight w:val="none"/>
        </w:rPr>
      </w:pPr>
      <w:r>
        <w:rPr>
          <w:rFonts w:hint="eastAsia" w:hAnsi="宋体"/>
          <w:b/>
          <w:bCs/>
          <w:color w:val="auto"/>
          <w:sz w:val="22"/>
          <w:szCs w:val="22"/>
          <w:highlight w:val="none"/>
        </w:rPr>
        <w:t>1.50  不可抗力：</w:t>
      </w:r>
      <w:r>
        <w:rPr>
          <w:rFonts w:hint="eastAsia" w:hAnsi="宋体"/>
          <w:color w:val="auto"/>
          <w:sz w:val="22"/>
          <w:szCs w:val="22"/>
          <w:highlight w:val="none"/>
        </w:rPr>
        <w:t>指不能预见、不能避免并不能克服的客观情况。</w:t>
      </w:r>
    </w:p>
    <w:p w14:paraId="155EB3B6">
      <w:pPr>
        <w:pStyle w:val="22"/>
        <w:tabs>
          <w:tab w:val="left" w:pos="2160"/>
        </w:tabs>
        <w:spacing w:before="192" w:beforeLines="80" w:line="420" w:lineRule="exact"/>
        <w:ind w:left="1576" w:hanging="1"/>
        <w:rPr>
          <w:rFonts w:hAnsi="宋体"/>
          <w:color w:val="auto"/>
          <w:sz w:val="22"/>
          <w:szCs w:val="22"/>
          <w:highlight w:val="none"/>
        </w:rPr>
      </w:pPr>
      <w:r>
        <w:rPr>
          <w:rFonts w:hint="eastAsia" w:hAnsi="宋体"/>
          <w:b/>
          <w:bCs/>
          <w:color w:val="auto"/>
          <w:sz w:val="22"/>
          <w:szCs w:val="22"/>
          <w:highlight w:val="none"/>
        </w:rPr>
        <w:t>1.51  竣工验收：</w:t>
      </w:r>
      <w:r>
        <w:rPr>
          <w:rFonts w:hint="eastAsia" w:hAnsi="宋体"/>
          <w:color w:val="auto"/>
          <w:sz w:val="22"/>
          <w:szCs w:val="22"/>
          <w:highlight w:val="none"/>
        </w:rPr>
        <w:t>指承包人完成了全部合同工作后，发包人按照合同要求进行的验收。</w:t>
      </w:r>
    </w:p>
    <w:p w14:paraId="3AAEA1C4">
      <w:pPr>
        <w:pStyle w:val="22"/>
        <w:tabs>
          <w:tab w:val="left" w:pos="2160"/>
        </w:tabs>
        <w:spacing w:before="192" w:beforeLines="80" w:line="420" w:lineRule="exact"/>
        <w:ind w:left="1576" w:hanging="1"/>
        <w:rPr>
          <w:rFonts w:hAnsi="宋体"/>
          <w:color w:val="auto"/>
          <w:sz w:val="22"/>
          <w:szCs w:val="22"/>
          <w:highlight w:val="none"/>
        </w:rPr>
      </w:pPr>
      <w:r>
        <w:rPr>
          <w:rFonts w:hint="eastAsia" w:hAnsi="宋体"/>
          <w:b/>
          <w:bCs/>
          <w:color w:val="auto"/>
          <w:sz w:val="22"/>
          <w:szCs w:val="22"/>
          <w:highlight w:val="none"/>
        </w:rPr>
        <w:t>1.52  国家验收：</w:t>
      </w:r>
      <w:r>
        <w:rPr>
          <w:rFonts w:hint="eastAsia" w:hAnsi="宋体"/>
          <w:color w:val="auto"/>
          <w:sz w:val="22"/>
          <w:szCs w:val="22"/>
          <w:highlight w:val="none"/>
        </w:rPr>
        <w:t>指政府部门根据法律和政策等有关规定，针对发包人全面组织实施的整个工程正式交付投运前的验收。</w:t>
      </w:r>
    </w:p>
    <w:p w14:paraId="2B26084E">
      <w:pPr>
        <w:pStyle w:val="22"/>
        <w:tabs>
          <w:tab w:val="left" w:pos="2160"/>
        </w:tabs>
        <w:spacing w:before="192" w:beforeLines="80" w:line="420" w:lineRule="exact"/>
        <w:ind w:left="1620" w:leftChars="771" w:hanging="1"/>
        <w:rPr>
          <w:rFonts w:hAnsi="宋体"/>
          <w:color w:val="auto"/>
          <w:sz w:val="22"/>
          <w:szCs w:val="22"/>
          <w:highlight w:val="none"/>
        </w:rPr>
      </w:pPr>
      <w:r>
        <w:rPr>
          <w:rFonts w:hint="eastAsia" w:hAnsi="宋体"/>
          <w:b/>
          <w:bCs/>
          <w:color w:val="auto"/>
          <w:sz w:val="22"/>
          <w:szCs w:val="22"/>
          <w:highlight w:val="none"/>
        </w:rPr>
        <w:t>1.53  书面形式：</w:t>
      </w:r>
      <w:r>
        <w:rPr>
          <w:rFonts w:hint="eastAsia" w:hAnsi="宋体"/>
          <w:color w:val="auto"/>
          <w:sz w:val="22"/>
          <w:szCs w:val="22"/>
          <w:highlight w:val="none"/>
        </w:rPr>
        <w:t>指合同文件、信函、电报、电传、传真、电子数据交换文件、电子邮件等可以有形地表现所载内容的形式。合同双方当事人可在专用条款中注明所采用的书面形式。</w:t>
      </w:r>
    </w:p>
    <w:p w14:paraId="1FFF8149">
      <w:pPr>
        <w:pStyle w:val="22"/>
        <w:tabs>
          <w:tab w:val="left" w:pos="2160"/>
        </w:tabs>
        <w:spacing w:before="192" w:beforeLines="80" w:line="420" w:lineRule="exact"/>
        <w:ind w:firstLine="1449" w:firstLineChars="656"/>
        <w:rPr>
          <w:rFonts w:hAnsi="宋体"/>
          <w:color w:val="auto"/>
          <w:sz w:val="22"/>
          <w:szCs w:val="22"/>
          <w:highlight w:val="none"/>
        </w:rPr>
      </w:pPr>
      <w:r>
        <w:rPr>
          <w:rFonts w:hint="eastAsia" w:hAnsi="宋体"/>
          <w:b/>
          <w:bCs/>
          <w:color w:val="auto"/>
          <w:sz w:val="22"/>
          <w:szCs w:val="22"/>
          <w:highlight w:val="none"/>
        </w:rPr>
        <w:t>1.54  国家：</w:t>
      </w:r>
      <w:r>
        <w:rPr>
          <w:rFonts w:hint="eastAsia" w:hAnsi="宋体"/>
          <w:color w:val="auto"/>
          <w:sz w:val="22"/>
          <w:szCs w:val="22"/>
          <w:highlight w:val="none"/>
        </w:rPr>
        <w:t>指中华人民共和国。</w:t>
      </w:r>
    </w:p>
    <w:p w14:paraId="7F51DD0A">
      <w:pPr>
        <w:tabs>
          <w:tab w:val="left" w:pos="16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r>
        <w:rPr>
          <w:rFonts w:hint="eastAsia" w:ascii="宋体" w:hAnsi="宋体" w:cs="宋体"/>
          <w:color w:val="auto"/>
          <w:sz w:val="22"/>
          <w:szCs w:val="22"/>
          <w:highlight w:val="none"/>
          <w:u w:val="single"/>
        </w:rPr>
        <w:t xml:space="preserve">                       </w:t>
      </w:r>
    </w:p>
    <w:p w14:paraId="73893B7C">
      <w:pPr>
        <w:pStyle w:val="4"/>
        <w:tabs>
          <w:tab w:val="left" w:pos="360"/>
          <w:tab w:val="left" w:pos="420"/>
        </w:tabs>
        <w:spacing w:line="420" w:lineRule="exact"/>
        <w:ind w:left="720" w:hanging="720"/>
        <w:rPr>
          <w:rFonts w:ascii="宋体" w:hAnsi="宋体" w:cs="宋体"/>
          <w:bCs w:val="0"/>
          <w:color w:val="auto"/>
          <w:sz w:val="22"/>
          <w:szCs w:val="22"/>
          <w:highlight w:val="none"/>
        </w:rPr>
      </w:pPr>
      <w:bookmarkStart w:id="166" w:name="_Toc11239"/>
      <w:bookmarkStart w:id="167" w:name="_Toc5829"/>
      <w:bookmarkStart w:id="168" w:name="_Toc469383981"/>
      <w:r>
        <w:rPr>
          <w:rFonts w:hint="eastAsia" w:ascii="宋体" w:hAnsi="宋体" w:cs="宋体"/>
          <w:bCs w:val="0"/>
          <w:color w:val="auto"/>
          <w:sz w:val="22"/>
          <w:szCs w:val="22"/>
          <w:highlight w:val="none"/>
        </w:rPr>
        <w:t>2  合同文件及解释</w:t>
      </w:r>
      <w:bookmarkEnd w:id="166"/>
      <w:bookmarkEnd w:id="167"/>
      <w:bookmarkEnd w:id="168"/>
    </w:p>
    <w:p w14:paraId="779B6204">
      <w:pPr>
        <w:pStyle w:val="22"/>
        <w:tabs>
          <w:tab w:val="left" w:pos="1202"/>
        </w:tabs>
        <w:spacing w:line="420" w:lineRule="exact"/>
        <w:rPr>
          <w:rFonts w:hAnsi="宋体"/>
          <w:b/>
          <w:bCs/>
          <w:color w:val="auto"/>
          <w:sz w:val="22"/>
          <w:szCs w:val="22"/>
          <w:highlight w:val="none"/>
        </w:rPr>
      </w:pPr>
      <w:r>
        <w:rPr>
          <w:rFonts w:hint="eastAsia" w:hAnsi="宋体"/>
          <w:b/>
          <w:bCs/>
          <w:color w:val="auto"/>
          <w:sz w:val="22"/>
          <w:szCs w:val="22"/>
          <w:highlight w:val="none"/>
        </w:rPr>
        <w:t xml:space="preserve">2.1                                                                                 </w:t>
      </w:r>
    </w:p>
    <w:p w14:paraId="48AF7732">
      <w:pPr>
        <w:pStyle w:val="22"/>
        <w:tabs>
          <w:tab w:val="left" w:pos="1202"/>
          <w:tab w:val="left" w:pos="1620"/>
          <w:tab w:val="left" w:pos="1800"/>
          <w:tab w:val="left" w:pos="2160"/>
        </w:tabs>
        <w:spacing w:line="420" w:lineRule="exact"/>
        <w:ind w:firstLine="1529" w:firstLineChars="695"/>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1" name="文本框 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a:effectLst/>
                      </wps:spPr>
                      <wps:txbx>
                        <w:txbxContent>
                          <w:p w14:paraId="0AF68D7F">
                            <w:pPr>
                              <w:rPr>
                                <w:rFonts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2"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ZYi2vVAAAACAEAAA8AAAAAAAAAAQAgAAAAIgAAAGRycy9k&#10;b3ducmV2LnhtbFBLAQIUABQAAAAIAIdO4kDNtyZuzAEAAJIDAAAOAAAAAAAAAAEAIAAAACQBAABk&#10;cnMvZTJvRG9jLnhtbFBLBQYAAAAABgAGAFkBAABiBQAAAAA=&#10;">
                <v:fill on="t" focussize="0,0"/>
                <v:stroke on="f"/>
                <v:imagedata o:title=""/>
                <o:lock v:ext="edit" aspectratio="f"/>
                <v:textbox>
                  <w:txbxContent>
                    <w:p w14:paraId="0AF68D7F">
                      <w:pPr>
                        <w:rPr>
                          <w:rFonts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hint="eastAsia" w:hAnsi="宋体"/>
          <w:b/>
          <w:bCs/>
          <w:color w:val="auto"/>
          <w:sz w:val="22"/>
          <w:szCs w:val="22"/>
          <w:highlight w:val="none"/>
        </w:rPr>
        <w:t xml:space="preserve">   </w:t>
      </w:r>
      <w:r>
        <w:rPr>
          <w:rFonts w:hint="eastAsia" w:hAnsi="宋体"/>
          <w:color w:val="auto"/>
          <w:sz w:val="22"/>
          <w:szCs w:val="22"/>
          <w:highlight w:val="none"/>
        </w:rPr>
        <w:t>本合同条款的标题和旁注不构成合同的组成部分。</w:t>
      </w:r>
    </w:p>
    <w:p w14:paraId="10420272">
      <w:pPr>
        <w:pStyle w:val="22"/>
        <w:tabs>
          <w:tab w:val="left" w:pos="1202"/>
        </w:tabs>
        <w:spacing w:line="420" w:lineRule="exact"/>
        <w:rPr>
          <w:rFonts w:hAnsi="宋体"/>
          <w:b/>
          <w:bCs/>
          <w:color w:val="auto"/>
          <w:sz w:val="22"/>
          <w:szCs w:val="22"/>
          <w:highlight w:val="none"/>
        </w:rPr>
      </w:pPr>
      <w:r>
        <w:rPr>
          <w:rFonts w:hint="eastAsia" w:hAnsi="宋体"/>
          <w:b/>
          <w:bCs/>
          <w:color w:val="auto"/>
          <w:sz w:val="22"/>
          <w:szCs w:val="22"/>
          <w:highlight w:val="none"/>
        </w:rPr>
        <w:t xml:space="preserve">★2.2  </w:t>
      </w:r>
      <w:r>
        <w:rPr>
          <w:rFonts w:hint="eastAsia" w:hAnsi="宋体"/>
          <w:b/>
          <w:bCs/>
          <w:color w:val="auto"/>
          <w:sz w:val="22"/>
          <w:szCs w:val="22"/>
          <w:highlight w:val="none"/>
          <w:u w:val="dotted"/>
        </w:rPr>
        <w:t xml:space="preserve">                                                                             </w:t>
      </w:r>
    </w:p>
    <w:p w14:paraId="6F88DD1E">
      <w:pPr>
        <w:pStyle w:val="22"/>
        <w:tabs>
          <w:tab w:val="left" w:pos="1320"/>
        </w:tabs>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2" name="文本框 3"/>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a:effectLst/>
                      </wps:spPr>
                      <wps:txbx>
                        <w:txbxContent>
                          <w:p w14:paraId="104D054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wrap="square" upright="1"/>
                    </wps:wsp>
                  </a:graphicData>
                </a:graphic>
              </wp:anchor>
            </w:drawing>
          </mc:Choice>
          <mc:Fallback>
            <w:pict>
              <v:shape id="文本框 3"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hAVO9YAAAAJAQAADwAAAAAAAAABACAAAAAiAAAAZHJzL2Rvd25yZXYueG1sUEsBAhQA&#10;FAAAAAgAh07iQIyY8tm7AQAAaQMAAA4AAAAAAAAAAQAgAAAAJQEAAGRycy9lMm9Eb2MueG1sUEsF&#10;BgAAAAAGAAYAWQEAAFIFAAAAAA==&#10;">
                <v:fill on="f" focussize="0,0"/>
                <v:stroke on="f"/>
                <v:imagedata o:title=""/>
                <o:lock v:ext="edit" aspectratio="f"/>
                <v:textbox>
                  <w:txbxContent>
                    <w:p w14:paraId="104D054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hAnsi="宋体"/>
          <w:color w:val="auto"/>
          <w:sz w:val="22"/>
          <w:szCs w:val="22"/>
          <w:highlight w:val="none"/>
        </w:rPr>
        <w:t>下列组成本合同的文件是一个合同整体，彼此应当能相互解释，互为说明。当出现相互矛盾时，组成本合同文件的优先解释顺序如下：</w:t>
      </w:r>
    </w:p>
    <w:p w14:paraId="0CF1B3DB">
      <w:pPr>
        <w:pStyle w:val="22"/>
        <w:numPr>
          <w:ilvl w:val="0"/>
          <w:numId w:val="3"/>
        </w:numPr>
        <w:tabs>
          <w:tab w:val="left" w:pos="1080"/>
        </w:tabs>
        <w:spacing w:line="420" w:lineRule="exact"/>
        <w:ind w:firstLine="540"/>
        <w:jc w:val="left"/>
        <w:rPr>
          <w:rFonts w:hAnsi="宋体"/>
          <w:color w:val="auto"/>
          <w:sz w:val="22"/>
          <w:szCs w:val="22"/>
          <w:highlight w:val="none"/>
        </w:rPr>
      </w:pPr>
      <w:r>
        <w:rPr>
          <w:rFonts w:hint="eastAsia" w:hAnsi="宋体"/>
          <w:color w:val="auto"/>
          <w:sz w:val="22"/>
          <w:szCs w:val="22"/>
          <w:highlight w:val="none"/>
        </w:rPr>
        <w:t>履行本合同的相关补充协议（含工程洽商记录、会议纪要、工程变更、现场签</w:t>
      </w:r>
    </w:p>
    <w:p w14:paraId="04C9AF1A">
      <w:pPr>
        <w:pStyle w:val="22"/>
        <w:spacing w:line="420" w:lineRule="exact"/>
        <w:ind w:left="1620"/>
        <w:jc w:val="left"/>
        <w:rPr>
          <w:rFonts w:hAnsi="宋体"/>
          <w:color w:val="auto"/>
          <w:sz w:val="22"/>
          <w:szCs w:val="22"/>
          <w:highlight w:val="none"/>
        </w:rPr>
      </w:pPr>
      <w:r>
        <w:rPr>
          <w:rFonts w:hint="eastAsia" w:hAnsi="宋体"/>
          <w:color w:val="auto"/>
          <w:sz w:val="22"/>
          <w:szCs w:val="22"/>
          <w:highlight w:val="none"/>
        </w:rPr>
        <w:t>证、等修正文件）；</w:t>
      </w:r>
    </w:p>
    <w:p w14:paraId="70C74574">
      <w:pPr>
        <w:pStyle w:val="22"/>
        <w:numPr>
          <w:ilvl w:val="0"/>
          <w:numId w:val="3"/>
        </w:numPr>
        <w:tabs>
          <w:tab w:val="left" w:pos="1080"/>
          <w:tab w:val="left" w:pos="1620"/>
        </w:tabs>
        <w:spacing w:line="420" w:lineRule="exact"/>
        <w:ind w:left="1620" w:firstLine="0"/>
        <w:rPr>
          <w:rFonts w:hAnsi="宋体"/>
          <w:color w:val="auto"/>
          <w:sz w:val="22"/>
          <w:szCs w:val="22"/>
          <w:highlight w:val="none"/>
        </w:rPr>
      </w:pPr>
      <w:r>
        <w:rPr>
          <w:rFonts w:hint="eastAsia" w:hAnsi="宋体"/>
          <w:color w:val="auto"/>
          <w:sz w:val="22"/>
          <w:szCs w:val="22"/>
          <w:highlight w:val="none"/>
        </w:rPr>
        <w:t>协议书；</w:t>
      </w:r>
    </w:p>
    <w:p w14:paraId="710FFEE5">
      <w:pPr>
        <w:pStyle w:val="22"/>
        <w:numPr>
          <w:ilvl w:val="0"/>
          <w:numId w:val="3"/>
        </w:numPr>
        <w:tabs>
          <w:tab w:val="left" w:pos="1080"/>
        </w:tabs>
        <w:spacing w:line="420" w:lineRule="exact"/>
        <w:ind w:firstLine="540"/>
        <w:rPr>
          <w:rFonts w:hAnsi="宋体"/>
          <w:color w:val="auto"/>
          <w:sz w:val="22"/>
          <w:szCs w:val="22"/>
          <w:highlight w:val="none"/>
        </w:rPr>
      </w:pPr>
      <w:r>
        <w:rPr>
          <w:rFonts w:hint="eastAsia" w:hAnsi="宋体"/>
          <w:color w:val="auto"/>
          <w:sz w:val="22"/>
          <w:szCs w:val="22"/>
          <w:highlight w:val="none"/>
        </w:rPr>
        <w:t>中标通知书（适用于招标工程）；</w:t>
      </w:r>
    </w:p>
    <w:p w14:paraId="54B43B93">
      <w:pPr>
        <w:pStyle w:val="22"/>
        <w:numPr>
          <w:ilvl w:val="0"/>
          <w:numId w:val="3"/>
        </w:numPr>
        <w:tabs>
          <w:tab w:val="left" w:pos="1080"/>
          <w:tab w:val="left" w:pos="1620"/>
        </w:tabs>
        <w:spacing w:line="420" w:lineRule="exact"/>
        <w:ind w:left="1620" w:leftChars="771" w:hanging="1"/>
        <w:rPr>
          <w:rFonts w:hAnsi="宋体"/>
          <w:color w:val="auto"/>
          <w:sz w:val="22"/>
          <w:szCs w:val="22"/>
          <w:highlight w:val="none"/>
        </w:rPr>
      </w:pPr>
      <w:r>
        <w:rPr>
          <w:rFonts w:hint="eastAsia" w:hAnsi="宋体"/>
          <w:color w:val="auto"/>
          <w:sz w:val="22"/>
          <w:szCs w:val="22"/>
          <w:highlight w:val="none"/>
        </w:rPr>
        <w:t>承包人投标文件及其附件（含评标期间的澄清文件和补充资料）（适用于招标工程）；确认的工程量清单报价单或施工图预算书（适用于非招标工程）；</w:t>
      </w:r>
    </w:p>
    <w:p w14:paraId="07405E7B">
      <w:pPr>
        <w:pStyle w:val="22"/>
        <w:numPr>
          <w:ilvl w:val="0"/>
          <w:numId w:val="3"/>
        </w:numPr>
        <w:tabs>
          <w:tab w:val="left" w:pos="1080"/>
        </w:tabs>
        <w:spacing w:line="420" w:lineRule="exact"/>
        <w:ind w:firstLine="540"/>
        <w:rPr>
          <w:rFonts w:hAnsi="宋体"/>
          <w:color w:val="auto"/>
          <w:sz w:val="22"/>
          <w:szCs w:val="22"/>
          <w:highlight w:val="none"/>
        </w:rPr>
      </w:pPr>
      <w:r>
        <w:rPr>
          <w:rFonts w:hint="eastAsia" w:hAnsi="宋体"/>
          <w:color w:val="auto"/>
          <w:sz w:val="22"/>
          <w:szCs w:val="22"/>
          <w:highlight w:val="none"/>
        </w:rPr>
        <w:t>专用条款；</w:t>
      </w:r>
    </w:p>
    <w:p w14:paraId="709025A6">
      <w:pPr>
        <w:pStyle w:val="22"/>
        <w:numPr>
          <w:ilvl w:val="0"/>
          <w:numId w:val="3"/>
        </w:numPr>
        <w:tabs>
          <w:tab w:val="left" w:pos="1080"/>
        </w:tabs>
        <w:spacing w:line="420" w:lineRule="exact"/>
        <w:ind w:firstLine="540"/>
        <w:rPr>
          <w:rFonts w:hAnsi="宋体"/>
          <w:color w:val="auto"/>
          <w:sz w:val="22"/>
          <w:szCs w:val="22"/>
          <w:highlight w:val="none"/>
        </w:rPr>
      </w:pPr>
      <w:r>
        <w:rPr>
          <w:rFonts w:hint="eastAsia" w:hAnsi="宋体"/>
          <w:color w:val="auto"/>
          <w:sz w:val="22"/>
          <w:szCs w:val="22"/>
          <w:highlight w:val="none"/>
        </w:rPr>
        <w:t>通用条款；</w:t>
      </w:r>
    </w:p>
    <w:p w14:paraId="45C002B4">
      <w:pPr>
        <w:pStyle w:val="22"/>
        <w:numPr>
          <w:ilvl w:val="0"/>
          <w:numId w:val="3"/>
        </w:numPr>
        <w:tabs>
          <w:tab w:val="left" w:pos="1080"/>
        </w:tabs>
        <w:spacing w:line="420" w:lineRule="exact"/>
        <w:ind w:firstLine="540"/>
        <w:rPr>
          <w:rFonts w:hAnsi="宋体"/>
          <w:color w:val="auto"/>
          <w:sz w:val="22"/>
          <w:szCs w:val="22"/>
          <w:highlight w:val="none"/>
        </w:rPr>
      </w:pPr>
      <w:r>
        <w:rPr>
          <w:rFonts w:hint="eastAsia" w:hAnsi="宋体"/>
          <w:color w:val="auto"/>
          <w:sz w:val="22"/>
          <w:szCs w:val="22"/>
          <w:highlight w:val="none"/>
        </w:rPr>
        <w:t>标准、规范及有关技术文件；</w:t>
      </w:r>
    </w:p>
    <w:p w14:paraId="211C6A78">
      <w:pPr>
        <w:pStyle w:val="22"/>
        <w:numPr>
          <w:ilvl w:val="0"/>
          <w:numId w:val="3"/>
        </w:numPr>
        <w:tabs>
          <w:tab w:val="left" w:pos="1080"/>
        </w:tabs>
        <w:spacing w:line="420" w:lineRule="exact"/>
        <w:ind w:left="1077" w:firstLine="540"/>
        <w:rPr>
          <w:rFonts w:hAnsi="宋体"/>
          <w:color w:val="auto"/>
          <w:sz w:val="22"/>
          <w:szCs w:val="22"/>
          <w:highlight w:val="none"/>
        </w:rPr>
      </w:pPr>
      <w:r>
        <w:rPr>
          <w:rFonts w:hint="eastAsia" w:hAnsi="宋体"/>
          <w:color w:val="auto"/>
          <w:sz w:val="22"/>
          <w:szCs w:val="22"/>
          <w:highlight w:val="none"/>
        </w:rPr>
        <w:t>施工设计图纸；</w:t>
      </w:r>
    </w:p>
    <w:p w14:paraId="03A659EC">
      <w:pPr>
        <w:pStyle w:val="22"/>
        <w:numPr>
          <w:ilvl w:val="0"/>
          <w:numId w:val="3"/>
        </w:numPr>
        <w:tabs>
          <w:tab w:val="left" w:pos="1080"/>
        </w:tabs>
        <w:spacing w:line="420" w:lineRule="exact"/>
        <w:ind w:left="1077" w:firstLine="540"/>
        <w:rPr>
          <w:rFonts w:hAnsi="宋体"/>
          <w:color w:val="auto"/>
          <w:sz w:val="22"/>
          <w:szCs w:val="22"/>
          <w:highlight w:val="none"/>
        </w:rPr>
      </w:pPr>
      <w:r>
        <w:rPr>
          <w:rFonts w:hint="eastAsia" w:hAnsi="宋体"/>
          <w:color w:val="auto"/>
          <w:sz w:val="22"/>
          <w:szCs w:val="22"/>
          <w:highlight w:val="none"/>
        </w:rPr>
        <w:t>招标文件（包括补充、修改、澄清的文件、招标图纸、答疑纪要、工程量清单</w:t>
      </w:r>
    </w:p>
    <w:p w14:paraId="146FA569">
      <w:pPr>
        <w:pStyle w:val="22"/>
        <w:spacing w:line="420" w:lineRule="exact"/>
        <w:ind w:left="1617"/>
        <w:rPr>
          <w:rFonts w:hAnsi="宋体"/>
          <w:color w:val="auto"/>
          <w:sz w:val="22"/>
          <w:szCs w:val="22"/>
          <w:highlight w:val="none"/>
        </w:rPr>
      </w:pPr>
      <w:r>
        <w:rPr>
          <w:rFonts w:hint="eastAsia" w:hAnsi="宋体"/>
          <w:color w:val="auto"/>
          <w:sz w:val="22"/>
          <w:szCs w:val="22"/>
          <w:highlight w:val="none"/>
        </w:rPr>
        <w:t xml:space="preserve"> 及总说明等）；</w:t>
      </w:r>
    </w:p>
    <w:p w14:paraId="47DE2EB3">
      <w:pPr>
        <w:pStyle w:val="22"/>
        <w:numPr>
          <w:ilvl w:val="0"/>
          <w:numId w:val="3"/>
        </w:numPr>
        <w:tabs>
          <w:tab w:val="left" w:pos="1080"/>
        </w:tabs>
        <w:spacing w:line="420" w:lineRule="exact"/>
        <w:ind w:left="1077" w:firstLine="540"/>
        <w:rPr>
          <w:rFonts w:hAnsi="宋体"/>
          <w:color w:val="auto"/>
          <w:sz w:val="22"/>
          <w:szCs w:val="22"/>
          <w:highlight w:val="none"/>
        </w:rPr>
      </w:pPr>
      <w:r>
        <w:rPr>
          <w:rFonts w:hint="eastAsia" w:hAnsi="宋体"/>
          <w:color w:val="auto"/>
          <w:sz w:val="22"/>
          <w:szCs w:val="22"/>
          <w:highlight w:val="none"/>
        </w:rPr>
        <w:t>专用条款约定的其他文件。</w:t>
      </w:r>
    </w:p>
    <w:p w14:paraId="37A74E8D">
      <w:pPr>
        <w:spacing w:line="420" w:lineRule="exact"/>
        <w:ind w:left="1197" w:leftChars="570"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上述各项合同文件包括合同当事人就该项合同文件所作出的补充和修改，属于同一类</w:t>
      </w:r>
    </w:p>
    <w:p w14:paraId="1FA2970D">
      <w:pPr>
        <w:spacing w:line="420" w:lineRule="exact"/>
        <w:ind w:left="1197" w:leftChars="570"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内容的文件，应以最新签署的为准。</w:t>
      </w:r>
    </w:p>
    <w:p w14:paraId="6C03A9AA">
      <w:pPr>
        <w:pStyle w:val="22"/>
        <w:tabs>
          <w:tab w:val="left" w:pos="540"/>
          <w:tab w:val="left" w:pos="1202"/>
        </w:tabs>
        <w:spacing w:line="420" w:lineRule="exact"/>
        <w:rPr>
          <w:rFonts w:hAnsi="宋体"/>
          <w:b/>
          <w:bCs/>
          <w:color w:val="auto"/>
          <w:sz w:val="22"/>
          <w:szCs w:val="22"/>
          <w:highlight w:val="none"/>
        </w:rPr>
      </w:pPr>
      <w:r>
        <w:rPr>
          <w:rFonts w:hint="eastAsia" w:hAnsi="宋体"/>
          <w:b/>
          <w:bCs/>
          <w:color w:val="auto"/>
          <w:sz w:val="22"/>
          <w:szCs w:val="22"/>
          <w:highlight w:val="none"/>
        </w:rPr>
        <w:t xml:space="preserve">2.3  </w:t>
      </w:r>
      <w:r>
        <w:rPr>
          <w:rFonts w:hint="eastAsia" w:hAnsi="宋体"/>
          <w:b/>
          <w:bCs/>
          <w:color w:val="auto"/>
          <w:sz w:val="22"/>
          <w:szCs w:val="22"/>
          <w:highlight w:val="none"/>
          <w:u w:val="dotted"/>
        </w:rPr>
        <w:t xml:space="preserve">                                                                                                        </w:t>
      </w:r>
    </w:p>
    <w:p w14:paraId="3BE94799">
      <w:pPr>
        <w:pStyle w:val="22"/>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 name="文本框 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197C023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wrap="square" upright="1"/>
                    </wps:wsp>
                  </a:graphicData>
                </a:graphic>
              </wp:anchor>
            </w:drawing>
          </mc:Choice>
          <mc:Fallback>
            <w:pict>
              <v:shape id="文本框 4"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k2VHNUAAAAIAQAADwAAAAAAAAABACAAAAAiAAAAZHJzL2Rvd25yZXYueG1sUEsBAhQA&#10;FAAAAAgAh07iQL7BVv+8AQAAaQMAAA4AAAAAAAAAAQAgAAAAJAEAAGRycy9lMm9Eb2MueG1sUEsF&#10;BgAAAAAGAAYAWQEAAFIFAAAAAA==&#10;">
                <v:fill on="f" focussize="0,0"/>
                <v:stroke on="f"/>
                <v:imagedata o:title=""/>
                <o:lock v:ext="edit" aspectratio="f"/>
                <v:textbox>
                  <w:txbxContent>
                    <w:p w14:paraId="197C023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hAnsi="宋体"/>
          <w:color w:val="auto"/>
          <w:sz w:val="22"/>
          <w:szCs w:val="22"/>
          <w:highlight w:val="none"/>
        </w:rPr>
        <w:t>当合同文件内容出现含糊不清或不一致时，由合同双方当事人在不影响合同工程正常实施的情况下协商解决。协商不成的，由监理工程师、造价工程师分别按照第23.2款、第24.2款规定职权作出解释。如合同任何一方当事人不同意监理工程师或造价工程师作出的解释，按照第86条规定处理。</w:t>
      </w:r>
    </w:p>
    <w:p w14:paraId="55590A19">
      <w:pPr>
        <w:spacing w:line="420" w:lineRule="exact"/>
        <w:jc w:val="lef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115AB8E3">
      <w:pPr>
        <w:pStyle w:val="4"/>
        <w:tabs>
          <w:tab w:val="left" w:pos="360"/>
          <w:tab w:val="left" w:pos="420"/>
        </w:tabs>
        <w:spacing w:line="420" w:lineRule="exact"/>
        <w:ind w:left="720"/>
        <w:rPr>
          <w:rFonts w:ascii="宋体" w:hAnsi="宋体" w:cs="宋体"/>
          <w:bCs w:val="0"/>
          <w:color w:val="auto"/>
          <w:sz w:val="22"/>
          <w:szCs w:val="22"/>
          <w:highlight w:val="none"/>
        </w:rPr>
      </w:pPr>
      <w:bookmarkStart w:id="169" w:name="_Toc10575"/>
      <w:bookmarkStart w:id="170" w:name="_Toc12277"/>
      <w:bookmarkStart w:id="171" w:name="_Toc469383982"/>
      <w:r>
        <w:rPr>
          <w:rFonts w:hint="eastAsia" w:ascii="宋体" w:hAnsi="宋体" w:cs="宋体"/>
          <w:bCs w:val="0"/>
          <w:color w:val="auto"/>
          <w:sz w:val="22"/>
          <w:szCs w:val="22"/>
          <w:highlight w:val="none"/>
        </w:rPr>
        <w:t>3  阅读、理解与接受</w:t>
      </w:r>
      <w:bookmarkEnd w:id="169"/>
      <w:bookmarkEnd w:id="170"/>
      <w:bookmarkEnd w:id="171"/>
    </w:p>
    <w:p w14:paraId="007A548B">
      <w:pPr>
        <w:tabs>
          <w:tab w:val="left" w:pos="1260"/>
        </w:tabs>
        <w:spacing w:before="240" w:beforeLines="100"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3.1 </w:t>
      </w:r>
    </w:p>
    <w:p w14:paraId="040923F3">
      <w:pPr>
        <w:pStyle w:val="22"/>
        <w:tabs>
          <w:tab w:val="left" w:pos="540"/>
          <w:tab w:val="left" w:pos="1202"/>
        </w:tabs>
        <w:spacing w:line="420" w:lineRule="exact"/>
        <w:ind w:left="1440" w:leftChars="685" w:hanging="2"/>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 name="文本框 5"/>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6CD2CD4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k2VHNUAAAAIAQAADwAAAAAAAAABACAAAAAiAAAAZHJzL2Rvd25yZXYueG1sUEsBAhQA&#10;FAAAAAgAh07iQMx+S5u8AQAAaQMAAA4AAAAAAAAAAQAgAAAAJAEAAGRycy9lMm9Eb2MueG1sUEsF&#10;BgAAAAAGAAYAWQEAAFIFAAAAAA==&#10;">
                <v:fill on="f" focussize="0,0"/>
                <v:stroke on="f"/>
                <v:imagedata o:title=""/>
                <o:lock v:ext="edit" aspectratio="f"/>
                <v:textbox>
                  <w:txbxContent>
                    <w:p w14:paraId="6CD2CD4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hAnsi="宋体"/>
          <w:color w:val="auto"/>
          <w:sz w:val="22"/>
          <w:szCs w:val="22"/>
          <w:highlight w:val="none"/>
        </w:rPr>
        <w:t>合同双方当事人应认真阅读和理解本合同的全部内容。除合同双方当事人同意修改外，本合同一旦订立，视为合同双方当事人已全面接受本合同的所有条款。</w:t>
      </w:r>
    </w:p>
    <w:p w14:paraId="181B3EF5">
      <w:pPr>
        <w:pStyle w:val="22"/>
        <w:tabs>
          <w:tab w:val="left" w:pos="2160"/>
        </w:tabs>
        <w:spacing w:before="192" w:beforeLines="80" w:line="420" w:lineRule="exact"/>
        <w:ind w:left="1485" w:hanging="1485" w:hangingChars="675"/>
        <w:rPr>
          <w:rFonts w:hAnsi="宋体"/>
          <w:b/>
          <w:bCs/>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5" name="文本框 6"/>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a:effectLst/>
                      </wps:spPr>
                      <wps:txbx>
                        <w:txbxContent>
                          <w:p w14:paraId="033C9AA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eVDtgAAAAKAQAADwAAAAAAAAABACAAAAAiAAAAZHJzL2Rvd25yZXYueG1sUEsB&#10;AhQAFAAAAAgAh07iQHCT3TS8AQAAaQMAAA4AAAAAAAAAAQAgAAAAJwEAAGRycy9lMm9Eb2MueG1s&#10;UEsFBgAAAAAGAAYAWQEAAFUFAAAAAA==&#10;">
                <v:fill on="f" focussize="0,0"/>
                <v:stroke on="f"/>
                <v:imagedata o:title=""/>
                <o:lock v:ext="edit" aspectratio="f"/>
                <v:textbox>
                  <w:txbxContent>
                    <w:p w14:paraId="033C9AA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hAnsi="宋体"/>
          <w:b/>
          <w:bCs/>
          <w:color w:val="auto"/>
          <w:sz w:val="22"/>
          <w:szCs w:val="22"/>
          <w:highlight w:val="none"/>
        </w:rPr>
        <w:t xml:space="preserve">3.2  </w:t>
      </w:r>
      <w:r>
        <w:rPr>
          <w:rFonts w:hint="eastAsia" w:hAnsi="宋体"/>
          <w:b/>
          <w:bCs/>
          <w:color w:val="auto"/>
          <w:sz w:val="22"/>
          <w:szCs w:val="22"/>
          <w:highlight w:val="none"/>
          <w:u w:val="dotted"/>
        </w:rPr>
        <w:t xml:space="preserve">                                                                               </w:t>
      </w:r>
    </w:p>
    <w:p w14:paraId="7A3C21D3">
      <w:pPr>
        <w:pStyle w:val="22"/>
        <w:tabs>
          <w:tab w:val="left" w:pos="2160"/>
        </w:tabs>
        <w:spacing w:before="192" w:beforeLines="80" w:line="420" w:lineRule="exact"/>
        <w:ind w:left="1613" w:leftChars="741" w:hanging="57" w:hangingChars="26"/>
        <w:rPr>
          <w:rFonts w:hAnsi="宋体"/>
          <w:color w:val="auto"/>
          <w:sz w:val="22"/>
          <w:szCs w:val="22"/>
          <w:highlight w:val="none"/>
        </w:rPr>
      </w:pPr>
      <w:r>
        <w:rPr>
          <w:rFonts w:hint="eastAsia" w:hAnsi="宋体"/>
          <w:color w:val="auto"/>
          <w:sz w:val="22"/>
          <w:szCs w:val="22"/>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4B966C53">
      <w:pPr>
        <w:pStyle w:val="22"/>
        <w:adjustRightInd w:val="0"/>
        <w:snapToGrid w:val="0"/>
        <w:spacing w:line="420" w:lineRule="exact"/>
        <w:ind w:right="-238"/>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1008ADBF">
      <w:pPr>
        <w:pStyle w:val="4"/>
        <w:tabs>
          <w:tab w:val="left" w:pos="360"/>
          <w:tab w:val="left" w:pos="420"/>
        </w:tabs>
        <w:spacing w:line="420" w:lineRule="exact"/>
        <w:ind w:left="720"/>
        <w:rPr>
          <w:rFonts w:ascii="宋体" w:hAnsi="宋体" w:cs="宋体"/>
          <w:bCs w:val="0"/>
          <w:color w:val="auto"/>
          <w:sz w:val="22"/>
          <w:szCs w:val="22"/>
          <w:highlight w:val="none"/>
        </w:rPr>
      </w:pPr>
      <w:bookmarkStart w:id="172" w:name="_Toc27164"/>
      <w:bookmarkStart w:id="173" w:name="_Toc16287"/>
      <w:bookmarkStart w:id="174" w:name="_Toc469383983"/>
      <w:r>
        <w:rPr>
          <w:rFonts w:hint="eastAsia" w:ascii="宋体" w:hAnsi="宋体" w:cs="宋体"/>
          <w:bCs w:val="0"/>
          <w:color w:val="auto"/>
          <w:sz w:val="22"/>
          <w:szCs w:val="22"/>
          <w:highlight w:val="none"/>
        </w:rPr>
        <w:t>4  语言及适用的法律、标准与规范</w:t>
      </w:r>
      <w:bookmarkEnd w:id="172"/>
      <w:bookmarkEnd w:id="173"/>
      <w:bookmarkEnd w:id="174"/>
    </w:p>
    <w:p w14:paraId="684028F7">
      <w:pPr>
        <w:tabs>
          <w:tab w:val="left" w:pos="1320"/>
        </w:tabs>
        <w:spacing w:line="420" w:lineRule="exact"/>
        <w:ind w:right="-15" w:rightChars="-7"/>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4.1                         </w:t>
      </w:r>
    </w:p>
    <w:p w14:paraId="0918D805">
      <w:pPr>
        <w:tabs>
          <w:tab w:val="left" w:pos="1620"/>
        </w:tabs>
        <w:spacing w:line="420" w:lineRule="exact"/>
        <w:ind w:left="1977" w:right="-7" w:hanging="1977" w:hangingChars="895"/>
        <w:rPr>
          <w:rFonts w:ascii="宋体" w:hAnsi="宋体" w:cs="宋体"/>
          <w:color w:val="auto"/>
          <w:sz w:val="22"/>
          <w:szCs w:val="22"/>
          <w:highlight w:val="none"/>
        </w:rPr>
      </w:pPr>
      <w:r>
        <w:rPr>
          <w:rFonts w:hint="eastAsia" w:ascii="宋体" w:hAnsi="宋体" w:cs="宋体"/>
          <w:b/>
          <w:bCs/>
          <w:color w:val="auto"/>
          <w:sz w:val="22"/>
          <w:szCs w:val="22"/>
          <w:highlight w:val="none"/>
        </w:rPr>
        <w:t xml:space="preserve">语言文字  </w:t>
      </w:r>
      <w:r>
        <w:rPr>
          <w:rFonts w:hint="eastAsia" w:ascii="宋体" w:hAnsi="宋体" w:cs="宋体"/>
          <w:color w:val="auto"/>
          <w:sz w:val="22"/>
          <w:szCs w:val="22"/>
          <w:highlight w:val="none"/>
        </w:rPr>
        <w:t xml:space="preserve">    本合同所使用的语言文字为中文（汉语）。</w:t>
      </w:r>
    </w:p>
    <w:p w14:paraId="5834583A">
      <w:pPr>
        <w:tabs>
          <w:tab w:val="left" w:pos="1620"/>
        </w:tabs>
        <w:spacing w:line="420" w:lineRule="exact"/>
        <w:ind w:left="1579" w:leftChars="752" w:firstLine="107" w:firstLineChars="49"/>
        <w:rPr>
          <w:rFonts w:ascii="宋体" w:hAnsi="宋体" w:cs="宋体"/>
          <w:color w:val="auto"/>
          <w:sz w:val="22"/>
          <w:szCs w:val="22"/>
          <w:highlight w:val="none"/>
        </w:rPr>
      </w:pPr>
      <w:r>
        <w:rPr>
          <w:rFonts w:hint="eastAsia" w:ascii="宋体" w:hAnsi="宋体" w:cs="宋体"/>
          <w:color w:val="auto"/>
          <w:sz w:val="22"/>
          <w:szCs w:val="22"/>
          <w:highlight w:val="none"/>
        </w:rPr>
        <w:t>对于必须使用外文表达的专用术语等，应附有中文注释。合同当事人在合同中使用两种以上语言时，汉语为优先解释和说明合同的语言。</w:t>
      </w:r>
    </w:p>
    <w:p w14:paraId="79116D7B">
      <w:pPr>
        <w:tabs>
          <w:tab w:val="left" w:pos="1320"/>
        </w:tabs>
        <w:spacing w:line="420" w:lineRule="exact"/>
        <w:ind w:right="-7"/>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4.2  </w:t>
      </w:r>
      <w:r>
        <w:rPr>
          <w:rFonts w:hint="eastAsia" w:ascii="宋体" w:hAnsi="宋体" w:cs="宋体"/>
          <w:b/>
          <w:bCs/>
          <w:color w:val="auto"/>
          <w:sz w:val="22"/>
          <w:szCs w:val="22"/>
          <w:highlight w:val="none"/>
          <w:u w:val="dotted"/>
        </w:rPr>
        <w:t xml:space="preserve">                                                                                                        </w:t>
      </w:r>
      <w:r>
        <w:rPr>
          <w:rFonts w:hint="eastAsia" w:ascii="宋体" w:hAnsi="宋体" w:cs="宋体"/>
          <w:b/>
          <w:bCs/>
          <w:color w:val="auto"/>
          <w:sz w:val="22"/>
          <w:szCs w:val="22"/>
          <w:highlight w:val="none"/>
        </w:rPr>
        <w:t xml:space="preserve">                                                                                                </w:t>
      </w:r>
    </w:p>
    <w:p w14:paraId="48772B66">
      <w:pPr>
        <w:pStyle w:val="34"/>
        <w:spacing w:line="420" w:lineRule="exact"/>
        <w:ind w:left="1617" w:leftChars="770" w:firstLine="1"/>
        <w:rPr>
          <w:rFonts w:ascii="宋体" w:cs="宋体"/>
          <w:color w:val="auto"/>
          <w:sz w:val="22"/>
          <w:szCs w:val="22"/>
          <w:highlight w:val="none"/>
        </w:rPr>
      </w:pPr>
      <w:r>
        <w:rPr>
          <w:rFonts w:hint="eastAsia" w:ascii="宋体" w:cs="宋体"/>
          <w:color w:val="auto"/>
          <w:sz w:val="22"/>
          <w:szCs w:val="22"/>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6" name="文本框 7"/>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wps:spPr>
                      <wps:txbx>
                        <w:txbxContent>
                          <w:p w14:paraId="1747FCC3">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Rwms9QAAAAIAQAADwAAAAAAAAABACAAAAAiAAAAZHJzL2Rvd25yZXYueG1sUEsBAhQAFAAA&#10;AAgAh07iQPSabC66AQAAagMAAA4AAAAAAAAAAQAgAAAAIwEAAGRycy9lMm9Eb2MueG1sUEsFBgAA&#10;AAAGAAYAWQEAAE8FAAAAAA==&#10;">
                <v:fill on="f" focussize="0,0"/>
                <v:stroke on="f"/>
                <v:imagedata o:title=""/>
                <o:lock v:ext="edit" aspectratio="f"/>
                <v:textbox>
                  <w:txbxContent>
                    <w:p w14:paraId="1747FCC3">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宋体" w:cs="宋体"/>
          <w:color w:val="auto"/>
          <w:sz w:val="22"/>
          <w:szCs w:val="22"/>
          <w:highlight w:val="none"/>
        </w:rPr>
        <w:t>本合同适用的法律为中华人民共和国的现行法律、行政法规、部门规章和合同工程所在地的地方性法规、地方政府规章、行政规范性文件。</w:t>
      </w:r>
    </w:p>
    <w:p w14:paraId="56EA272C">
      <w:pPr>
        <w:tabs>
          <w:tab w:val="left" w:pos="1320"/>
        </w:tabs>
        <w:spacing w:line="420" w:lineRule="exact"/>
        <w:ind w:right="-7"/>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4.3  </w:t>
      </w:r>
      <w:r>
        <w:rPr>
          <w:rFonts w:hint="eastAsia" w:ascii="宋体" w:hAnsi="宋体" w:cs="宋体"/>
          <w:b/>
          <w:bCs/>
          <w:color w:val="auto"/>
          <w:sz w:val="22"/>
          <w:szCs w:val="22"/>
          <w:highlight w:val="none"/>
          <w:u w:val="dotted"/>
        </w:rPr>
        <w:t xml:space="preserve">                                                                                                        </w:t>
      </w:r>
      <w:r>
        <w:rPr>
          <w:rFonts w:hint="eastAsia" w:ascii="宋体" w:hAnsi="宋体" w:cs="宋体"/>
          <w:b/>
          <w:bCs/>
          <w:color w:val="auto"/>
          <w:sz w:val="22"/>
          <w:szCs w:val="22"/>
          <w:highlight w:val="none"/>
        </w:rPr>
        <w:t xml:space="preserve">                                                                                    </w:t>
      </w:r>
    </w:p>
    <w:p w14:paraId="08BEA48B">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7" name="文本框 8"/>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a:effectLst/>
                      </wps:spPr>
                      <wps:txbx>
                        <w:txbxContent>
                          <w:p w14:paraId="0420E40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14:paraId="011D1F4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wps:txbx>
                      <wps:bodyPr wrap="square" upright="1"/>
                    </wps:wsp>
                  </a:graphicData>
                </a:graphic>
              </wp:anchor>
            </w:drawing>
          </mc:Choice>
          <mc:Fallback>
            <w:pict>
              <v:shape id="文本框 8"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Lju9UAAAAHAQAADwAAAAAAAAABACAAAAAiAAAAZHJzL2Rvd25yZXYueG1sUEsBAhQA&#10;FAAAAAgAh07iQKdca2y8AQAAagMAAA4AAAAAAAAAAQAgAAAAJAEAAGRycy9lMm9Eb2MueG1sUEsF&#10;BgAAAAAGAAYAWQEAAFIFAAAAAA==&#10;">
                <v:fill on="f" focussize="0,0"/>
                <v:stroke on="f"/>
                <v:imagedata o:title=""/>
                <o:lock v:ext="edit" aspectratio="f"/>
                <v:textbox>
                  <w:txbxContent>
                    <w:p w14:paraId="0420E40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14:paraId="011D1F4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宋体" w:hAnsi="宋体" w:cs="宋体"/>
          <w:color w:val="auto"/>
          <w:sz w:val="22"/>
          <w:szCs w:val="22"/>
          <w:highlight w:val="none"/>
        </w:rPr>
        <w:t>本合同适用的标准与规范为国家、行业和广东省的标准与规范或规程，以及发包人在合同中要求使用的标准与规范。</w:t>
      </w:r>
    </w:p>
    <w:p w14:paraId="4DC3DB72">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 xml:space="preserve">合同双方当事人在专用条款中约定适用的国家标准、规范名称；国家没有但行业有的，约定适用的行业标准、规范名称；国家和行业没有但广东省有的，约定适用的广东省地方标准、规范名称。   </w:t>
      </w:r>
    </w:p>
    <w:p w14:paraId="13ACC09D">
      <w:pPr>
        <w:spacing w:line="420" w:lineRule="exact"/>
        <w:ind w:left="1619" w:leftChars="771" w:firstLine="1"/>
        <w:rPr>
          <w:rFonts w:ascii="宋体" w:hAnsi="宋体" w:cs="宋体"/>
          <w:color w:val="auto"/>
          <w:sz w:val="22"/>
          <w:szCs w:val="22"/>
          <w:highlight w:val="none"/>
        </w:rPr>
      </w:pPr>
      <w:r>
        <w:rPr>
          <w:rFonts w:hint="eastAsia" w:ascii="宋体" w:hAnsi="宋体" w:cs="宋体"/>
          <w:color w:val="auto"/>
          <w:sz w:val="22"/>
          <w:szCs w:val="22"/>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14:paraId="731F3111">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23099341">
      <w:pPr>
        <w:pStyle w:val="4"/>
        <w:tabs>
          <w:tab w:val="left" w:pos="360"/>
          <w:tab w:val="left" w:pos="420"/>
        </w:tabs>
        <w:spacing w:line="420" w:lineRule="exact"/>
        <w:ind w:left="720"/>
        <w:rPr>
          <w:rFonts w:ascii="宋体" w:hAnsi="宋体" w:cs="宋体"/>
          <w:bCs w:val="0"/>
          <w:color w:val="auto"/>
          <w:sz w:val="22"/>
          <w:szCs w:val="22"/>
          <w:highlight w:val="none"/>
        </w:rPr>
      </w:pPr>
      <w:bookmarkStart w:id="175" w:name="_Toc26519"/>
      <w:bookmarkStart w:id="176" w:name="_Toc469383984"/>
      <w:bookmarkStart w:id="177" w:name="_Toc15138"/>
      <w:r>
        <w:rPr>
          <w:rFonts w:hint="eastAsia" w:ascii="宋体" w:hAnsi="宋体" w:cs="宋体"/>
          <w:bCs w:val="0"/>
          <w:color w:val="auto"/>
          <w:sz w:val="22"/>
          <w:szCs w:val="22"/>
          <w:highlight w:val="none"/>
        </w:rPr>
        <w:t>5  施工设计图纸</w:t>
      </w:r>
      <w:bookmarkEnd w:id="175"/>
      <w:bookmarkEnd w:id="176"/>
      <w:bookmarkEnd w:id="177"/>
    </w:p>
    <w:p w14:paraId="6A818618">
      <w:pPr>
        <w:pStyle w:val="22"/>
        <w:spacing w:line="420" w:lineRule="exact"/>
        <w:ind w:right="-238"/>
        <w:rPr>
          <w:rFonts w:hAnsi="宋体"/>
          <w:b/>
          <w:bCs/>
          <w:color w:val="auto"/>
          <w:sz w:val="22"/>
          <w:szCs w:val="22"/>
          <w:highlight w:val="none"/>
        </w:rPr>
      </w:pPr>
      <w:r>
        <w:rPr>
          <w:rFonts w:hint="eastAsia" w:hAnsi="宋体"/>
          <w:b/>
          <w:bCs/>
          <w:color w:val="auto"/>
          <w:sz w:val="22"/>
          <w:szCs w:val="22"/>
          <w:highlight w:val="none"/>
        </w:rPr>
        <w:t xml:space="preserve">5.1 </w:t>
      </w:r>
    </w:p>
    <w:p w14:paraId="3E81DC25">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8" name="文本框 9"/>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a:effectLst/>
                      </wps:spPr>
                      <wps:txbx>
                        <w:txbxContent>
                          <w:p w14:paraId="3321BED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wps:txbx>
                      <wps:bodyPr wrap="square" upright="1"/>
                    </wps:wsp>
                  </a:graphicData>
                </a:graphic>
              </wp:anchor>
            </w:drawing>
          </mc:Choice>
          <mc:Fallback>
            <w:pict>
              <v:shape id="文本框 9"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4LsWbWAAAACQEAAA8AAAAAAAAAAQAgAAAAIgAAAGRycy9kb3ducmV2LnhtbFBLAQIUABQA&#10;AAAIAIdO4kBkJtrMuQEAAGkDAAAOAAAAAAAAAAEAIAAAACUBAABkcnMvZTJvRG9jLnhtbFBLBQYA&#10;AAAABgAGAFkBAABQBQAAAAA=&#10;">
                <v:fill on="f" focussize="0,0"/>
                <v:stroke on="f"/>
                <v:imagedata o:title=""/>
                <o:lock v:ext="edit" aspectratio="f"/>
                <v:textbox>
                  <w:txbxContent>
                    <w:p w14:paraId="3321BED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宋体" w:hAnsi="宋体" w:cs="宋体"/>
          <w:color w:val="auto"/>
          <w:sz w:val="22"/>
          <w:szCs w:val="22"/>
          <w:highlight w:val="none"/>
        </w:rPr>
        <w:t xml:space="preserve">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 </w:t>
      </w:r>
    </w:p>
    <w:p w14:paraId="2528DB39">
      <w:pPr>
        <w:pStyle w:val="22"/>
        <w:spacing w:line="420" w:lineRule="exact"/>
        <w:ind w:right="-238"/>
        <w:rPr>
          <w:rFonts w:hAnsi="宋体"/>
          <w:b/>
          <w:bCs/>
          <w:color w:val="auto"/>
          <w:sz w:val="22"/>
          <w:szCs w:val="22"/>
          <w:highlight w:val="none"/>
        </w:rPr>
      </w:pPr>
      <w:r>
        <w:rPr>
          <w:rFonts w:hint="eastAsia" w:hAnsi="宋体"/>
          <w:b/>
          <w:bCs/>
          <w:color w:val="auto"/>
          <w:sz w:val="22"/>
          <w:szCs w:val="22"/>
          <w:highlight w:val="none"/>
        </w:rPr>
        <w:t xml:space="preserve">5.2  </w:t>
      </w:r>
      <w:r>
        <w:rPr>
          <w:rFonts w:hint="eastAsia" w:hAnsi="宋体"/>
          <w:b/>
          <w:bCs/>
          <w:color w:val="auto"/>
          <w:sz w:val="22"/>
          <w:szCs w:val="22"/>
          <w:highlight w:val="none"/>
          <w:u w:val="dotted"/>
        </w:rPr>
        <w:t xml:space="preserve">                                                                              </w:t>
      </w:r>
    </w:p>
    <w:p w14:paraId="6CE8E939">
      <w:pPr>
        <w:pStyle w:val="34"/>
        <w:tabs>
          <w:tab w:val="left" w:pos="4970"/>
        </w:tabs>
        <w:spacing w:line="420" w:lineRule="exact"/>
        <w:ind w:left="1619" w:leftChars="771"/>
        <w:rPr>
          <w:rFonts w:hint="eastAsia"/>
          <w:color w:val="auto"/>
          <w:highlight w:val="none"/>
        </w:rPr>
      </w:pPr>
      <w:r>
        <w:rPr>
          <w:rFonts w:hint="eastAsia" w:ascii="宋体" w:cs="宋体"/>
          <w:color w:val="auto"/>
          <w:sz w:val="22"/>
          <w:szCs w:val="22"/>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9" name="文本框 10"/>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a:effectLst/>
                      </wps:spPr>
                      <wps:txbx>
                        <w:txbxContent>
                          <w:p w14:paraId="0F5F99F1">
                            <w:pPr>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wrap="square" upright="1"/>
                    </wps:wsp>
                  </a:graphicData>
                </a:graphic>
              </wp:anchor>
            </w:drawing>
          </mc:Choice>
          <mc:Fallback>
            <w:pict>
              <v:shape id="文本框 10"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CK+3Y1AAAAAgBAAAPAAAAAAAAAAEAIAAAACIAAABkcnMvZG93bnJldi54bWxQSwECFAAUAAAA&#10;CACHTuJASYZGNLkBAABqAwAADgAAAAAAAAABACAAAAAjAQAAZHJzL2Uyb0RvYy54bWxQSwUGAAAA&#10;AAYABgBZAQAATgUAAAAA&#10;">
                <v:fill on="f" focussize="0,0"/>
                <v:stroke on="f"/>
                <v:imagedata o:title=""/>
                <o:lock v:ext="edit" aspectratio="f"/>
                <v:textbox>
                  <w:txbxContent>
                    <w:p w14:paraId="0F5F99F1">
                      <w:pPr>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宋体" w:cs="宋体"/>
          <w:color w:val="auto"/>
          <w:sz w:val="22"/>
          <w:szCs w:val="22"/>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32B7F357">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5.3  </w:t>
      </w:r>
      <w:r>
        <w:rPr>
          <w:rFonts w:hint="eastAsia" w:ascii="宋体" w:hAnsi="宋体" w:cs="宋体"/>
          <w:b/>
          <w:bCs/>
          <w:color w:val="auto"/>
          <w:sz w:val="22"/>
          <w:szCs w:val="22"/>
          <w:highlight w:val="none"/>
          <w:u w:val="dotted"/>
        </w:rPr>
        <w:t xml:space="preserve">                                                                                                       </w:t>
      </w:r>
    </w:p>
    <w:p w14:paraId="219289E7">
      <w:pPr>
        <w:tabs>
          <w:tab w:val="left" w:pos="497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0" name="文本框 11"/>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a:effectLst/>
                      </wps:spPr>
                      <wps:txbx>
                        <w:txbxContent>
                          <w:p w14:paraId="225678C2">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wps:txbx>
                      <wps:bodyPr wrap="square" upright="1"/>
                    </wps:wsp>
                  </a:graphicData>
                </a:graphic>
              </wp:anchor>
            </w:drawing>
          </mc:Choice>
          <mc:Fallback>
            <w:pict>
              <v:shape id="文本框 11"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spnAdUAAAAIAQAADwAAAAAAAAABACAAAAAiAAAAZHJzL2Rvd25yZXYueG1sUEsBAhQA&#10;FAAAAAgAh07iQF4ifte8AQAAawMAAA4AAAAAAAAAAQAgAAAAJAEAAGRycy9lMm9Eb2MueG1sUEsF&#10;BgAAAAAGAAYAWQEAAFIFAAAAAA==&#10;">
                <v:fill on="f" focussize="0,0"/>
                <v:stroke on="f"/>
                <v:imagedata o:title=""/>
                <o:lock v:ext="edit" aspectratio="f"/>
                <v:textbox>
                  <w:txbxContent>
                    <w:p w14:paraId="225678C2">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宋体" w:hAnsi="宋体" w:cs="宋体"/>
          <w:color w:val="auto"/>
          <w:sz w:val="22"/>
          <w:szCs w:val="22"/>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14:paraId="0B0E341F">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5.4  </w:t>
      </w:r>
      <w:r>
        <w:rPr>
          <w:rFonts w:hint="eastAsia" w:ascii="宋体" w:hAnsi="宋体" w:cs="宋体"/>
          <w:b/>
          <w:bCs/>
          <w:color w:val="auto"/>
          <w:sz w:val="22"/>
          <w:szCs w:val="22"/>
          <w:highlight w:val="none"/>
          <w:u w:val="dotted"/>
        </w:rPr>
        <w:t xml:space="preserve">                                                                                                       </w:t>
      </w:r>
    </w:p>
    <w:p w14:paraId="3049295E">
      <w:pPr>
        <w:tabs>
          <w:tab w:val="left" w:pos="497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1" name="文本框 1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a:effectLst/>
                      </wps:spPr>
                      <wps:txbx>
                        <w:txbxContent>
                          <w:p w14:paraId="56EE5B9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wrap="square" upright="1"/>
                    </wps:wsp>
                  </a:graphicData>
                </a:graphic>
              </wp:anchor>
            </w:drawing>
          </mc:Choice>
          <mc:Fallback>
            <w:pict>
              <v:shape id="文本框 12"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spnAdUAAAAIAQAADwAAAAAAAAABACAAAAAiAAAAZHJzL2Rvd25yZXYueG1sUEsBAhQA&#10;FAAAAAgAh07iQKT7BIm8AQAAawMAAA4AAAAAAAAAAQAgAAAAJAEAAGRycy9lMm9Eb2MueG1sUEsF&#10;BgAAAAAGAAYAWQEAAFIFAAAAAA==&#10;">
                <v:fill on="f" focussize="0,0"/>
                <v:stroke on="f"/>
                <v:imagedata o:title=""/>
                <o:lock v:ext="edit" aspectratio="f"/>
                <v:textbox>
                  <w:txbxContent>
                    <w:p w14:paraId="56EE5B9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宋体" w:hAnsi="宋体" w:cs="宋体"/>
          <w:color w:val="auto"/>
          <w:sz w:val="22"/>
          <w:szCs w:val="22"/>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14:paraId="146B4F0D">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5.5  </w:t>
      </w:r>
      <w:r>
        <w:rPr>
          <w:rFonts w:hint="eastAsia" w:ascii="宋体" w:hAnsi="宋体" w:cs="宋体"/>
          <w:b/>
          <w:bCs/>
          <w:color w:val="auto"/>
          <w:sz w:val="22"/>
          <w:szCs w:val="22"/>
          <w:highlight w:val="none"/>
          <w:u w:val="dotted"/>
        </w:rPr>
        <w:t xml:space="preserve">                                                                                                       </w:t>
      </w:r>
    </w:p>
    <w:p w14:paraId="797F3B58">
      <w:pPr>
        <w:tabs>
          <w:tab w:val="left" w:pos="497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2" name="文本框 13"/>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a:effectLst/>
                      </wps:spPr>
                      <wps:txbx>
                        <w:txbxContent>
                          <w:p w14:paraId="7B18D7F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wrap="square" upright="1"/>
                    </wps:wsp>
                  </a:graphicData>
                </a:graphic>
              </wp:anchor>
            </w:drawing>
          </mc:Choice>
          <mc:Fallback>
            <w:pict>
              <v:shape id="文本框 13"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bKZwHVAAAACAEAAA8AAAAAAAAAAQAgAAAAIgAAAGRycy9kb3ducmV2LnhtbFBLAQIU&#10;ABQAAAAIAIdO4kBwMAErvQEAAGsDAAAOAAAAAAAAAAEAIAAAACQBAABkcnMvZTJvRG9jLnhtbFBL&#10;BQYAAAAABgAGAFkBAABTBQAAAAA=&#10;">
                <v:fill on="f" focussize="0,0"/>
                <v:stroke on="f"/>
                <v:imagedata o:title=""/>
                <o:lock v:ext="edit" aspectratio="f"/>
                <v:textbox>
                  <w:txbxContent>
                    <w:p w14:paraId="7B18D7F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宋体" w:hAnsi="宋体" w:cs="宋体"/>
          <w:color w:val="auto"/>
          <w:sz w:val="22"/>
          <w:szCs w:val="22"/>
          <w:highlight w:val="none"/>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14:paraId="36A691F2">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2901832C">
      <w:pPr>
        <w:pStyle w:val="4"/>
        <w:tabs>
          <w:tab w:val="left" w:pos="360"/>
          <w:tab w:val="left" w:pos="420"/>
        </w:tabs>
        <w:spacing w:line="420" w:lineRule="exact"/>
        <w:ind w:left="720"/>
        <w:rPr>
          <w:rFonts w:ascii="宋体" w:hAnsi="宋体" w:cs="宋体"/>
          <w:color w:val="auto"/>
          <w:sz w:val="22"/>
          <w:szCs w:val="22"/>
          <w:highlight w:val="none"/>
        </w:rPr>
      </w:pPr>
      <w:bookmarkStart w:id="178" w:name="_Toc469383985"/>
      <w:bookmarkStart w:id="179" w:name="_Toc4689"/>
      <w:bookmarkStart w:id="180" w:name="_Toc28903"/>
      <w:r>
        <w:rPr>
          <w:rFonts w:hint="eastAsia" w:ascii="宋体" w:hAnsi="宋体" w:cs="宋体"/>
          <w:color w:val="auto"/>
          <w:sz w:val="22"/>
          <w:szCs w:val="22"/>
          <w:highlight w:val="none"/>
        </w:rPr>
        <w:t>6  通讯联络</w:t>
      </w:r>
      <w:bookmarkEnd w:id="178"/>
      <w:bookmarkEnd w:id="179"/>
      <w:bookmarkEnd w:id="180"/>
    </w:p>
    <w:p w14:paraId="37A643FB">
      <w:pPr>
        <w:pStyle w:val="22"/>
        <w:spacing w:line="420" w:lineRule="exact"/>
        <w:ind w:right="-238"/>
        <w:rPr>
          <w:rFonts w:hAnsi="宋体"/>
          <w:b/>
          <w:bCs/>
          <w:color w:val="auto"/>
          <w:sz w:val="22"/>
          <w:szCs w:val="22"/>
          <w:highlight w:val="none"/>
        </w:rPr>
      </w:pPr>
      <w:r>
        <w:rPr>
          <w:rFonts w:hint="eastAsia" w:hAnsi="宋体"/>
          <w:b/>
          <w:bCs/>
          <w:color w:val="auto"/>
          <w:sz w:val="22"/>
          <w:szCs w:val="22"/>
          <w:highlight w:val="none"/>
        </w:rPr>
        <w:t xml:space="preserve">6.1   </w:t>
      </w:r>
    </w:p>
    <w:p w14:paraId="13C5E84F">
      <w:pPr>
        <w:tabs>
          <w:tab w:val="left" w:pos="1620"/>
        </w:tabs>
        <w:spacing w:line="420" w:lineRule="exact"/>
        <w:ind w:left="1977" w:hanging="1977" w:hangingChars="895"/>
        <w:rPr>
          <w:rFonts w:ascii="宋体" w:hAnsi="宋体" w:cs="宋体"/>
          <w:color w:val="auto"/>
          <w:sz w:val="22"/>
          <w:szCs w:val="22"/>
          <w:highlight w:val="none"/>
        </w:rPr>
      </w:pPr>
      <w:r>
        <w:rPr>
          <w:rFonts w:hint="eastAsia" w:ascii="宋体" w:hAnsi="宋体" w:cs="宋体"/>
          <w:b/>
          <w:bCs/>
          <w:color w:val="auto"/>
          <w:sz w:val="22"/>
          <w:szCs w:val="22"/>
          <w:highlight w:val="none"/>
        </w:rPr>
        <w:t xml:space="preserve">通讯形式     </w:t>
      </w:r>
      <w:r>
        <w:rPr>
          <w:rFonts w:hint="eastAsia" w:ascii="宋体" w:hAnsi="宋体" w:cs="宋体"/>
          <w:color w:val="auto"/>
          <w:sz w:val="22"/>
          <w:szCs w:val="22"/>
          <w:highlight w:val="none"/>
        </w:rPr>
        <w:t>本合同中无论何处涉及到各方之间的申请、批准、确认、同意、决定、核实、通知、</w:t>
      </w:r>
    </w:p>
    <w:p w14:paraId="66578C8B">
      <w:pPr>
        <w:tabs>
          <w:tab w:val="left" w:pos="1620"/>
        </w:tabs>
        <w:spacing w:line="420" w:lineRule="exact"/>
        <w:ind w:left="1977" w:hanging="1977" w:hangingChars="895"/>
        <w:rPr>
          <w:rFonts w:ascii="宋体" w:hAnsi="宋体" w:cs="宋体"/>
          <w:color w:val="auto"/>
          <w:sz w:val="22"/>
          <w:szCs w:val="22"/>
          <w:highlight w:val="none"/>
        </w:rPr>
      </w:pPr>
      <w:r>
        <w:rPr>
          <w:rFonts w:hint="eastAsia" w:ascii="宋体" w:hAnsi="宋体" w:cs="宋体"/>
          <w:b/>
          <w:bCs/>
          <w:color w:val="auto"/>
          <w:sz w:val="22"/>
          <w:szCs w:val="22"/>
          <w:highlight w:val="none"/>
        </w:rPr>
        <w:t xml:space="preserve">             </w:t>
      </w:r>
      <w:r>
        <w:rPr>
          <w:rFonts w:hint="eastAsia" w:ascii="宋体" w:hAnsi="宋体" w:cs="宋体"/>
          <w:color w:val="auto"/>
          <w:sz w:val="22"/>
          <w:szCs w:val="22"/>
          <w:highlight w:val="none"/>
        </w:rPr>
        <w:t>任命、指令、要求、意见、证明、证件或表示同意、否定等的通讯（含派人面交、</w:t>
      </w:r>
    </w:p>
    <w:p w14:paraId="45C74257">
      <w:pPr>
        <w:tabs>
          <w:tab w:val="left" w:pos="1620"/>
        </w:tabs>
        <w:spacing w:line="420" w:lineRule="exact"/>
        <w:ind w:left="1969" w:hanging="1968" w:hangingChars="895"/>
        <w:rPr>
          <w:rFonts w:ascii="宋体" w:hAnsi="宋体" w:cs="宋体"/>
          <w:color w:val="auto"/>
          <w:sz w:val="22"/>
          <w:szCs w:val="22"/>
          <w:highlight w:val="none"/>
        </w:rPr>
      </w:pPr>
      <w:r>
        <w:rPr>
          <w:rFonts w:hint="eastAsia" w:ascii="宋体" w:hAnsi="宋体" w:cs="宋体"/>
          <w:color w:val="auto"/>
          <w:sz w:val="22"/>
          <w:szCs w:val="22"/>
          <w:highlight w:val="none"/>
        </w:rPr>
        <w:t xml:space="preserve">             邮寄、电子传输等），均应采用书面形式，且只有在对方当事人收到后方能生效。</w:t>
      </w:r>
    </w:p>
    <w:p w14:paraId="527B4295">
      <w:pPr>
        <w:pStyle w:val="22"/>
        <w:spacing w:line="420" w:lineRule="exact"/>
        <w:ind w:right="-238"/>
        <w:rPr>
          <w:rFonts w:hAnsi="宋体"/>
          <w:b/>
          <w:bCs/>
          <w:color w:val="auto"/>
          <w:sz w:val="22"/>
          <w:szCs w:val="22"/>
          <w:highlight w:val="none"/>
        </w:rPr>
      </w:pPr>
      <w:r>
        <w:rPr>
          <w:rFonts w:hint="eastAsia" w:hAnsi="宋体"/>
          <w:b/>
          <w:bCs/>
          <w:color w:val="auto"/>
          <w:sz w:val="22"/>
          <w:szCs w:val="22"/>
          <w:highlight w:val="none"/>
        </w:rPr>
        <w:t xml:space="preserve">6.2  </w:t>
      </w:r>
      <w:r>
        <w:rPr>
          <w:rFonts w:hint="eastAsia" w:hAnsi="宋体"/>
          <w:b/>
          <w:bCs/>
          <w:color w:val="auto"/>
          <w:sz w:val="22"/>
          <w:szCs w:val="22"/>
          <w:highlight w:val="none"/>
          <w:u w:val="dotted"/>
        </w:rPr>
        <w:t xml:space="preserve">                                                                              </w:t>
      </w:r>
    </w:p>
    <w:p w14:paraId="1560C34D">
      <w:pPr>
        <w:pStyle w:val="22"/>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13" name="文本框 1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0D0DB75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870+vUAAAABwEAAA8AAAAAAAAAAQAgAAAAIgAAAGRycy9kb3ducmV2LnhtbFBLAQIUABQA&#10;AAAIAIdO4kDIi/ptuwEAAGsDAAAOAAAAAAAAAAEAIAAAACMBAABkcnMvZTJvRG9jLnhtbFBLBQYA&#10;AAAABgAGAFkBAABQBQAAAAA=&#10;">
                <v:fill on="f" focussize="0,0"/>
                <v:stroke on="f"/>
                <v:imagedata o:title=""/>
                <o:lock v:ext="edit" aspectratio="f"/>
                <v:textbox>
                  <w:txbxContent>
                    <w:p w14:paraId="0D0DB75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hAnsi="宋体"/>
          <w:color w:val="auto"/>
          <w:sz w:val="22"/>
          <w:szCs w:val="22"/>
          <w:highlight w:val="none"/>
        </w:rPr>
        <w:t>合同中无论何处涉及到各方之间的通讯都不应无理扣压或拖延。合同双方当事人</w:t>
      </w:r>
    </w:p>
    <w:p w14:paraId="68F6DEE8">
      <w:pPr>
        <w:pStyle w:val="22"/>
        <w:spacing w:line="420" w:lineRule="exact"/>
        <w:ind w:left="1619" w:leftChars="771"/>
        <w:rPr>
          <w:rFonts w:hAnsi="宋体"/>
          <w:color w:val="auto"/>
          <w:sz w:val="22"/>
          <w:szCs w:val="22"/>
          <w:highlight w:val="none"/>
        </w:rPr>
      </w:pPr>
      <w:r>
        <w:rPr>
          <w:rFonts w:hint="eastAsia" w:hAnsi="宋体"/>
          <w:color w:val="auto"/>
          <w:sz w:val="22"/>
          <w:szCs w:val="22"/>
          <w:highlight w:val="none"/>
        </w:rPr>
        <w:t>应在专用条款中约定各方通讯地址和收件人，并按照约定期限内送达指定地点和接收人。</w:t>
      </w:r>
    </w:p>
    <w:p w14:paraId="7231C38C">
      <w:pPr>
        <w:pStyle w:val="22"/>
        <w:spacing w:line="420" w:lineRule="exact"/>
        <w:ind w:left="1619" w:leftChars="771"/>
        <w:rPr>
          <w:rFonts w:hAnsi="宋体"/>
          <w:color w:val="auto"/>
          <w:sz w:val="22"/>
          <w:szCs w:val="22"/>
          <w:highlight w:val="none"/>
        </w:rPr>
      </w:pPr>
      <w:r>
        <w:rPr>
          <w:rFonts w:hint="eastAsia" w:hAnsi="宋体"/>
          <w:color w:val="auto"/>
          <w:sz w:val="22"/>
          <w:szCs w:val="22"/>
          <w:highlight w:val="none"/>
        </w:rPr>
        <w:t>收件人应在通讯回执上签署姓名和时间。一方当事人拒绝签收另一方当事人通讯，另一方当事人以特快专递、挂号信等专用条款约定的方式将通讯送至通讯地址的，视为送达。</w:t>
      </w:r>
    </w:p>
    <w:p w14:paraId="5D668C01">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096F5C82">
      <w:pPr>
        <w:pStyle w:val="4"/>
        <w:tabs>
          <w:tab w:val="left" w:pos="360"/>
          <w:tab w:val="left" w:pos="420"/>
        </w:tabs>
        <w:spacing w:line="420" w:lineRule="exact"/>
        <w:ind w:left="720"/>
        <w:rPr>
          <w:rFonts w:ascii="宋体" w:hAnsi="宋体" w:cs="宋体"/>
          <w:color w:val="auto"/>
          <w:sz w:val="22"/>
          <w:szCs w:val="22"/>
          <w:highlight w:val="none"/>
        </w:rPr>
      </w:pPr>
      <w:bookmarkStart w:id="181" w:name="_Toc469383986"/>
      <w:bookmarkStart w:id="182" w:name="_Toc19326"/>
      <w:bookmarkStart w:id="183" w:name="_Toc5105"/>
      <w:r>
        <w:rPr>
          <w:rFonts w:hint="eastAsia" w:ascii="宋体" w:hAnsi="宋体" w:cs="宋体"/>
          <w:color w:val="auto"/>
          <w:sz w:val="22"/>
          <w:szCs w:val="22"/>
          <w:highlight w:val="none"/>
        </w:rPr>
        <w:t>7  工程分包</w:t>
      </w:r>
      <w:bookmarkEnd w:id="181"/>
      <w:bookmarkEnd w:id="182"/>
      <w:bookmarkEnd w:id="183"/>
    </w:p>
    <w:p w14:paraId="3407DA59">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14" name="文本框 15"/>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a:effectLst/>
                      </wps:spPr>
                      <wps:txbx>
                        <w:txbxContent>
                          <w:p w14:paraId="58CFD32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6529DDA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wps:txbx>
                      <wps:bodyPr wrap="square" upright="1"/>
                    </wps:wsp>
                  </a:graphicData>
                </a:graphic>
              </wp:anchor>
            </w:drawing>
          </mc:Choice>
          <mc:Fallback>
            <w:pict>
              <v:shape id="文本框 15"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J0O1XXAAAACgEAAA8AAAAAAAAAAQAgAAAAIgAAAGRycy9kb3ducmV2LnhtbFBLAQIU&#10;ABQAAAAIAIdO4kDWyapEuwEAAGwDAAAOAAAAAAAAAAEAIAAAACYBAABkcnMvZTJvRG9jLnhtbFBL&#10;BQYAAAAABgAGAFkBAABTBQAAAAA=&#10;">
                <v:fill on="f" focussize="0,0"/>
                <v:stroke on="f"/>
                <v:imagedata o:title=""/>
                <o:lock v:ext="edit" aspectratio="f"/>
                <v:textbox>
                  <w:txbxContent>
                    <w:p w14:paraId="58CFD32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6529DDA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hAnsi="宋体"/>
          <w:b/>
          <w:bCs/>
          <w:color w:val="auto"/>
          <w:sz w:val="22"/>
          <w:szCs w:val="22"/>
          <w:highlight w:val="none"/>
        </w:rPr>
        <w:t xml:space="preserve">7.1   </w:t>
      </w:r>
    </w:p>
    <w:p w14:paraId="0BC53BA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承包人应自己实施、完成合同工程的主体结构。承包人不得将其承包的全部工程或将其肢解后以分包的名义转包给第三方，也不得将合同工程主体结构、关键性工作分包给第三方。</w:t>
      </w:r>
    </w:p>
    <w:p w14:paraId="10168449">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15" name="文本框 16"/>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a:effectLst/>
                      </wps:spPr>
                      <wps:txbx>
                        <w:txbxContent>
                          <w:p w14:paraId="0BAB742D">
                            <w:pPr>
                              <w:spacing w:line="240" w:lineRule="exact"/>
                              <w:rPr>
                                <w:rFonts w:ascii="楷体_GB2312" w:hAnsi="宋体" w:eastAsia="楷体_GB2312" w:cs="Times New Roman"/>
                                <w:b/>
                                <w:bCs/>
                                <w:color w:val="000000"/>
                                <w:sz w:val="18"/>
                                <w:szCs w:val="18"/>
                              </w:rPr>
                            </w:pPr>
                          </w:p>
                          <w:p w14:paraId="272BF03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52A1C47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wps:txbx>
                      <wps:bodyPr wrap="square" upright="1"/>
                    </wps:wsp>
                  </a:graphicData>
                </a:graphic>
              </wp:anchor>
            </w:drawing>
          </mc:Choice>
          <mc:Fallback>
            <w:pict>
              <v:shape id="文本框 16"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M4tS/XAAAACgEAAA8AAAAAAAAAAQAgAAAAIgAAAGRycy9kb3ducmV2LnhtbFBLAQIU&#10;ABQAAAAIAIdO4kAE2e2kuwEAAGwDAAAOAAAAAAAAAAEAIAAAACYBAABkcnMvZTJvRG9jLnhtbFBL&#10;BQYAAAAABgAGAFkBAABTBQAAAAA=&#10;">
                <v:fill on="f" focussize="0,0"/>
                <v:stroke on="f"/>
                <v:imagedata o:title=""/>
                <o:lock v:ext="edit" aspectratio="f"/>
                <v:textbox>
                  <w:txbxContent>
                    <w:p w14:paraId="0BAB742D">
                      <w:pPr>
                        <w:spacing w:line="240" w:lineRule="exact"/>
                        <w:rPr>
                          <w:rFonts w:ascii="楷体_GB2312" w:hAnsi="宋体" w:eastAsia="楷体_GB2312" w:cs="Times New Roman"/>
                          <w:b/>
                          <w:bCs/>
                          <w:color w:val="000000"/>
                          <w:sz w:val="18"/>
                          <w:szCs w:val="18"/>
                        </w:rPr>
                      </w:pPr>
                    </w:p>
                    <w:p w14:paraId="272BF03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52A1C47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int="eastAsia" w:hAnsi="宋体"/>
          <w:b/>
          <w:bCs/>
          <w:color w:val="auto"/>
          <w:sz w:val="22"/>
          <w:szCs w:val="22"/>
          <w:highlight w:val="none"/>
        </w:rPr>
        <w:t xml:space="preserve">7.2  </w:t>
      </w:r>
      <w:r>
        <w:rPr>
          <w:rFonts w:hint="eastAsia" w:hAnsi="宋体"/>
          <w:b/>
          <w:bCs/>
          <w:color w:val="auto"/>
          <w:sz w:val="22"/>
          <w:szCs w:val="22"/>
          <w:highlight w:val="none"/>
          <w:u w:val="dotted"/>
        </w:rPr>
        <w:t xml:space="preserve">                                                                              </w:t>
      </w:r>
      <w:r>
        <w:rPr>
          <w:rFonts w:hint="eastAsia" w:hAnsi="宋体"/>
          <w:b/>
          <w:bCs/>
          <w:color w:val="auto"/>
          <w:sz w:val="22"/>
          <w:szCs w:val="22"/>
          <w:highlight w:val="none"/>
        </w:rPr>
        <w:t xml:space="preserve">             </w:t>
      </w:r>
    </w:p>
    <w:p w14:paraId="1FD39B6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承包人可依法将部分工程分包给具有相应分包资质的分包人，但未经发包人同意，承包人不得将工程的任何部分或任何工作分包给第三方。下列情况则属例外：</w:t>
      </w:r>
    </w:p>
    <w:p w14:paraId="583C4850">
      <w:pPr>
        <w:pStyle w:val="22"/>
        <w:numPr>
          <w:ilvl w:val="0"/>
          <w:numId w:val="4"/>
        </w:numPr>
        <w:adjustRightInd w:val="0"/>
        <w:snapToGrid w:val="0"/>
        <w:spacing w:line="420" w:lineRule="exact"/>
        <w:ind w:firstLine="540"/>
        <w:rPr>
          <w:rFonts w:hAnsi="宋体"/>
          <w:color w:val="auto"/>
          <w:sz w:val="22"/>
          <w:szCs w:val="22"/>
          <w:highlight w:val="none"/>
        </w:rPr>
      </w:pPr>
      <w:r>
        <w:rPr>
          <w:rFonts w:hint="eastAsia" w:hAnsi="宋体"/>
          <w:color w:val="auto"/>
          <w:sz w:val="22"/>
          <w:szCs w:val="22"/>
          <w:highlight w:val="none"/>
        </w:rPr>
        <w:t>施工劳务作业分包；</w:t>
      </w:r>
    </w:p>
    <w:p w14:paraId="39098754">
      <w:pPr>
        <w:pStyle w:val="22"/>
        <w:numPr>
          <w:ilvl w:val="0"/>
          <w:numId w:val="4"/>
        </w:numPr>
        <w:adjustRightInd w:val="0"/>
        <w:snapToGrid w:val="0"/>
        <w:spacing w:line="420" w:lineRule="exact"/>
        <w:ind w:firstLine="540"/>
        <w:rPr>
          <w:rFonts w:hAnsi="宋体"/>
          <w:color w:val="auto"/>
          <w:sz w:val="22"/>
          <w:szCs w:val="22"/>
          <w:highlight w:val="none"/>
        </w:rPr>
      </w:pPr>
      <w:r>
        <w:rPr>
          <w:rFonts w:hint="eastAsia" w:hAnsi="宋体"/>
          <w:color w:val="auto"/>
          <w:sz w:val="22"/>
          <w:szCs w:val="22"/>
          <w:highlight w:val="none"/>
        </w:rPr>
        <w:t>按照合同约定的标准购买材料和工程设备；</w:t>
      </w:r>
    </w:p>
    <w:p w14:paraId="385D09F4">
      <w:pPr>
        <w:pStyle w:val="22"/>
        <w:numPr>
          <w:ilvl w:val="0"/>
          <w:numId w:val="4"/>
        </w:numPr>
        <w:adjustRightInd w:val="0"/>
        <w:snapToGrid w:val="0"/>
        <w:spacing w:line="420" w:lineRule="exact"/>
        <w:ind w:left="1077" w:firstLine="539"/>
        <w:rPr>
          <w:rFonts w:hAnsi="宋体"/>
          <w:color w:val="auto"/>
          <w:sz w:val="22"/>
          <w:szCs w:val="22"/>
          <w:highlight w:val="none"/>
        </w:rPr>
      </w:pPr>
      <w:r>
        <w:rPr>
          <w:rFonts w:hint="eastAsia" w:hAnsi="宋体"/>
          <w:color w:val="auto"/>
          <w:sz w:val="22"/>
          <w:szCs w:val="22"/>
          <w:highlight w:val="none"/>
        </w:rPr>
        <w:t>合同中已指定的分包工程。</w:t>
      </w:r>
    </w:p>
    <w:p w14:paraId="4F277166">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7.3  </w:t>
      </w:r>
      <w:r>
        <w:rPr>
          <w:rFonts w:hint="eastAsia" w:hAnsi="宋体"/>
          <w:b/>
          <w:bCs/>
          <w:color w:val="auto"/>
          <w:sz w:val="22"/>
          <w:szCs w:val="22"/>
          <w:highlight w:val="none"/>
          <w:u w:val="dotted"/>
        </w:rPr>
        <w:t xml:space="preserve">                                                                                                        </w:t>
      </w:r>
    </w:p>
    <w:p w14:paraId="09AEF90F">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16" name="文本框 17"/>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a:effectLst/>
                      </wps:spPr>
                      <wps:txbx>
                        <w:txbxContent>
                          <w:p w14:paraId="7F22292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17"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Ik35w1AAAAAcBAAAPAAAAAAAAAAEAIAAAACIAAABkcnMvZG93bnJldi54bWxQSwECFAAU&#10;AAAACACHTuJA/B9UW7wBAABsAwAADgAAAAAAAAABACAAAAAjAQAAZHJzL2Uyb0RvYy54bWxQSwUG&#10;AAAAAAYABgBZAQAAUQUAAAAA&#10;">
                <v:fill on="f" focussize="0,0"/>
                <v:stroke on="f"/>
                <v:imagedata o:title=""/>
                <o:lock v:ext="edit" aspectratio="f"/>
                <v:textbox>
                  <w:txbxContent>
                    <w:p w14:paraId="7F22292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hAnsi="宋体"/>
          <w:color w:val="auto"/>
          <w:sz w:val="22"/>
          <w:szCs w:val="22"/>
          <w:highlight w:val="none"/>
        </w:rPr>
        <w:t>承包人分包工程的，应与分包人签订分包合同，并在分包合同签订后的7天内向发包人和监理工程师、造价工程师各提交一份分包合同。承包人有义务禁止分包人将分包工程再次分包。</w:t>
      </w:r>
    </w:p>
    <w:p w14:paraId="049D6F2C">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17" name="文本框 1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3D86281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18"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iAVyPXAAAACgEAAA8AAAAAAAAAAQAgAAAAIgAAAGRycy9kb3ducmV2LnhtbFBLAQIU&#10;ABQAAAAIAIdO4kBfiB1ZuwEAAGsDAAAOAAAAAAAAAAEAIAAAACYBAABkcnMvZTJvRG9jLnhtbFBL&#10;BQYAAAAABgAGAFkBAABTBQAAAAA=&#10;">
                <v:fill on="f" focussize="0,0"/>
                <v:stroke on="f"/>
                <v:imagedata o:title=""/>
                <o:lock v:ext="edit" aspectratio="f"/>
                <v:textbox>
                  <w:txbxContent>
                    <w:p w14:paraId="3D86281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hAnsi="宋体"/>
          <w:b/>
          <w:bCs/>
          <w:color w:val="auto"/>
          <w:sz w:val="22"/>
          <w:szCs w:val="22"/>
          <w:highlight w:val="none"/>
        </w:rPr>
        <w:t xml:space="preserve">7.4  </w:t>
      </w:r>
      <w:r>
        <w:rPr>
          <w:rFonts w:hint="eastAsia" w:hAnsi="宋体"/>
          <w:b/>
          <w:bCs/>
          <w:color w:val="auto"/>
          <w:sz w:val="22"/>
          <w:szCs w:val="22"/>
          <w:highlight w:val="none"/>
          <w:u w:val="dotted"/>
        </w:rPr>
        <w:t xml:space="preserve">                                                                                                        </w:t>
      </w:r>
    </w:p>
    <w:p w14:paraId="252E8DE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14:paraId="06208F6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14:paraId="6CF54E17">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18" name="文本框 1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683F8138">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wps:txbx>
                      <wps:bodyPr wrap="square" upright="1"/>
                    </wps:wsp>
                  </a:graphicData>
                </a:graphic>
              </wp:anchor>
            </w:drawing>
          </mc:Choice>
          <mc:Fallback>
            <w:pict>
              <v:shape id="文本框 19"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HD7ctcAAAAKAQAADwAAAAAAAAABACAAAAAiAAAAZHJzL2Rvd25yZXYueG1sUEsBAhQA&#10;FAAAAAgAh07iQMLHFl66AQAAawMAAA4AAAAAAAAAAQAgAAAAJgEAAGRycy9lMm9Eb2MueG1sUEsF&#10;BgAAAAAGAAYAWQEAAFIFAAAAAA==&#10;">
                <v:fill on="f" focussize="0,0"/>
                <v:stroke on="f"/>
                <v:imagedata o:title=""/>
                <o:lock v:ext="edit" aspectratio="f"/>
                <v:textbox>
                  <w:txbxContent>
                    <w:p w14:paraId="683F8138">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int="eastAsia" w:hAnsi="宋体"/>
          <w:b/>
          <w:bCs/>
          <w:color w:val="auto"/>
          <w:sz w:val="22"/>
          <w:szCs w:val="22"/>
          <w:highlight w:val="none"/>
        </w:rPr>
        <w:t xml:space="preserve">7.5  </w:t>
      </w:r>
      <w:r>
        <w:rPr>
          <w:rFonts w:hint="eastAsia" w:hAnsi="宋体"/>
          <w:b/>
          <w:bCs/>
          <w:color w:val="auto"/>
          <w:sz w:val="22"/>
          <w:szCs w:val="22"/>
          <w:highlight w:val="none"/>
          <w:u w:val="dotted"/>
        </w:rPr>
        <w:t xml:space="preserve">                                                                                                         </w:t>
      </w:r>
    </w:p>
    <w:p w14:paraId="11B448C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工程分包不能免除承包人应承担的任何责任和应履行的任何义务。承包人应在分包场地派驻相应管理人员保证本合同的履行。</w:t>
      </w:r>
    </w:p>
    <w:p w14:paraId="59526F9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分包人应对分包工程负责。分包人的任何违约行为或疏忽导致工程损坏、损害或给发包人造成损失的，承包人应承担连带责任。</w:t>
      </w:r>
    </w:p>
    <w:p w14:paraId="2A974CCB">
      <w:pPr>
        <w:pStyle w:val="22"/>
        <w:adjustRightInd w:val="0"/>
        <w:snapToGrid w:val="0"/>
        <w:spacing w:line="420" w:lineRule="exact"/>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19" name="文本框 20"/>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a:effectLst/>
                      </wps:spPr>
                      <wps:txbx>
                        <w:txbxContent>
                          <w:p w14:paraId="327F193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20"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McytYAAAAJAQAADwAAAAAAAAABACAAAAAiAAAAZHJzL2Rvd25yZXYueG1sUEsBAhQA&#10;FAAAAAgAh07iQFHDT9m7AQAAawMAAA4AAAAAAAAAAQAgAAAAJQEAAGRycy9lMm9Eb2MueG1sUEsF&#10;BgAAAAAGAAYAWQEAAFIFAAAAAA==&#10;">
                <v:fill on="f" focussize="0,0"/>
                <v:stroke on="f"/>
                <v:imagedata o:title=""/>
                <o:lock v:ext="edit" aspectratio="f"/>
                <v:textbox>
                  <w:txbxContent>
                    <w:p w14:paraId="327F193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hAnsi="宋体"/>
          <w:b/>
          <w:bCs/>
          <w:color w:val="auto"/>
          <w:sz w:val="22"/>
          <w:szCs w:val="22"/>
          <w:highlight w:val="none"/>
        </w:rPr>
        <w:t xml:space="preserve">7.6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27AE083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无论何种原因，当本合同终止时，分包人与承包人签订的分包合同也随即终止。承包人应在本合同终止前向分包人支付分包人应得所有款项。</w:t>
      </w:r>
    </w:p>
    <w:p w14:paraId="08F9C645">
      <w:pPr>
        <w:pStyle w:val="22"/>
        <w:tabs>
          <w:tab w:val="left" w:pos="1260"/>
        </w:tabs>
        <w:adjustRightInd w:val="0"/>
        <w:snapToGrid w:val="0"/>
        <w:spacing w:before="120" w:beforeLines="50" w:line="420" w:lineRule="exact"/>
        <w:rPr>
          <w:rFonts w:hAnsi="宋体"/>
          <w:b/>
          <w:bCs/>
          <w:color w:val="auto"/>
          <w:sz w:val="22"/>
          <w:szCs w:val="22"/>
          <w:highlight w:val="none"/>
        </w:rPr>
      </w:pPr>
      <w:r>
        <w:rPr>
          <w:rFonts w:hint="eastAsia" w:hAnsi="宋体"/>
          <w:b/>
          <w:bCs/>
          <w:color w:val="auto"/>
          <w:sz w:val="22"/>
          <w:szCs w:val="22"/>
          <w:highlight w:val="none"/>
          <w:u w:val="single"/>
        </w:rPr>
        <w:t xml:space="preserve">                                                                                                             </w:t>
      </w:r>
    </w:p>
    <w:p w14:paraId="2AEE5201">
      <w:pPr>
        <w:pStyle w:val="4"/>
        <w:tabs>
          <w:tab w:val="left" w:pos="360"/>
          <w:tab w:val="left" w:pos="420"/>
        </w:tabs>
        <w:spacing w:line="420" w:lineRule="exact"/>
        <w:ind w:left="720"/>
        <w:rPr>
          <w:rFonts w:ascii="宋体" w:hAnsi="宋体" w:cs="宋体"/>
          <w:color w:val="auto"/>
          <w:sz w:val="22"/>
          <w:szCs w:val="22"/>
          <w:highlight w:val="none"/>
        </w:rPr>
      </w:pPr>
      <w:bookmarkStart w:id="184" w:name="_Toc469383987"/>
      <w:bookmarkStart w:id="185" w:name="_Toc1977"/>
      <w:bookmarkStart w:id="186" w:name="_Toc10646"/>
      <w:r>
        <w:rPr>
          <w:rFonts w:hint="eastAsia" w:ascii="宋体" w:hAnsi="宋体" w:cs="宋体"/>
          <w:color w:val="auto"/>
          <w:sz w:val="22"/>
          <w:szCs w:val="22"/>
          <w:highlight w:val="none"/>
        </w:rPr>
        <w:t>8  现场查勘</w:t>
      </w:r>
      <w:bookmarkEnd w:id="184"/>
      <w:bookmarkEnd w:id="185"/>
      <w:bookmarkEnd w:id="186"/>
    </w:p>
    <w:p w14:paraId="36939C41">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20" name="文本框 2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3F458924">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21"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moEmP2AAAAAoBAAAPAAAAAAAAAAEAIAAAACIAAABkcnMvZG93bnJldi54bWxQSwEC&#10;FAAUAAAACACHTuJAa0uPRrsBAABrAwAADgAAAAAAAAABACAAAAAnAQAAZHJzL2Uyb0RvYy54bWxQ&#10;SwUGAAAAAAYABgBZAQAAVAUAAAAA&#10;">
                <v:fill on="f" focussize="0,0"/>
                <v:stroke on="f"/>
                <v:imagedata o:title=""/>
                <o:lock v:ext="edit" aspectratio="f"/>
                <v:textbox>
                  <w:txbxContent>
                    <w:p w14:paraId="3F458924">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hAnsi="宋体"/>
          <w:b/>
          <w:bCs/>
          <w:color w:val="auto"/>
          <w:sz w:val="22"/>
          <w:szCs w:val="22"/>
          <w:highlight w:val="none"/>
        </w:rPr>
        <w:t xml:space="preserve">8.1                                                                                </w:t>
      </w:r>
    </w:p>
    <w:p w14:paraId="72D5FAE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发包人应按照第19.2款第（4）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14:paraId="1EA93268">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8.2  </w:t>
      </w:r>
      <w:r>
        <w:rPr>
          <w:rFonts w:hint="eastAsia" w:hAnsi="宋体"/>
          <w:b/>
          <w:bCs/>
          <w:color w:val="auto"/>
          <w:sz w:val="22"/>
          <w:szCs w:val="22"/>
          <w:highlight w:val="none"/>
          <w:u w:val="dotted"/>
        </w:rPr>
        <w:t xml:space="preserve">                                                                                                        </w:t>
      </w:r>
    </w:p>
    <w:p w14:paraId="2D9C03FD">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21" name="文本框 22"/>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a:effectLst/>
                      </wps:spPr>
                      <wps:txbx>
                        <w:txbxContent>
                          <w:p w14:paraId="2D02A872">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22"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aYpR9QAAAAHAQAADwAAAAAAAAABACAAAAAiAAAAZHJzL2Rvd25yZXYueG1sUEsBAhQA&#10;FAAAAAgAh07iQCADpwK9AQAAawMAAA4AAAAAAAAAAQAgAAAAIwEAAGRycy9lMm9Eb2MueG1sUEsF&#10;BgAAAAAGAAYAWQEAAFIFAAAAAA==&#10;">
                <v:fill on="f" focussize="0,0"/>
                <v:stroke on="f"/>
                <v:imagedata o:title=""/>
                <o:lock v:ext="edit" aspectratio="f"/>
                <v:textbox>
                  <w:txbxContent>
                    <w:p w14:paraId="2D02A872">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hAnsi="宋体"/>
          <w:color w:val="auto"/>
          <w:sz w:val="22"/>
          <w:szCs w:val="22"/>
          <w:highlight w:val="none"/>
        </w:rPr>
        <w:t>承包人应依据发包人按照第19.2款第（4）点规定提供的资料和自己对现场查勘来编制投标文件，并对发包人提供上述资料的理解、推断和应用负责。因承包人未能充分查勘、了解以下情况或未能充分估计以下情况所可能产生后果的，承包人承担由此增加的费用和（或）延误的工期。承包人的投标文件应被认为已经考虑了现场及其周围环境的影响，包括但不限于以下内容：</w:t>
      </w:r>
    </w:p>
    <w:p w14:paraId="429B25A3">
      <w:pPr>
        <w:pStyle w:val="22"/>
        <w:adjustRightInd w:val="0"/>
        <w:snapToGrid w:val="0"/>
        <w:spacing w:line="420" w:lineRule="exact"/>
        <w:ind w:left="1619"/>
        <w:rPr>
          <w:rFonts w:hAnsi="宋体"/>
          <w:color w:val="auto"/>
          <w:sz w:val="22"/>
          <w:szCs w:val="22"/>
          <w:highlight w:val="none"/>
        </w:rPr>
      </w:pPr>
      <w:r>
        <w:rPr>
          <w:rFonts w:hint="eastAsia" w:hAnsi="宋体"/>
          <w:color w:val="auto"/>
          <w:sz w:val="22"/>
          <w:szCs w:val="22"/>
          <w:highlight w:val="none"/>
        </w:rPr>
        <w:t>（1）现场地质情况及地形地貌特征；</w:t>
      </w:r>
    </w:p>
    <w:p w14:paraId="7ED91B40">
      <w:pPr>
        <w:pStyle w:val="22"/>
        <w:adjustRightInd w:val="0"/>
        <w:snapToGrid w:val="0"/>
        <w:spacing w:line="420" w:lineRule="exact"/>
        <w:ind w:left="1619"/>
        <w:rPr>
          <w:rFonts w:hAnsi="宋体"/>
          <w:color w:val="auto"/>
          <w:sz w:val="22"/>
          <w:szCs w:val="22"/>
          <w:highlight w:val="none"/>
        </w:rPr>
      </w:pPr>
      <w:r>
        <w:rPr>
          <w:rFonts w:hint="eastAsia" w:hAnsi="宋体"/>
          <w:color w:val="auto"/>
          <w:sz w:val="22"/>
          <w:szCs w:val="22"/>
          <w:highlight w:val="none"/>
        </w:rPr>
        <w:t>（2）水文和气候条件；</w:t>
      </w:r>
    </w:p>
    <w:p w14:paraId="234A12AE">
      <w:pPr>
        <w:pStyle w:val="22"/>
        <w:adjustRightInd w:val="0"/>
        <w:snapToGrid w:val="0"/>
        <w:spacing w:line="420" w:lineRule="exact"/>
        <w:ind w:left="1619"/>
        <w:rPr>
          <w:rFonts w:hAnsi="宋体"/>
          <w:color w:val="auto"/>
          <w:sz w:val="22"/>
          <w:szCs w:val="22"/>
          <w:highlight w:val="none"/>
        </w:rPr>
      </w:pPr>
      <w:r>
        <w:rPr>
          <w:rFonts w:hint="eastAsia" w:hAnsi="宋体"/>
          <w:color w:val="auto"/>
          <w:sz w:val="22"/>
          <w:szCs w:val="22"/>
          <w:highlight w:val="none"/>
        </w:rPr>
        <w:t>（3）为实施、完成并保修合同工程所需的临时工程和措施项目；</w:t>
      </w:r>
    </w:p>
    <w:p w14:paraId="6A2ABD18">
      <w:pPr>
        <w:pStyle w:val="22"/>
        <w:tabs>
          <w:tab w:val="left" w:pos="2580"/>
        </w:tabs>
        <w:adjustRightInd w:val="0"/>
        <w:snapToGrid w:val="0"/>
        <w:spacing w:line="420" w:lineRule="exact"/>
        <w:ind w:left="1619"/>
        <w:rPr>
          <w:rFonts w:hAnsi="宋体"/>
          <w:color w:val="auto"/>
          <w:sz w:val="22"/>
          <w:szCs w:val="22"/>
          <w:highlight w:val="none"/>
        </w:rPr>
      </w:pPr>
      <w:r>
        <w:rPr>
          <w:rFonts w:hint="eastAsia" w:hAnsi="宋体"/>
          <w:color w:val="auto"/>
          <w:sz w:val="22"/>
          <w:szCs w:val="22"/>
          <w:highlight w:val="none"/>
        </w:rPr>
        <w:t>（4）为实施、完成并保修合同工程所需的材料采购和加工、设备的采购，及所需的施工设备、周转性材料、人员和管理等；</w:t>
      </w:r>
    </w:p>
    <w:p w14:paraId="1DC6D7EF">
      <w:pPr>
        <w:pStyle w:val="22"/>
        <w:adjustRightInd w:val="0"/>
        <w:snapToGrid w:val="0"/>
        <w:spacing w:line="420" w:lineRule="exact"/>
        <w:ind w:left="1619"/>
        <w:rPr>
          <w:rFonts w:hAnsi="宋体"/>
          <w:color w:val="auto"/>
          <w:sz w:val="22"/>
          <w:szCs w:val="22"/>
          <w:highlight w:val="none"/>
        </w:rPr>
      </w:pPr>
      <w:r>
        <w:rPr>
          <w:rFonts w:hint="eastAsia" w:hAnsi="宋体"/>
          <w:color w:val="auto"/>
          <w:sz w:val="22"/>
          <w:szCs w:val="22"/>
          <w:highlight w:val="none"/>
        </w:rPr>
        <w:t>（5）场地内外的交通情况及水、电、食宿供应条件；</w:t>
      </w:r>
    </w:p>
    <w:p w14:paraId="53782664">
      <w:pPr>
        <w:pStyle w:val="22"/>
        <w:adjustRightInd w:val="0"/>
        <w:snapToGrid w:val="0"/>
        <w:spacing w:line="420" w:lineRule="exact"/>
        <w:ind w:left="1619"/>
        <w:rPr>
          <w:rFonts w:hAnsi="宋体"/>
          <w:color w:val="auto"/>
          <w:sz w:val="22"/>
          <w:szCs w:val="22"/>
          <w:highlight w:val="none"/>
        </w:rPr>
      </w:pPr>
      <w:r>
        <w:rPr>
          <w:rFonts w:hint="eastAsia" w:hAnsi="宋体"/>
          <w:color w:val="auto"/>
          <w:sz w:val="22"/>
          <w:szCs w:val="22"/>
          <w:highlight w:val="none"/>
        </w:rPr>
        <w:t>（6）可能对投标报价有影响或起作用的其他情况。</w:t>
      </w:r>
    </w:p>
    <w:p w14:paraId="6F8453C2">
      <w:pPr>
        <w:pStyle w:val="22"/>
        <w:adjustRightInd w:val="0"/>
        <w:snapToGrid w:val="0"/>
        <w:spacing w:line="420" w:lineRule="exact"/>
        <w:ind w:right="-238"/>
        <w:rPr>
          <w:rFonts w:hAnsi="宋体"/>
          <w:color w:val="auto"/>
          <w:sz w:val="22"/>
          <w:szCs w:val="22"/>
          <w:highlight w:val="none"/>
          <w:u w:val="single"/>
        </w:rPr>
      </w:pPr>
      <w:r>
        <w:rPr>
          <w:rFonts w:hint="eastAsia" w:hAnsi="宋体"/>
          <w:b/>
          <w:bCs/>
          <w:color w:val="auto"/>
          <w:sz w:val="22"/>
          <w:szCs w:val="22"/>
          <w:highlight w:val="none"/>
          <w:u w:val="single"/>
        </w:rPr>
        <w:t xml:space="preserve">                                                                                  </w:t>
      </w:r>
    </w:p>
    <w:p w14:paraId="71208F30">
      <w:pPr>
        <w:pStyle w:val="4"/>
        <w:tabs>
          <w:tab w:val="left" w:pos="360"/>
          <w:tab w:val="left" w:pos="420"/>
        </w:tabs>
        <w:spacing w:line="420" w:lineRule="exact"/>
        <w:ind w:left="720"/>
        <w:rPr>
          <w:rFonts w:ascii="宋体" w:hAnsi="宋体" w:cs="宋体"/>
          <w:color w:val="auto"/>
          <w:sz w:val="22"/>
          <w:szCs w:val="22"/>
          <w:highlight w:val="none"/>
        </w:rPr>
      </w:pPr>
      <w:bookmarkStart w:id="187" w:name="_Toc4449"/>
      <w:bookmarkStart w:id="188" w:name="_Toc22492"/>
      <w:bookmarkStart w:id="189" w:name="_Toc469383988"/>
      <w:r>
        <w:rPr>
          <w:rFonts w:hint="eastAsia" w:ascii="宋体" w:hAnsi="宋体" w:cs="宋体"/>
          <w:color w:val="auto"/>
          <w:sz w:val="22"/>
          <w:szCs w:val="22"/>
          <w:highlight w:val="none"/>
        </w:rPr>
        <w:t>9  招标错失的修正</w:t>
      </w:r>
      <w:bookmarkEnd w:id="187"/>
      <w:bookmarkEnd w:id="188"/>
      <w:bookmarkEnd w:id="189"/>
    </w:p>
    <w:p w14:paraId="2B09E305">
      <w:pPr>
        <w:pStyle w:val="22"/>
        <w:adjustRightInd w:val="0"/>
        <w:snapToGrid w:val="0"/>
        <w:spacing w:before="240" w:beforeLines="100"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22" name="文本框 2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5C98139D">
                            <w:pPr>
                              <w:pStyle w:val="22"/>
                              <w:tabs>
                                <w:tab w:val="left" w:pos="2160"/>
                              </w:tabs>
                              <w:spacing w:before="192" w:beforeLines="80"/>
                              <w:rPr>
                                <w:rFonts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合同条款及格式完备性和义务</w:t>
                            </w:r>
                          </w:p>
                          <w:p w14:paraId="6F707545">
                            <w:pPr>
                              <w:rPr>
                                <w:rFonts w:ascii="Times New Roman" w:hAnsi="Times New Roman" w:cs="Times New Roman"/>
                                <w:sz w:val="18"/>
                                <w:szCs w:val="18"/>
                              </w:rPr>
                            </w:pPr>
                          </w:p>
                        </w:txbxContent>
                      </wps:txbx>
                      <wps:bodyPr wrap="square" upright="1"/>
                    </wps:wsp>
                  </a:graphicData>
                </a:graphic>
              </wp:anchor>
            </w:drawing>
          </mc:Choice>
          <mc:Fallback>
            <w:pict>
              <v:shape id="文本框 23"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w6qA1wAAAAkBAAAPAAAAAAAAAAEAIAAAACIAAABkcnMvZG93bnJldi54bWxQSwEC&#10;FAAUAAAACACHTuJAeXBj/bwBAABrAwAADgAAAAAAAAABACAAAAAmAQAAZHJzL2Uyb0RvYy54bWxQ&#10;SwUGAAAAAAYABgBZAQAAVAUAAAAA&#10;">
                <v:fill on="f" focussize="0,0"/>
                <v:stroke on="f"/>
                <v:imagedata o:title=""/>
                <o:lock v:ext="edit" aspectratio="f"/>
                <v:textbox>
                  <w:txbxContent>
                    <w:p w14:paraId="5C98139D">
                      <w:pPr>
                        <w:pStyle w:val="22"/>
                        <w:tabs>
                          <w:tab w:val="left" w:pos="2160"/>
                        </w:tabs>
                        <w:spacing w:before="192" w:beforeLines="80"/>
                        <w:rPr>
                          <w:rFonts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合同条款及格式完备性和义务</w:t>
                      </w:r>
                    </w:p>
                    <w:p w14:paraId="6F707545">
                      <w:pPr>
                        <w:rPr>
                          <w:rFonts w:ascii="Times New Roman" w:hAnsi="Times New Roman" w:cs="Times New Roman"/>
                          <w:sz w:val="18"/>
                          <w:szCs w:val="18"/>
                        </w:rPr>
                      </w:pPr>
                    </w:p>
                  </w:txbxContent>
                </v:textbox>
              </v:shape>
            </w:pict>
          </mc:Fallback>
        </mc:AlternateContent>
      </w:r>
      <w:r>
        <w:rPr>
          <w:rFonts w:hint="eastAsia" w:hAnsi="宋体"/>
          <w:b/>
          <w:bCs/>
          <w:color w:val="auto"/>
          <w:sz w:val="22"/>
          <w:szCs w:val="22"/>
          <w:highlight w:val="none"/>
        </w:rPr>
        <w:t xml:space="preserve">9.1  </w:t>
      </w:r>
    </w:p>
    <w:p w14:paraId="2F93369A">
      <w:pPr>
        <w:pStyle w:val="22"/>
        <w:tabs>
          <w:tab w:val="left" w:pos="1980"/>
        </w:tabs>
        <w:spacing w:before="192" w:beforeLines="80" w:line="420" w:lineRule="exact"/>
        <w:ind w:left="1622"/>
        <w:rPr>
          <w:rFonts w:hAnsi="宋体"/>
          <w:color w:val="auto"/>
          <w:sz w:val="22"/>
          <w:szCs w:val="22"/>
          <w:highlight w:val="none"/>
        </w:rPr>
      </w:pPr>
      <w:r>
        <w:rPr>
          <w:rFonts w:hint="eastAsia" w:hAnsi="宋体"/>
          <w:color w:val="auto"/>
          <w:sz w:val="22"/>
          <w:szCs w:val="22"/>
          <w:highlight w:val="none"/>
        </w:rPr>
        <w:t>发包人招标文件中的合同条款及格式，应被认为是正确的和公平的，并已包括了发包人履行本合同的全部义务，包括但不限于以下内容：</w:t>
      </w:r>
    </w:p>
    <w:p w14:paraId="5B47C961">
      <w:pPr>
        <w:pStyle w:val="22"/>
        <w:tabs>
          <w:tab w:val="left" w:pos="2160"/>
        </w:tabs>
        <w:spacing w:line="420" w:lineRule="exact"/>
        <w:ind w:firstLine="1485" w:firstLineChars="675"/>
        <w:rPr>
          <w:rFonts w:hAnsi="宋体"/>
          <w:color w:val="auto"/>
          <w:sz w:val="22"/>
          <w:szCs w:val="22"/>
          <w:highlight w:val="none"/>
        </w:rPr>
      </w:pPr>
      <w:r>
        <w:rPr>
          <w:rFonts w:hint="eastAsia" w:hAnsi="宋体"/>
          <w:color w:val="auto"/>
          <w:sz w:val="22"/>
          <w:szCs w:val="22"/>
          <w:highlight w:val="none"/>
        </w:rPr>
        <w:t>（1）支付工程款及其他应付款项的义务；</w:t>
      </w:r>
    </w:p>
    <w:p w14:paraId="56F1925F">
      <w:pPr>
        <w:pStyle w:val="22"/>
        <w:tabs>
          <w:tab w:val="left" w:pos="2160"/>
        </w:tabs>
        <w:spacing w:line="420" w:lineRule="exact"/>
        <w:ind w:left="-61" w:leftChars="-29" w:firstLine="1540" w:firstLineChars="700"/>
        <w:rPr>
          <w:rFonts w:hAnsi="宋体"/>
          <w:color w:val="auto"/>
          <w:sz w:val="22"/>
          <w:szCs w:val="22"/>
          <w:highlight w:val="none"/>
        </w:rPr>
      </w:pPr>
      <w:r>
        <w:rPr>
          <w:rFonts w:hint="eastAsia" w:hAnsi="宋体"/>
          <w:color w:val="auto"/>
          <w:sz w:val="22"/>
          <w:szCs w:val="22"/>
          <w:highlight w:val="none"/>
        </w:rPr>
        <w:t>（2）完成本合同第19.2款约定工作的义务；</w:t>
      </w:r>
    </w:p>
    <w:p w14:paraId="554AC91D">
      <w:pPr>
        <w:pStyle w:val="22"/>
        <w:tabs>
          <w:tab w:val="left" w:pos="2160"/>
        </w:tabs>
        <w:spacing w:line="420" w:lineRule="exact"/>
        <w:ind w:left="-61" w:leftChars="-29" w:firstLine="1540" w:firstLineChars="700"/>
        <w:rPr>
          <w:rFonts w:hAnsi="宋体"/>
          <w:color w:val="auto"/>
          <w:sz w:val="22"/>
          <w:szCs w:val="22"/>
          <w:highlight w:val="none"/>
        </w:rPr>
      </w:pPr>
      <w:r>
        <w:rPr>
          <w:rFonts w:hint="eastAsia" w:hAnsi="宋体"/>
          <w:color w:val="auto"/>
          <w:sz w:val="22"/>
          <w:szCs w:val="22"/>
          <w:highlight w:val="none"/>
        </w:rPr>
        <w:t>（3）修正不正确合同条款及格式的义务；</w:t>
      </w:r>
    </w:p>
    <w:p w14:paraId="47F99BE2">
      <w:pPr>
        <w:pStyle w:val="22"/>
        <w:tabs>
          <w:tab w:val="left" w:pos="2160"/>
        </w:tabs>
        <w:spacing w:line="420" w:lineRule="exact"/>
        <w:ind w:left="-61" w:leftChars="-29" w:firstLine="1540" w:firstLineChars="700"/>
        <w:rPr>
          <w:rFonts w:hAnsi="宋体"/>
          <w:color w:val="auto"/>
          <w:sz w:val="22"/>
          <w:szCs w:val="22"/>
          <w:highlight w:val="none"/>
        </w:rPr>
      </w:pPr>
      <w:r>
        <w:rPr>
          <w:rFonts w:hint="eastAsia" w:hAnsi="宋体"/>
          <w:color w:val="auto"/>
          <w:sz w:val="22"/>
          <w:szCs w:val="22"/>
          <w:highlight w:val="none"/>
        </w:rPr>
        <w:t>（4）澄清并改正被认定有失公平的合同条款的义务；</w:t>
      </w:r>
    </w:p>
    <w:p w14:paraId="2ED9A567">
      <w:pPr>
        <w:pStyle w:val="22"/>
        <w:tabs>
          <w:tab w:val="left" w:pos="2160"/>
        </w:tabs>
        <w:spacing w:line="420" w:lineRule="exact"/>
        <w:ind w:left="-61" w:leftChars="-29" w:firstLine="1540" w:firstLineChars="700"/>
        <w:rPr>
          <w:rFonts w:hAnsi="宋体"/>
          <w:b/>
          <w:bCs/>
          <w:color w:val="auto"/>
          <w:sz w:val="22"/>
          <w:szCs w:val="22"/>
          <w:highlight w:val="none"/>
        </w:rPr>
      </w:pPr>
      <w:r>
        <w:rPr>
          <w:rFonts w:hint="eastAsia" w:hAnsi="宋体"/>
          <w:color w:val="auto"/>
          <w:sz w:val="22"/>
          <w:szCs w:val="22"/>
          <w:highlight w:val="none"/>
        </w:rPr>
        <w:t>（5）协助承包人实施、完成并保修合同工程的义务。</w:t>
      </w:r>
    </w:p>
    <w:p w14:paraId="01B8C13F">
      <w:pPr>
        <w:pStyle w:val="22"/>
        <w:tabs>
          <w:tab w:val="left" w:pos="2160"/>
        </w:tabs>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23" name="文本框 24"/>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a:effectLst/>
                      </wps:spPr>
                      <wps:txbx>
                        <w:txbxContent>
                          <w:p w14:paraId="4DE85684">
                            <w:pPr>
                              <w:pStyle w:val="22"/>
                              <w:tabs>
                                <w:tab w:val="left" w:pos="2160"/>
                              </w:tabs>
                              <w:spacing w:before="192" w:beforeLines="80"/>
                              <w:rPr>
                                <w:rFonts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工程量清单准确性和修正</w:t>
                            </w:r>
                          </w:p>
                          <w:p w14:paraId="4D2D992D">
                            <w:pPr>
                              <w:rPr>
                                <w:rFonts w:ascii="Times New Roman" w:hAnsi="Times New Roman" w:cs="Times New Roman"/>
                                <w:sz w:val="18"/>
                                <w:szCs w:val="18"/>
                              </w:rPr>
                            </w:pPr>
                          </w:p>
                        </w:txbxContent>
                      </wps:txbx>
                      <wps:bodyPr wrap="square" upright="1"/>
                    </wps:wsp>
                  </a:graphicData>
                </a:graphic>
              </wp:anchor>
            </w:drawing>
          </mc:Choice>
          <mc:Fallback>
            <w:pict>
              <v:shape id="文本框 24"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4ztrdUAAAAIAQAADwAAAAAAAAABACAAAAAiAAAAZHJzL2Rvd25yZXYueG1sUEsBAhQA&#10;FAAAAAgAh07iQNA1fje8AQAAawMAAA4AAAAAAAAAAQAgAAAAJAEAAGRycy9lMm9Eb2MueG1sUEsF&#10;BgAAAAAGAAYAWQEAAFIFAAAAAA==&#10;">
                <v:fill on="f" focussize="0,0"/>
                <v:stroke on="f"/>
                <v:imagedata o:title=""/>
                <o:lock v:ext="edit" aspectratio="f"/>
                <v:textbox>
                  <w:txbxContent>
                    <w:p w14:paraId="4DE85684">
                      <w:pPr>
                        <w:pStyle w:val="22"/>
                        <w:tabs>
                          <w:tab w:val="left" w:pos="2160"/>
                        </w:tabs>
                        <w:spacing w:before="192" w:beforeLines="80"/>
                        <w:rPr>
                          <w:rFonts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工程量清单准确性和修正</w:t>
                      </w:r>
                    </w:p>
                    <w:p w14:paraId="4D2D992D">
                      <w:pPr>
                        <w:rPr>
                          <w:rFonts w:ascii="Times New Roman" w:hAnsi="Times New Roman" w:cs="Times New Roman"/>
                          <w:sz w:val="18"/>
                          <w:szCs w:val="18"/>
                        </w:rPr>
                      </w:pPr>
                    </w:p>
                  </w:txbxContent>
                </v:textbox>
              </v:shape>
            </w:pict>
          </mc:Fallback>
        </mc:AlternateContent>
      </w:r>
      <w:r>
        <w:rPr>
          <w:rFonts w:hint="eastAsia" w:hAnsi="宋体"/>
          <w:b/>
          <w:bCs/>
          <w:color w:val="auto"/>
          <w:sz w:val="22"/>
          <w:szCs w:val="22"/>
          <w:highlight w:val="none"/>
        </w:rPr>
        <w:t xml:space="preserve">9.2  </w:t>
      </w:r>
      <w:r>
        <w:rPr>
          <w:rFonts w:hint="eastAsia" w:hAnsi="宋体"/>
          <w:b/>
          <w:bCs/>
          <w:color w:val="auto"/>
          <w:sz w:val="22"/>
          <w:szCs w:val="22"/>
          <w:highlight w:val="none"/>
          <w:u w:val="dotted"/>
        </w:rPr>
        <w:t xml:space="preserve">                                                                               </w:t>
      </w:r>
    </w:p>
    <w:p w14:paraId="7E2895E5">
      <w:pPr>
        <w:pStyle w:val="22"/>
        <w:tabs>
          <w:tab w:val="left" w:pos="2160"/>
        </w:tabs>
        <w:spacing w:line="420" w:lineRule="exact"/>
        <w:ind w:left="1794" w:leftChars="828" w:hanging="55" w:hangingChars="25"/>
        <w:rPr>
          <w:rFonts w:hAnsi="宋体"/>
          <w:color w:val="auto"/>
          <w:sz w:val="22"/>
          <w:szCs w:val="22"/>
          <w:highlight w:val="none"/>
        </w:rPr>
      </w:pPr>
      <w:r>
        <w:rPr>
          <w:rFonts w:hint="eastAsia" w:hAnsi="宋体"/>
          <w:color w:val="auto"/>
          <w:sz w:val="22"/>
          <w:szCs w:val="22"/>
          <w:highlight w:val="none"/>
        </w:rPr>
        <w:t>发包人招标文件提供的工程量清单及其招标控制价等资料，应被认为是准确的和完整的。当出现下列情形之一的，发包人应及时予以修正，并相应调整合同价款：</w:t>
      </w:r>
    </w:p>
    <w:p w14:paraId="3288A92E">
      <w:pPr>
        <w:pStyle w:val="22"/>
        <w:tabs>
          <w:tab w:val="left" w:pos="2160"/>
        </w:tabs>
        <w:spacing w:line="420" w:lineRule="exact"/>
        <w:rPr>
          <w:rFonts w:hAnsi="宋体"/>
          <w:color w:val="auto"/>
          <w:sz w:val="22"/>
          <w:szCs w:val="22"/>
          <w:highlight w:val="none"/>
        </w:rPr>
      </w:pPr>
      <w:r>
        <w:rPr>
          <w:rFonts w:hint="eastAsia" w:hAnsi="宋体"/>
          <w:color w:val="auto"/>
          <w:sz w:val="22"/>
          <w:szCs w:val="22"/>
          <w:highlight w:val="none"/>
        </w:rPr>
        <w:t xml:space="preserve">             （1）施工设计图纸发生变化的；</w:t>
      </w:r>
    </w:p>
    <w:p w14:paraId="1D4B01ED">
      <w:pPr>
        <w:pStyle w:val="22"/>
        <w:tabs>
          <w:tab w:val="left" w:pos="2160"/>
        </w:tabs>
        <w:spacing w:line="420" w:lineRule="exact"/>
        <w:rPr>
          <w:rFonts w:hAnsi="宋体"/>
          <w:color w:val="auto"/>
          <w:sz w:val="22"/>
          <w:szCs w:val="22"/>
          <w:highlight w:val="none"/>
        </w:rPr>
      </w:pPr>
      <w:r>
        <w:rPr>
          <w:rFonts w:hint="eastAsia" w:hAnsi="宋体"/>
          <w:color w:val="auto"/>
          <w:sz w:val="22"/>
          <w:szCs w:val="22"/>
          <w:highlight w:val="none"/>
        </w:rPr>
        <w:t xml:space="preserve">             （2）出现第68.2款规定调整合同价款事件的；</w:t>
      </w:r>
    </w:p>
    <w:p w14:paraId="4FC7F30B">
      <w:pPr>
        <w:pStyle w:val="22"/>
        <w:tabs>
          <w:tab w:val="left" w:pos="2160"/>
        </w:tabs>
        <w:spacing w:line="420" w:lineRule="exact"/>
        <w:rPr>
          <w:rFonts w:hAnsi="宋体"/>
          <w:color w:val="auto"/>
          <w:sz w:val="22"/>
          <w:szCs w:val="22"/>
          <w:highlight w:val="none"/>
        </w:rPr>
      </w:pPr>
      <w:r>
        <w:rPr>
          <w:rFonts w:hint="eastAsia" w:hAnsi="宋体"/>
          <w:color w:val="auto"/>
          <w:sz w:val="22"/>
          <w:szCs w:val="22"/>
          <w:highlight w:val="none"/>
        </w:rPr>
        <w:t xml:space="preserve">             （3）未按照国家、省有关计价规定编制的其它情形。</w:t>
      </w:r>
    </w:p>
    <w:p w14:paraId="5072BD31">
      <w:pPr>
        <w:pStyle w:val="22"/>
        <w:tabs>
          <w:tab w:val="left" w:pos="2160"/>
        </w:tabs>
        <w:spacing w:line="420" w:lineRule="exact"/>
        <w:rPr>
          <w:rFonts w:hAnsi="宋体"/>
          <w:color w:val="auto"/>
          <w:sz w:val="22"/>
          <w:szCs w:val="22"/>
          <w:highlight w:val="none"/>
        </w:rPr>
      </w:pPr>
      <w:r>
        <w:rPr>
          <w:rFonts w:hint="eastAsia" w:hAnsi="宋体"/>
          <w:color w:val="auto"/>
          <w:sz w:val="22"/>
          <w:szCs w:val="22"/>
          <w:highlight w:val="none"/>
        </w:rPr>
        <w:t xml:space="preserve">               （4）工程量清单存在缺项、漏项的；</w:t>
      </w:r>
    </w:p>
    <w:p w14:paraId="08305D82">
      <w:pPr>
        <w:pStyle w:val="22"/>
        <w:adjustRightInd w:val="0"/>
        <w:snapToGrid w:val="0"/>
        <w:spacing w:line="420" w:lineRule="exact"/>
        <w:ind w:right="-238"/>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35B7737D">
      <w:pPr>
        <w:pStyle w:val="4"/>
        <w:tabs>
          <w:tab w:val="left" w:pos="360"/>
          <w:tab w:val="left" w:pos="420"/>
        </w:tabs>
        <w:spacing w:line="420" w:lineRule="exact"/>
        <w:ind w:left="720"/>
        <w:rPr>
          <w:rFonts w:ascii="宋体" w:hAnsi="宋体" w:cs="宋体"/>
          <w:color w:val="auto"/>
          <w:sz w:val="22"/>
          <w:szCs w:val="22"/>
          <w:highlight w:val="none"/>
        </w:rPr>
      </w:pPr>
      <w:bookmarkStart w:id="190" w:name="_Toc12474"/>
      <w:bookmarkStart w:id="191" w:name="_Toc25775"/>
      <w:bookmarkStart w:id="192" w:name="_Toc469383989"/>
      <w:r>
        <w:rPr>
          <w:rFonts w:hint="eastAsia" w:ascii="宋体" w:hAnsi="宋体" w:cs="宋体"/>
          <w:color w:val="auto"/>
          <w:sz w:val="22"/>
          <w:szCs w:val="22"/>
          <w:highlight w:val="none"/>
        </w:rPr>
        <w:t>10  投标文件的完备性</w:t>
      </w:r>
      <w:bookmarkEnd w:id="190"/>
      <w:bookmarkEnd w:id="191"/>
      <w:bookmarkEnd w:id="192"/>
    </w:p>
    <w:p w14:paraId="15CE50F6">
      <w:pPr>
        <w:pStyle w:val="22"/>
        <w:tabs>
          <w:tab w:val="left" w:pos="1410"/>
        </w:tabs>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24" name="文本框 25"/>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a:effectLst/>
                      </wps:spPr>
                      <wps:txbx>
                        <w:txbxContent>
                          <w:p w14:paraId="71E006C3">
                            <w:pPr>
                              <w:pStyle w:val="22"/>
                              <w:tabs>
                                <w:tab w:val="left" w:pos="2160"/>
                              </w:tabs>
                              <w:spacing w:before="192" w:beforeLines="80"/>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wrap="square" upright="1"/>
                    </wps:wsp>
                  </a:graphicData>
                </a:graphic>
              </wp:anchor>
            </w:drawing>
          </mc:Choice>
          <mc:Fallback>
            <w:pict>
              <v:shape id="文本框 25"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248oa1gAAAAoBAAAPAAAAAAAAAAEAIAAAACIAAABkcnMvZG93bnJldi54bWxQSwECFAAU&#10;AAAACACHTuJAu+b2DboBAABrAwAADgAAAAAAAAABACAAAAAlAQAAZHJzL2Uyb0RvYy54bWxQSwUG&#10;AAAAAAYABgBZAQAAUQUAAAAA&#10;">
                <v:fill on="f" focussize="0,0"/>
                <v:stroke on="f"/>
                <v:imagedata o:title=""/>
                <o:lock v:ext="edit" aspectratio="f"/>
                <v:textbox>
                  <w:txbxContent>
                    <w:p w14:paraId="71E006C3">
                      <w:pPr>
                        <w:pStyle w:val="22"/>
                        <w:tabs>
                          <w:tab w:val="left" w:pos="2160"/>
                        </w:tabs>
                        <w:spacing w:before="192" w:beforeLines="80"/>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hint="eastAsia" w:hAnsi="宋体"/>
          <w:b/>
          <w:bCs/>
          <w:color w:val="auto"/>
          <w:sz w:val="22"/>
          <w:szCs w:val="22"/>
          <w:highlight w:val="none"/>
        </w:rPr>
        <w:t xml:space="preserve">10.1                                      </w:t>
      </w:r>
    </w:p>
    <w:p w14:paraId="4E9B702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承包人投标文件中的工程量清单所填单价和合价，应被认为是正确的和完备的，并已包括了承包人履行本合同的全部义务，包括但不限于以下内容：</w:t>
      </w:r>
    </w:p>
    <w:p w14:paraId="6BBB3934">
      <w:pPr>
        <w:pStyle w:val="22"/>
        <w:adjustRightInd w:val="0"/>
        <w:snapToGrid w:val="0"/>
        <w:spacing w:line="420" w:lineRule="exact"/>
        <w:ind w:right="-240"/>
        <w:rPr>
          <w:rFonts w:hAnsi="宋体"/>
          <w:color w:val="auto"/>
          <w:sz w:val="22"/>
          <w:szCs w:val="22"/>
          <w:highlight w:val="none"/>
        </w:rPr>
      </w:pPr>
      <w:r>
        <w:rPr>
          <w:rFonts w:hint="eastAsia" w:hAnsi="宋体"/>
          <w:color w:val="auto"/>
          <w:sz w:val="22"/>
          <w:szCs w:val="22"/>
          <w:highlight w:val="none"/>
        </w:rPr>
        <w:t xml:space="preserve">            （1）提供材料和工程设备、服务的义务及处理意外事件的义务； </w:t>
      </w:r>
    </w:p>
    <w:p w14:paraId="49D90513">
      <w:pPr>
        <w:pStyle w:val="22"/>
        <w:adjustRightInd w:val="0"/>
        <w:snapToGrid w:val="0"/>
        <w:spacing w:line="420" w:lineRule="exact"/>
        <w:ind w:right="-240"/>
        <w:rPr>
          <w:rFonts w:hAnsi="宋体"/>
          <w:color w:val="auto"/>
          <w:sz w:val="22"/>
          <w:szCs w:val="22"/>
          <w:highlight w:val="none"/>
        </w:rPr>
      </w:pPr>
      <w:r>
        <w:rPr>
          <w:rFonts w:hint="eastAsia" w:hAnsi="宋体"/>
          <w:color w:val="auto"/>
          <w:sz w:val="22"/>
          <w:szCs w:val="22"/>
          <w:highlight w:val="none"/>
        </w:rPr>
        <w:t xml:space="preserve">            （2）实施和完成合同工程的义务；</w:t>
      </w:r>
    </w:p>
    <w:p w14:paraId="76BF6B2D">
      <w:pPr>
        <w:pStyle w:val="22"/>
        <w:adjustRightInd w:val="0"/>
        <w:snapToGrid w:val="0"/>
        <w:spacing w:line="420" w:lineRule="exact"/>
        <w:ind w:right="-240"/>
        <w:rPr>
          <w:rFonts w:hAnsi="宋体"/>
          <w:color w:val="auto"/>
          <w:sz w:val="22"/>
          <w:szCs w:val="22"/>
          <w:highlight w:val="none"/>
        </w:rPr>
      </w:pPr>
      <w:r>
        <w:rPr>
          <w:rFonts w:hint="eastAsia" w:hAnsi="宋体"/>
          <w:color w:val="auto"/>
          <w:sz w:val="22"/>
          <w:szCs w:val="22"/>
          <w:highlight w:val="none"/>
        </w:rPr>
        <w:t xml:space="preserve">            （3）工程质量保修的一切义务。</w:t>
      </w:r>
    </w:p>
    <w:p w14:paraId="42E14872">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10.2  </w:t>
      </w:r>
      <w:r>
        <w:rPr>
          <w:rFonts w:hint="eastAsia" w:hAnsi="宋体"/>
          <w:b/>
          <w:bCs/>
          <w:color w:val="auto"/>
          <w:sz w:val="22"/>
          <w:szCs w:val="22"/>
          <w:highlight w:val="none"/>
          <w:u w:val="dotted"/>
        </w:rPr>
        <w:t xml:space="preserve">                                                                                                        </w:t>
      </w:r>
      <w:r>
        <w:rPr>
          <w:rFonts w:hint="eastAsia" w:hAnsi="宋体"/>
          <w:b/>
          <w:bCs/>
          <w:color w:val="auto"/>
          <w:sz w:val="22"/>
          <w:szCs w:val="22"/>
          <w:highlight w:val="none"/>
        </w:rPr>
        <w:t xml:space="preserve"> </w:t>
      </w:r>
    </w:p>
    <w:p w14:paraId="710C526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5" name="文本框 26"/>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a:effectLst/>
                      </wps:spPr>
                      <wps:txbx>
                        <w:txbxContent>
                          <w:p w14:paraId="0B074B96">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26"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7+MQ9UAAAAIAQAADwAAAAAAAAABACAAAAAiAAAAZHJzL2Rvd25yZXYueG1sUEsBAhQA&#10;FAAAAAgAh07iQGWjmte8AQAAawMAAA4AAAAAAAAAAQAgAAAAJAEAAGRycy9lMm9Eb2MueG1sUEsF&#10;BgAAAAAGAAYAWQEAAFIFAAAAAA==&#10;">
                <v:fill on="f" focussize="0,0"/>
                <v:stroke on="f"/>
                <v:imagedata o:title=""/>
                <o:lock v:ext="edit" aspectratio="f"/>
                <v:textbox>
                  <w:txbxContent>
                    <w:p w14:paraId="0B074B96">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hAnsi="宋体"/>
          <w:color w:val="auto"/>
          <w:sz w:val="22"/>
          <w:szCs w:val="22"/>
          <w:highlight w:val="none"/>
        </w:rPr>
        <w:t>承包人投标文件中的工程量清单中没有填入单价或合价的清单项目，应认为该项目价款已包含在工程量清单的其他项目的单价或合价中，发包人将不另行支付。</w:t>
      </w:r>
    </w:p>
    <w:p w14:paraId="6C13CAF3">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10.3  </w:t>
      </w:r>
      <w:r>
        <w:rPr>
          <w:rFonts w:hint="eastAsia" w:hAnsi="宋体"/>
          <w:b/>
          <w:bCs/>
          <w:color w:val="auto"/>
          <w:sz w:val="22"/>
          <w:szCs w:val="22"/>
          <w:highlight w:val="none"/>
          <w:u w:val="dotted"/>
        </w:rPr>
        <w:t xml:space="preserve">                                                                                                        </w:t>
      </w:r>
      <w:r>
        <w:rPr>
          <w:rFonts w:hint="eastAsia" w:hAnsi="宋体"/>
          <w:b/>
          <w:bCs/>
          <w:color w:val="auto"/>
          <w:sz w:val="22"/>
          <w:szCs w:val="22"/>
          <w:highlight w:val="none"/>
        </w:rPr>
        <w:t xml:space="preserve"> </w:t>
      </w:r>
    </w:p>
    <w:p w14:paraId="409047C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6" name="文本框 27"/>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a:effectLst/>
                      </wps:spPr>
                      <wps:txbx>
                        <w:txbxContent>
                          <w:p w14:paraId="1545860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27"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O/jEPVAAAACAEAAA8AAAAAAAAAAQAgAAAAIgAAAGRycy9kb3ducmV2LnhtbFBLAQIU&#10;ABQAAAAIAIdO4kCxaJ91vQEAAGsDAAAOAAAAAAAAAAEAIAAAACQBAABkcnMvZTJvRG9jLnhtbFBL&#10;BQYAAAAABgAGAFkBAABTBQAAAAA=&#10;">
                <v:fill on="f" focussize="0,0"/>
                <v:stroke on="f"/>
                <v:imagedata o:title=""/>
                <o:lock v:ext="edit" aspectratio="f"/>
                <v:textbox>
                  <w:txbxContent>
                    <w:p w14:paraId="1545860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hAnsi="宋体"/>
          <w:color w:val="auto"/>
          <w:sz w:val="22"/>
          <w:szCs w:val="22"/>
          <w:highlight w:val="none"/>
        </w:rPr>
        <w:t>承包人投标文件中出现算术性错误，导致其实际总造价与报价总金额不一致时，合同双方当事人可按照国家、省有关规定予以修正，并相应调整合同价款。</w:t>
      </w:r>
    </w:p>
    <w:p w14:paraId="68D30DA2">
      <w:pPr>
        <w:pStyle w:val="22"/>
        <w:adjustRightInd w:val="0"/>
        <w:snapToGrid w:val="0"/>
        <w:spacing w:line="420" w:lineRule="exact"/>
        <w:ind w:left="1491" w:leftChars="1" w:hanging="1489" w:hangingChars="674"/>
        <w:rPr>
          <w:rFonts w:hAnsi="宋体"/>
          <w:b/>
          <w:bCs/>
          <w:color w:val="auto"/>
          <w:sz w:val="22"/>
          <w:szCs w:val="22"/>
          <w:highlight w:val="none"/>
        </w:rPr>
      </w:pPr>
      <w:r>
        <w:rPr>
          <w:rFonts w:hint="eastAsia" w:hAnsi="宋体"/>
          <w:b/>
          <w:bCs/>
          <w:color w:val="auto"/>
          <w:sz w:val="22"/>
          <w:szCs w:val="22"/>
          <w:highlight w:val="none"/>
          <w:u w:val="single"/>
        </w:rPr>
        <w:t xml:space="preserve">                                                                                                 </w:t>
      </w:r>
    </w:p>
    <w:p w14:paraId="1352ED99">
      <w:pPr>
        <w:pStyle w:val="22"/>
        <w:adjustRightInd w:val="0"/>
        <w:snapToGrid w:val="0"/>
        <w:spacing w:before="240" w:beforeLines="100" w:line="420" w:lineRule="exact"/>
        <w:ind w:firstLine="601"/>
        <w:rPr>
          <w:rFonts w:hAnsi="宋体"/>
          <w:b/>
          <w:bCs/>
          <w:color w:val="auto"/>
          <w:sz w:val="22"/>
          <w:szCs w:val="22"/>
          <w:highlight w:val="none"/>
        </w:rPr>
      </w:pPr>
    </w:p>
    <w:p w14:paraId="6AE9545B">
      <w:pPr>
        <w:pStyle w:val="22"/>
        <w:adjustRightInd w:val="0"/>
        <w:snapToGrid w:val="0"/>
        <w:spacing w:before="240" w:beforeLines="100" w:line="420" w:lineRule="exact"/>
        <w:outlineLvl w:val="2"/>
        <w:rPr>
          <w:rFonts w:hAnsi="宋体"/>
          <w:b/>
          <w:bCs/>
          <w:color w:val="auto"/>
          <w:sz w:val="22"/>
          <w:szCs w:val="22"/>
          <w:highlight w:val="none"/>
        </w:rPr>
      </w:pPr>
      <w:bookmarkStart w:id="193" w:name="_Toc30644"/>
      <w:bookmarkStart w:id="194" w:name="_Toc469383990"/>
      <w:bookmarkStart w:id="195" w:name="_Toc1907"/>
      <w:r>
        <w:rPr>
          <w:rFonts w:hint="eastAsia" w:hAnsi="宋体"/>
          <w:b/>
          <w:bCs/>
          <w:color w:val="auto"/>
          <w:sz w:val="22"/>
          <w:szCs w:val="22"/>
          <w:highlight w:val="none"/>
        </w:rPr>
        <w:t>11  文物和地下障碍物</w:t>
      </w:r>
      <w:bookmarkEnd w:id="193"/>
      <w:bookmarkEnd w:id="194"/>
      <w:bookmarkEnd w:id="195"/>
    </w:p>
    <w:p w14:paraId="257A4255">
      <w:pPr>
        <w:pStyle w:val="22"/>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 xml:space="preserve">11.1  </w:t>
      </w:r>
      <w:r>
        <w:rPr>
          <w:rFonts w:hint="eastAsia" w:hAnsi="宋体"/>
          <w:color w:val="auto"/>
          <w:sz w:val="22"/>
          <w:szCs w:val="22"/>
          <w:highlight w:val="none"/>
        </w:rPr>
        <w:t xml:space="preserve">                                     </w:t>
      </w:r>
    </w:p>
    <w:p w14:paraId="63172327">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27" name="文本框 2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1820544A">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28"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Nh7rbWAAAACQEAAA8AAAAAAAAAAQAgAAAAIgAAAGRycy9kb3ducmV2LnhtbFBLAQIU&#10;ABQAAAAIAIdO4kDMQJoGvAEAAGsDAAAOAAAAAAAAAAEAIAAAACUBAABkcnMvZTJvRG9jLnhtbFBL&#10;BQYAAAAABgAGAFkBAABTBQAAAAA=&#10;">
                <v:fill on="f" focussize="0,0"/>
                <v:stroke on="f"/>
                <v:imagedata o:title=""/>
                <o:lock v:ext="edit" aspectratio="f"/>
                <v:textbox>
                  <w:txbxContent>
                    <w:p w14:paraId="1820544A">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hAnsi="宋体"/>
          <w:color w:val="auto"/>
          <w:sz w:val="22"/>
          <w:szCs w:val="22"/>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发包人承担由此增加的费用和（或）工期延误，并向承包人支付合理利润。</w:t>
      </w:r>
      <w:r>
        <w:rPr>
          <w:rFonts w:hint="eastAsia" w:hAnsi="宋体"/>
          <w:color w:val="auto"/>
          <w:sz w:val="22"/>
          <w:szCs w:val="22"/>
          <w:highlight w:val="none"/>
        </w:rPr>
        <w:br w:type="textWrapping"/>
      </w:r>
      <w:r>
        <w:rPr>
          <w:rFonts w:hint="eastAsia" w:hAnsi="宋体"/>
          <w:color w:val="auto"/>
          <w:sz w:val="22"/>
          <w:szCs w:val="22"/>
          <w:highlight w:val="none"/>
        </w:rPr>
        <w:t>如发现文物后隐瞒不报或报告不及时，导致上述文物丢失或遭受破坏的，由责任方赔偿损失，并承担相应的法律责任。</w:t>
      </w:r>
    </w:p>
    <w:p w14:paraId="44948E92">
      <w:pPr>
        <w:pStyle w:val="22"/>
        <w:adjustRightInd w:val="0"/>
        <w:snapToGrid w:val="0"/>
        <w:spacing w:line="420" w:lineRule="exact"/>
        <w:rPr>
          <w:rFonts w:hAnsi="宋体"/>
          <w:b/>
          <w:bCs/>
          <w:color w:val="auto"/>
          <w:sz w:val="22"/>
          <w:szCs w:val="22"/>
          <w:highlight w:val="none"/>
        </w:rPr>
      </w:pPr>
    </w:p>
    <w:p w14:paraId="2BE43B91">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28" name="文本框 2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467C4C87">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29"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PZ3g2AAAAAoBAAAPAAAAAAAAAAEAIAAAACIAAABkcnMvZG93bnJldi54bWxQSwEC&#10;FAAUAAAACACHTuJAUQ+RAbsBAABrAwAADgAAAAAAAAABACAAAAAnAQAAZHJzL2Uyb0RvYy54bWxQ&#10;SwUGAAAAAAYABgBZAQAAVAUAAAAA&#10;">
                <v:fill on="f" focussize="0,0"/>
                <v:stroke on="f"/>
                <v:imagedata o:title=""/>
                <o:lock v:ext="edit" aspectratio="f"/>
                <v:textbox>
                  <w:txbxContent>
                    <w:p w14:paraId="467C4C87">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hAnsi="宋体"/>
          <w:b/>
          <w:bCs/>
          <w:color w:val="auto"/>
          <w:sz w:val="22"/>
          <w:szCs w:val="22"/>
          <w:highlight w:val="none"/>
        </w:rPr>
        <w:t xml:space="preserve">11.2  </w:t>
      </w:r>
      <w:r>
        <w:rPr>
          <w:rFonts w:hint="eastAsia" w:hAnsi="宋体"/>
          <w:b/>
          <w:bCs/>
          <w:color w:val="auto"/>
          <w:sz w:val="22"/>
          <w:szCs w:val="22"/>
          <w:highlight w:val="none"/>
          <w:u w:val="dotted"/>
        </w:rPr>
        <w:t xml:space="preserve">                                                                                                       </w:t>
      </w:r>
    </w:p>
    <w:p w14:paraId="5E5F1AAF">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本合同已明确指出的地下障碍物（发包人招标文件提供的工程量清单有列明或提供的地质资料已明确反映的），应视为承包人在投标报价时已预见其对施工的影响，并已在合同价款中考虑。</w:t>
      </w:r>
    </w:p>
    <w:p w14:paraId="0AF33A10">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本合同未有明确指出的地下障碍物（发包人招标文件提供的工程量清单没列明或提供的地质资料不能明确反映的），在施工过程遇到时，承包人应于8小时内以书面形式通知监理工程师和发包人，并提出处置方案。监理工程师在收到处置方案后24小时内予以确认或提出修正方案，并发出施工指令。承包人应按照监理工程师指令进行施工。发包人应承担由此增加的费用和（或）延误的工期，并向承包人支付合理利润。</w:t>
      </w:r>
    </w:p>
    <w:p w14:paraId="157DDCD2">
      <w:pPr>
        <w:pStyle w:val="22"/>
        <w:adjustRightInd w:val="0"/>
        <w:snapToGrid w:val="0"/>
        <w:spacing w:line="420" w:lineRule="exact"/>
        <w:ind w:right="-238"/>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725E0BA4">
      <w:pPr>
        <w:pStyle w:val="22"/>
        <w:tabs>
          <w:tab w:val="left" w:pos="1620"/>
        </w:tabs>
        <w:adjustRightInd w:val="0"/>
        <w:snapToGrid w:val="0"/>
        <w:spacing w:before="240" w:beforeLines="100" w:line="420" w:lineRule="exact"/>
        <w:outlineLvl w:val="2"/>
        <w:rPr>
          <w:rFonts w:hAnsi="宋体"/>
          <w:b/>
          <w:bCs/>
          <w:color w:val="auto"/>
          <w:sz w:val="22"/>
          <w:szCs w:val="22"/>
          <w:highlight w:val="none"/>
        </w:rPr>
      </w:pPr>
      <w:bookmarkStart w:id="196" w:name="_Toc469383991"/>
      <w:bookmarkStart w:id="197" w:name="_Toc16543"/>
      <w:bookmarkStart w:id="198" w:name="_Toc30755"/>
      <w:r>
        <w:rPr>
          <w:rFonts w:hint="eastAsia" w:hAnsi="宋体"/>
          <w:b/>
          <w:bCs/>
          <w:color w:val="auto"/>
          <w:sz w:val="22"/>
          <w:szCs w:val="22"/>
          <w:highlight w:val="none"/>
        </w:rPr>
        <w:t>12  事故处理</w:t>
      </w:r>
      <w:bookmarkEnd w:id="196"/>
      <w:bookmarkEnd w:id="197"/>
      <w:bookmarkEnd w:id="198"/>
    </w:p>
    <w:p w14:paraId="43AE8B2D">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29" name="文本框 30"/>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a:effectLst/>
                      </wps:spPr>
                      <wps:txbx>
                        <w:txbxContent>
                          <w:p w14:paraId="4C19CBD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50632E2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289C63D7">
                            <w:pPr>
                              <w:rPr>
                                <w:rFonts w:ascii="Times New Roman" w:hAnsi="Times New Roman" w:cs="Times New Roman"/>
                                <w:color w:val="000000"/>
                                <w:sz w:val="18"/>
                                <w:szCs w:val="18"/>
                              </w:rPr>
                            </w:pPr>
                          </w:p>
                        </w:txbxContent>
                      </wps:txbx>
                      <wps:bodyPr wrap="square" upright="1"/>
                    </wps:wsp>
                  </a:graphicData>
                </a:graphic>
              </wp:anchor>
            </w:drawing>
          </mc:Choice>
          <mc:Fallback>
            <w:pict>
              <v:shape id="文本框 30"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QGxh/WAAAACgEAAA8AAAAAAAAAAQAgAAAAIgAAAGRycy9kb3ducmV2LnhtbFBLAQIU&#10;ABQAAAAIAIdO4kCkaOGrvAEAAGwDAAAOAAAAAAAAAAEAIAAAACUBAABkcnMvZTJvRG9jLnhtbFBL&#10;BQYAAAAABgAGAFkBAABTBQAAAAA=&#10;">
                <v:fill on="f" focussize="0,0"/>
                <v:stroke on="f"/>
                <v:imagedata o:title=""/>
                <o:lock v:ext="edit" aspectratio="f"/>
                <v:textbox>
                  <w:txbxContent>
                    <w:p w14:paraId="4C19CBD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50632E2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289C63D7">
                      <w:pPr>
                        <w:rPr>
                          <w:rFonts w:ascii="Times New Roman" w:hAnsi="Times New Roman" w:cs="Times New Roman"/>
                          <w:color w:val="000000"/>
                          <w:sz w:val="18"/>
                          <w:szCs w:val="18"/>
                        </w:rPr>
                      </w:pPr>
                    </w:p>
                  </w:txbxContent>
                </v:textbox>
              </v:shape>
            </w:pict>
          </mc:Fallback>
        </mc:AlternateContent>
      </w:r>
      <w:r>
        <w:rPr>
          <w:rFonts w:hint="eastAsia" w:hAnsi="宋体"/>
          <w:b/>
          <w:bCs/>
          <w:color w:val="auto"/>
          <w:sz w:val="22"/>
          <w:szCs w:val="22"/>
          <w:highlight w:val="none"/>
        </w:rPr>
        <w:t xml:space="preserve">12.1                   </w:t>
      </w:r>
    </w:p>
    <w:p w14:paraId="070B426B">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合同履行期间，合同工程发生质量与安全事故，承包人立即通知监理工程师和发包人。</w:t>
      </w:r>
    </w:p>
    <w:p w14:paraId="70D6A3E3">
      <w:pPr>
        <w:pStyle w:val="22"/>
        <w:adjustRightInd w:val="0"/>
        <w:snapToGrid w:val="0"/>
        <w:spacing w:line="420" w:lineRule="exact"/>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0" name="文本框 31"/>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14:paraId="7DC52D3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31"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WcmWXWAAAACQEAAA8AAAAAAAAAAQAgAAAAIgAAAGRycy9kb3ducmV2LnhtbFBLAQIU&#10;ABQAAAAIAIdO4kDWRrtwvAEAAGwDAAAOAAAAAAAAAAEAIAAAACUBAABkcnMvZTJvRG9jLnhtbFBL&#10;BQYAAAAABgAGAFkBAABTBQAAAAA=&#10;">
                <v:fill on="f" focussize="0,0"/>
                <v:stroke on="f"/>
                <v:imagedata o:title=""/>
                <o:lock v:ext="edit" aspectratio="f"/>
                <v:textbox>
                  <w:txbxContent>
                    <w:p w14:paraId="7DC52D3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int="eastAsia" w:hAnsi="宋体"/>
          <w:b/>
          <w:bCs/>
          <w:color w:val="auto"/>
          <w:sz w:val="22"/>
          <w:szCs w:val="22"/>
          <w:highlight w:val="none"/>
        </w:rPr>
        <w:t xml:space="preserve">12.2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0CA5446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14:paraId="513C3B7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合同双方当事人应按照国家规定时限如实上报政府有关部门，配合政府有关部门的调查和处理，由此发生的费用和（或）延误的工期由事故责任方承担。</w:t>
      </w:r>
    </w:p>
    <w:p w14:paraId="52CC1340">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1" name="文本框 32"/>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14:paraId="247F896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32"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WcmWXWAAAACQEAAA8AAAAAAAAAAQAgAAAAIgAAAGRycy9kb3ducmV2LnhtbFBLAQIU&#10;ABQAAAAIAIdO4kANJ40tvAEAAGwDAAAOAAAAAAAAAAEAIAAAACUBAABkcnMvZTJvRG9jLnhtbFBL&#10;BQYAAAAABgAGAFkBAABTBQAAAAA=&#10;">
                <v:fill on="f" focussize="0,0"/>
                <v:stroke on="f"/>
                <v:imagedata o:title=""/>
                <o:lock v:ext="edit" aspectratio="f"/>
                <v:textbox>
                  <w:txbxContent>
                    <w:p w14:paraId="247F896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int="eastAsia" w:hAnsi="宋体"/>
          <w:b/>
          <w:bCs/>
          <w:color w:val="auto"/>
          <w:sz w:val="22"/>
          <w:szCs w:val="22"/>
          <w:highlight w:val="none"/>
        </w:rPr>
        <w:t xml:space="preserve">12.3  </w:t>
      </w:r>
      <w:r>
        <w:rPr>
          <w:rFonts w:hint="eastAsia" w:hAnsi="宋体"/>
          <w:b/>
          <w:bCs/>
          <w:color w:val="auto"/>
          <w:sz w:val="22"/>
          <w:szCs w:val="22"/>
          <w:highlight w:val="none"/>
          <w:u w:val="dotted"/>
        </w:rPr>
        <w:t xml:space="preserve">                                                                                                        </w:t>
      </w:r>
    </w:p>
    <w:p w14:paraId="0CEE922A">
      <w:pPr>
        <w:pStyle w:val="22"/>
        <w:tabs>
          <w:tab w:val="left" w:pos="1620"/>
        </w:tabs>
        <w:adjustRightInd w:val="0"/>
        <w:snapToGrid w:val="0"/>
        <w:spacing w:line="420" w:lineRule="exact"/>
        <w:ind w:firstLine="1485" w:firstLineChars="675"/>
        <w:rPr>
          <w:rFonts w:hAnsi="宋体"/>
          <w:color w:val="auto"/>
          <w:sz w:val="22"/>
          <w:szCs w:val="22"/>
          <w:highlight w:val="none"/>
        </w:rPr>
      </w:pPr>
      <w:r>
        <w:rPr>
          <w:rFonts w:hint="eastAsia" w:hAnsi="宋体"/>
          <w:color w:val="auto"/>
          <w:sz w:val="22"/>
          <w:szCs w:val="22"/>
          <w:highlight w:val="none"/>
        </w:rPr>
        <w:t>合同双方当事人对事故责任有争议时，应按照政府有关部门的认定处理。</w:t>
      </w:r>
    </w:p>
    <w:p w14:paraId="005FEFBA">
      <w:pPr>
        <w:pStyle w:val="22"/>
        <w:adjustRightInd w:val="0"/>
        <w:snapToGrid w:val="0"/>
        <w:spacing w:line="420" w:lineRule="exact"/>
        <w:ind w:right="-238"/>
        <w:rPr>
          <w:rFonts w:hAnsi="宋体"/>
          <w:color w:val="auto"/>
          <w:sz w:val="22"/>
          <w:szCs w:val="22"/>
          <w:highlight w:val="none"/>
        </w:rPr>
      </w:pPr>
      <w:r>
        <w:rPr>
          <w:rFonts w:hint="eastAsia" w:hAnsi="宋体"/>
          <w:b/>
          <w:bCs/>
          <w:color w:val="auto"/>
          <w:sz w:val="22"/>
          <w:szCs w:val="22"/>
          <w:highlight w:val="none"/>
          <w:u w:val="single"/>
        </w:rPr>
        <w:t xml:space="preserve">                                                                                  </w:t>
      </w:r>
      <w:r>
        <w:rPr>
          <w:rFonts w:hint="eastAsia" w:hAnsi="宋体"/>
          <w:b/>
          <w:bCs/>
          <w:color w:val="auto"/>
          <w:sz w:val="22"/>
          <w:szCs w:val="22"/>
          <w:highlight w:val="none"/>
        </w:rPr>
        <w:t xml:space="preserve">  </w:t>
      </w:r>
      <w:r>
        <w:rPr>
          <w:rFonts w:hint="eastAsia" w:hAnsi="宋体"/>
          <w:color w:val="auto"/>
          <w:sz w:val="22"/>
          <w:szCs w:val="22"/>
          <w:highlight w:val="none"/>
        </w:rPr>
        <w:t xml:space="preserve">                         </w:t>
      </w:r>
    </w:p>
    <w:p w14:paraId="05627AD2">
      <w:pPr>
        <w:pStyle w:val="22"/>
        <w:tabs>
          <w:tab w:val="left" w:pos="1620"/>
        </w:tabs>
        <w:adjustRightInd w:val="0"/>
        <w:snapToGrid w:val="0"/>
        <w:spacing w:before="240" w:beforeLines="100" w:line="420" w:lineRule="exact"/>
        <w:ind w:right="-237" w:rightChars="-113"/>
        <w:outlineLvl w:val="2"/>
        <w:rPr>
          <w:rFonts w:hAnsi="宋体"/>
          <w:b/>
          <w:bCs/>
          <w:color w:val="auto"/>
          <w:sz w:val="22"/>
          <w:szCs w:val="22"/>
          <w:highlight w:val="none"/>
        </w:rPr>
      </w:pPr>
      <w:bookmarkStart w:id="199" w:name="_Toc31013"/>
      <w:bookmarkStart w:id="200" w:name="_Toc469383992"/>
      <w:bookmarkStart w:id="201" w:name="_Toc26991"/>
      <w:r>
        <w:rPr>
          <w:rFonts w:hint="eastAsia" w:hAnsi="宋体"/>
          <w:b/>
          <w:bCs/>
          <w:color w:val="auto"/>
          <w:sz w:val="22"/>
          <w:szCs w:val="22"/>
          <w:highlight w:val="none"/>
        </w:rPr>
        <w:t>13  交通运输</w:t>
      </w:r>
      <w:bookmarkEnd w:id="199"/>
      <w:bookmarkEnd w:id="200"/>
      <w:bookmarkEnd w:id="201"/>
    </w:p>
    <w:p w14:paraId="6DE3FE93">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2" name="文本框 33"/>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a:effectLst/>
                      </wps:spPr>
                      <wps:txbx>
                        <w:txbxContent>
                          <w:p w14:paraId="10E8472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6FBE73B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5468091D">
                            <w:pPr>
                              <w:rPr>
                                <w:rFonts w:ascii="Times New Roman" w:hAnsi="Times New Roman" w:cs="Times New Roman"/>
                                <w:color w:val="0000FF"/>
                                <w:sz w:val="18"/>
                                <w:szCs w:val="18"/>
                              </w:rPr>
                            </w:pPr>
                          </w:p>
                          <w:p w14:paraId="28764EE0">
                            <w:pPr>
                              <w:rPr>
                                <w:rFonts w:cs="Times New Roman"/>
                                <w:sz w:val="18"/>
                                <w:szCs w:val="18"/>
                              </w:rPr>
                            </w:pPr>
                          </w:p>
                        </w:txbxContent>
                      </wps:txbx>
                      <wps:bodyPr wrap="square" upright="1"/>
                    </wps:wsp>
                  </a:graphicData>
                </a:graphic>
              </wp:anchor>
            </w:drawing>
          </mc:Choice>
          <mc:Fallback>
            <w:pict>
              <v:shape id="文本框 33"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QGxh/WAAAACgEAAA8AAAAAAAAAAQAgAAAAIgAAAGRycy9kb3ducmV2LnhtbFBLAQIU&#10;ABQAAAAIAIdO4kAyOhovvAEAAGwDAAAOAAAAAAAAAAEAIAAAACUBAABkcnMvZTJvRG9jLnhtbFBL&#10;BQYAAAAABgAGAFkBAABTBQAAAAA=&#10;">
                <v:fill on="f" focussize="0,0"/>
                <v:stroke on="f"/>
                <v:imagedata o:title=""/>
                <o:lock v:ext="edit" aspectratio="f"/>
                <v:textbox>
                  <w:txbxContent>
                    <w:p w14:paraId="10E8472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6FBE73B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5468091D">
                      <w:pPr>
                        <w:rPr>
                          <w:rFonts w:ascii="Times New Roman" w:hAnsi="Times New Roman" w:cs="Times New Roman"/>
                          <w:color w:val="0000FF"/>
                          <w:sz w:val="18"/>
                          <w:szCs w:val="18"/>
                        </w:rPr>
                      </w:pPr>
                    </w:p>
                    <w:p w14:paraId="28764EE0">
                      <w:pPr>
                        <w:rPr>
                          <w:rFonts w:cs="Times New Roman"/>
                          <w:sz w:val="18"/>
                          <w:szCs w:val="18"/>
                        </w:rPr>
                      </w:pPr>
                    </w:p>
                  </w:txbxContent>
                </v:textbox>
              </v:shape>
            </w:pict>
          </mc:Fallback>
        </mc:AlternateContent>
      </w:r>
      <w:r>
        <w:rPr>
          <w:rFonts w:hint="eastAsia" w:hAnsi="宋体"/>
          <w:b/>
          <w:bCs/>
          <w:color w:val="auto"/>
          <w:sz w:val="22"/>
          <w:szCs w:val="22"/>
          <w:highlight w:val="none"/>
        </w:rPr>
        <w:t xml:space="preserve">13.1                   </w:t>
      </w:r>
    </w:p>
    <w:p w14:paraId="54921A8A">
      <w:pPr>
        <w:pStyle w:val="22"/>
        <w:tabs>
          <w:tab w:val="left" w:pos="1202"/>
        </w:tabs>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14:paraId="469C06D1">
      <w:pPr>
        <w:pStyle w:val="22"/>
        <w:tabs>
          <w:tab w:val="left" w:pos="1202"/>
        </w:tabs>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73E7AAB1">
      <w:pPr>
        <w:pStyle w:val="22"/>
        <w:tabs>
          <w:tab w:val="left" w:pos="1202"/>
        </w:tabs>
        <w:adjustRightInd w:val="0"/>
        <w:snapToGrid w:val="0"/>
        <w:spacing w:line="420" w:lineRule="exact"/>
        <w:ind w:left="1484" w:leftChars="1" w:hanging="1482" w:hangingChars="674"/>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3" name="文本框 3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a:effectLst/>
                      </wps:spPr>
                      <wps:txbx>
                        <w:txbxContent>
                          <w:p w14:paraId="41D8A22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6259B2DD">
                            <w:pPr>
                              <w:rPr>
                                <w:rFonts w:ascii="宋体" w:hAnsi="Times New Roman" w:cs="Times New Roman"/>
                                <w:color w:val="000000"/>
                                <w:sz w:val="24"/>
                                <w:szCs w:val="24"/>
                              </w:rPr>
                            </w:pPr>
                            <w:r>
                              <w:rPr>
                                <w:rFonts w:hint="eastAsia" w:ascii="楷体_GB2312" w:hAnsi="宋体" w:eastAsia="楷体_GB2312" w:cs="楷体_GB2312"/>
                                <w:b/>
                                <w:bCs/>
                                <w:color w:val="000000"/>
                                <w:sz w:val="18"/>
                                <w:szCs w:val="18"/>
                              </w:rPr>
                              <w:t>和交通设施</w:t>
                            </w:r>
                          </w:p>
                          <w:p w14:paraId="0FC26A45">
                            <w:pPr>
                              <w:rPr>
                                <w:rFonts w:ascii="Times New Roman" w:cs="Times New Roman"/>
                                <w:color w:val="0000FF"/>
                                <w:sz w:val="18"/>
                                <w:szCs w:val="18"/>
                              </w:rPr>
                            </w:pPr>
                          </w:p>
                          <w:p w14:paraId="16806CCA">
                            <w:pPr>
                              <w:rPr>
                                <w:rFonts w:cs="Times New Roman"/>
                                <w:sz w:val="18"/>
                                <w:szCs w:val="18"/>
                              </w:rPr>
                            </w:pPr>
                          </w:p>
                        </w:txbxContent>
                      </wps:txbx>
                      <wps:bodyPr wrap="square" upright="1"/>
                    </wps:wsp>
                  </a:graphicData>
                </a:graphic>
              </wp:anchor>
            </w:drawing>
          </mc:Choice>
          <mc:Fallback>
            <w:pict>
              <v:shape id="文本框 34"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SeK5nYAAAACgEAAA8AAAAAAAAAAQAgAAAAIgAAAGRycy9kb3ducmV2LnhtbFBL&#10;AQIUABQAAAAIAIdO4kCC6moUvQEAAGwDAAAOAAAAAAAAAAEAIAAAACcBAABkcnMvZTJvRG9jLnht&#10;bFBLBQYAAAAABgAGAFkBAABWBQAAAAA=&#10;">
                <v:fill on="f" focussize="0,0"/>
                <v:stroke on="f"/>
                <v:imagedata o:title=""/>
                <o:lock v:ext="edit" aspectratio="f"/>
                <v:textbox>
                  <w:txbxContent>
                    <w:p w14:paraId="41D8A22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6259B2DD">
                      <w:pPr>
                        <w:rPr>
                          <w:rFonts w:ascii="宋体" w:hAnsi="Times New Roman" w:cs="Times New Roman"/>
                          <w:color w:val="000000"/>
                          <w:sz w:val="24"/>
                          <w:szCs w:val="24"/>
                        </w:rPr>
                      </w:pPr>
                      <w:r>
                        <w:rPr>
                          <w:rFonts w:hint="eastAsia" w:ascii="楷体_GB2312" w:hAnsi="宋体" w:eastAsia="楷体_GB2312" w:cs="楷体_GB2312"/>
                          <w:b/>
                          <w:bCs/>
                          <w:color w:val="000000"/>
                          <w:sz w:val="18"/>
                          <w:szCs w:val="18"/>
                        </w:rPr>
                        <w:t>和交通设施</w:t>
                      </w:r>
                    </w:p>
                    <w:p w14:paraId="0FC26A45">
                      <w:pPr>
                        <w:rPr>
                          <w:rFonts w:ascii="Times New Roman" w:cs="Times New Roman"/>
                          <w:color w:val="0000FF"/>
                          <w:sz w:val="18"/>
                          <w:szCs w:val="18"/>
                        </w:rPr>
                      </w:pPr>
                    </w:p>
                    <w:p w14:paraId="16806CCA">
                      <w:pPr>
                        <w:rPr>
                          <w:rFonts w:cs="Times New Roman"/>
                          <w:sz w:val="18"/>
                          <w:szCs w:val="18"/>
                        </w:rPr>
                      </w:pPr>
                    </w:p>
                  </w:txbxContent>
                </v:textbox>
              </v:shape>
            </w:pict>
          </mc:Fallback>
        </mc:AlternateContent>
      </w:r>
      <w:r>
        <w:rPr>
          <w:rFonts w:hint="eastAsia" w:hAnsi="宋体"/>
          <w:b/>
          <w:bCs/>
          <w:color w:val="auto"/>
          <w:sz w:val="22"/>
          <w:szCs w:val="22"/>
          <w:highlight w:val="none"/>
        </w:rPr>
        <w:t>13.2</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r>
        <w:rPr>
          <w:rFonts w:hint="eastAsia" w:hAnsi="宋体"/>
          <w:color w:val="auto"/>
          <w:sz w:val="22"/>
          <w:szCs w:val="22"/>
          <w:highlight w:val="none"/>
        </w:rPr>
        <w:t>除专用条款另有约定外，承包人应负责修建、维修、养护和管理施工场地内所需的临时道路和交通设施，包括维修、养护和管理发包人提供的道路和交通设施，并承担相应费用。</w:t>
      </w:r>
    </w:p>
    <w:p w14:paraId="096776EB">
      <w:pPr>
        <w:pStyle w:val="22"/>
        <w:tabs>
          <w:tab w:val="left" w:pos="1202"/>
        </w:tabs>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承包人修建的临时道路和交通设施应免费提供发包人使用。</w:t>
      </w:r>
    </w:p>
    <w:p w14:paraId="360DA17E">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4" name="文本框 35"/>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14:paraId="08C9279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35"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1nJll1gAAAAkBAAAPAAAAAAAAAAEAIAAAACIAAABkcnMvZG93bnJldi54bWxQSwEC&#10;FAAUAAAACACHTuJALaWeE70BAABsAwAADgAAAAAAAAABACAAAAAlAQAAZHJzL2Uyb0RvYy54bWxQ&#10;SwUGAAAAAAYABgBZAQAAVAUAAAAA&#10;">
                <v:fill on="f" focussize="0,0"/>
                <v:stroke on="f"/>
                <v:imagedata o:title=""/>
                <o:lock v:ext="edit" aspectratio="f"/>
                <v:textbox>
                  <w:txbxContent>
                    <w:p w14:paraId="08C9279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int="eastAsia" w:hAnsi="宋体"/>
          <w:b/>
          <w:bCs/>
          <w:color w:val="auto"/>
          <w:sz w:val="22"/>
          <w:szCs w:val="22"/>
          <w:highlight w:val="none"/>
        </w:rPr>
        <w:t xml:space="preserve">13.3  </w:t>
      </w:r>
      <w:r>
        <w:rPr>
          <w:rFonts w:hint="eastAsia" w:hAnsi="宋体"/>
          <w:b/>
          <w:bCs/>
          <w:color w:val="auto"/>
          <w:sz w:val="22"/>
          <w:szCs w:val="22"/>
          <w:highlight w:val="none"/>
          <w:u w:val="dotted"/>
        </w:rPr>
        <w:t xml:space="preserve">                                                                                                        </w:t>
      </w:r>
    </w:p>
    <w:p w14:paraId="76882C7D">
      <w:pPr>
        <w:pStyle w:val="22"/>
        <w:tabs>
          <w:tab w:val="left" w:pos="1202"/>
        </w:tabs>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14:paraId="0F39E194">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5" name="文本框 36"/>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a:effectLst/>
                      </wps:spPr>
                      <wps:txbx>
                        <w:txbxContent>
                          <w:p w14:paraId="34C00C7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2ED7EF8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wps:txbx>
                      <wps:bodyPr wrap="square" upright="1"/>
                    </wps:wsp>
                  </a:graphicData>
                </a:graphic>
              </wp:anchor>
            </w:drawing>
          </mc:Choice>
          <mc:Fallback>
            <w:pict>
              <v:shape id="文本框 36"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vSKrfXAAAACgEAAA8AAAAAAAAAAQAgAAAAIgAAAGRycy9kb3ducmV2LnhtbFBL&#10;AQIUABQAAAAIAIdO4kAzMk3CvgEAAGwDAAAOAAAAAAAAAAEAIAAAACYBAABkcnMvZTJvRG9jLnht&#10;bFBLBQYAAAAABgAGAFkBAABWBQAAAAA=&#10;">
                <v:fill on="f" focussize="0,0"/>
                <v:stroke on="f"/>
                <v:imagedata o:title=""/>
                <o:lock v:ext="edit" aspectratio="f"/>
                <v:textbox>
                  <w:txbxContent>
                    <w:p w14:paraId="34C00C7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2ED7EF8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int="eastAsia" w:hAnsi="宋体"/>
          <w:b/>
          <w:bCs/>
          <w:color w:val="auto"/>
          <w:sz w:val="22"/>
          <w:szCs w:val="22"/>
          <w:highlight w:val="none"/>
        </w:rPr>
        <w:t xml:space="preserve">13.4  </w:t>
      </w:r>
      <w:r>
        <w:rPr>
          <w:rFonts w:hint="eastAsia" w:hAnsi="宋体"/>
          <w:b/>
          <w:bCs/>
          <w:color w:val="auto"/>
          <w:sz w:val="22"/>
          <w:szCs w:val="22"/>
          <w:highlight w:val="none"/>
          <w:u w:val="dotted"/>
        </w:rPr>
        <w:t xml:space="preserve">                                                                                                        </w:t>
      </w:r>
    </w:p>
    <w:p w14:paraId="2AE9CE9C">
      <w:pPr>
        <w:pStyle w:val="22"/>
        <w:tabs>
          <w:tab w:val="left" w:pos="1202"/>
        </w:tabs>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7FEE45A9">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6" name="文本框 37"/>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a:effectLst/>
                      </wps:spPr>
                      <wps:txbx>
                        <w:txbxContent>
                          <w:p w14:paraId="66EB85B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608BFF2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wps:txbx>
                      <wps:bodyPr wrap="square" upright="1"/>
                    </wps:wsp>
                  </a:graphicData>
                </a:graphic>
              </wp:anchor>
            </w:drawing>
          </mc:Choice>
          <mc:Fallback>
            <w:pict>
              <v:shape id="文本框 37"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vSKrfXAAAACgEAAA8AAAAAAAAAAQAgAAAAIgAAAGRycy9kb3ducmV2LnhtbFBL&#10;AQIUABQAAAAIAIdO4kA1IVFDvgEAAGwDAAAOAAAAAAAAAAEAIAAAACYBAABkcnMvZTJvRG9jLnht&#10;bFBLBQYAAAAABgAGAFkBAABWBQAAAAA=&#10;">
                <v:fill on="f" focussize="0,0"/>
                <v:stroke on="f"/>
                <v:imagedata o:title=""/>
                <o:lock v:ext="edit" aspectratio="f"/>
                <v:textbox>
                  <w:txbxContent>
                    <w:p w14:paraId="66EB85B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608BFF2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int="eastAsia" w:hAnsi="宋体"/>
          <w:b/>
          <w:bCs/>
          <w:color w:val="auto"/>
          <w:sz w:val="22"/>
          <w:szCs w:val="22"/>
          <w:highlight w:val="none"/>
        </w:rPr>
        <w:t xml:space="preserve">13.5  </w:t>
      </w:r>
      <w:r>
        <w:rPr>
          <w:rFonts w:hint="eastAsia" w:hAnsi="宋体"/>
          <w:b/>
          <w:bCs/>
          <w:color w:val="auto"/>
          <w:sz w:val="22"/>
          <w:szCs w:val="22"/>
          <w:highlight w:val="none"/>
          <w:u w:val="dotted"/>
        </w:rPr>
        <w:t xml:space="preserve">                                                                                                        </w:t>
      </w:r>
    </w:p>
    <w:p w14:paraId="4F671080">
      <w:pPr>
        <w:pStyle w:val="22"/>
        <w:tabs>
          <w:tab w:val="left" w:pos="1202"/>
        </w:tabs>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因承包人运输造成施工场地内外公共道路和桥梁损坏的，由承包人承担修复损坏的全部费用和可能引起的赔偿。</w:t>
      </w:r>
    </w:p>
    <w:p w14:paraId="2ACEDD43">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7" name="文本框 38"/>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a:effectLst/>
                      </wps:spPr>
                      <wps:txbx>
                        <w:txbxContent>
                          <w:p w14:paraId="37DB50A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1BD8C19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wps:txbx>
                      <wps:bodyPr wrap="square" upright="1"/>
                    </wps:wsp>
                  </a:graphicData>
                </a:graphic>
              </wp:anchor>
            </w:drawing>
          </mc:Choice>
          <mc:Fallback>
            <w:pict>
              <v:shape id="文本框 38"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KadSdcAAAAKAQAADwAAAAAAAAABACAAAAAiAAAAZHJzL2Rvd25yZXYueG1sUEsB&#10;AhQAFAAAAAgAh07iQO5RzDi9AQAAbAMAAA4AAAAAAAAAAQAgAAAAJgEAAGRycy9lMm9Eb2MueG1s&#10;UEsFBgAAAAAGAAYAWQEAAFUFAAAAAA==&#10;">
                <v:fill on="f" focussize="0,0"/>
                <v:stroke on="f"/>
                <v:imagedata o:title=""/>
                <o:lock v:ext="edit" aspectratio="f"/>
                <v:textbox>
                  <w:txbxContent>
                    <w:p w14:paraId="37DB50A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1BD8C19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int="eastAsia" w:hAnsi="宋体"/>
          <w:b/>
          <w:bCs/>
          <w:color w:val="auto"/>
          <w:sz w:val="22"/>
          <w:szCs w:val="22"/>
          <w:highlight w:val="none"/>
        </w:rPr>
        <w:t xml:space="preserve">13.6 </w:t>
      </w:r>
      <w:r>
        <w:rPr>
          <w:rFonts w:hint="eastAsia" w:hAnsi="宋体"/>
          <w:b/>
          <w:bCs/>
          <w:color w:val="auto"/>
          <w:sz w:val="22"/>
          <w:szCs w:val="22"/>
          <w:highlight w:val="none"/>
          <w:u w:val="dotted"/>
        </w:rPr>
        <w:t xml:space="preserve">                                                                                                        </w:t>
      </w:r>
    </w:p>
    <w:p w14:paraId="0B528F92">
      <w:pPr>
        <w:pStyle w:val="22"/>
        <w:tabs>
          <w:tab w:val="left" w:pos="1202"/>
        </w:tabs>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本条内容适用于水路运输和航空运输，其中“道路”包括河道、航线、船闸、机场、码头、堤防以及水路或航空运输中其他相似结构物；“车辆”包括船舶和飞机等。</w:t>
      </w:r>
    </w:p>
    <w:p w14:paraId="7DFED01F">
      <w:pPr>
        <w:pStyle w:val="22"/>
        <w:tabs>
          <w:tab w:val="left" w:pos="1202"/>
        </w:tabs>
        <w:adjustRightInd w:val="0"/>
        <w:snapToGrid w:val="0"/>
        <w:spacing w:line="420" w:lineRule="exact"/>
        <w:jc w:val="left"/>
        <w:rPr>
          <w:rFonts w:hAnsi="宋体"/>
          <w:b/>
          <w:bCs/>
          <w:color w:val="auto"/>
          <w:sz w:val="22"/>
          <w:szCs w:val="22"/>
          <w:highlight w:val="none"/>
        </w:rPr>
      </w:pPr>
      <w:r>
        <w:rPr>
          <w:rFonts w:hint="eastAsia" w:hAnsi="宋体"/>
          <w:b/>
          <w:bCs/>
          <w:color w:val="auto"/>
          <w:sz w:val="22"/>
          <w:szCs w:val="22"/>
          <w:highlight w:val="none"/>
          <w:u w:val="single"/>
        </w:rPr>
        <w:t xml:space="preserve">                                                                              </w:t>
      </w:r>
      <w:r>
        <w:rPr>
          <w:rFonts w:hint="eastAsia" w:hAnsi="宋体"/>
          <w:b/>
          <w:bCs/>
          <w:color w:val="auto"/>
          <w:sz w:val="22"/>
          <w:szCs w:val="22"/>
          <w:highlight w:val="none"/>
        </w:rPr>
        <w:t xml:space="preserve">  </w:t>
      </w:r>
    </w:p>
    <w:p w14:paraId="691B2878">
      <w:pPr>
        <w:pStyle w:val="22"/>
        <w:tabs>
          <w:tab w:val="left" w:pos="3818"/>
        </w:tabs>
        <w:adjustRightInd w:val="0"/>
        <w:snapToGrid w:val="0"/>
        <w:spacing w:before="240" w:beforeLines="100" w:line="420" w:lineRule="exact"/>
        <w:outlineLvl w:val="2"/>
        <w:rPr>
          <w:rFonts w:hAnsi="宋体"/>
          <w:b/>
          <w:bCs/>
          <w:color w:val="auto"/>
          <w:sz w:val="22"/>
          <w:szCs w:val="22"/>
          <w:highlight w:val="none"/>
        </w:rPr>
      </w:pPr>
      <w:bookmarkStart w:id="202" w:name="_Toc9647"/>
      <w:bookmarkStart w:id="203" w:name="_Toc469383993"/>
      <w:bookmarkStart w:id="204" w:name="_Toc2596"/>
      <w:r>
        <w:rPr>
          <w:rFonts w:hint="eastAsia" w:hAnsi="宋体"/>
          <w:b/>
          <w:bCs/>
          <w:color w:val="auto"/>
          <w:sz w:val="22"/>
          <w:szCs w:val="22"/>
          <w:highlight w:val="none"/>
        </w:rPr>
        <w:t>14  专项批准事件的签认</w:t>
      </w:r>
      <w:bookmarkEnd w:id="202"/>
      <w:bookmarkEnd w:id="203"/>
      <w:bookmarkEnd w:id="204"/>
      <w:r>
        <w:rPr>
          <w:rFonts w:hint="eastAsia" w:hAnsi="宋体"/>
          <w:b/>
          <w:bCs/>
          <w:color w:val="auto"/>
          <w:sz w:val="22"/>
          <w:szCs w:val="22"/>
          <w:highlight w:val="none"/>
        </w:rPr>
        <w:tab/>
      </w:r>
    </w:p>
    <w:p w14:paraId="4CE36AFA">
      <w:pPr>
        <w:pStyle w:val="22"/>
        <w:tabs>
          <w:tab w:val="left" w:pos="1202"/>
        </w:tabs>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8" name="文本框 39"/>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a:effectLst/>
                      </wps:spPr>
                      <wps:txbx>
                        <w:txbxContent>
                          <w:p w14:paraId="26C3EF8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wrap="square" upright="1"/>
                    </wps:wsp>
                  </a:graphicData>
                </a:graphic>
              </wp:anchor>
            </w:drawing>
          </mc:Choice>
          <mc:Fallback>
            <w:pict>
              <v:shape id="文本框 39"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xwSxjYAAAACgEAAA8AAAAAAAAAAQAgAAAAIgAAAGRycy9kb3ducmV2LnhtbFBL&#10;AQIUABQAAAAIAIdO4kD2g92rvQEAAGsDAAAOAAAAAAAAAAEAIAAAACcBAABkcnMvZTJvRG9jLnht&#10;bFBLBQYAAAAABgAGAFkBAABWBQAAAAA=&#10;">
                <v:fill on="f" focussize="0,0"/>
                <v:stroke on="f"/>
                <v:imagedata o:title=""/>
                <o:lock v:ext="edit" aspectratio="f"/>
                <v:textbox>
                  <w:txbxContent>
                    <w:p w14:paraId="26C3EF8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int="eastAsia" w:hAnsi="宋体"/>
          <w:b/>
          <w:bCs/>
          <w:color w:val="auto"/>
          <w:sz w:val="22"/>
          <w:szCs w:val="22"/>
          <w:highlight w:val="none"/>
        </w:rPr>
        <w:t xml:space="preserve">14.1      </w:t>
      </w:r>
    </w:p>
    <w:p w14:paraId="45AC7C61">
      <w:pPr>
        <w:pStyle w:val="22"/>
        <w:tabs>
          <w:tab w:val="left" w:pos="1202"/>
        </w:tabs>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392547B9">
      <w:pPr>
        <w:pStyle w:val="22"/>
        <w:tabs>
          <w:tab w:val="left" w:pos="1202"/>
        </w:tabs>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合同双方当事人应按照第14.2款规定对发生的专项批准事件予以签认，并及时将发生事件的相关资料整理、归档，同时按第23.2款、第24.2款规定职权将其中一份送监理工程师和（或）造价工程师留存。</w:t>
      </w:r>
    </w:p>
    <w:p w14:paraId="1A098C82">
      <w:pPr>
        <w:pStyle w:val="22"/>
        <w:tabs>
          <w:tab w:val="left" w:pos="2160"/>
        </w:tabs>
        <w:spacing w:before="192" w:beforeLines="80" w:line="420" w:lineRule="exact"/>
        <w:rPr>
          <w:rFonts w:hAnsi="宋体"/>
          <w:b/>
          <w:bCs/>
          <w:color w:val="auto"/>
          <w:sz w:val="22"/>
          <w:szCs w:val="22"/>
          <w:highlight w:val="none"/>
        </w:rPr>
      </w:pPr>
      <w:r>
        <w:rPr>
          <w:rFonts w:hint="eastAsia" w:hAnsi="宋体"/>
          <w:b/>
          <w:bCs/>
          <w:color w:val="auto"/>
          <w:sz w:val="22"/>
          <w:szCs w:val="22"/>
          <w:highlight w:val="none"/>
        </w:rPr>
        <w:t xml:space="preserve">14.2  </w:t>
      </w:r>
      <w:r>
        <w:rPr>
          <w:rFonts w:hint="eastAsia" w:hAnsi="宋体"/>
          <w:b/>
          <w:bCs/>
          <w:color w:val="auto"/>
          <w:sz w:val="22"/>
          <w:szCs w:val="22"/>
          <w:highlight w:val="none"/>
          <w:u w:val="dotted"/>
        </w:rPr>
        <w:t xml:space="preserve">                                                                                 </w:t>
      </w:r>
    </w:p>
    <w:p w14:paraId="26231644">
      <w:pPr>
        <w:pStyle w:val="22"/>
        <w:tabs>
          <w:tab w:val="left" w:pos="1620"/>
        </w:tabs>
        <w:spacing w:line="420" w:lineRule="exact"/>
        <w:ind w:left="1618" w:leftChars="770" w:hanging="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39" name="文本框 40"/>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a:effectLst/>
                      </wps:spPr>
                      <wps:txbx>
                        <w:txbxContent>
                          <w:p w14:paraId="6B5881D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wrap="square" upright="1"/>
                    </wps:wsp>
                  </a:graphicData>
                </a:graphic>
              </wp:anchor>
            </w:drawing>
          </mc:Choice>
          <mc:Fallback>
            <w:pict>
              <v:shape id="文本框 40"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akbmLTAAAABgEAAA8AAAAAAAAAAQAgAAAAIgAAAGRycy9kb3ducmV2LnhtbFBLAQIUABQA&#10;AAAIAIdO4kBBTd9uvAEAAGsDAAAOAAAAAAAAAAEAIAAAACIBAABkcnMvZTJvRG9jLnhtbFBLBQYA&#10;AAAABgAGAFkBAABQBQAAAAA=&#10;">
                <v:fill on="f" focussize="0,0"/>
                <v:stroke on="f"/>
                <v:imagedata o:title=""/>
                <o:lock v:ext="edit" aspectratio="f"/>
                <v:textbox>
                  <w:txbxContent>
                    <w:p w14:paraId="6B5881D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hAnsi="宋体"/>
          <w:color w:val="auto"/>
          <w:sz w:val="22"/>
          <w:szCs w:val="22"/>
          <w:highlight w:val="none"/>
        </w:rPr>
        <w:t>合同双方当事人应按照第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3EAD447B">
      <w:pPr>
        <w:pStyle w:val="22"/>
        <w:adjustRightInd w:val="0"/>
        <w:snapToGrid w:val="0"/>
        <w:spacing w:line="420" w:lineRule="exact"/>
        <w:ind w:right="-238"/>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1E3B5516">
      <w:pPr>
        <w:pStyle w:val="22"/>
        <w:adjustRightInd w:val="0"/>
        <w:snapToGrid w:val="0"/>
        <w:spacing w:before="240" w:beforeLines="100" w:line="420" w:lineRule="exact"/>
        <w:outlineLvl w:val="2"/>
        <w:rPr>
          <w:rFonts w:hAnsi="宋体"/>
          <w:b/>
          <w:bCs/>
          <w:color w:val="auto"/>
          <w:sz w:val="22"/>
          <w:szCs w:val="22"/>
          <w:highlight w:val="none"/>
        </w:rPr>
      </w:pPr>
      <w:bookmarkStart w:id="205" w:name="_Toc13154"/>
      <w:bookmarkStart w:id="206" w:name="_Toc18612"/>
      <w:bookmarkStart w:id="207" w:name="_Toc469383994"/>
      <w:r>
        <w:rPr>
          <w:rFonts w:hint="eastAsia" w:hAnsi="宋体"/>
          <w:b/>
          <w:bCs/>
          <w:color w:val="auto"/>
          <w:sz w:val="22"/>
          <w:szCs w:val="22"/>
          <w:highlight w:val="none"/>
        </w:rPr>
        <w:t>15  专利技术</w:t>
      </w:r>
      <w:bookmarkEnd w:id="205"/>
      <w:bookmarkEnd w:id="206"/>
      <w:bookmarkEnd w:id="207"/>
    </w:p>
    <w:p w14:paraId="7CAB31A6">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15.1                                                                                   </w:t>
      </w:r>
      <w:r>
        <w:rPr>
          <w:rFonts w:hint="eastAsia" w:hAnsi="宋体"/>
          <w:b/>
          <w:bCs/>
          <w:color w:val="auto"/>
          <w:sz w:val="22"/>
          <w:szCs w:val="22"/>
          <w:highlight w:val="none"/>
          <w:u w:val="dotted"/>
        </w:rPr>
        <w:t xml:space="preserve">                                                                                                </w:t>
      </w:r>
    </w:p>
    <w:p w14:paraId="597A0030">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0" name="文本框 41"/>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a:effectLst/>
                      </wps:spPr>
                      <wps:txbx>
                        <w:txbxContent>
                          <w:p w14:paraId="61248DB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41"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ptk6TWAAAACAEAAA8AAAAAAAAAAQAgAAAAIgAAAGRycy9kb3ducmV2LnhtbFBLAQIU&#10;ABQAAAAIAIdO4kBqyIs7vAEAAGsDAAAOAAAAAAAAAAEAIAAAACUBAABkcnMvZTJvRG9jLnhtbFBL&#10;BQYAAAAABgAGAFkBAABTBQAAAAA=&#10;">
                <v:fill on="f" focussize="0,0"/>
                <v:stroke on="f"/>
                <v:imagedata o:title=""/>
                <o:lock v:ext="edit" aspectratio="f"/>
                <v:textbox>
                  <w:txbxContent>
                    <w:p w14:paraId="61248DB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hAnsi="宋体"/>
          <w:color w:val="auto"/>
          <w:sz w:val="22"/>
          <w:szCs w:val="22"/>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07F75EB7">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15.2</w:t>
      </w:r>
      <w:r>
        <w:rPr>
          <w:rFonts w:hint="eastAsia" w:hAnsi="宋体"/>
          <w:b/>
          <w:bCs/>
          <w:color w:val="auto"/>
          <w:sz w:val="22"/>
          <w:szCs w:val="22"/>
          <w:highlight w:val="none"/>
          <w:u w:val="dotted"/>
        </w:rPr>
        <w:t xml:space="preserve">                                                                             </w:t>
      </w:r>
      <w:r>
        <w:rPr>
          <w:rFonts w:hint="eastAsia" w:hAnsi="宋体"/>
          <w:b/>
          <w:bCs/>
          <w:color w:val="auto"/>
          <w:sz w:val="22"/>
          <w:szCs w:val="22"/>
          <w:highlight w:val="none"/>
        </w:rPr>
        <w:t xml:space="preserve">    </w:t>
      </w:r>
      <w:r>
        <w:rPr>
          <w:rFonts w:hint="eastAsia" w:hAnsi="宋体"/>
          <w:b/>
          <w:bCs/>
          <w:color w:val="auto"/>
          <w:sz w:val="22"/>
          <w:szCs w:val="22"/>
          <w:highlight w:val="none"/>
          <w:u w:val="dotted"/>
        </w:rPr>
        <w:t xml:space="preserve">                                                                                                </w:t>
      </w:r>
    </w:p>
    <w:p w14:paraId="0E9D3107">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1" name="文本框 4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a:effectLst/>
                      </wps:spPr>
                      <wps:txbx>
                        <w:txbxContent>
                          <w:p w14:paraId="615E3E5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42"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ptk6TWAAAACAEAAA8AAAAAAAAAAQAgAAAAIgAAAGRycy9kb3ducmV2LnhtbFBLAQIU&#10;ABQAAAAIAIdO4kCQEfFlvAEAAGsDAAAOAAAAAAAAAAEAIAAAACUBAABkcnMvZTJvRG9jLnhtbFBL&#10;BQYAAAAABgAGAFkBAABTBQAAAAA=&#10;">
                <v:fill on="f" focussize="0,0"/>
                <v:stroke on="f"/>
                <v:imagedata o:title=""/>
                <o:lock v:ext="edit" aspectratio="f"/>
                <v:textbox>
                  <w:txbxContent>
                    <w:p w14:paraId="615E3E5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hAnsi="宋体"/>
          <w:color w:val="auto"/>
          <w:sz w:val="22"/>
          <w:szCs w:val="22"/>
          <w:highlight w:val="none"/>
        </w:rPr>
        <w:t>承包人在投标文件中采用专利技术的，其发生的费用已包含在投标报价内。承包人的技术秘密和第91条规定的保密信息、资料等，发包人应严格按照第91条规定不得为合同以外的目的泄露给第三方。</w:t>
      </w:r>
    </w:p>
    <w:p w14:paraId="4664E2A6">
      <w:pPr>
        <w:pStyle w:val="22"/>
        <w:tabs>
          <w:tab w:val="left" w:pos="1680"/>
        </w:tabs>
        <w:adjustRightInd w:val="0"/>
        <w:snapToGrid w:val="0"/>
        <w:spacing w:line="420" w:lineRule="exact"/>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42" name="文本框 43"/>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a:effectLst/>
                      </wps:spPr>
                      <wps:txbx>
                        <w:txbxContent>
                          <w:p w14:paraId="2EC5D2E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wrap="square" upright="1"/>
                    </wps:wsp>
                  </a:graphicData>
                </a:graphic>
              </wp:anchor>
            </w:drawing>
          </mc:Choice>
          <mc:Fallback>
            <w:pict>
              <v:shape id="文本框 43"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9XoaR1wAAAAoBAAAPAAAAAAAAAAEAIAAAACIAAABkcnMvZG93bnJldi54bWxQSwEC&#10;FAAUAAAACACHTuJA1JrI0bwBAABrAwAADgAAAAAAAAABACAAAAAmAQAAZHJzL2Uyb0RvYy54bWxQ&#10;SwUGAAAAAAYABgBZAQAAVAUAAAAA&#10;">
                <v:fill on="f" focussize="0,0"/>
                <v:stroke on="f"/>
                <v:imagedata o:title=""/>
                <o:lock v:ext="edit" aspectratio="f"/>
                <v:textbox>
                  <w:txbxContent>
                    <w:p w14:paraId="2EC5D2E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int="eastAsia" w:hAnsi="宋体"/>
          <w:color w:val="auto"/>
          <w:sz w:val="22"/>
          <w:szCs w:val="22"/>
          <w:highlight w:val="none"/>
        </w:rPr>
        <w:t xml:space="preserve">15.3  </w:t>
      </w:r>
      <w:r>
        <w:rPr>
          <w:rFonts w:hint="eastAsia" w:hAnsi="宋体"/>
          <w:color w:val="auto"/>
          <w:sz w:val="22"/>
          <w:szCs w:val="22"/>
          <w:highlight w:val="none"/>
          <w:u w:val="dotted"/>
        </w:rPr>
        <w:t xml:space="preserve">                                                                                                       </w:t>
      </w:r>
    </w:p>
    <w:p w14:paraId="4ECCEF4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14:paraId="552E8EFC">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5B458721">
      <w:pPr>
        <w:pStyle w:val="22"/>
        <w:adjustRightInd w:val="0"/>
        <w:snapToGrid w:val="0"/>
        <w:spacing w:line="420" w:lineRule="exact"/>
        <w:outlineLvl w:val="2"/>
        <w:rPr>
          <w:rFonts w:hAnsi="宋体"/>
          <w:b/>
          <w:bCs/>
          <w:color w:val="auto"/>
          <w:sz w:val="22"/>
          <w:szCs w:val="22"/>
          <w:highlight w:val="none"/>
        </w:rPr>
      </w:pPr>
      <w:bookmarkStart w:id="208" w:name="_Toc469383995"/>
      <w:bookmarkStart w:id="209" w:name="_Toc32716"/>
      <w:bookmarkStart w:id="210" w:name="_Toc16171"/>
      <w:r>
        <w:rPr>
          <w:rFonts w:hint="eastAsia" w:hAnsi="宋体"/>
          <w:b/>
          <w:bCs/>
          <w:color w:val="auto"/>
          <w:sz w:val="22"/>
          <w:szCs w:val="22"/>
          <w:highlight w:val="none"/>
        </w:rPr>
        <w:t>16  联合的责任</w:t>
      </w:r>
      <w:bookmarkEnd w:id="208"/>
      <w:bookmarkEnd w:id="209"/>
      <w:bookmarkEnd w:id="210"/>
    </w:p>
    <w:p w14:paraId="233BAC23">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43" name="文本框 44"/>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a:effectLst/>
                      </wps:spPr>
                      <wps:txbx>
                        <w:txbxContent>
                          <w:p w14:paraId="4E5669F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wrap="square" upright="1"/>
                    </wps:wsp>
                  </a:graphicData>
                </a:graphic>
              </wp:anchor>
            </w:drawing>
          </mc:Choice>
          <mc:Fallback>
            <w:pict>
              <v:shape id="文本框 44"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axOp9cAAAAKAQAADwAAAAAAAAABACAAAAAiAAAAZHJzL2Rvd25yZXYueG1sUEsBAhQA&#10;FAAAAAgAh07iQDGOiQm6AQAAawMAAA4AAAAAAAAAAQAgAAAAJgEAAGRycy9lMm9Eb2MueG1sUEsF&#10;BgAAAAAGAAYAWQEAAFIFAAAAAA==&#10;">
                <v:fill on="f" focussize="0,0"/>
                <v:stroke on="f"/>
                <v:imagedata o:title=""/>
                <o:lock v:ext="edit" aspectratio="f"/>
                <v:textbox>
                  <w:txbxContent>
                    <w:p w14:paraId="4E5669F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int="eastAsia" w:hAnsi="宋体"/>
          <w:b/>
          <w:bCs/>
          <w:color w:val="auto"/>
          <w:sz w:val="22"/>
          <w:szCs w:val="22"/>
          <w:highlight w:val="none"/>
        </w:rPr>
        <w:t xml:space="preserve">16.1                     </w:t>
      </w:r>
    </w:p>
    <w:p w14:paraId="15692A80">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14:paraId="5B00778D">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44" name="文本框 4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2BC300C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45"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LseIG2AAAAAoBAAAPAAAAAAAAAAEAIAAAACIAAABkcnMvZG93bnJldi54bWxQSwEC&#10;FAAUAAAACACHTuJAUPgP2rsBAABrAwAADgAAAAAAAAABACAAAAAnAQAAZHJzL2Uyb0RvYy54bWxQ&#10;SwUGAAAAAAYABgBZAQAAVAUAAAAA&#10;">
                <v:fill on="f" focussize="0,0"/>
                <v:stroke on="f"/>
                <v:imagedata o:title=""/>
                <o:lock v:ext="edit" aspectratio="f"/>
                <v:textbox>
                  <w:txbxContent>
                    <w:p w14:paraId="2BC300C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hAnsi="宋体"/>
          <w:b/>
          <w:bCs/>
          <w:color w:val="auto"/>
          <w:sz w:val="22"/>
          <w:szCs w:val="22"/>
          <w:highlight w:val="none"/>
        </w:rPr>
        <w:t xml:space="preserve">16.2  </w:t>
      </w:r>
      <w:r>
        <w:rPr>
          <w:rFonts w:hint="eastAsia" w:hAnsi="宋体"/>
          <w:b/>
          <w:bCs/>
          <w:color w:val="auto"/>
          <w:sz w:val="22"/>
          <w:szCs w:val="22"/>
          <w:highlight w:val="none"/>
          <w:u w:val="dotted"/>
        </w:rPr>
        <w:t xml:space="preserve">                                                                                                       </w:t>
      </w:r>
    </w:p>
    <w:p w14:paraId="298519F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14:paraId="016EC041">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794F7091">
      <w:pPr>
        <w:pStyle w:val="22"/>
        <w:tabs>
          <w:tab w:val="left" w:pos="105"/>
        </w:tabs>
        <w:adjustRightInd w:val="0"/>
        <w:snapToGrid w:val="0"/>
        <w:spacing w:before="240" w:beforeLines="100" w:line="420" w:lineRule="exact"/>
        <w:outlineLvl w:val="2"/>
        <w:rPr>
          <w:rFonts w:hAnsi="宋体"/>
          <w:b/>
          <w:bCs/>
          <w:color w:val="auto"/>
          <w:sz w:val="22"/>
          <w:szCs w:val="22"/>
          <w:highlight w:val="none"/>
        </w:rPr>
      </w:pPr>
      <w:bookmarkStart w:id="211" w:name="_Toc28852"/>
      <w:bookmarkStart w:id="212" w:name="_Toc17342"/>
      <w:bookmarkStart w:id="213" w:name="_Toc469383996"/>
      <w:r>
        <w:rPr>
          <w:rFonts w:hint="eastAsia" w:hAnsi="宋体"/>
          <w:b/>
          <w:bCs/>
          <w:color w:val="auto"/>
          <w:sz w:val="22"/>
          <w:szCs w:val="22"/>
          <w:highlight w:val="none"/>
        </w:rPr>
        <w:t>17  保障</w:t>
      </w:r>
      <w:bookmarkEnd w:id="211"/>
      <w:bookmarkEnd w:id="212"/>
      <w:bookmarkEnd w:id="213"/>
    </w:p>
    <w:p w14:paraId="16A8ED72">
      <w:pPr>
        <w:pStyle w:val="22"/>
        <w:tabs>
          <w:tab w:val="left" w:pos="1202"/>
        </w:tabs>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45" name="文本框 4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011DC55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46"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4YJDVAAAABwEAAA8AAAAAAAAAAQAgAAAAIgAAAGRycy9kb3ducmV2LnhtbFBLAQIU&#10;ABQAAAAIAIdO4kAKrQACvQEAAGsDAAAOAAAAAAAAAAEAIAAAACQBAABkcnMvZTJvRG9jLnhtbFBL&#10;BQYAAAAABgAGAFkBAABTBQAAAAA=&#10;">
                <v:fill on="f" focussize="0,0"/>
                <v:stroke on="f"/>
                <v:imagedata o:title=""/>
                <o:lock v:ext="edit" aspectratio="f"/>
                <v:textbox>
                  <w:txbxContent>
                    <w:p w14:paraId="011DC55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hAnsi="宋体"/>
          <w:b/>
          <w:bCs/>
          <w:color w:val="auto"/>
          <w:sz w:val="22"/>
          <w:szCs w:val="22"/>
          <w:highlight w:val="none"/>
        </w:rPr>
        <w:t xml:space="preserve">17.1      </w:t>
      </w:r>
    </w:p>
    <w:p w14:paraId="7DF702C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14:paraId="79ED8489">
      <w:pPr>
        <w:pStyle w:val="22"/>
        <w:tabs>
          <w:tab w:val="left" w:pos="1202"/>
        </w:tabs>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46" name="文本框 47"/>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a:effectLst/>
                      </wps:spPr>
                      <wps:txbx>
                        <w:txbxContent>
                          <w:p w14:paraId="45E6427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47"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B5Bn2AAAAAoBAAAPAAAAAAAAAAEAIAAAACIAAABkcnMvZG93bnJldi54bWxQ&#10;SwECFAAUAAAACACHTuJAjMQ6kb4BAABrAwAADgAAAAAAAAABACAAAAAnAQAAZHJzL2Uyb0RvYy54&#10;bWxQSwUGAAAAAAYABgBZAQAAVwUAAAAA&#10;">
                <v:fill on="f" focussize="0,0"/>
                <v:stroke on="f"/>
                <v:imagedata o:title=""/>
                <o:lock v:ext="edit" aspectratio="f"/>
                <v:textbox>
                  <w:txbxContent>
                    <w:p w14:paraId="45E6427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hAnsi="宋体"/>
          <w:b/>
          <w:bCs/>
          <w:color w:val="auto"/>
          <w:sz w:val="22"/>
          <w:szCs w:val="22"/>
          <w:highlight w:val="none"/>
        </w:rPr>
        <w:t xml:space="preserve">17.2  </w:t>
      </w:r>
      <w:r>
        <w:rPr>
          <w:rFonts w:hint="eastAsia" w:hAnsi="宋体"/>
          <w:b/>
          <w:bCs/>
          <w:color w:val="auto"/>
          <w:sz w:val="22"/>
          <w:szCs w:val="22"/>
          <w:highlight w:val="none"/>
          <w:u w:val="dotted"/>
        </w:rPr>
        <w:t xml:space="preserve">                                                                                                       </w:t>
      </w:r>
    </w:p>
    <w:p w14:paraId="0918A89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承包人应保障发包人不承担因承包人移动或使用施工场地外的施工设备和临时设施所造成的损害而引起的赔偿。</w:t>
      </w:r>
    </w:p>
    <w:p w14:paraId="7D7C7B75">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0CB08363">
      <w:pPr>
        <w:pStyle w:val="22"/>
        <w:adjustRightInd w:val="0"/>
        <w:snapToGrid w:val="0"/>
        <w:spacing w:before="240" w:beforeLines="100" w:line="420" w:lineRule="exact"/>
        <w:outlineLvl w:val="2"/>
        <w:rPr>
          <w:rFonts w:hAnsi="宋体"/>
          <w:b/>
          <w:bCs/>
          <w:color w:val="auto"/>
          <w:sz w:val="22"/>
          <w:szCs w:val="22"/>
          <w:highlight w:val="none"/>
        </w:rPr>
      </w:pPr>
      <w:bookmarkStart w:id="214" w:name="_Toc7973"/>
      <w:bookmarkStart w:id="215" w:name="_Toc469383997"/>
      <w:bookmarkStart w:id="216" w:name="_Toc23324"/>
      <w:r>
        <w:rPr>
          <w:rFonts w:hint="eastAsia" w:hAnsi="宋体"/>
          <w:b/>
          <w:bCs/>
          <w:color w:val="auto"/>
          <w:sz w:val="22"/>
          <w:szCs w:val="22"/>
          <w:highlight w:val="none"/>
        </w:rPr>
        <w:t>18  财产</w:t>
      </w:r>
      <w:bookmarkEnd w:id="214"/>
      <w:bookmarkEnd w:id="215"/>
      <w:bookmarkEnd w:id="216"/>
    </w:p>
    <w:p w14:paraId="5A6509FB">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18.1                       </w:t>
      </w:r>
    </w:p>
    <w:p w14:paraId="40C2E935">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47" name="文本框 48"/>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a:effectLst/>
                      </wps:spPr>
                      <wps:txbx>
                        <w:txbxContent>
                          <w:p w14:paraId="46B489C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wrap="square" upright="1"/>
                    </wps:wsp>
                  </a:graphicData>
                </a:graphic>
              </wp:anchor>
            </w:drawing>
          </mc:Choice>
          <mc:Fallback>
            <w:pict>
              <v:shape id="文本框 48"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RSyLnVAAAACAEAAA8AAAAAAAAAAQAgAAAAIgAAAGRycy9kb3ducmV2LnhtbFBLAQIU&#10;ABQAAAAIAIdO4kAuMNJYvQEAAGsDAAAOAAAAAAAAAAEAIAAAACQBAABkcnMvZTJvRG9jLnhtbFBL&#10;BQYAAAAABgAGAFkBAABTBQAAAAA=&#10;">
                <v:fill on="f" focussize="0,0"/>
                <v:stroke on="f"/>
                <v:imagedata o:title=""/>
                <o:lock v:ext="edit" aspectratio="f"/>
                <v:textbox>
                  <w:txbxContent>
                    <w:p w14:paraId="46B489C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宋体" w:hAnsi="宋体" w:cs="宋体"/>
          <w:color w:val="auto"/>
          <w:sz w:val="22"/>
          <w:szCs w:val="22"/>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2991C912">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48" name="文本框 49"/>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a:effectLst/>
                      </wps:spPr>
                      <wps:txbx>
                        <w:txbxContent>
                          <w:p w14:paraId="404A476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49"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6GjUt1wAAAAoBAAAPAAAAAAAAAAEAIAAAACIAAABkcnMvZG93bnJldi54bWxQSwEC&#10;FAAUAAAACACHTuJAn/hU07wBAABrAwAADgAAAAAAAAABACAAAAAmAQAAZHJzL2Uyb0RvYy54bWxQ&#10;SwUGAAAAAAYABgBZAQAAVAUAAAAA&#10;">
                <v:fill on="f" focussize="0,0"/>
                <v:stroke on="f"/>
                <v:imagedata o:title=""/>
                <o:lock v:ext="edit" aspectratio="f"/>
                <v:textbox>
                  <w:txbxContent>
                    <w:p w14:paraId="404A476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宋体" w:hAnsi="宋体" w:cs="宋体"/>
          <w:b/>
          <w:bCs/>
          <w:color w:val="auto"/>
          <w:sz w:val="22"/>
          <w:szCs w:val="22"/>
          <w:highlight w:val="none"/>
        </w:rPr>
        <w:t xml:space="preserve">18.2  </w:t>
      </w:r>
      <w:r>
        <w:rPr>
          <w:rFonts w:hint="eastAsia" w:ascii="宋体" w:hAnsi="宋体" w:cs="宋体"/>
          <w:b/>
          <w:bCs/>
          <w:color w:val="auto"/>
          <w:sz w:val="22"/>
          <w:szCs w:val="22"/>
          <w:highlight w:val="none"/>
          <w:u w:val="dotted"/>
        </w:rPr>
        <w:t xml:space="preserve">                                                                                                       </w:t>
      </w:r>
    </w:p>
    <w:p w14:paraId="5365B2C1">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如果发包人依据第87.3款规定的情形解除合同，则合同工程和临时工程，应认为是发包人的财产。</w:t>
      </w:r>
    </w:p>
    <w:p w14:paraId="53617B70">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49" name="文本框 50"/>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a:effectLst/>
                      </wps:spPr>
                      <wps:txbx>
                        <w:txbxContent>
                          <w:p w14:paraId="006DDA3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50"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uwFc2AAAAAoBAAAPAAAAAAAAAAEAIAAAACIAAABkcnMvZG93bnJldi54bWxQSwEC&#10;FAAUAAAACACHTuJAmCiEM7sBAABrAwAADgAAAAAAAAABACAAAAAnAQAAZHJzL2Uyb0RvYy54bWxQ&#10;SwUGAAAAAAYABgBZAQAAVAUAAAAA&#10;">
                <v:fill on="f" focussize="0,0"/>
                <v:stroke on="f"/>
                <v:imagedata o:title=""/>
                <o:lock v:ext="edit" aspectratio="f"/>
                <v:textbox>
                  <w:txbxContent>
                    <w:p w14:paraId="006DDA3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宋体" w:hAnsi="宋体" w:cs="宋体"/>
          <w:b/>
          <w:bCs/>
          <w:color w:val="auto"/>
          <w:sz w:val="22"/>
          <w:szCs w:val="22"/>
          <w:highlight w:val="none"/>
        </w:rPr>
        <w:t xml:space="preserve">18.3  </w:t>
      </w:r>
      <w:r>
        <w:rPr>
          <w:rFonts w:hint="eastAsia" w:ascii="宋体" w:hAnsi="宋体" w:cs="宋体"/>
          <w:b/>
          <w:bCs/>
          <w:color w:val="auto"/>
          <w:sz w:val="22"/>
          <w:szCs w:val="22"/>
          <w:highlight w:val="none"/>
          <w:u w:val="dotted"/>
        </w:rPr>
        <w:t xml:space="preserve">                                                                                                       </w:t>
      </w:r>
    </w:p>
    <w:p w14:paraId="00663A35">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如果承包人依据第87.4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59D869AC">
      <w:pPr>
        <w:tabs>
          <w:tab w:val="left" w:pos="1620"/>
        </w:tabs>
        <w:spacing w:line="420" w:lineRule="exact"/>
        <w:rPr>
          <w:rFonts w:ascii="方正小标宋_GBK" w:hAnsi="方正小标宋_GBK" w:eastAsia="方正小标宋_GBK" w:cs="方正小标宋_GBK"/>
          <w:b/>
          <w:bCs/>
          <w:color w:val="auto"/>
          <w:sz w:val="24"/>
          <w:szCs w:val="24"/>
          <w:highlight w:val="none"/>
          <w:u w:val="single"/>
        </w:rPr>
      </w:pPr>
      <w:r>
        <w:rPr>
          <w:rFonts w:hint="eastAsia" w:ascii="方正小标宋_GBK" w:hAnsi="方正小标宋_GBK" w:eastAsia="方正小标宋_GBK" w:cs="方正小标宋_GBK"/>
          <w:b/>
          <w:bCs/>
          <w:color w:val="auto"/>
          <w:sz w:val="24"/>
          <w:szCs w:val="24"/>
          <w:highlight w:val="none"/>
          <w:u w:val="single"/>
        </w:rPr>
        <w:t xml:space="preserve">                                                                                      </w:t>
      </w:r>
    </w:p>
    <w:p w14:paraId="70815D8A">
      <w:pPr>
        <w:spacing w:line="420" w:lineRule="exact"/>
        <w:ind w:firstLine="4305" w:firstLineChars="1793"/>
        <w:outlineLvl w:val="1"/>
        <w:rPr>
          <w:rFonts w:ascii="方正黑体_GBK" w:hAnsi="方正黑体_GBK" w:eastAsia="方正黑体_GBK" w:cs="方正黑体_GBK"/>
          <w:b/>
          <w:bCs/>
          <w:color w:val="auto"/>
          <w:sz w:val="24"/>
          <w:szCs w:val="24"/>
          <w:highlight w:val="none"/>
        </w:rPr>
      </w:pPr>
      <w:bookmarkStart w:id="217" w:name="_Toc11884"/>
      <w:bookmarkStart w:id="218" w:name="_Toc26053"/>
      <w:bookmarkStart w:id="219" w:name="_Toc469383998"/>
      <w:bookmarkStart w:id="220" w:name="_Toc26072"/>
      <w:bookmarkStart w:id="221" w:name="_Toc155166145"/>
      <w:bookmarkStart w:id="222" w:name="_Toc22114"/>
      <w:r>
        <w:rPr>
          <w:rFonts w:hint="eastAsia" w:ascii="方正小标宋_GBK" w:hAnsi="方正小标宋_GBK" w:eastAsia="方正小标宋_GBK" w:cs="方正小标宋_GBK"/>
          <w:b/>
          <w:bCs/>
          <w:color w:val="auto"/>
          <w:sz w:val="24"/>
          <w:szCs w:val="24"/>
          <w:highlight w:val="none"/>
        </w:rPr>
        <w:t>二、合同主体</w:t>
      </w:r>
      <w:bookmarkEnd w:id="217"/>
      <w:bookmarkEnd w:id="218"/>
      <w:bookmarkEnd w:id="219"/>
      <w:bookmarkEnd w:id="220"/>
      <w:bookmarkEnd w:id="221"/>
      <w:bookmarkEnd w:id="222"/>
    </w:p>
    <w:p w14:paraId="7AE31C2A">
      <w:pPr>
        <w:pStyle w:val="4"/>
        <w:tabs>
          <w:tab w:val="left" w:pos="360"/>
          <w:tab w:val="left" w:pos="420"/>
        </w:tabs>
        <w:spacing w:line="420" w:lineRule="exact"/>
        <w:ind w:left="720"/>
        <w:rPr>
          <w:rFonts w:ascii="宋体" w:hAnsi="宋体" w:cs="宋体"/>
          <w:color w:val="auto"/>
          <w:sz w:val="22"/>
          <w:szCs w:val="22"/>
          <w:highlight w:val="none"/>
        </w:rPr>
      </w:pPr>
      <w:bookmarkStart w:id="223" w:name="_Toc21335"/>
      <w:bookmarkStart w:id="224" w:name="_Toc5780"/>
      <w:bookmarkStart w:id="225" w:name="_Toc469383999"/>
      <w:r>
        <w:rPr>
          <w:rFonts w:hint="eastAsia" w:ascii="宋体" w:hAnsi="宋体" w:cs="宋体"/>
          <w:color w:val="auto"/>
          <w:sz w:val="22"/>
          <w:szCs w:val="22"/>
          <w:highlight w:val="none"/>
        </w:rPr>
        <w:t>19  发包人</w:t>
      </w:r>
      <w:bookmarkEnd w:id="223"/>
      <w:bookmarkEnd w:id="224"/>
      <w:bookmarkEnd w:id="225"/>
    </w:p>
    <w:p w14:paraId="0A8F2DDC">
      <w:pPr>
        <w:tabs>
          <w:tab w:val="left" w:pos="1620"/>
        </w:tabs>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19.1                                                        </w:t>
      </w:r>
    </w:p>
    <w:p w14:paraId="5AB88160">
      <w:pPr>
        <w:tabs>
          <w:tab w:val="left" w:pos="162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0" name="文本框 51"/>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a:effectLst/>
                      </wps:spPr>
                      <wps:txbx>
                        <w:txbxContent>
                          <w:p w14:paraId="72562FC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51"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FFopk1QAAAAcBAAAPAAAAAAAAAAEAIAAAACIAAABkcnMvZG93bnJldi54bWxQSwECFAAU&#10;AAAACACHTuJAaokVQrsBAABrAwAADgAAAAAAAAABACAAAAAkAQAAZHJzL2Uyb0RvYy54bWxQSwUG&#10;AAAAAAYABgBZAQAAUQUAAAAA&#10;">
                <v:fill on="f" focussize="0,0"/>
                <v:stroke on="f"/>
                <v:imagedata o:title=""/>
                <o:lock v:ext="edit" aspectratio="f"/>
                <v:textbox>
                  <w:txbxContent>
                    <w:p w14:paraId="72562FC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宋体"/>
          <w:color w:val="auto"/>
          <w:sz w:val="22"/>
          <w:szCs w:val="22"/>
          <w:highlight w:val="none"/>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5617EEDD">
      <w:pPr>
        <w:tabs>
          <w:tab w:val="left" w:pos="1620"/>
        </w:tabs>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19.2 </w:t>
      </w:r>
      <w:r>
        <w:rPr>
          <w:rFonts w:hint="eastAsia" w:ascii="宋体" w:hAnsi="宋体" w:cs="宋体"/>
          <w:b/>
          <w:bCs/>
          <w:color w:val="auto"/>
          <w:sz w:val="22"/>
          <w:szCs w:val="22"/>
          <w:highlight w:val="none"/>
          <w:u w:val="dotted"/>
        </w:rPr>
        <w:t xml:space="preserve">                                                                             </w:t>
      </w:r>
      <w:r>
        <w:rPr>
          <w:rFonts w:hint="eastAsia" w:ascii="宋体" w:hAnsi="宋体" w:cs="宋体"/>
          <w:b/>
          <w:bCs/>
          <w:color w:val="auto"/>
          <w:sz w:val="22"/>
          <w:szCs w:val="22"/>
          <w:highlight w:val="none"/>
        </w:rPr>
        <w:t xml:space="preserve">                                                       </w:t>
      </w:r>
    </w:p>
    <w:p w14:paraId="378207FE">
      <w:pPr>
        <w:spacing w:line="420" w:lineRule="exact"/>
        <w:ind w:left="162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1" name="文本框 52"/>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a:effectLst/>
                      </wps:spPr>
                      <wps:txbx>
                        <w:txbxContent>
                          <w:p w14:paraId="3227D8D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52"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RaKZNUAAAAHAQAADwAAAAAAAAABACAAAAAiAAAAZHJzL2Rvd25yZXYueG1sUEsBAhQA&#10;FAAAAAgAh07iQJBQbxy8AQAAawMAAA4AAAAAAAAAAQAgAAAAJAEAAGRycy9lMm9Eb2MueG1sUEsF&#10;BgAAAAAGAAYAWQEAAFIFAAAAAA==&#10;">
                <v:fill on="f" focussize="0,0"/>
                <v:stroke on="f"/>
                <v:imagedata o:title=""/>
                <o:lock v:ext="edit" aspectratio="f"/>
                <v:textbox>
                  <w:txbxContent>
                    <w:p w14:paraId="3227D8D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宋体" w:hAnsi="宋体" w:cs="宋体"/>
          <w:color w:val="auto"/>
          <w:sz w:val="22"/>
          <w:szCs w:val="22"/>
          <w:highlight w:val="none"/>
        </w:rPr>
        <w:t>发包人应按照合同约定完成下列工作，包括但不限于：</w:t>
      </w:r>
    </w:p>
    <w:p w14:paraId="1F184463">
      <w:pPr>
        <w:numPr>
          <w:ilvl w:val="0"/>
          <w:numId w:val="5"/>
        </w:numPr>
        <w:tabs>
          <w:tab w:val="left" w:pos="1080"/>
          <w:tab w:val="left" w:pos="1470"/>
          <w:tab w:val="left" w:pos="1980"/>
          <w:tab w:val="clear" w:pos="990"/>
        </w:tabs>
        <w:spacing w:line="420" w:lineRule="exact"/>
        <w:ind w:left="1612" w:leftChars="749" w:hanging="39" w:hangingChars="18"/>
        <w:rPr>
          <w:rFonts w:ascii="宋体" w:hAnsi="宋体" w:cs="宋体"/>
          <w:color w:val="auto"/>
          <w:sz w:val="22"/>
          <w:szCs w:val="22"/>
          <w:highlight w:val="none"/>
        </w:rPr>
      </w:pPr>
      <w:r>
        <w:rPr>
          <w:rFonts w:hint="eastAsia" w:ascii="宋体" w:hAnsi="宋体" w:cs="宋体"/>
          <w:color w:val="auto"/>
          <w:sz w:val="22"/>
          <w:szCs w:val="22"/>
          <w:highlight w:val="none"/>
        </w:rPr>
        <w:t>办理土地征用、拆迁、平整施工场地等工作，使施工场地具备施工条件，并在开工后继续负责解决上述工作遗留的问题；</w:t>
      </w:r>
    </w:p>
    <w:p w14:paraId="6DDEE9AD">
      <w:pPr>
        <w:numPr>
          <w:ilvl w:val="0"/>
          <w:numId w:val="5"/>
        </w:numPr>
        <w:tabs>
          <w:tab w:val="left" w:pos="1080"/>
          <w:tab w:val="left" w:pos="1470"/>
          <w:tab w:val="left" w:pos="1980"/>
          <w:tab w:val="clear" w:pos="990"/>
        </w:tabs>
        <w:spacing w:line="420" w:lineRule="exact"/>
        <w:ind w:left="1630" w:leftChars="750" w:hanging="55" w:hangingChars="25"/>
        <w:rPr>
          <w:rFonts w:ascii="宋体" w:hAnsi="宋体" w:cs="宋体"/>
          <w:color w:val="auto"/>
          <w:sz w:val="22"/>
          <w:szCs w:val="22"/>
          <w:highlight w:val="none"/>
        </w:rPr>
      </w:pPr>
      <w:r>
        <w:rPr>
          <w:rFonts w:hint="eastAsia" w:ascii="宋体" w:hAnsi="宋体" w:cs="宋体"/>
          <w:color w:val="auto"/>
          <w:sz w:val="22"/>
          <w:szCs w:val="22"/>
          <w:highlight w:val="none"/>
        </w:rPr>
        <w:t>将施工所需水、电、通讯线路从施工场地外部接驳至专用条款约定的地点，</w:t>
      </w:r>
    </w:p>
    <w:p w14:paraId="5A0301B7">
      <w:pPr>
        <w:tabs>
          <w:tab w:val="left" w:pos="1980"/>
        </w:tabs>
        <w:spacing w:line="420" w:lineRule="exact"/>
        <w:ind w:left="1575" w:leftChars="750"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保证施工期间的需要；</w:t>
      </w:r>
    </w:p>
    <w:p w14:paraId="40F3AAB5">
      <w:pPr>
        <w:numPr>
          <w:ilvl w:val="0"/>
          <w:numId w:val="5"/>
        </w:numPr>
        <w:tabs>
          <w:tab w:val="left" w:pos="1080"/>
          <w:tab w:val="left" w:pos="1470"/>
          <w:tab w:val="left" w:pos="1980"/>
          <w:tab w:val="clear" w:pos="990"/>
        </w:tabs>
        <w:spacing w:line="420" w:lineRule="exact"/>
        <w:ind w:left="1630" w:leftChars="750" w:hanging="55" w:hangingChars="25"/>
        <w:rPr>
          <w:rFonts w:ascii="宋体" w:hAnsi="宋体" w:cs="宋体"/>
          <w:color w:val="auto"/>
          <w:sz w:val="22"/>
          <w:szCs w:val="22"/>
          <w:highlight w:val="none"/>
        </w:rPr>
      </w:pPr>
      <w:r>
        <w:rPr>
          <w:rFonts w:hint="eastAsia" w:ascii="宋体" w:hAnsi="宋体" w:cs="宋体"/>
          <w:color w:val="auto"/>
          <w:sz w:val="22"/>
          <w:szCs w:val="22"/>
          <w:highlight w:val="none"/>
        </w:rPr>
        <w:t>开通施工场地与城乡公共道路间的通道，满足第13条交通运输的需要；</w:t>
      </w:r>
    </w:p>
    <w:p w14:paraId="4D1C4336">
      <w:pPr>
        <w:numPr>
          <w:ilvl w:val="0"/>
          <w:numId w:val="5"/>
        </w:numPr>
        <w:tabs>
          <w:tab w:val="left" w:pos="1080"/>
          <w:tab w:val="left" w:pos="1470"/>
          <w:tab w:val="left" w:pos="1980"/>
          <w:tab w:val="clear" w:pos="990"/>
        </w:tabs>
        <w:spacing w:line="420" w:lineRule="exact"/>
        <w:ind w:left="1612" w:leftChars="749" w:hanging="39" w:hangingChars="18"/>
        <w:rPr>
          <w:rFonts w:ascii="宋体" w:hAnsi="宋体" w:cs="宋体"/>
          <w:color w:val="auto"/>
          <w:sz w:val="22"/>
          <w:szCs w:val="22"/>
          <w:highlight w:val="none"/>
        </w:rPr>
      </w:pPr>
      <w:r>
        <w:rPr>
          <w:rFonts w:hint="eastAsia" w:ascii="宋体" w:hAnsi="宋体" w:cs="宋体"/>
          <w:color w:val="auto"/>
          <w:sz w:val="22"/>
          <w:szCs w:val="22"/>
          <w:highlight w:val="none"/>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14:paraId="52AB2014">
      <w:pPr>
        <w:numPr>
          <w:ilvl w:val="0"/>
          <w:numId w:val="5"/>
        </w:numPr>
        <w:tabs>
          <w:tab w:val="left" w:pos="1080"/>
          <w:tab w:val="left" w:pos="1470"/>
          <w:tab w:val="left" w:pos="1980"/>
          <w:tab w:val="clear" w:pos="990"/>
        </w:tabs>
        <w:spacing w:line="420" w:lineRule="exact"/>
        <w:ind w:left="1612" w:leftChars="748" w:hanging="41" w:hangingChars="19"/>
        <w:rPr>
          <w:rFonts w:ascii="宋体" w:hAnsi="宋体" w:cs="宋体"/>
          <w:color w:val="auto"/>
          <w:sz w:val="22"/>
          <w:szCs w:val="22"/>
          <w:highlight w:val="none"/>
        </w:rPr>
      </w:pPr>
      <w:r>
        <w:rPr>
          <w:rFonts w:hint="eastAsia" w:ascii="宋体" w:hAnsi="宋体" w:cs="宋体"/>
          <w:color w:val="auto"/>
          <w:sz w:val="22"/>
          <w:szCs w:val="22"/>
          <w:highlight w:val="none"/>
        </w:rPr>
        <w:t>办理施工许可及其他所需证件、批准文件和办理临时用地、停水、停电、中断道路交通、爆破作业等的申请批准手续（承包人自身施工资质的证件除外）；</w:t>
      </w:r>
    </w:p>
    <w:p w14:paraId="3E3C952B">
      <w:pPr>
        <w:numPr>
          <w:ilvl w:val="0"/>
          <w:numId w:val="5"/>
        </w:numPr>
        <w:tabs>
          <w:tab w:val="left" w:pos="1080"/>
          <w:tab w:val="left" w:pos="1470"/>
          <w:tab w:val="left" w:pos="1980"/>
          <w:tab w:val="clear" w:pos="990"/>
        </w:tabs>
        <w:spacing w:line="420" w:lineRule="exact"/>
        <w:ind w:left="1630" w:leftChars="750" w:hanging="55" w:hangingChars="25"/>
        <w:rPr>
          <w:rFonts w:ascii="宋体" w:hAnsi="宋体" w:cs="宋体"/>
          <w:color w:val="auto"/>
          <w:sz w:val="22"/>
          <w:szCs w:val="22"/>
          <w:highlight w:val="none"/>
        </w:rPr>
      </w:pPr>
      <w:r>
        <w:rPr>
          <w:rFonts w:hint="eastAsia" w:ascii="宋体" w:hAnsi="宋体" w:cs="宋体"/>
          <w:color w:val="auto"/>
          <w:sz w:val="22"/>
          <w:szCs w:val="22"/>
          <w:highlight w:val="none"/>
        </w:rPr>
        <w:t>确定水准点与坐标控制点，组织现场交验并以书面形式移交给承包人；</w:t>
      </w:r>
    </w:p>
    <w:p w14:paraId="59E755B4">
      <w:pPr>
        <w:tabs>
          <w:tab w:val="left" w:pos="1980"/>
        </w:tabs>
        <w:spacing w:line="420" w:lineRule="exact"/>
        <w:ind w:left="540" w:leftChars="257" w:firstLine="932" w:firstLineChars="424"/>
        <w:rPr>
          <w:rFonts w:ascii="宋体" w:hAnsi="宋体" w:cs="宋体"/>
          <w:color w:val="auto"/>
          <w:sz w:val="22"/>
          <w:szCs w:val="22"/>
          <w:highlight w:val="none"/>
        </w:rPr>
      </w:pPr>
      <w:r>
        <w:rPr>
          <w:rFonts w:hint="eastAsia" w:ascii="宋体" w:hAnsi="宋体" w:cs="宋体"/>
          <w:color w:val="auto"/>
          <w:sz w:val="22"/>
          <w:szCs w:val="22"/>
          <w:highlight w:val="none"/>
        </w:rPr>
        <w:t>(7) 按照专用条款约定的时间向承包人提供一式两份约定的标准与规范；</w:t>
      </w:r>
    </w:p>
    <w:p w14:paraId="5C6B25C5">
      <w:pPr>
        <w:tabs>
          <w:tab w:val="left" w:pos="1080"/>
          <w:tab w:val="left" w:pos="1980"/>
        </w:tabs>
        <w:spacing w:line="420" w:lineRule="exact"/>
        <w:ind w:left="1575"/>
        <w:rPr>
          <w:rFonts w:ascii="宋体" w:hAnsi="宋体" w:cs="宋体"/>
          <w:color w:val="auto"/>
          <w:sz w:val="22"/>
          <w:szCs w:val="22"/>
          <w:highlight w:val="none"/>
        </w:rPr>
      </w:pPr>
      <w:r>
        <w:rPr>
          <w:rFonts w:hint="eastAsia" w:ascii="宋体" w:hAnsi="宋体" w:cs="宋体"/>
          <w:color w:val="auto"/>
          <w:sz w:val="22"/>
          <w:szCs w:val="22"/>
          <w:highlight w:val="none"/>
        </w:rPr>
        <w:t>(8) 组织承包人和设计人进行图纸会审和设计交底；</w:t>
      </w:r>
    </w:p>
    <w:p w14:paraId="59306BB8">
      <w:pPr>
        <w:tabs>
          <w:tab w:val="left" w:pos="1980"/>
        </w:tabs>
        <w:spacing w:line="420" w:lineRule="exact"/>
        <w:ind w:left="1575"/>
        <w:rPr>
          <w:rFonts w:ascii="宋体" w:hAnsi="宋体" w:cs="宋体"/>
          <w:color w:val="auto"/>
          <w:sz w:val="22"/>
          <w:szCs w:val="22"/>
          <w:highlight w:val="none"/>
        </w:rPr>
      </w:pPr>
      <w:r>
        <w:rPr>
          <w:rFonts w:hint="eastAsia" w:ascii="宋体" w:hAnsi="宋体" w:cs="宋体"/>
          <w:color w:val="auto"/>
          <w:sz w:val="22"/>
          <w:szCs w:val="22"/>
          <w:highlight w:val="none"/>
        </w:rPr>
        <w:t>(9)协调处理施工场地周围地形关系问题和做好邻近建筑物、构筑物（包括文物</w:t>
      </w:r>
    </w:p>
    <w:p w14:paraId="07C938C4">
      <w:pPr>
        <w:tabs>
          <w:tab w:val="left" w:pos="1980"/>
        </w:tabs>
        <w:spacing w:line="420" w:lineRule="exact"/>
        <w:ind w:left="1575" w:leftChars="750" w:firstLine="39" w:firstLineChars="18"/>
        <w:rPr>
          <w:rFonts w:ascii="宋体" w:hAnsi="宋体" w:cs="宋体"/>
          <w:color w:val="auto"/>
          <w:sz w:val="22"/>
          <w:szCs w:val="22"/>
          <w:highlight w:val="none"/>
        </w:rPr>
      </w:pPr>
      <w:r>
        <w:rPr>
          <w:rFonts w:hint="eastAsia" w:ascii="宋体" w:hAnsi="宋体" w:cs="宋体"/>
          <w:color w:val="auto"/>
          <w:sz w:val="22"/>
          <w:szCs w:val="22"/>
          <w:highlight w:val="none"/>
        </w:rPr>
        <w:t>保护建筑）、古树名木等的保护工作；</w:t>
      </w:r>
    </w:p>
    <w:p w14:paraId="55C9CDCD">
      <w:pPr>
        <w:tabs>
          <w:tab w:val="left" w:pos="1980"/>
        </w:tabs>
        <w:spacing w:line="420" w:lineRule="exact"/>
        <w:ind w:left="480" w:firstLine="1045" w:firstLineChars="475"/>
        <w:rPr>
          <w:rFonts w:ascii="宋体" w:hAnsi="宋体" w:cs="宋体"/>
          <w:color w:val="auto"/>
          <w:sz w:val="22"/>
          <w:szCs w:val="22"/>
          <w:highlight w:val="none"/>
        </w:rPr>
      </w:pPr>
      <w:r>
        <w:rPr>
          <w:rFonts w:hint="eastAsia" w:ascii="宋体" w:hAnsi="宋体" w:cs="宋体"/>
          <w:color w:val="auto"/>
          <w:sz w:val="22"/>
          <w:szCs w:val="22"/>
          <w:highlight w:val="none"/>
        </w:rPr>
        <w:t>(10)及时接收已完工程，并按照合同约定及时支付工程款及其他各种款项。</w:t>
      </w:r>
    </w:p>
    <w:p w14:paraId="7F3B12C9">
      <w:pPr>
        <w:pStyle w:val="25"/>
        <w:tabs>
          <w:tab w:val="left" w:pos="1980"/>
        </w:tabs>
        <w:spacing w:line="420" w:lineRule="exact"/>
        <w:ind w:left="1619" w:leftChars="771" w:firstLine="1" w:firstLineChars="0"/>
        <w:rPr>
          <w:rFonts w:ascii="宋体" w:hAnsi="宋体" w:cs="宋体"/>
          <w:color w:val="auto"/>
          <w:sz w:val="22"/>
          <w:szCs w:val="22"/>
          <w:highlight w:val="none"/>
        </w:rPr>
      </w:pPr>
      <w:r>
        <w:rPr>
          <w:rFonts w:hint="eastAsia" w:ascii="宋体" w:hAnsi="宋体" w:cs="宋体"/>
          <w:color w:val="auto"/>
          <w:sz w:val="22"/>
          <w:szCs w:val="22"/>
          <w:highlight w:val="none"/>
        </w:rPr>
        <w:t>发包人可将其中部分工作委托给承包人办理，具体由合同双方当事人在专用条款中约定。除合同价款已包括外，由发包人承担所需费用，并向承包人支付合理利润。</w:t>
      </w:r>
    </w:p>
    <w:p w14:paraId="6FB2DF0B">
      <w:pPr>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 xml:space="preserve">19.3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536BF52D">
      <w:pPr>
        <w:spacing w:line="420" w:lineRule="exact"/>
        <w:ind w:left="1619" w:leftChars="771" w:firstLine="2"/>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52" name="文本框 5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2F933D8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53"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C7iE7UAAAABwEAAA8AAAAAAAAAAQAgAAAAIgAAAGRycy9kb3ducmV2LnhtbFBLAQIUABQA&#10;AAAIAIdO4kAtclKGuwEAAGsDAAAOAAAAAAAAAAEAIAAAACMBAABkcnMvZTJvRG9jLnhtbFBLBQYA&#10;AAAABgAGAFkBAABQBQAAAAA=&#10;">
                <v:fill on="f" focussize="0,0"/>
                <v:stroke on="f"/>
                <v:imagedata o:title=""/>
                <o:lock v:ext="edit" aspectratio="f"/>
                <v:textbox>
                  <w:txbxContent>
                    <w:p w14:paraId="2F933D8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宋体" w:hAnsi="宋体" w:cs="宋体"/>
          <w:color w:val="auto"/>
          <w:sz w:val="22"/>
          <w:szCs w:val="22"/>
          <w:highlight w:val="none"/>
        </w:rPr>
        <w:t>发包人应按照专用条款约定的时间提供施工场地，并在确保承包人按照计划进度顺利开工的时间内给予承包人进入和使用施工场地的权利。</w:t>
      </w:r>
    </w:p>
    <w:p w14:paraId="177A4E27">
      <w:pPr>
        <w:spacing w:line="420" w:lineRule="exact"/>
        <w:ind w:left="1619" w:leftChars="771" w:firstLine="2"/>
        <w:rPr>
          <w:rFonts w:ascii="宋体" w:hAnsi="宋体" w:cs="宋体"/>
          <w:color w:val="auto"/>
          <w:sz w:val="22"/>
          <w:szCs w:val="22"/>
          <w:highlight w:val="none"/>
        </w:rPr>
      </w:pPr>
      <w:r>
        <w:rPr>
          <w:rFonts w:hint="eastAsia" w:ascii="宋体" w:hAnsi="宋体" w:cs="宋体"/>
          <w:color w:val="auto"/>
          <w:sz w:val="22"/>
          <w:szCs w:val="22"/>
          <w:highlight w:val="none"/>
        </w:rPr>
        <w:t>发包人保留其工作人员、雇员和相关执法人员进入和使用施工场地的权利。</w:t>
      </w:r>
    </w:p>
    <w:p w14:paraId="28D852CF">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19.4  </w:t>
      </w:r>
      <w:r>
        <w:rPr>
          <w:rFonts w:hint="eastAsia" w:ascii="宋体" w:hAnsi="宋体" w:cs="宋体"/>
          <w:b/>
          <w:bCs/>
          <w:color w:val="auto"/>
          <w:sz w:val="22"/>
          <w:szCs w:val="22"/>
          <w:highlight w:val="none"/>
          <w:u w:val="dotted"/>
        </w:rPr>
        <w:t xml:space="preserve">                                                                                                       </w:t>
      </w:r>
    </w:p>
    <w:p w14:paraId="7808CBAB">
      <w:pPr>
        <w:spacing w:line="420" w:lineRule="exact"/>
        <w:ind w:left="1619" w:leftChars="771"/>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53" name="文本框 54"/>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a:effectLst/>
                      </wps:spPr>
                      <wps:txbx>
                        <w:txbxContent>
                          <w:p w14:paraId="5329D67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54"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UMTuTWAAAACQEAAA8AAAAAAAAAAQAgAAAAIgAAAGRycy9kb3ducmV2LnhtbFBLAQIU&#10;ABQAAAAIAIdO4kAC1R3rvAEAAGsDAAAOAAAAAAAAAAEAIAAAACUBAABkcnMvZTJvRG9jLnhtbFBL&#10;BQYAAAAABgAGAFkBAABTBQAAAAA=&#10;">
                <v:fill on="f" focussize="0,0"/>
                <v:stroke on="f"/>
                <v:imagedata o:title=""/>
                <o:lock v:ext="edit" aspectratio="f"/>
                <v:textbox>
                  <w:txbxContent>
                    <w:p w14:paraId="5329D67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宋体" w:hAnsi="宋体" w:cs="宋体"/>
          <w:color w:val="auto"/>
          <w:sz w:val="22"/>
          <w:szCs w:val="22"/>
          <w:highlight w:val="none"/>
        </w:rPr>
        <w:t>发包人应按照合同约定的期限和方式向承包人支付工程款及其他应支付的款项。</w:t>
      </w:r>
    </w:p>
    <w:p w14:paraId="303C884E">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19.5  </w:t>
      </w:r>
      <w:r>
        <w:rPr>
          <w:rFonts w:hint="eastAsia" w:ascii="宋体" w:hAnsi="宋体" w:cs="宋体"/>
          <w:b/>
          <w:bCs/>
          <w:color w:val="auto"/>
          <w:sz w:val="22"/>
          <w:szCs w:val="22"/>
          <w:highlight w:val="none"/>
          <w:u w:val="dotted"/>
        </w:rPr>
        <w:t xml:space="preserve">                                                                                                       </w:t>
      </w:r>
    </w:p>
    <w:p w14:paraId="1134DB10">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54" name="文本框 55"/>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a:effectLst/>
                      </wps:spPr>
                      <wps:txbx>
                        <w:txbxContent>
                          <w:p w14:paraId="2798BD9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55"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yx3l1gAAAAkBAAAPAAAAAAAAAAEAIAAAACIAAABkcnMvZG93bnJldi54bWxQSwEC&#10;FAAUAAAACACHTuJAADNVur0BAABrAwAADgAAAAAAAAABACAAAAAlAQAAZHJzL2Uyb0RvYy54bWxQ&#10;SwUGAAAAAAYABgBZAQAAVAUAAAAA&#10;">
                <v:fill on="f" focussize="0,0"/>
                <v:stroke on="f"/>
                <v:imagedata o:title=""/>
                <o:lock v:ext="edit" aspectratio="f"/>
                <v:textbox>
                  <w:txbxContent>
                    <w:p w14:paraId="2798BD9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宋体" w:hAnsi="宋体" w:cs="宋体"/>
          <w:color w:val="auto"/>
          <w:sz w:val="22"/>
          <w:szCs w:val="22"/>
          <w:highlight w:val="none"/>
        </w:rPr>
        <w:t>发包人应按照第58条规定组织承包人、设计人、监理人和工程造价咨询人（如有）等进行竣工验收。</w:t>
      </w:r>
    </w:p>
    <w:p w14:paraId="18D9D003">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55" name="文本框 56"/>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a:effectLst/>
                      </wps:spPr>
                      <wps:txbx>
                        <w:txbxContent>
                          <w:p w14:paraId="210B75A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wrap="square" upright="1"/>
                    </wps:wsp>
                  </a:graphicData>
                </a:graphic>
              </wp:anchor>
            </w:drawing>
          </mc:Choice>
          <mc:Fallback>
            <w:pict>
              <v:shape id="文本框 56"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zItJdcAAAAKAQAADwAAAAAAAAABACAAAAAiAAAAZHJzL2Rvd25yZXYueG1sUEsB&#10;AhQAFAAAAAgAh07iQDxhIGa9AQAAbAMAAA4AAAAAAAAAAQAgAAAAJgEAAGRycy9lMm9Eb2MueG1s&#10;UEsFBgAAAAAGAAYAWQEAAFUFAAAAAA==&#10;">
                <v:fill on="f" focussize="0,0"/>
                <v:stroke on="f"/>
                <v:imagedata o:title=""/>
                <o:lock v:ext="edit" aspectratio="f"/>
                <v:textbox>
                  <w:txbxContent>
                    <w:p w14:paraId="210B75A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hint="eastAsia" w:ascii="宋体" w:hAnsi="宋体" w:cs="宋体"/>
          <w:b/>
          <w:bCs/>
          <w:color w:val="auto"/>
          <w:sz w:val="22"/>
          <w:szCs w:val="22"/>
          <w:highlight w:val="none"/>
        </w:rPr>
        <w:t xml:space="preserve">19.6  </w:t>
      </w:r>
      <w:r>
        <w:rPr>
          <w:rFonts w:hint="eastAsia" w:ascii="宋体" w:hAnsi="宋体" w:cs="宋体"/>
          <w:b/>
          <w:bCs/>
          <w:color w:val="auto"/>
          <w:sz w:val="22"/>
          <w:szCs w:val="22"/>
          <w:highlight w:val="none"/>
          <w:u w:val="dotted"/>
        </w:rPr>
        <w:t xml:space="preserve">                                                                                                       </w:t>
      </w:r>
    </w:p>
    <w:p w14:paraId="50972CF1">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发包人供应材料和工程设备的，发包人应按照第48条规定向承包人提供材料和工程设备。</w:t>
      </w:r>
    </w:p>
    <w:p w14:paraId="0C64BA8C">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19.7  </w:t>
      </w:r>
      <w:r>
        <w:rPr>
          <w:rFonts w:hint="eastAsia" w:ascii="宋体" w:hAnsi="宋体" w:cs="宋体"/>
          <w:b/>
          <w:bCs/>
          <w:color w:val="auto"/>
          <w:sz w:val="22"/>
          <w:szCs w:val="22"/>
          <w:highlight w:val="none"/>
          <w:u w:val="dotted"/>
        </w:rPr>
        <w:t xml:space="preserve">                                                                                                       </w:t>
      </w:r>
    </w:p>
    <w:p w14:paraId="2443A9CF">
      <w:pPr>
        <w:spacing w:line="420" w:lineRule="exact"/>
        <w:ind w:left="1619" w:leftChars="771" w:firstLine="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56" name="文本框 57"/>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a:effectLst/>
                      </wps:spPr>
                      <wps:txbx>
                        <w:txbxContent>
                          <w:p w14:paraId="6831C25D">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57"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dw8trUAAAABwEAAA8AAAAAAAAAAQAgAAAAIgAAAGRycy9kb3ducmV2LnhtbFBLAQIU&#10;ABQAAAAIAIdO4kBRsGbIvgEAAGsDAAAOAAAAAAAAAAEAIAAAACMBAABkcnMvZTJvRG9jLnhtbFBL&#10;BQYAAAAABgAGAFkBAABTBQAAAAA=&#10;">
                <v:fill on="f" focussize="0,0"/>
                <v:stroke on="f"/>
                <v:imagedata o:title=""/>
                <o:lock v:ext="edit" aspectratio="f"/>
                <v:textbox>
                  <w:txbxContent>
                    <w:p w14:paraId="6831C25D">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宋体" w:hAnsi="宋体" w:cs="宋体"/>
          <w:color w:val="auto"/>
          <w:sz w:val="22"/>
          <w:szCs w:val="22"/>
          <w:highlight w:val="none"/>
        </w:rPr>
        <w:t>发包人未能正确完成本合同约定的全部义务，导致费用的增加和（或）延误的工期，由发包人承担；给承包人造成损失的，发包人应予赔偿。</w:t>
      </w:r>
    </w:p>
    <w:p w14:paraId="3E85C0C9">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2C2DA416">
      <w:pPr>
        <w:pStyle w:val="4"/>
        <w:tabs>
          <w:tab w:val="left" w:pos="360"/>
          <w:tab w:val="left" w:pos="420"/>
        </w:tabs>
        <w:spacing w:line="420" w:lineRule="exact"/>
        <w:ind w:left="720"/>
        <w:rPr>
          <w:rFonts w:ascii="宋体" w:hAnsi="宋体" w:cs="宋体"/>
          <w:color w:val="auto"/>
          <w:sz w:val="22"/>
          <w:szCs w:val="22"/>
          <w:highlight w:val="none"/>
        </w:rPr>
      </w:pPr>
      <w:bookmarkStart w:id="226" w:name="_Toc469384000"/>
      <w:bookmarkStart w:id="227" w:name="_Toc24682"/>
      <w:bookmarkStart w:id="228" w:name="_Toc27861"/>
      <w:r>
        <w:rPr>
          <w:rFonts w:hint="eastAsia" w:ascii="宋体" w:hAnsi="宋体" w:cs="宋体"/>
          <w:color w:val="auto"/>
          <w:sz w:val="22"/>
          <w:szCs w:val="22"/>
          <w:highlight w:val="none"/>
        </w:rPr>
        <w:t>20  承包人</w:t>
      </w:r>
      <w:bookmarkEnd w:id="226"/>
      <w:bookmarkEnd w:id="227"/>
      <w:bookmarkEnd w:id="228"/>
    </w:p>
    <w:p w14:paraId="6B205ECA">
      <w:pPr>
        <w:tabs>
          <w:tab w:val="left" w:pos="1620"/>
        </w:tabs>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20.1                                                        </w:t>
      </w:r>
    </w:p>
    <w:p w14:paraId="1948E970">
      <w:pPr>
        <w:tabs>
          <w:tab w:val="left" w:pos="1620"/>
        </w:tabs>
        <w:spacing w:line="420" w:lineRule="exact"/>
        <w:ind w:left="1260" w:leftChars="60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7" name="文本框 58"/>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a:effectLst/>
                      </wps:spPr>
                      <wps:txbx>
                        <w:txbxContent>
                          <w:p w14:paraId="5953F5B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58"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UWimTVAAAABwEAAA8AAAAAAAAAAQAgAAAAIgAAAGRycy9kb3ducmV2LnhtbFBLAQIU&#10;ABQAAAAIAIdO4kDNggACvQEAAGsDAAAOAAAAAAAAAAEAIAAAACQBAABkcnMvZTJvRG9jLnhtbFBL&#10;BQYAAAAABgAGAFkBAABTBQAAAAA=&#10;">
                <v:fill on="f" focussize="0,0"/>
                <v:stroke on="f"/>
                <v:imagedata o:title=""/>
                <o:lock v:ext="edit" aspectratio="f"/>
                <v:textbox>
                  <w:txbxContent>
                    <w:p w14:paraId="5953F5B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宋体"/>
          <w:color w:val="auto"/>
          <w:sz w:val="22"/>
          <w:szCs w:val="22"/>
          <w:highlight w:val="none"/>
        </w:rPr>
        <w:t>承包人在履行合同期间应遵守法律，并保证发包人免于承担因承包人违反法律而引起的任何责任。遵守国家、省、市有关社会信用体系建设工作的法律、行政法规、 部门规章，严格执行信用承诺制度，违背信用承诺约定时，承担违约责任，并依法 承担相应法律责任。</w:t>
      </w:r>
    </w:p>
    <w:p w14:paraId="2D8BC76E">
      <w:pPr>
        <w:pStyle w:val="102"/>
        <w:spacing w:before="0" w:beforeAutospacing="0" w:after="0" w:afterAutospacing="0" w:line="420" w:lineRule="exact"/>
        <w:ind w:left="1480" w:leftChars="600" w:hanging="220" w:hangingChars="100"/>
        <w:rPr>
          <w:color w:val="auto"/>
          <w:kern w:val="2"/>
          <w:sz w:val="22"/>
          <w:szCs w:val="22"/>
          <w:highlight w:val="none"/>
        </w:rPr>
      </w:pPr>
      <w:r>
        <w:rPr>
          <w:rFonts w:hint="eastAsia"/>
          <w:color w:val="auto"/>
          <w:kern w:val="2"/>
          <w:sz w:val="22"/>
          <w:szCs w:val="22"/>
          <w:highlight w:val="none"/>
        </w:rPr>
        <w:t>承包人在本项目发包人的工程项目中存在下列行为的，将被拒绝参与发包人后续工程</w:t>
      </w:r>
    </w:p>
    <w:p w14:paraId="49B62C46">
      <w:pPr>
        <w:pStyle w:val="102"/>
        <w:spacing w:before="0" w:beforeAutospacing="0" w:after="0" w:afterAutospacing="0" w:line="420" w:lineRule="exact"/>
        <w:ind w:left="1480" w:leftChars="600" w:hanging="220" w:hangingChars="100"/>
        <w:rPr>
          <w:color w:val="auto"/>
          <w:kern w:val="2"/>
          <w:sz w:val="22"/>
          <w:szCs w:val="22"/>
          <w:highlight w:val="none"/>
        </w:rPr>
      </w:pPr>
      <w:r>
        <w:rPr>
          <w:rFonts w:hint="eastAsia"/>
          <w:color w:val="auto"/>
          <w:kern w:val="2"/>
          <w:sz w:val="22"/>
          <w:szCs w:val="22"/>
          <w:highlight w:val="none"/>
        </w:rPr>
        <w:t>投标。拒绝投标时限由发包人（招标人）视严重程度确定，并在专用条款中约定。</w:t>
      </w:r>
    </w:p>
    <w:p w14:paraId="36979829">
      <w:pPr>
        <w:pStyle w:val="102"/>
        <w:spacing w:before="0" w:beforeAutospacing="0" w:after="0" w:afterAutospacing="0" w:line="420" w:lineRule="exact"/>
        <w:ind w:firstLine="1320" w:firstLineChars="600"/>
        <w:rPr>
          <w:color w:val="auto"/>
          <w:kern w:val="2"/>
          <w:sz w:val="22"/>
          <w:szCs w:val="22"/>
          <w:highlight w:val="none"/>
        </w:rPr>
      </w:pPr>
      <w:r>
        <w:rPr>
          <w:rFonts w:hint="eastAsia"/>
          <w:color w:val="auto"/>
          <w:kern w:val="2"/>
          <w:sz w:val="22"/>
          <w:szCs w:val="22"/>
          <w:highlight w:val="none"/>
        </w:rPr>
        <w:t>1.将中标工程转包或者违法分包的；</w:t>
      </w:r>
    </w:p>
    <w:p w14:paraId="3CBBCD46">
      <w:pPr>
        <w:pStyle w:val="102"/>
        <w:spacing w:before="0" w:beforeAutospacing="0" w:after="0" w:afterAutospacing="0" w:line="420" w:lineRule="exact"/>
        <w:ind w:firstLine="1320" w:firstLineChars="600"/>
        <w:rPr>
          <w:color w:val="auto"/>
          <w:kern w:val="2"/>
          <w:sz w:val="22"/>
          <w:szCs w:val="22"/>
          <w:highlight w:val="none"/>
        </w:rPr>
      </w:pPr>
      <w:r>
        <w:rPr>
          <w:rFonts w:hint="eastAsia"/>
          <w:color w:val="auto"/>
          <w:kern w:val="2"/>
          <w:sz w:val="22"/>
          <w:szCs w:val="22"/>
          <w:highlight w:val="none"/>
        </w:rPr>
        <w:t>2.在中标工程中不执行质量、安全生产相关规定的，造成质量或安全事故的；</w:t>
      </w:r>
    </w:p>
    <w:p w14:paraId="70CE2528">
      <w:pPr>
        <w:pStyle w:val="102"/>
        <w:spacing w:before="0" w:beforeAutospacing="0" w:after="0" w:afterAutospacing="0" w:line="420" w:lineRule="exact"/>
        <w:ind w:firstLine="1320" w:firstLineChars="600"/>
        <w:rPr>
          <w:color w:val="auto"/>
          <w:kern w:val="2"/>
          <w:sz w:val="22"/>
          <w:szCs w:val="22"/>
          <w:highlight w:val="none"/>
        </w:rPr>
      </w:pPr>
      <w:r>
        <w:rPr>
          <w:rFonts w:hint="eastAsia"/>
          <w:color w:val="auto"/>
          <w:kern w:val="2"/>
          <w:sz w:val="22"/>
          <w:szCs w:val="22"/>
          <w:highlight w:val="none"/>
        </w:rPr>
        <w:t>3.存在围标或串标情形的；</w:t>
      </w:r>
    </w:p>
    <w:p w14:paraId="2D8C3F6D">
      <w:pPr>
        <w:pStyle w:val="102"/>
        <w:spacing w:before="0" w:beforeAutospacing="0" w:after="0" w:afterAutospacing="0" w:line="420" w:lineRule="exact"/>
        <w:ind w:firstLine="1320" w:firstLineChars="600"/>
        <w:rPr>
          <w:color w:val="auto"/>
          <w:kern w:val="2"/>
          <w:sz w:val="22"/>
          <w:szCs w:val="22"/>
          <w:highlight w:val="none"/>
        </w:rPr>
      </w:pPr>
      <w:r>
        <w:rPr>
          <w:rFonts w:hint="eastAsia"/>
          <w:color w:val="auto"/>
          <w:kern w:val="2"/>
          <w:sz w:val="22"/>
          <w:szCs w:val="22"/>
          <w:highlight w:val="none"/>
        </w:rPr>
        <w:t>4.存在弄虚作假骗取中标情形的；</w:t>
      </w:r>
    </w:p>
    <w:p w14:paraId="30042CE8">
      <w:pPr>
        <w:pStyle w:val="102"/>
        <w:spacing w:before="0" w:beforeAutospacing="0" w:after="0" w:afterAutospacing="0" w:line="420" w:lineRule="exact"/>
        <w:ind w:firstLine="1320" w:firstLineChars="600"/>
        <w:rPr>
          <w:color w:val="auto"/>
          <w:kern w:val="2"/>
          <w:sz w:val="22"/>
          <w:szCs w:val="22"/>
          <w:highlight w:val="none"/>
        </w:rPr>
      </w:pPr>
      <w:r>
        <w:rPr>
          <w:rFonts w:hint="eastAsia"/>
          <w:color w:val="auto"/>
          <w:kern w:val="2"/>
          <w:sz w:val="22"/>
          <w:szCs w:val="22"/>
          <w:highlight w:val="none"/>
        </w:rPr>
        <w:t>5.存在因过错行为被生效法律文书认定承担违约或侵权责任的。</w:t>
      </w:r>
    </w:p>
    <w:p w14:paraId="2073CD5C">
      <w:pPr>
        <w:tabs>
          <w:tab w:val="left" w:pos="1620"/>
        </w:tabs>
        <w:spacing w:line="420" w:lineRule="exact"/>
        <w:ind w:left="1619" w:leftChars="771"/>
        <w:rPr>
          <w:rFonts w:ascii="宋体" w:hAnsi="宋体" w:cs="宋体"/>
          <w:color w:val="auto"/>
          <w:sz w:val="22"/>
          <w:szCs w:val="22"/>
          <w:highlight w:val="none"/>
        </w:rPr>
      </w:pPr>
    </w:p>
    <w:p w14:paraId="4AA72355">
      <w:pPr>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20.2</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03148EE5">
      <w:pPr>
        <w:tabs>
          <w:tab w:val="left" w:pos="162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58" name="文本框 59"/>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a:effectLst/>
                      </wps:spPr>
                      <wps:txbx>
                        <w:txbxContent>
                          <w:p w14:paraId="34BC58E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59"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in7aPUAAAABwEAAA8AAAAAAAAAAQAgAAAAIgAAAGRycy9kb3ducmV2LnhtbFBLAQIU&#10;ABQAAAAIAIdO4kDHqyhjvgEAAGsDAAAOAAAAAAAAAAEAIAAAACMBAABkcnMvZTJvRG9jLnhtbFBL&#10;BQYAAAAABgAGAFkBAABTBQAAAAA=&#10;">
                <v:fill on="f" focussize="0,0"/>
                <v:stroke on="f"/>
                <v:imagedata o:title=""/>
                <o:lock v:ext="edit" aspectratio="f"/>
                <v:textbox>
                  <w:txbxContent>
                    <w:p w14:paraId="34BC58E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宋体" w:hAnsi="宋体" w:cs="宋体"/>
          <w:color w:val="auto"/>
          <w:sz w:val="22"/>
          <w:szCs w:val="22"/>
          <w:highlight w:val="none"/>
        </w:rPr>
        <w:t>承包人应按照合同约定完成下列工作，包括但不限于：</w:t>
      </w:r>
    </w:p>
    <w:p w14:paraId="58EB37EC">
      <w:pPr>
        <w:numPr>
          <w:ilvl w:val="0"/>
          <w:numId w:val="6"/>
        </w:numPr>
        <w:tabs>
          <w:tab w:val="left" w:pos="1980"/>
        </w:tabs>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按照合同约定和监理工程师的指令实施、完成并保修合同工程；</w:t>
      </w:r>
    </w:p>
    <w:p w14:paraId="6A42FCDE">
      <w:pPr>
        <w:numPr>
          <w:ilvl w:val="0"/>
          <w:numId w:val="6"/>
        </w:numPr>
        <w:tabs>
          <w:tab w:val="left" w:pos="1980"/>
        </w:tabs>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按照合同约定和监理工程师的要求提交工程进度报告和进度计划；</w:t>
      </w:r>
    </w:p>
    <w:p w14:paraId="07402E05">
      <w:pPr>
        <w:numPr>
          <w:ilvl w:val="0"/>
          <w:numId w:val="6"/>
        </w:numPr>
        <w:tabs>
          <w:tab w:val="left" w:pos="1980"/>
        </w:tabs>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按照合同约定和造价工程师的要求提交支付申请和工程款报告，包括绿色施工安全防护费、进度款、结算款和调整合同价款等；</w:t>
      </w:r>
    </w:p>
    <w:p w14:paraId="587DDDDB">
      <w:pPr>
        <w:numPr>
          <w:ilvl w:val="0"/>
          <w:numId w:val="6"/>
        </w:numPr>
        <w:tabs>
          <w:tab w:val="left" w:pos="1980"/>
        </w:tabs>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负责施工场地安全保卫工作，防止因工程施工造成的人身伤害和财产损失，提供和维修非夜间施工使用的照明、围栏设施等安全标志；</w:t>
      </w:r>
    </w:p>
    <w:p w14:paraId="3992032D">
      <w:pPr>
        <w:numPr>
          <w:ilvl w:val="0"/>
          <w:numId w:val="6"/>
        </w:numPr>
        <w:tabs>
          <w:tab w:val="left" w:pos="1980"/>
        </w:tabs>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按照专用条款约定的数量和要求，向发包人提供施工场地办公和生活的房屋及设施，并在施工现场保留本合同、约定的标准与规范、变更资料等各一份，供监理工程师、造价工程师需要时使用；</w:t>
      </w:r>
    </w:p>
    <w:p w14:paraId="0BF1B022">
      <w:pPr>
        <w:numPr>
          <w:ilvl w:val="0"/>
          <w:numId w:val="6"/>
        </w:numPr>
        <w:tabs>
          <w:tab w:val="left" w:pos="1980"/>
          <w:tab w:val="clear" w:pos="1560"/>
        </w:tabs>
        <w:spacing w:line="420" w:lineRule="exact"/>
        <w:ind w:left="1618" w:leftChars="770" w:hanging="1"/>
        <w:rPr>
          <w:rFonts w:ascii="宋体" w:hAnsi="宋体" w:cs="宋体"/>
          <w:color w:val="auto"/>
          <w:sz w:val="22"/>
          <w:szCs w:val="22"/>
          <w:highlight w:val="none"/>
        </w:rPr>
      </w:pPr>
      <w:r>
        <w:rPr>
          <w:rFonts w:hint="eastAsia" w:ascii="宋体" w:hAnsi="宋体" w:cs="宋体"/>
          <w:color w:val="auto"/>
          <w:sz w:val="22"/>
          <w:szCs w:val="22"/>
          <w:highlight w:val="none"/>
        </w:rPr>
        <w:t xml:space="preserve">遵守政府部门有关施工场地交通、环境保护、施工噪声、绿色施工安全防护等的管理规定，办理有关手续，并以书面形式通知发包人，费用按政府有关部门相关文件规定由发（承）包人各自承担； </w:t>
      </w:r>
    </w:p>
    <w:p w14:paraId="08AC116D">
      <w:pPr>
        <w:numPr>
          <w:ilvl w:val="0"/>
          <w:numId w:val="6"/>
        </w:numPr>
        <w:tabs>
          <w:tab w:val="left" w:pos="1980"/>
          <w:tab w:val="left" w:pos="2520"/>
          <w:tab w:val="clear" w:pos="1560"/>
        </w:tabs>
        <w:spacing w:line="420" w:lineRule="exact"/>
        <w:ind w:left="1618" w:leftChars="770" w:hanging="1"/>
        <w:rPr>
          <w:rFonts w:ascii="宋体" w:hAnsi="宋体" w:cs="宋体"/>
          <w:color w:val="auto"/>
          <w:sz w:val="22"/>
          <w:szCs w:val="22"/>
          <w:highlight w:val="none"/>
        </w:rPr>
      </w:pPr>
      <w:r>
        <w:rPr>
          <w:rFonts w:hint="eastAsia" w:ascii="宋体" w:hAnsi="宋体" w:cs="宋体"/>
          <w:color w:val="auto"/>
          <w:sz w:val="22"/>
          <w:szCs w:val="22"/>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60494335">
      <w:pPr>
        <w:numPr>
          <w:ilvl w:val="0"/>
          <w:numId w:val="6"/>
        </w:numPr>
        <w:tabs>
          <w:tab w:val="left" w:pos="1980"/>
          <w:tab w:val="left" w:pos="2520"/>
          <w:tab w:val="clear" w:pos="1560"/>
        </w:tabs>
        <w:spacing w:line="420" w:lineRule="exact"/>
        <w:ind w:left="1618" w:leftChars="770" w:hanging="1"/>
        <w:rPr>
          <w:rFonts w:ascii="宋体" w:hAnsi="宋体" w:cs="宋体"/>
          <w:color w:val="auto"/>
          <w:sz w:val="22"/>
          <w:szCs w:val="22"/>
          <w:highlight w:val="none"/>
        </w:rPr>
      </w:pPr>
      <w:r>
        <w:rPr>
          <w:rFonts w:hint="eastAsia" w:ascii="宋体" w:hAnsi="宋体" w:cs="宋体"/>
          <w:color w:val="auto"/>
          <w:sz w:val="22"/>
          <w:szCs w:val="22"/>
          <w:highlight w:val="none"/>
        </w:rPr>
        <w:t>做好施工场地地下管线和邻近建筑物、构筑物（包括文物保护建筑）、古树名木的保护工作；</w:t>
      </w:r>
    </w:p>
    <w:p w14:paraId="2F3A3A10">
      <w:pPr>
        <w:numPr>
          <w:ilvl w:val="0"/>
          <w:numId w:val="6"/>
        </w:numPr>
        <w:tabs>
          <w:tab w:val="left" w:pos="1980"/>
          <w:tab w:val="left" w:pos="2520"/>
          <w:tab w:val="clear" w:pos="1560"/>
        </w:tabs>
        <w:spacing w:line="420" w:lineRule="exact"/>
        <w:ind w:left="1618" w:leftChars="770" w:hanging="1"/>
        <w:rPr>
          <w:rFonts w:ascii="宋体" w:hAnsi="宋体" w:cs="宋体"/>
          <w:color w:val="auto"/>
          <w:sz w:val="22"/>
          <w:szCs w:val="22"/>
          <w:highlight w:val="none"/>
        </w:rPr>
      </w:pPr>
      <w:r>
        <w:rPr>
          <w:rFonts w:hint="eastAsia" w:ascii="宋体" w:hAnsi="宋体" w:cs="宋体"/>
          <w:color w:val="auto"/>
          <w:sz w:val="22"/>
          <w:szCs w:val="22"/>
          <w:highlight w:val="none"/>
        </w:rPr>
        <w:t>遵守政府部门有关环境卫生的管理规定，保证施工场地的清洁和做好交工前施工现场的清理工作，并承担因自身责任造成的损失和罚款；</w:t>
      </w:r>
    </w:p>
    <w:p w14:paraId="00C3528D">
      <w:pPr>
        <w:numPr>
          <w:ilvl w:val="0"/>
          <w:numId w:val="6"/>
        </w:numPr>
        <w:tabs>
          <w:tab w:val="left" w:pos="1440"/>
          <w:tab w:val="left" w:pos="1980"/>
          <w:tab w:val="clear" w:pos="1560"/>
        </w:tabs>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工程完工后，应按照合同约定提交竣工验收申请报告和竣工结算文件。</w:t>
      </w:r>
    </w:p>
    <w:p w14:paraId="422EDF11">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20.3   </w:t>
      </w:r>
      <w:r>
        <w:rPr>
          <w:rFonts w:hint="eastAsia" w:ascii="宋体" w:hAnsi="宋体" w:cs="宋体"/>
          <w:b/>
          <w:bCs/>
          <w:color w:val="auto"/>
          <w:sz w:val="22"/>
          <w:szCs w:val="22"/>
          <w:highlight w:val="none"/>
          <w:u w:val="dotted"/>
        </w:rPr>
        <w:t xml:space="preserve">                                                                                                       </w:t>
      </w:r>
    </w:p>
    <w:p w14:paraId="736B85D2">
      <w:pPr>
        <w:tabs>
          <w:tab w:val="left" w:pos="497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59" name="文本框 6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74A6023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wrap="square" upright="1"/>
                    </wps:wsp>
                  </a:graphicData>
                </a:graphic>
              </wp:anchor>
            </w:drawing>
          </mc:Choice>
          <mc:Fallback>
            <w:pict>
              <v:shape id="文本框 60"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yfpMtUAAAAHAQAADwAAAAAAAAABACAAAAAiAAAAZHJzL2Rvd25yZXYueG1sUEsBAhQA&#10;FAAAAAgAh07iQEXXAhi8AQAAawMAAA4AAAAAAAAAAQAgAAAAJAEAAGRycy9lMm9Eb2MueG1sUEsF&#10;BgAAAAAGAAYAWQEAAFIFAAAAAA==&#10;">
                <v:fill on="f" focussize="0,0"/>
                <v:stroke on="f"/>
                <v:imagedata o:title=""/>
                <o:lock v:ext="edit" aspectratio="f"/>
                <v:textbox>
                  <w:txbxContent>
                    <w:p w14:paraId="74A6023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宋体" w:hAnsi="宋体" w:cs="宋体"/>
          <w:color w:val="auto"/>
          <w:sz w:val="22"/>
          <w:szCs w:val="22"/>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22AED0D1">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20.4   </w:t>
      </w:r>
      <w:r>
        <w:rPr>
          <w:rFonts w:hint="eastAsia" w:ascii="宋体" w:hAnsi="宋体" w:cs="宋体"/>
          <w:b/>
          <w:bCs/>
          <w:color w:val="auto"/>
          <w:sz w:val="22"/>
          <w:szCs w:val="22"/>
          <w:highlight w:val="none"/>
          <w:u w:val="dotted"/>
        </w:rPr>
        <w:t xml:space="preserve">                                                                                                      </w:t>
      </w:r>
    </w:p>
    <w:p w14:paraId="10FE1380">
      <w:pPr>
        <w:tabs>
          <w:tab w:val="left" w:pos="497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60" name="文本框 61"/>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a:effectLst/>
                      </wps:spPr>
                      <wps:txbx>
                        <w:txbxContent>
                          <w:p w14:paraId="7D0391E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wrap="square" upright="1"/>
                    </wps:wsp>
                  </a:graphicData>
                </a:graphic>
              </wp:anchor>
            </w:drawing>
          </mc:Choice>
          <mc:Fallback>
            <w:pict>
              <v:shape id="文本框 61"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q/gQnWAAAACQEAAA8AAAAAAAAAAQAgAAAAIgAAAGRycy9kb3ducmV2LnhtbFBLAQIU&#10;ABQAAAAIAIdO4kANQEy0vAEAAGwDAAAOAAAAAAAAAAEAIAAAACUBAABkcnMvZTJvRG9jLnhtbFBL&#10;BQYAAAAABgAGAFkBAABTBQAAAAA=&#10;">
                <v:fill on="f" focussize="0,0"/>
                <v:stroke on="f"/>
                <v:imagedata o:title=""/>
                <o:lock v:ext="edit" aspectratio="f"/>
                <v:textbox>
                  <w:txbxContent>
                    <w:p w14:paraId="7D0391E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宋体" w:hAnsi="宋体" w:cs="宋体"/>
          <w:color w:val="auto"/>
          <w:sz w:val="22"/>
          <w:szCs w:val="22"/>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14:paraId="640709D9">
      <w:pPr>
        <w:tabs>
          <w:tab w:val="left" w:pos="4970"/>
        </w:tabs>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 xml:space="preserve">20.5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5FA555A9">
      <w:pPr>
        <w:pStyle w:val="34"/>
        <w:tabs>
          <w:tab w:val="left" w:pos="4970"/>
        </w:tabs>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61" name="文本框 62"/>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a:effectLst/>
                      </wps:spPr>
                      <wps:txbx>
                        <w:txbxContent>
                          <w:p w14:paraId="73A2C3CD">
                            <w:pPr>
                              <w:spacing w:line="240" w:lineRule="exact"/>
                              <w:rPr>
                                <w:rFonts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wps:txbx>
                      <wps:bodyPr wrap="square" upright="1"/>
                    </wps:wsp>
                  </a:graphicData>
                </a:graphic>
              </wp:anchor>
            </w:drawing>
          </mc:Choice>
          <mc:Fallback>
            <w:pict>
              <v:shape id="文本框 62"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ULfA9QAAAAJAQAADwAAAAAAAAABACAAAAAiAAAAZHJzL2Rvd25yZXYueG1sUEsBAhQA&#10;FAAAAAgAh07iQOIXOxa9AQAAawMAAA4AAAAAAAAAAQAgAAAAIwEAAGRycy9lMm9Eb2MueG1sUEsF&#10;BgAAAAAGAAYAWQEAAFIFAAAAAA==&#10;">
                <v:fill on="f" focussize="0,0"/>
                <v:stroke on="f"/>
                <v:imagedata o:title=""/>
                <o:lock v:ext="edit" aspectratio="f"/>
                <v:textbox>
                  <w:txbxContent>
                    <w:p w14:paraId="73A2C3CD">
                      <w:pPr>
                        <w:spacing w:line="240" w:lineRule="exact"/>
                        <w:rPr>
                          <w:rFonts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v:textbox>
              </v:shape>
            </w:pict>
          </mc:Fallback>
        </mc:AlternateContent>
      </w:r>
      <w:r>
        <w:rPr>
          <w:rFonts w:hint="eastAsia" w:ascii="宋体" w:cs="宋体"/>
          <w:color w:val="auto"/>
          <w:sz w:val="22"/>
          <w:szCs w:val="22"/>
          <w:highlight w:val="none"/>
        </w:rPr>
        <w:t>承包人应按照合同约定或监理工程师的指令，配合和协助下述人员在施工场地及其附近实施与合同工程有关的各项工作：</w:t>
      </w:r>
    </w:p>
    <w:p w14:paraId="737A9DEF">
      <w:pPr>
        <w:tabs>
          <w:tab w:val="left" w:pos="1980"/>
          <w:tab w:val="left" w:pos="4970"/>
        </w:tabs>
        <w:spacing w:line="420" w:lineRule="exact"/>
        <w:ind w:left="1619"/>
        <w:rPr>
          <w:rFonts w:ascii="宋体" w:hAnsi="宋体" w:cs="宋体"/>
          <w:color w:val="auto"/>
          <w:sz w:val="22"/>
          <w:szCs w:val="22"/>
          <w:highlight w:val="none"/>
        </w:rPr>
      </w:pPr>
      <w:r>
        <w:rPr>
          <w:rFonts w:hint="eastAsia" w:ascii="宋体" w:hAnsi="宋体" w:cs="宋体"/>
          <w:color w:val="auto"/>
          <w:sz w:val="22"/>
          <w:szCs w:val="22"/>
          <w:highlight w:val="none"/>
        </w:rPr>
        <w:t>（1）发包人的工作人员；</w:t>
      </w:r>
    </w:p>
    <w:p w14:paraId="550A3E3A">
      <w:pPr>
        <w:tabs>
          <w:tab w:val="left" w:pos="1980"/>
          <w:tab w:val="left" w:pos="4970"/>
        </w:tabs>
        <w:spacing w:line="420" w:lineRule="exact"/>
        <w:ind w:left="1619"/>
        <w:rPr>
          <w:rFonts w:ascii="宋体" w:hAnsi="宋体" w:cs="宋体"/>
          <w:color w:val="auto"/>
          <w:sz w:val="22"/>
          <w:szCs w:val="22"/>
          <w:highlight w:val="none"/>
        </w:rPr>
      </w:pPr>
      <w:r>
        <w:rPr>
          <w:rFonts w:hint="eastAsia" w:ascii="宋体" w:hAnsi="宋体" w:cs="宋体"/>
          <w:color w:val="auto"/>
          <w:sz w:val="22"/>
          <w:szCs w:val="22"/>
          <w:highlight w:val="none"/>
        </w:rPr>
        <w:t>（2）发包人的雇员；</w:t>
      </w:r>
    </w:p>
    <w:p w14:paraId="773B9FE8">
      <w:pPr>
        <w:tabs>
          <w:tab w:val="left" w:pos="1980"/>
          <w:tab w:val="left" w:pos="4970"/>
        </w:tabs>
        <w:spacing w:line="420" w:lineRule="exact"/>
        <w:ind w:left="1619"/>
        <w:rPr>
          <w:rFonts w:ascii="宋体" w:hAnsi="宋体" w:cs="宋体"/>
          <w:color w:val="auto"/>
          <w:sz w:val="22"/>
          <w:szCs w:val="22"/>
          <w:highlight w:val="none"/>
        </w:rPr>
      </w:pPr>
      <w:r>
        <w:rPr>
          <w:rFonts w:hint="eastAsia" w:ascii="宋体" w:hAnsi="宋体" w:cs="宋体"/>
          <w:color w:val="auto"/>
          <w:sz w:val="22"/>
          <w:szCs w:val="22"/>
          <w:highlight w:val="none"/>
        </w:rPr>
        <w:t>（3）任何监督管理机构的执法人员。</w:t>
      </w:r>
    </w:p>
    <w:p w14:paraId="0C3F27FB">
      <w:pPr>
        <w:pStyle w:val="25"/>
        <w:tabs>
          <w:tab w:val="left" w:pos="2520"/>
        </w:tabs>
        <w:spacing w:line="420" w:lineRule="exact"/>
        <w:ind w:left="1619" w:leftChars="771"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此类指令若增加了承包人的工作或支出，包括使用了承包人的设备、临时工程或通行道路等，则视为工程变更，按照第72条规定调整合同价款。</w:t>
      </w:r>
    </w:p>
    <w:p w14:paraId="39AA43EA">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20.6  </w:t>
      </w:r>
      <w:r>
        <w:rPr>
          <w:rFonts w:hint="eastAsia" w:ascii="宋体" w:hAnsi="宋体" w:cs="宋体"/>
          <w:b/>
          <w:bCs/>
          <w:color w:val="auto"/>
          <w:sz w:val="22"/>
          <w:szCs w:val="22"/>
          <w:highlight w:val="none"/>
          <w:u w:val="dotted"/>
        </w:rPr>
        <w:t xml:space="preserve">                                                                                                        </w:t>
      </w:r>
    </w:p>
    <w:p w14:paraId="594C3FBC">
      <w:pPr>
        <w:tabs>
          <w:tab w:val="left" w:pos="497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62" name="文本框 6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33288D6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wps:txbx>
                      <wps:bodyPr wrap="square" upright="1"/>
                    </wps:wsp>
                  </a:graphicData>
                </a:graphic>
              </wp:anchor>
            </w:drawing>
          </mc:Choice>
          <mc:Fallback>
            <w:pict>
              <v:shape id="文本框 63"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pNlRzVAAAACAEAAA8AAAAAAAAAAQAgAAAAIgAAAGRycy9kb3ducmV2LnhtbFBLAQIU&#10;ABQAAAAIAIdO4kCCk0aevQEAAGsDAAAOAAAAAAAAAAEAIAAAACQBAABkcnMvZTJvRG9jLnhtbFBL&#10;BQYAAAAABgAGAFkBAABTBQAAAAA=&#10;">
                <v:fill on="f" focussize="0,0"/>
                <v:stroke on="f"/>
                <v:imagedata o:title=""/>
                <o:lock v:ext="edit" aspectratio="f"/>
                <v:textbox>
                  <w:txbxContent>
                    <w:p w14:paraId="33288D6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宋体" w:hAnsi="宋体" w:cs="宋体"/>
          <w:color w:val="auto"/>
          <w:sz w:val="22"/>
          <w:szCs w:val="22"/>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6B222BFB">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20.7  </w:t>
      </w:r>
      <w:r>
        <w:rPr>
          <w:rFonts w:hint="eastAsia" w:ascii="宋体" w:hAnsi="宋体" w:cs="宋体"/>
          <w:b/>
          <w:bCs/>
          <w:color w:val="auto"/>
          <w:sz w:val="22"/>
          <w:szCs w:val="22"/>
          <w:highlight w:val="none"/>
          <w:u w:val="dotted"/>
        </w:rPr>
        <w:t xml:space="preserve">                                                                                                        </w:t>
      </w:r>
    </w:p>
    <w:p w14:paraId="43EB2459">
      <w:pPr>
        <w:tabs>
          <w:tab w:val="left" w:pos="497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63" name="文本框 6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7464BD88">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64"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Qu4hO1AAAAAcBAAAPAAAAAAAAAAEAIAAAACIAAABkcnMvZG93bnJldi54bWxQSwECFAAU&#10;AAAACACHTuJAnsIlx7wBAABrAwAADgAAAAAAAAABACAAAAAjAQAAZHJzL2Uyb0RvYy54bWxQSwUG&#10;AAAAAAYABgBZAQAAUQUAAAAA&#10;">
                <v:fill on="f" focussize="0,0"/>
                <v:stroke on="f"/>
                <v:imagedata o:title=""/>
                <o:lock v:ext="edit" aspectratio="f"/>
                <v:textbox>
                  <w:txbxContent>
                    <w:p w14:paraId="7464BD88">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宋体" w:hAnsi="宋体" w:cs="宋体"/>
          <w:color w:val="auto"/>
          <w:sz w:val="22"/>
          <w:szCs w:val="22"/>
          <w:highlight w:val="none"/>
        </w:rPr>
        <w:t>承包人未能正确完成本合同约定的全部义务，导致费用的增加和（或）延误的工期，由承包人承担；给发包人造成损失的，承包人应予赔偿。</w:t>
      </w:r>
    </w:p>
    <w:p w14:paraId="684307E0">
      <w:pPr>
        <w:pStyle w:val="22"/>
        <w:adjustRightInd w:val="0"/>
        <w:snapToGrid w:val="0"/>
        <w:spacing w:line="420" w:lineRule="exact"/>
        <w:ind w:right="-238"/>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289555E5">
      <w:pPr>
        <w:pStyle w:val="22"/>
        <w:adjustRightInd w:val="0"/>
        <w:snapToGrid w:val="0"/>
        <w:spacing w:before="240" w:beforeLines="100" w:line="420" w:lineRule="exact"/>
        <w:outlineLvl w:val="2"/>
        <w:rPr>
          <w:rFonts w:hAnsi="宋体"/>
          <w:b/>
          <w:bCs/>
          <w:color w:val="auto"/>
          <w:sz w:val="22"/>
          <w:szCs w:val="22"/>
          <w:highlight w:val="none"/>
        </w:rPr>
      </w:pPr>
      <w:bookmarkStart w:id="229" w:name="_Toc3026"/>
      <w:bookmarkStart w:id="230" w:name="_Toc469384001"/>
      <w:bookmarkStart w:id="231" w:name="_Toc31877"/>
      <w:r>
        <w:rPr>
          <w:rFonts w:hint="eastAsia" w:hAnsi="宋体"/>
          <w:b/>
          <w:bCs/>
          <w:color w:val="auto"/>
          <w:sz w:val="22"/>
          <w:szCs w:val="22"/>
          <w:highlight w:val="none"/>
        </w:rPr>
        <w:t>21  现场管理人员任命和更换</w:t>
      </w:r>
      <w:bookmarkEnd w:id="229"/>
      <w:bookmarkEnd w:id="230"/>
      <w:bookmarkEnd w:id="231"/>
    </w:p>
    <w:p w14:paraId="127EF6EF">
      <w:pPr>
        <w:pStyle w:val="22"/>
        <w:tabs>
          <w:tab w:val="left" w:pos="1320"/>
        </w:tabs>
        <w:adjustRightInd w:val="0"/>
        <w:snapToGrid w:val="0"/>
        <w:spacing w:line="420" w:lineRule="exact"/>
        <w:ind w:right="-240"/>
        <w:rPr>
          <w:rFonts w:hAnsi="宋体"/>
          <w:b/>
          <w:bCs/>
          <w:color w:val="auto"/>
          <w:sz w:val="22"/>
          <w:szCs w:val="22"/>
          <w:highlight w:val="none"/>
        </w:rPr>
      </w:pPr>
      <w:r>
        <w:rPr>
          <w:rFonts w:hint="eastAsia" w:hAnsi="宋体"/>
          <w:b/>
          <w:bCs/>
          <w:color w:val="auto"/>
          <w:sz w:val="22"/>
          <w:szCs w:val="22"/>
          <w:highlight w:val="none"/>
        </w:rPr>
        <w:t>21.1</w:t>
      </w:r>
    </w:p>
    <w:p w14:paraId="59558A02">
      <w:pPr>
        <w:pStyle w:val="22"/>
        <w:adjustRightInd w:val="0"/>
        <w:snapToGrid w:val="0"/>
        <w:spacing w:line="420" w:lineRule="exact"/>
        <w:ind w:left="1619" w:leftChars="771" w:firstLine="2"/>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64" name="文本框 65"/>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a:effectLst/>
                      </wps:spPr>
                      <wps:txbx>
                        <w:txbxContent>
                          <w:p w14:paraId="73703B68">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wps:txbx>
                      <wps:bodyPr wrap="square" upright="1"/>
                    </wps:wsp>
                  </a:graphicData>
                </a:graphic>
              </wp:anchor>
            </w:drawing>
          </mc:Choice>
          <mc:Fallback>
            <w:pict>
              <v:shape id="文本框 65"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E3W/nUAAAACAEAAA8AAAAAAAAAAQAgAAAAIgAAAGRycy9kb3ducmV2LnhtbFBLAQIUABQA&#10;AAAIAIdO4kC4B/6HuwEAAGsDAAAOAAAAAAAAAAEAIAAAACMBAABkcnMvZTJvRG9jLnhtbFBLBQYA&#10;AAAABgAGAFkBAABQBQAAAAA=&#10;">
                <v:fill on="f" focussize="0,0"/>
                <v:stroke on="f"/>
                <v:imagedata o:title=""/>
                <o:lock v:ext="edit" aspectratio="f"/>
                <v:textbox>
                  <w:txbxContent>
                    <w:p w14:paraId="73703B68">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hAnsi="宋体"/>
          <w:color w:val="auto"/>
          <w:sz w:val="22"/>
          <w:szCs w:val="22"/>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14:paraId="672436E1">
      <w:pPr>
        <w:pStyle w:val="22"/>
        <w:adjustRightInd w:val="0"/>
        <w:snapToGrid w:val="0"/>
        <w:spacing w:line="420" w:lineRule="exact"/>
        <w:ind w:left="1619" w:leftChars="771" w:firstLine="2"/>
        <w:rPr>
          <w:rFonts w:hAnsi="宋体"/>
          <w:color w:val="auto"/>
          <w:sz w:val="22"/>
          <w:szCs w:val="22"/>
          <w:highlight w:val="none"/>
        </w:rPr>
      </w:pPr>
      <w:r>
        <w:rPr>
          <w:rFonts w:hint="eastAsia" w:hAnsi="宋体"/>
          <w:color w:val="auto"/>
          <w:sz w:val="22"/>
          <w:szCs w:val="22"/>
          <w:highlight w:val="none"/>
        </w:rPr>
        <w:t>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14:paraId="3D958B16">
      <w:pPr>
        <w:pStyle w:val="22"/>
        <w:tabs>
          <w:tab w:val="left" w:pos="1320"/>
          <w:tab w:val="left" w:pos="1620"/>
        </w:tabs>
        <w:adjustRightInd w:val="0"/>
        <w:snapToGrid w:val="0"/>
        <w:spacing w:line="420" w:lineRule="exact"/>
        <w:ind w:right="-238"/>
        <w:rPr>
          <w:rFonts w:hAnsi="宋体"/>
          <w:b/>
          <w:bCs/>
          <w:color w:val="auto"/>
          <w:sz w:val="22"/>
          <w:szCs w:val="22"/>
          <w:highlight w:val="none"/>
        </w:rPr>
      </w:pPr>
      <w:r>
        <w:rPr>
          <w:rFonts w:hint="eastAsia" w:hAnsi="宋体"/>
          <w:b/>
          <w:bCs/>
          <w:color w:val="auto"/>
          <w:sz w:val="22"/>
          <w:szCs w:val="22"/>
          <w:highlight w:val="none"/>
        </w:rPr>
        <w:t xml:space="preserve">21.2  </w:t>
      </w:r>
      <w:r>
        <w:rPr>
          <w:rFonts w:hint="eastAsia" w:hAnsi="宋体"/>
          <w:b/>
          <w:bCs/>
          <w:color w:val="auto"/>
          <w:sz w:val="22"/>
          <w:szCs w:val="22"/>
          <w:highlight w:val="none"/>
          <w:u w:val="dotted"/>
        </w:rPr>
        <w:t xml:space="preserve">                                                                             </w:t>
      </w:r>
    </w:p>
    <w:p w14:paraId="6B42347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65" name="文本框 6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wps:spPr>
                      <wps:txbx>
                        <w:txbxContent>
                          <w:p w14:paraId="7FCE68D3">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wps:txbx>
                      <wps:bodyPr wrap="square" upright="1"/>
                    </wps:wsp>
                  </a:graphicData>
                </a:graphic>
              </wp:anchor>
            </w:drawing>
          </mc:Choice>
          <mc:Fallback>
            <w:pict>
              <v:shape id="文本框 66"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EwJ+nWAAAACQEAAA8AAAAAAAAAAQAgAAAAIgAAAGRycy9kb3ducmV2LnhtbFBLAQIU&#10;ABQAAAAIAIdO4kDOKdKCvAEAAGsDAAAOAAAAAAAAAAEAIAAAACUBAABkcnMvZTJvRG9jLnhtbFBL&#10;BQYAAAAABgAGAFkBAABTBQAAAAA=&#10;">
                <v:fill on="f" focussize="0,0"/>
                <v:stroke on="f"/>
                <v:imagedata o:title=""/>
                <o:lock v:ext="edit" aspectratio="f"/>
                <v:textbox>
                  <w:txbxContent>
                    <w:p w14:paraId="7FCE68D3">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hAnsi="宋体"/>
          <w:color w:val="auto"/>
          <w:sz w:val="22"/>
          <w:szCs w:val="22"/>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412BBB7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14:paraId="36588B55">
      <w:pPr>
        <w:pStyle w:val="22"/>
        <w:tabs>
          <w:tab w:val="left" w:pos="1320"/>
        </w:tabs>
        <w:adjustRightInd w:val="0"/>
        <w:snapToGrid w:val="0"/>
        <w:spacing w:line="420" w:lineRule="exact"/>
        <w:ind w:right="-238"/>
        <w:rPr>
          <w:rFonts w:hAnsi="宋体"/>
          <w:b/>
          <w:bCs/>
          <w:color w:val="auto"/>
          <w:sz w:val="22"/>
          <w:szCs w:val="22"/>
          <w:highlight w:val="none"/>
        </w:rPr>
      </w:pPr>
      <w:r>
        <w:rPr>
          <w:rFonts w:hint="eastAsia" w:hAnsi="宋体"/>
          <w:b/>
          <w:bCs/>
          <w:color w:val="auto"/>
          <w:sz w:val="22"/>
          <w:szCs w:val="22"/>
          <w:highlight w:val="none"/>
        </w:rPr>
        <w:t xml:space="preserve">21.3  </w:t>
      </w:r>
      <w:r>
        <w:rPr>
          <w:rFonts w:hint="eastAsia" w:hAnsi="宋体"/>
          <w:b/>
          <w:bCs/>
          <w:color w:val="auto"/>
          <w:sz w:val="22"/>
          <w:szCs w:val="22"/>
          <w:highlight w:val="none"/>
          <w:u w:val="dotted"/>
        </w:rPr>
        <w:t xml:space="preserve">                                                                                                          </w:t>
      </w:r>
    </w:p>
    <w:p w14:paraId="0A2791D0">
      <w:pPr>
        <w:pStyle w:val="22"/>
        <w:adjustRightInd w:val="0"/>
        <w:snapToGrid w:val="0"/>
        <w:spacing w:line="420" w:lineRule="exact"/>
        <w:ind w:left="1619" w:leftChars="771"/>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66" name="文本框 67"/>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a:effectLst/>
                      </wps:spPr>
                      <wps:txbx>
                        <w:txbxContent>
                          <w:p w14:paraId="401EDB5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13E1BF5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2A7476D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wps:txbx>
                      <wps:bodyPr wrap="square" upright="1"/>
                    </wps:wsp>
                  </a:graphicData>
                </a:graphic>
              </wp:anchor>
            </w:drawing>
          </mc:Choice>
          <mc:Fallback>
            <w:pict>
              <v:shape id="文本框 67"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QVlyPVAAAACQEAAA8AAAAAAAAAAQAgAAAAIgAAAGRycy9kb3ducmV2LnhtbFBLAQIU&#10;ABQAAAAIAIdO4kACQCIWvQEAAGwDAAAOAAAAAAAAAAEAIAAAACQBAABkcnMvZTJvRG9jLnhtbFBL&#10;BQYAAAAABgAGAFkBAABTBQAAAAA=&#10;">
                <v:fill on="f" focussize="0,0"/>
                <v:stroke on="f"/>
                <v:imagedata o:title=""/>
                <o:lock v:ext="edit" aspectratio="f"/>
                <v:textbox>
                  <w:txbxContent>
                    <w:p w14:paraId="401EDB5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13E1BF5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2A7476D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hAnsi="宋体"/>
          <w:color w:val="auto"/>
          <w:sz w:val="22"/>
          <w:szCs w:val="22"/>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7天以书面形式通知承包人。未将有关文件送交承包人之前，任何此类任命或撤回均为无效。</w:t>
      </w:r>
    </w:p>
    <w:p w14:paraId="53D0F9FB">
      <w:pPr>
        <w:pStyle w:val="22"/>
        <w:tabs>
          <w:tab w:val="left" w:pos="1320"/>
        </w:tabs>
        <w:adjustRightInd w:val="0"/>
        <w:snapToGrid w:val="0"/>
        <w:spacing w:line="420" w:lineRule="exact"/>
        <w:ind w:right="-238"/>
        <w:rPr>
          <w:rFonts w:hAnsi="宋体"/>
          <w:color w:val="auto"/>
          <w:sz w:val="22"/>
          <w:szCs w:val="22"/>
          <w:highlight w:val="none"/>
        </w:rPr>
      </w:pPr>
      <w:r>
        <w:rPr>
          <w:rFonts w:hint="eastAsia" w:hAnsi="宋体"/>
          <w:b/>
          <w:bCs/>
          <w:color w:val="auto"/>
          <w:sz w:val="22"/>
          <w:szCs w:val="22"/>
          <w:highlight w:val="none"/>
        </w:rPr>
        <w:t xml:space="preserve">21.4  </w:t>
      </w:r>
      <w:r>
        <w:rPr>
          <w:rFonts w:hint="eastAsia" w:hAnsi="宋体"/>
          <w:color w:val="auto"/>
          <w:sz w:val="22"/>
          <w:szCs w:val="22"/>
          <w:highlight w:val="none"/>
          <w:u w:val="dotted"/>
        </w:rPr>
        <w:t xml:space="preserve">                                                                             </w:t>
      </w:r>
    </w:p>
    <w:p w14:paraId="2023DC4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67" name="文本框 68"/>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a:effectLst/>
                      </wps:spPr>
                      <wps:txbx>
                        <w:txbxContent>
                          <w:p w14:paraId="5D7731E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wrap="square" upright="1"/>
                    </wps:wsp>
                  </a:graphicData>
                </a:graphic>
              </wp:anchor>
            </w:drawing>
          </mc:Choice>
          <mc:Fallback>
            <w:pict>
              <v:shape id="文本框 68"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4g4Z1gAAAAgBAAAPAAAAAAAAAAEAIAAAACIAAABkcnMvZG93bnJldi54bWxQSwEC&#10;FAAUAAAACACHTuJAwYzfAb0BAABrAwAADgAAAAAAAAABACAAAAAlAQAAZHJzL2Uyb0RvYy54bWxQ&#10;SwUGAAAAAAYABgBZAQAAVAUAAAAA&#10;">
                <v:fill on="f" focussize="0,0"/>
                <v:stroke on="f"/>
                <v:imagedata o:title=""/>
                <o:lock v:ext="edit" aspectratio="f"/>
                <v:textbox>
                  <w:txbxContent>
                    <w:p w14:paraId="5D7731E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hAnsi="宋体"/>
          <w:color w:val="auto"/>
          <w:sz w:val="22"/>
          <w:szCs w:val="22"/>
          <w:highlight w:val="none"/>
        </w:rPr>
        <w:t>除合同约定或依法应由承包人代表行使的职权外，承包人代表可将其职权以书</w:t>
      </w:r>
    </w:p>
    <w:p w14:paraId="324437E7">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面形式授予其任命的合格人选，亦可将其授权撤回。任何此类任命或撤回，均应至少提前7天以书面形式通知发包人和监理工程师、造价工程师。未将有关文件提交发包人和监理工程师、造价工程师之前，任何此类任命或撤回均为无效。</w:t>
      </w:r>
    </w:p>
    <w:p w14:paraId="17AB45FF">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3E360A2F">
      <w:pPr>
        <w:pStyle w:val="4"/>
        <w:tabs>
          <w:tab w:val="left" w:pos="360"/>
          <w:tab w:val="left" w:pos="420"/>
        </w:tabs>
        <w:spacing w:line="420" w:lineRule="exact"/>
        <w:ind w:left="720"/>
        <w:rPr>
          <w:rFonts w:ascii="宋体" w:hAnsi="宋体" w:cs="宋体"/>
          <w:color w:val="auto"/>
          <w:sz w:val="22"/>
          <w:szCs w:val="22"/>
          <w:highlight w:val="none"/>
        </w:rPr>
      </w:pPr>
      <w:bookmarkStart w:id="232" w:name="_Toc469384002"/>
      <w:bookmarkStart w:id="233" w:name="_Toc20521"/>
      <w:bookmarkStart w:id="234" w:name="_Toc8140"/>
      <w:r>
        <w:rPr>
          <w:rFonts w:hint="eastAsia" w:ascii="宋体" w:hAnsi="宋体" w:cs="宋体"/>
          <w:color w:val="auto"/>
          <w:sz w:val="22"/>
          <w:szCs w:val="22"/>
          <w:highlight w:val="none"/>
        </w:rPr>
        <w:t>22  发包人代表</w:t>
      </w:r>
      <w:bookmarkEnd w:id="232"/>
      <w:bookmarkEnd w:id="233"/>
      <w:bookmarkEnd w:id="234"/>
    </w:p>
    <w:p w14:paraId="67574CE1">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22.1                           </w:t>
      </w:r>
    </w:p>
    <w:p w14:paraId="3687382D">
      <w:pPr>
        <w:pStyle w:val="34"/>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68" name="文本框 69"/>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a:effectLst/>
                      </wps:spPr>
                      <wps:txbx>
                        <w:txbxContent>
                          <w:p w14:paraId="63C28FF7">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wps:txbx>
                      <wps:bodyPr wrap="square" upright="1"/>
                    </wps:wsp>
                  </a:graphicData>
                </a:graphic>
              </wp:anchor>
            </w:drawing>
          </mc:Choice>
          <mc:Fallback>
            <w:pict>
              <v:shape id="文本框 69"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7rAXVAAAACAEAAA8AAAAAAAAAAQAgAAAAIgAAAGRycy9kb3ducmV2LnhtbFBLAQIU&#10;ABQAAAAIAIdO4kA3eyERvQEAAGsDAAAOAAAAAAAAAAEAIAAAACQBAABkcnMvZTJvRG9jLnhtbFBL&#10;BQYAAAAABgAGAFkBAABTBQAAAAA=&#10;">
                <v:fill on="f" focussize="0,0"/>
                <v:stroke on="f"/>
                <v:imagedata o:title=""/>
                <o:lock v:ext="edit" aspectratio="f"/>
                <v:textbox>
                  <w:txbxContent>
                    <w:p w14:paraId="63C28FF7">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宋体" w:cs="宋体"/>
          <w:color w:val="auto"/>
          <w:sz w:val="22"/>
          <w:szCs w:val="22"/>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51B67EE9">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22.2   </w:t>
      </w:r>
      <w:r>
        <w:rPr>
          <w:rFonts w:hint="eastAsia" w:ascii="宋体" w:hAnsi="宋体" w:cs="宋体"/>
          <w:b/>
          <w:bCs/>
          <w:color w:val="auto"/>
          <w:sz w:val="22"/>
          <w:szCs w:val="22"/>
          <w:highlight w:val="none"/>
          <w:u w:val="dotted"/>
        </w:rPr>
        <w:t xml:space="preserve">                                                                                                      </w:t>
      </w:r>
    </w:p>
    <w:p w14:paraId="0C327AE3">
      <w:pPr>
        <w:pStyle w:val="34"/>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69" name="文本框 7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EE06318">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wps:txbx>
                      <wps:bodyPr wrap="square" upright="1"/>
                    </wps:wsp>
                  </a:graphicData>
                </a:graphic>
              </wp:anchor>
            </w:drawing>
          </mc:Choice>
          <mc:Fallback>
            <w:pict>
              <v:shape id="文本框 70"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zY3tu1gAAAAkBAAAPAAAAAAAAAAEAIAAAACIAAABkcnMvZG93bnJldi54bWxQSwEC&#10;FAAUAAAACACHTuJA1vISqr0BAABrAwAADgAAAAAAAAABACAAAAAlAQAAZHJzL2Uyb0RvYy54bWxQ&#10;SwUGAAAAAAYABgBZAQAAVAUAAAAA&#10;">
                <v:fill on="f" focussize="0,0"/>
                <v:stroke on="f"/>
                <v:imagedata o:title=""/>
                <o:lock v:ext="edit" aspectratio="f"/>
                <v:textbox>
                  <w:txbxContent>
                    <w:p w14:paraId="4EE06318">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宋体" w:cs="宋体"/>
          <w:color w:val="auto"/>
          <w:sz w:val="22"/>
          <w:szCs w:val="22"/>
          <w:highlight w:val="none"/>
        </w:rPr>
        <w:t>发包人代表应代表发包人履行合同规定的职责、行使合同明文规定和必然隐含的权力，对发包人负责。发包人代表在发包人授予职权范围内工作，发包人应予认可。</w:t>
      </w:r>
    </w:p>
    <w:p w14:paraId="75206359">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19393DD5">
      <w:pPr>
        <w:pStyle w:val="4"/>
        <w:tabs>
          <w:tab w:val="left" w:pos="360"/>
          <w:tab w:val="left" w:pos="420"/>
        </w:tabs>
        <w:spacing w:line="420" w:lineRule="exact"/>
        <w:rPr>
          <w:rFonts w:ascii="宋体" w:hAnsi="宋体" w:cs="宋体"/>
          <w:bCs w:val="0"/>
          <w:color w:val="auto"/>
          <w:sz w:val="22"/>
          <w:szCs w:val="22"/>
          <w:highlight w:val="none"/>
        </w:rPr>
      </w:pPr>
      <w:bookmarkStart w:id="235" w:name="_Toc469384003"/>
      <w:bookmarkStart w:id="236" w:name="_Toc3032"/>
      <w:bookmarkStart w:id="237" w:name="_Toc20093"/>
      <w:r>
        <w:rPr>
          <w:rFonts w:hint="eastAsia" w:ascii="宋体" w:hAnsi="宋体" w:cs="宋体"/>
          <w:bCs w:val="0"/>
          <w:color w:val="auto"/>
          <w:sz w:val="22"/>
          <w:szCs w:val="22"/>
          <w:highlight w:val="none"/>
        </w:rPr>
        <w:t>23  监理工程师</w:t>
      </w:r>
      <w:bookmarkEnd w:id="235"/>
      <w:bookmarkEnd w:id="236"/>
      <w:bookmarkEnd w:id="237"/>
    </w:p>
    <w:p w14:paraId="3D4CE886">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23.1  </w:t>
      </w:r>
      <w:r>
        <w:rPr>
          <w:rFonts w:hint="eastAsia" w:ascii="宋体" w:hAnsi="宋体" w:cs="宋体"/>
          <w:b/>
          <w:bCs/>
          <w:color w:val="auto"/>
          <w:sz w:val="22"/>
          <w:szCs w:val="22"/>
          <w:highlight w:val="none"/>
          <w:u w:val="dotted"/>
        </w:rPr>
        <w:t xml:space="preserve">                                                                                                        </w:t>
      </w:r>
    </w:p>
    <w:p w14:paraId="0F5A2AD9">
      <w:pPr>
        <w:pStyle w:val="34"/>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70" name="文本框 71"/>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a:effectLst/>
                      </wps:spPr>
                      <wps:txbx>
                        <w:txbxContent>
                          <w:p w14:paraId="54465F53">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wps:txbx>
                      <wps:bodyPr wrap="square" upright="1"/>
                    </wps:wsp>
                  </a:graphicData>
                </a:graphic>
              </wp:anchor>
            </w:drawing>
          </mc:Choice>
          <mc:Fallback>
            <w:pict>
              <v:shape id="文本框 71"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4YBILVAAAACAEAAA8AAAAAAAAAAQAgAAAAIgAAAGRycy9kb3ducmV2LnhtbFBLAQIU&#10;ABQAAAAIAIdO4kAX7guFvQEAAGsDAAAOAAAAAAAAAAEAIAAAACQBAABkcnMvZTJvRG9jLnhtbFBL&#10;BQYAAAAABgAGAFkBAABTBQAAAAA=&#10;">
                <v:fill on="f" focussize="0,0"/>
                <v:stroke on="f"/>
                <v:imagedata o:title=""/>
                <o:lock v:ext="edit" aspectratio="f"/>
                <v:textbox>
                  <w:txbxContent>
                    <w:p w14:paraId="54465F53">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v:textbox>
              </v:shape>
            </w:pict>
          </mc:Fallback>
        </mc:AlternateContent>
      </w:r>
      <w:r>
        <w:rPr>
          <w:rFonts w:hint="eastAsia" w:ascii="宋体" w:cs="宋体"/>
          <w:color w:val="auto"/>
          <w:sz w:val="22"/>
          <w:szCs w:val="22"/>
          <w:highlight w:val="none"/>
        </w:rPr>
        <w:t>发包人应在专用条款中写明负责合同工程监理专业技术的监理人名称和监理工程师具体人选，并在开工前将监理工程师任命书以书面形式通知承包人，授予其代表发包人履行合同规定职责所需的权力。</w:t>
      </w:r>
    </w:p>
    <w:p w14:paraId="5CE992C6">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23.2  </w:t>
      </w:r>
      <w:r>
        <w:rPr>
          <w:rFonts w:hint="eastAsia" w:ascii="宋体" w:hAnsi="宋体" w:cs="宋体"/>
          <w:b/>
          <w:bCs/>
          <w:color w:val="auto"/>
          <w:sz w:val="22"/>
          <w:szCs w:val="22"/>
          <w:highlight w:val="none"/>
          <w:u w:val="dotted"/>
        </w:rPr>
        <w:t xml:space="preserve">                                                                                                        </w:t>
      </w:r>
    </w:p>
    <w:p w14:paraId="26DDB610">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71" name="文本框 72"/>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a:effectLst/>
                      </wps:spPr>
                      <wps:txbx>
                        <w:txbxContent>
                          <w:p w14:paraId="072D618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wrap="square" upright="1"/>
                    </wps:wsp>
                  </a:graphicData>
                </a:graphic>
              </wp:anchor>
            </w:drawing>
          </mc:Choice>
          <mc:Fallback>
            <w:pict>
              <v:shape id="文本框 72"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YTtUAAAAIAQAADwAAAAAAAAABACAAAAAiAAAAZHJzL2Rvd25yZXYueG1sUEsBAhQA&#10;FAAAAAgAh07iQLd0UoW8AQAAawMAAA4AAAAAAAAAAQAgAAAAJAEAAGRycy9lMm9Eb2MueG1sUEsF&#10;BgAAAAAGAAYAWQEAAFIFAAAAAA==&#10;">
                <v:fill on="f" focussize="0,0"/>
                <v:stroke on="f"/>
                <v:imagedata o:title=""/>
                <o:lock v:ext="edit" aspectratio="f"/>
                <v:textbox>
                  <w:txbxContent>
                    <w:p w14:paraId="072D618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宋体" w:hAnsi="宋体" w:cs="宋体"/>
          <w:color w:val="auto"/>
          <w:sz w:val="22"/>
          <w:szCs w:val="22"/>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5520CD51">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23.3  </w:t>
      </w:r>
      <w:r>
        <w:rPr>
          <w:rFonts w:hint="eastAsia" w:ascii="宋体" w:hAnsi="宋体" w:cs="宋体"/>
          <w:b/>
          <w:bCs/>
          <w:color w:val="auto"/>
          <w:sz w:val="22"/>
          <w:szCs w:val="22"/>
          <w:highlight w:val="none"/>
          <w:u w:val="dotted"/>
        </w:rPr>
        <w:t xml:space="preserve">                                                                                                        </w:t>
      </w:r>
    </w:p>
    <w:p w14:paraId="27BE4EB6">
      <w:pPr>
        <w:spacing w:line="420" w:lineRule="exact"/>
        <w:ind w:left="1619" w:leftChars="771" w:firstLine="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72" name="文本框 73"/>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a:effectLst/>
                      </wps:spPr>
                      <wps:txbx>
                        <w:txbxContent>
                          <w:p w14:paraId="5377608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wrap="square" upright="1"/>
                    </wps:wsp>
                  </a:graphicData>
                </a:graphic>
              </wp:anchor>
            </w:drawing>
          </mc:Choice>
          <mc:Fallback>
            <w:pict>
              <v:shape id="文本框 73"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MEtodUAAAAJAQAADwAAAAAAAAABACAAAAAiAAAAZHJzL2Rvd25yZXYueG1sUEsBAhQA&#10;FAAAAAgAh07iQCYjOkC8AQAAawMAAA4AAAAAAAAAAQAgAAAAJAEAAGRycy9lMm9Eb2MueG1sUEsF&#10;BgAAAAAGAAYAWQEAAFIFAAAAAA==&#10;">
                <v:fill on="f" focussize="0,0"/>
                <v:stroke on="f"/>
                <v:imagedata o:title=""/>
                <o:lock v:ext="edit" aspectratio="f"/>
                <v:textbox>
                  <w:txbxContent>
                    <w:p w14:paraId="5377608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宋体" w:hAnsi="宋体" w:cs="宋体"/>
          <w:color w:val="auto"/>
          <w:sz w:val="22"/>
          <w:szCs w:val="22"/>
          <w:highlight w:val="none"/>
        </w:rPr>
        <w:t>除属于第86条规定的争议外，监理工程师在职权范围内的工作，发包人应予认可，但下列事件应事先取得发包人的专项批准：</w:t>
      </w:r>
    </w:p>
    <w:p w14:paraId="59E15C42">
      <w:pPr>
        <w:numPr>
          <w:ilvl w:val="0"/>
          <w:numId w:val="7"/>
        </w:numPr>
        <w:spacing w:line="420" w:lineRule="exact"/>
        <w:ind w:left="1619" w:leftChars="771" w:firstLine="1"/>
        <w:rPr>
          <w:rFonts w:ascii="宋体" w:hAnsi="宋体" w:cs="宋体"/>
          <w:color w:val="auto"/>
          <w:sz w:val="22"/>
          <w:szCs w:val="22"/>
          <w:highlight w:val="none"/>
        </w:rPr>
      </w:pPr>
      <w:r>
        <w:rPr>
          <w:rFonts w:hint="eastAsia" w:ascii="宋体" w:hAnsi="宋体" w:cs="宋体"/>
          <w:color w:val="auto"/>
          <w:sz w:val="22"/>
          <w:szCs w:val="22"/>
          <w:highlight w:val="none"/>
        </w:rPr>
        <w:t>根据第5.2款规定批准承包人提供的配合施工设计图纸；</w:t>
      </w:r>
    </w:p>
    <w:p w14:paraId="2C38069F">
      <w:pPr>
        <w:numPr>
          <w:ilvl w:val="0"/>
          <w:numId w:val="7"/>
        </w:numPr>
        <w:spacing w:line="420" w:lineRule="exact"/>
        <w:ind w:left="1619" w:leftChars="771" w:firstLine="1"/>
        <w:rPr>
          <w:rFonts w:ascii="宋体" w:hAnsi="宋体" w:cs="宋体"/>
          <w:color w:val="auto"/>
          <w:sz w:val="22"/>
          <w:szCs w:val="22"/>
          <w:highlight w:val="none"/>
        </w:rPr>
      </w:pPr>
      <w:r>
        <w:rPr>
          <w:rFonts w:hint="eastAsia" w:ascii="宋体" w:hAnsi="宋体" w:cs="宋体"/>
          <w:color w:val="auto"/>
          <w:sz w:val="22"/>
          <w:szCs w:val="22"/>
          <w:highlight w:val="none"/>
        </w:rPr>
        <w:t>根据第7.2款规定同意承包人分包工程；</w:t>
      </w:r>
    </w:p>
    <w:p w14:paraId="0F2311C7">
      <w:pPr>
        <w:numPr>
          <w:ilvl w:val="0"/>
          <w:numId w:val="7"/>
        </w:numPr>
        <w:spacing w:line="420" w:lineRule="exact"/>
        <w:ind w:left="1619" w:leftChars="771" w:firstLine="1"/>
        <w:rPr>
          <w:rFonts w:ascii="宋体" w:hAnsi="宋体" w:cs="宋体"/>
          <w:color w:val="auto"/>
          <w:sz w:val="22"/>
          <w:szCs w:val="22"/>
          <w:highlight w:val="none"/>
        </w:rPr>
      </w:pPr>
      <w:r>
        <w:rPr>
          <w:rFonts w:hint="eastAsia" w:ascii="宋体" w:hAnsi="宋体" w:cs="宋体"/>
          <w:color w:val="auto"/>
          <w:sz w:val="22"/>
          <w:szCs w:val="22"/>
          <w:highlight w:val="none"/>
        </w:rPr>
        <w:t>根据第18.1款规定批准承包人将材料和工程设备、施工设备移出施工场地；</w:t>
      </w:r>
    </w:p>
    <w:p w14:paraId="01D7AA2D">
      <w:pPr>
        <w:numPr>
          <w:ilvl w:val="0"/>
          <w:numId w:val="7"/>
        </w:numPr>
        <w:spacing w:line="420" w:lineRule="exact"/>
        <w:ind w:left="1619" w:leftChars="771" w:firstLine="1"/>
        <w:rPr>
          <w:rFonts w:ascii="宋体" w:hAnsi="宋体" w:cs="宋体"/>
          <w:color w:val="auto"/>
          <w:sz w:val="22"/>
          <w:szCs w:val="22"/>
          <w:highlight w:val="none"/>
        </w:rPr>
      </w:pPr>
      <w:r>
        <w:rPr>
          <w:rFonts w:hint="eastAsia" w:ascii="宋体" w:hAnsi="宋体" w:cs="宋体"/>
          <w:color w:val="auto"/>
          <w:sz w:val="22"/>
          <w:szCs w:val="22"/>
          <w:highlight w:val="none"/>
        </w:rPr>
        <w:t>根据第33条规定批准承包人的施工组织设计和工程进度计划；</w:t>
      </w:r>
    </w:p>
    <w:p w14:paraId="6A54E854">
      <w:pPr>
        <w:numPr>
          <w:ilvl w:val="0"/>
          <w:numId w:val="7"/>
        </w:numPr>
        <w:spacing w:line="420" w:lineRule="exact"/>
        <w:ind w:left="1619" w:leftChars="771" w:firstLine="1"/>
        <w:rPr>
          <w:rFonts w:ascii="宋体" w:hAnsi="宋体" w:cs="宋体"/>
          <w:color w:val="auto"/>
          <w:sz w:val="22"/>
          <w:szCs w:val="22"/>
          <w:highlight w:val="none"/>
        </w:rPr>
      </w:pPr>
      <w:r>
        <w:rPr>
          <w:rFonts w:hint="eastAsia" w:ascii="宋体" w:hAnsi="宋体" w:cs="宋体"/>
          <w:color w:val="auto"/>
          <w:sz w:val="22"/>
          <w:szCs w:val="22"/>
          <w:highlight w:val="none"/>
        </w:rPr>
        <w:t>根据第34.2款规定发出的工程开工令；</w:t>
      </w:r>
    </w:p>
    <w:p w14:paraId="6416BE05">
      <w:pPr>
        <w:numPr>
          <w:ilvl w:val="0"/>
          <w:numId w:val="7"/>
        </w:numPr>
        <w:spacing w:line="420" w:lineRule="exact"/>
        <w:ind w:left="1619" w:leftChars="771" w:firstLine="1"/>
        <w:rPr>
          <w:rFonts w:ascii="宋体" w:hAnsi="宋体" w:cs="宋体"/>
          <w:color w:val="auto"/>
          <w:sz w:val="22"/>
          <w:szCs w:val="22"/>
          <w:highlight w:val="none"/>
        </w:rPr>
      </w:pPr>
      <w:r>
        <w:rPr>
          <w:rFonts w:hint="eastAsia" w:ascii="宋体" w:hAnsi="宋体" w:cs="宋体"/>
          <w:color w:val="auto"/>
          <w:sz w:val="22"/>
          <w:szCs w:val="22"/>
          <w:highlight w:val="none"/>
        </w:rPr>
        <w:t>根据第37.2款规定发出加快进度的变更指令；</w:t>
      </w:r>
    </w:p>
    <w:p w14:paraId="6E517D3F">
      <w:pPr>
        <w:numPr>
          <w:ilvl w:val="0"/>
          <w:numId w:val="7"/>
        </w:numPr>
        <w:spacing w:line="420" w:lineRule="exact"/>
        <w:ind w:left="1619" w:leftChars="771" w:firstLine="1"/>
        <w:rPr>
          <w:rFonts w:ascii="宋体" w:hAnsi="宋体" w:cs="宋体"/>
          <w:color w:val="auto"/>
          <w:sz w:val="22"/>
          <w:szCs w:val="22"/>
          <w:highlight w:val="none"/>
        </w:rPr>
      </w:pPr>
      <w:r>
        <w:rPr>
          <w:rFonts w:hint="eastAsia" w:ascii="宋体" w:hAnsi="宋体" w:cs="宋体"/>
          <w:color w:val="auto"/>
          <w:sz w:val="22"/>
          <w:szCs w:val="22"/>
          <w:highlight w:val="none"/>
        </w:rPr>
        <w:t>根据第49.6款规定使用替换材料；</w:t>
      </w:r>
    </w:p>
    <w:p w14:paraId="2D4DFE9D">
      <w:pPr>
        <w:numPr>
          <w:ilvl w:val="0"/>
          <w:numId w:val="7"/>
        </w:numPr>
        <w:spacing w:line="420" w:lineRule="exact"/>
        <w:ind w:left="1619" w:leftChars="771" w:firstLine="1"/>
        <w:rPr>
          <w:rFonts w:ascii="宋体" w:hAnsi="宋体" w:cs="宋体"/>
          <w:color w:val="auto"/>
          <w:sz w:val="22"/>
          <w:szCs w:val="22"/>
          <w:highlight w:val="none"/>
        </w:rPr>
      </w:pPr>
      <w:r>
        <w:rPr>
          <w:rFonts w:hint="eastAsia" w:ascii="宋体" w:hAnsi="宋体" w:cs="宋体"/>
          <w:color w:val="auto"/>
          <w:sz w:val="22"/>
          <w:szCs w:val="22"/>
          <w:highlight w:val="none"/>
        </w:rPr>
        <w:t>根据第63条规定发出使用暂列金额的工作指令；</w:t>
      </w:r>
    </w:p>
    <w:p w14:paraId="4F012842">
      <w:pPr>
        <w:numPr>
          <w:ilvl w:val="0"/>
          <w:numId w:val="7"/>
        </w:numPr>
        <w:spacing w:line="420" w:lineRule="exact"/>
        <w:ind w:left="1619" w:leftChars="771" w:firstLine="1"/>
        <w:rPr>
          <w:rFonts w:ascii="宋体" w:hAnsi="宋体" w:cs="宋体"/>
          <w:color w:val="auto"/>
          <w:sz w:val="22"/>
          <w:szCs w:val="22"/>
          <w:highlight w:val="none"/>
        </w:rPr>
      </w:pPr>
      <w:r>
        <w:rPr>
          <w:rFonts w:hint="eastAsia" w:ascii="宋体" w:hAnsi="宋体" w:cs="宋体"/>
          <w:color w:val="auto"/>
          <w:sz w:val="22"/>
          <w:szCs w:val="22"/>
          <w:highlight w:val="none"/>
        </w:rPr>
        <w:t>根据第64条规定发出使用计日工的工作指令；</w:t>
      </w:r>
    </w:p>
    <w:p w14:paraId="38CE0A6F">
      <w:pPr>
        <w:pStyle w:val="101"/>
        <w:spacing w:line="420" w:lineRule="exact"/>
        <w:ind w:firstLine="1320" w:firstLineChars="600"/>
        <w:jc w:val="left"/>
        <w:rPr>
          <w:rFonts w:ascii="宋体" w:hAnsi="宋体" w:cs="宋体"/>
          <w:color w:val="auto"/>
          <w:sz w:val="22"/>
          <w:szCs w:val="22"/>
          <w:highlight w:val="none"/>
        </w:rPr>
      </w:pPr>
      <w:r>
        <w:rPr>
          <w:rFonts w:hint="eastAsia" w:ascii="宋体" w:hAnsi="宋体" w:cs="宋体"/>
          <w:color w:val="auto"/>
          <w:sz w:val="22"/>
          <w:szCs w:val="22"/>
          <w:highlight w:val="none"/>
        </w:rPr>
        <w:t>（10）根据第56条规定指令或批准的工程变更；</w:t>
      </w:r>
    </w:p>
    <w:p w14:paraId="5A03D644">
      <w:pPr>
        <w:pStyle w:val="101"/>
        <w:spacing w:line="420" w:lineRule="exact"/>
        <w:ind w:firstLine="1320" w:firstLineChars="600"/>
        <w:rPr>
          <w:rFonts w:ascii="宋体" w:hAnsi="宋体" w:cs="宋体"/>
          <w:color w:val="auto"/>
          <w:sz w:val="22"/>
          <w:szCs w:val="22"/>
          <w:highlight w:val="none"/>
        </w:rPr>
      </w:pPr>
      <w:r>
        <w:rPr>
          <w:rFonts w:hint="eastAsia" w:ascii="宋体" w:hAnsi="宋体" w:cs="宋体"/>
          <w:color w:val="auto"/>
          <w:sz w:val="22"/>
          <w:szCs w:val="22"/>
          <w:highlight w:val="none"/>
        </w:rPr>
        <w:t>（11）根据第75条规定指令或确认的现场签证；</w:t>
      </w:r>
    </w:p>
    <w:p w14:paraId="6531035F">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（12）专用条款约定需要发包人批准的其他事项。</w:t>
      </w:r>
    </w:p>
    <w:p w14:paraId="5DD5011A">
      <w:pPr>
        <w:spacing w:line="420" w:lineRule="exact"/>
        <w:rPr>
          <w:rFonts w:ascii="宋体" w:hAnsi="宋体" w:cs="宋体"/>
          <w:b/>
          <w:bCs/>
          <w:color w:val="auto"/>
          <w:sz w:val="22"/>
          <w:szCs w:val="22"/>
          <w:highlight w:val="none"/>
        </w:rPr>
      </w:pPr>
      <w:bookmarkStart w:id="238" w:name="_Hlk142728012"/>
      <w:r>
        <w:rPr>
          <w:rFonts w:hint="eastAsia" w:ascii="宋体" w:hAnsi="宋体" w:cs="宋体"/>
          <w:color w:val="auto"/>
          <w:sz w:val="22"/>
          <w:szCs w:val="22"/>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73" name="文本框 74"/>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wps:spPr>
                      <wps:txbx>
                        <w:txbxContent>
                          <w:p w14:paraId="67F22E8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68CE2B1A">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74"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5mEqF1wAAAAoBAAAPAAAAAAAAAAEAIAAAACIAAABkcnMvZG93bnJldi54bWxQSwEC&#10;FAAUAAAACACHTuJARXM7F7wBAABsAwAADgAAAAAAAAABACAAAAAmAQAAZHJzL2Uyb0RvYy54bWxQ&#10;SwUGAAAAAAYABgBZAQAAVAUAAAAA&#10;">
                <v:fill on="f" focussize="0,0"/>
                <v:stroke on="f"/>
                <v:imagedata o:title=""/>
                <o:lock v:ext="edit" aspectratio="f"/>
                <v:textbox>
                  <w:txbxContent>
                    <w:p w14:paraId="67F22E8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68CE2B1A">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宋体"/>
          <w:b/>
          <w:bCs/>
          <w:color w:val="auto"/>
          <w:sz w:val="22"/>
          <w:szCs w:val="22"/>
          <w:highlight w:val="none"/>
        </w:rPr>
        <w:t xml:space="preserve">23.4  </w:t>
      </w:r>
      <w:r>
        <w:rPr>
          <w:rFonts w:hint="eastAsia" w:ascii="宋体" w:hAnsi="宋体" w:cs="宋体"/>
          <w:b/>
          <w:bCs/>
          <w:color w:val="auto"/>
          <w:sz w:val="22"/>
          <w:szCs w:val="22"/>
          <w:highlight w:val="none"/>
          <w:u w:val="dotted"/>
        </w:rPr>
        <w:t xml:space="preserve">                                                                                                       </w:t>
      </w:r>
    </w:p>
    <w:p w14:paraId="09D388B1">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监理工程师应按照合同约定时间向承包人提供实施合同工程的进度、质量和安全工作所需的批准、确认和通知等指令。</w:t>
      </w:r>
    </w:p>
    <w:p w14:paraId="4B811A99">
      <w:pPr>
        <w:tabs>
          <w:tab w:val="left" w:pos="1260"/>
        </w:tabs>
        <w:spacing w:line="420" w:lineRule="exact"/>
        <w:ind w:left="1619" w:leftChars="771"/>
        <w:rPr>
          <w:rFonts w:ascii="宋体" w:hAnsi="宋体" w:cs="宋体"/>
          <w:b/>
          <w:bCs/>
          <w:color w:val="auto"/>
          <w:sz w:val="22"/>
          <w:szCs w:val="22"/>
          <w:highlight w:val="none"/>
        </w:rPr>
      </w:pPr>
      <w:r>
        <w:rPr>
          <w:rFonts w:hint="eastAsia" w:ascii="宋体" w:hAnsi="宋体" w:cs="宋体"/>
          <w:color w:val="auto"/>
          <w:sz w:val="22"/>
          <w:szCs w:val="22"/>
          <w:highlight w:val="none"/>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14:paraId="1D074AFD">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23.5  </w:t>
      </w:r>
      <w:r>
        <w:rPr>
          <w:rFonts w:hint="eastAsia" w:ascii="宋体" w:hAnsi="宋体" w:cs="宋体"/>
          <w:b/>
          <w:bCs/>
          <w:color w:val="auto"/>
          <w:sz w:val="22"/>
          <w:szCs w:val="22"/>
          <w:highlight w:val="none"/>
          <w:u w:val="dotted"/>
        </w:rPr>
        <w:t xml:space="preserve">                                                                                                        </w:t>
      </w:r>
    </w:p>
    <w:p w14:paraId="59BD0B99">
      <w:pPr>
        <w:spacing w:line="420" w:lineRule="exact"/>
        <w:ind w:left="1619" w:leftChars="771"/>
        <w:rPr>
          <w:rFonts w:ascii="宋体" w:hAnsi="宋体" w:cs="宋体"/>
          <w:color w:val="auto"/>
          <w:sz w:val="22"/>
          <w:szCs w:val="22"/>
          <w:highlight w:val="none"/>
        </w:rPr>
      </w:pPr>
      <w:r>
        <w:rPr>
          <w:rFonts w:ascii="宋体" w:hAnsi="宋体" w:cs="宋体"/>
          <w:color w:val="auto"/>
          <w:sz w:val="22"/>
          <w:szCs w:val="22"/>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74" name="文本框 7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14:paraId="63ECD9B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wrap="square" upright="1"/>
                    </wps:wsp>
                  </a:graphicData>
                </a:graphic>
              </wp:anchor>
            </w:drawing>
          </mc:Choice>
          <mc:Fallback>
            <w:pict>
              <v:shape id="文本框 75"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Wd8frUAAAACAEAAA8AAAAAAAAAAQAgAAAAIgAAAGRycy9kb3ducmV2LnhtbFBLAQIU&#10;ABQAAAAIAIdO4kANX9HEvgEAAGsDAAAOAAAAAAAAAAEAIAAAACMBAABkcnMvZTJvRG9jLnhtbFBL&#10;BQYAAAAABgAGAFkBAABTBQAAAAA=&#10;">
                <v:fill on="f" focussize="0,0"/>
                <v:stroke on="f"/>
                <v:imagedata o:title=""/>
                <o:lock v:ext="edit" aspectratio="f"/>
                <v:textbox>
                  <w:txbxContent>
                    <w:p w14:paraId="63ECD9B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宋体" w:hAnsi="宋体" w:cs="宋体"/>
          <w:color w:val="auto"/>
          <w:sz w:val="22"/>
          <w:szCs w:val="22"/>
          <w:highlight w:val="none"/>
        </w:rPr>
        <w:t>如果承包人认为监理工程师的指令不合理，应在收到指令后</w:t>
      </w:r>
      <w:r>
        <w:rPr>
          <w:rFonts w:ascii="宋体" w:hAnsi="宋体" w:cs="宋体"/>
          <w:color w:val="auto"/>
          <w:sz w:val="22"/>
          <w:szCs w:val="22"/>
          <w:highlight w:val="none"/>
        </w:rPr>
        <w:t>24小时内向监理工程师提出书面报告，监理工程师应在收到承包人报告后24小时内做出修改指令或继续执行原指令的决定，并书面通知承包人。逾期不做出决定的，承包人可不执行监理工程师的指令。</w:t>
      </w:r>
    </w:p>
    <w:bookmarkEnd w:id="238"/>
    <w:p w14:paraId="06A00DA7">
      <w:pPr>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23.6</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2236230C">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75" name="文本框 76"/>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a:effectLst/>
                      </wps:spPr>
                      <wps:txbx>
                        <w:txbxContent>
                          <w:p w14:paraId="048EF98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wrap="square" upright="1"/>
                    </wps:wsp>
                  </a:graphicData>
                </a:graphic>
              </wp:anchor>
            </w:drawing>
          </mc:Choice>
          <mc:Fallback>
            <w:pict>
              <v:shape id="文本框 76"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kshmx1gAAAAgBAAAPAAAAAAAAAAEAIAAAACIAAABkcnMvZG93bnJldi54bWxQSwEC&#10;FAAUAAAACACHTuJApH5nqL0BAABrAwAADgAAAAAAAAABACAAAAAlAQAAZHJzL2Uyb0RvYy54bWxQ&#10;SwUGAAAAAAYABgBZAQAAVAUAAAAA&#10;">
                <v:fill on="f" focussize="0,0"/>
                <v:stroke on="f"/>
                <v:imagedata o:title=""/>
                <o:lock v:ext="edit" aspectratio="f"/>
                <v:textbox>
                  <w:txbxContent>
                    <w:p w14:paraId="048EF98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宋体" w:hAnsi="宋体" w:cs="宋体"/>
          <w:color w:val="auto"/>
          <w:sz w:val="22"/>
          <w:szCs w:val="22"/>
          <w:highlight w:val="none"/>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21.3款规定，任何此类任命或撤回均为无效。</w:t>
      </w:r>
    </w:p>
    <w:p w14:paraId="7B9D9386">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23.7  </w:t>
      </w:r>
      <w:r>
        <w:rPr>
          <w:rFonts w:hint="eastAsia" w:ascii="宋体" w:hAnsi="宋体" w:cs="宋体"/>
          <w:b/>
          <w:bCs/>
          <w:color w:val="auto"/>
          <w:sz w:val="22"/>
          <w:szCs w:val="22"/>
          <w:highlight w:val="none"/>
          <w:u w:val="dotted"/>
        </w:rPr>
        <w:t xml:space="preserve">                                                                                                        </w:t>
      </w:r>
    </w:p>
    <w:p w14:paraId="278B68B1">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76" name="文本框 77"/>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a:effectLst/>
                      </wps:spPr>
                      <wps:txbx>
                        <w:txbxContent>
                          <w:p w14:paraId="35492BD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wrap="square" upright="1"/>
                    </wps:wsp>
                  </a:graphicData>
                </a:graphic>
              </wp:anchor>
            </w:drawing>
          </mc:Choice>
          <mc:Fallback>
            <w:pict>
              <v:shape id="文本框 77"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46hzP1gAAAAkBAAAPAAAAAAAAAAEAIAAAACIAAABkcnMvZG93bnJldi54bWxQSwEC&#10;FAAUAAAACACHTuJACh3T1L0BAABrAwAADgAAAAAAAAABACAAAAAlAQAAZHJzL2Uyb0RvYy54bWxQ&#10;SwUGAAAAAAYABgBZAQAAVAUAAAAA&#10;">
                <v:fill on="f" focussize="0,0"/>
                <v:stroke on="f"/>
                <v:imagedata o:title=""/>
                <o:lock v:ext="edit" aspectratio="f"/>
                <v:textbox>
                  <w:txbxContent>
                    <w:p w14:paraId="35492BD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宋体" w:hAnsi="宋体" w:cs="宋体"/>
          <w:color w:val="auto"/>
          <w:sz w:val="22"/>
          <w:szCs w:val="22"/>
          <w:highlight w:val="none"/>
        </w:rPr>
        <w:t>监理工程师（含其代表）未能正确完成本合同约定的全部义务，或工作出现失误，导致费用的增加和（或）延误的工期，由发包人承担；给承包人造成损失的，发包人应予赔偿。</w:t>
      </w:r>
    </w:p>
    <w:p w14:paraId="124C4EB1">
      <w:pPr>
        <w:tabs>
          <w:tab w:val="left" w:pos="126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53402CB5">
      <w:pPr>
        <w:pStyle w:val="4"/>
        <w:tabs>
          <w:tab w:val="left" w:pos="360"/>
          <w:tab w:val="left" w:pos="420"/>
        </w:tabs>
        <w:spacing w:line="420" w:lineRule="exact"/>
        <w:ind w:left="720"/>
        <w:rPr>
          <w:rFonts w:ascii="宋体" w:hAnsi="宋体" w:cs="宋体"/>
          <w:color w:val="auto"/>
          <w:sz w:val="22"/>
          <w:szCs w:val="22"/>
          <w:highlight w:val="none"/>
        </w:rPr>
      </w:pPr>
      <w:bookmarkStart w:id="239" w:name="_Toc469384004"/>
      <w:bookmarkStart w:id="240" w:name="_Toc2624"/>
      <w:bookmarkStart w:id="241" w:name="_Toc31549"/>
      <w:r>
        <w:rPr>
          <w:rFonts w:hint="eastAsia" w:ascii="宋体" w:hAnsi="宋体" w:cs="宋体"/>
          <w:color w:val="auto"/>
          <w:sz w:val="22"/>
          <w:szCs w:val="22"/>
          <w:highlight w:val="none"/>
        </w:rPr>
        <w:t>24  造价工程师</w:t>
      </w:r>
      <w:bookmarkEnd w:id="239"/>
      <w:bookmarkEnd w:id="240"/>
      <w:bookmarkEnd w:id="241"/>
    </w:p>
    <w:p w14:paraId="41FD2DC1">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24.1                                                   </w:t>
      </w:r>
    </w:p>
    <w:p w14:paraId="76D8055E">
      <w:pPr>
        <w:pStyle w:val="34"/>
        <w:tabs>
          <w:tab w:val="left" w:pos="1260"/>
          <w:tab w:val="left" w:pos="1620"/>
        </w:tabs>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77" name="文本框 78"/>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a:effectLst/>
                      </wps:spPr>
                      <wps:txbx>
                        <w:txbxContent>
                          <w:p w14:paraId="26DF30B8">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wps:txbx>
                      <wps:bodyPr wrap="square" upright="1"/>
                    </wps:wsp>
                  </a:graphicData>
                </a:graphic>
              </wp:anchor>
            </w:drawing>
          </mc:Choice>
          <mc:Fallback>
            <w:pict>
              <v:shape id="文本框 78"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jkxQ0wAAAAgBAAAPAAAAAAAAAAEAIAAAACIAAABkcnMvZG93bnJldi54bWxQSwECFAAU&#10;AAAACACHTuJAGPmpi70BAABrAwAADgAAAAAAAAABACAAAAAiAQAAZHJzL2Uyb0RvYy54bWxQSwUG&#10;AAAAAAYABgBZAQAAUQUAAAAA&#10;">
                <v:fill on="f" focussize="0,0"/>
                <v:stroke on="f"/>
                <v:imagedata o:title=""/>
                <o:lock v:ext="edit" aspectratio="f"/>
                <v:textbox>
                  <w:txbxContent>
                    <w:p w14:paraId="26DF30B8">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v:textbox>
              </v:shape>
            </w:pict>
          </mc:Fallback>
        </mc:AlternateContent>
      </w:r>
      <w:r>
        <w:rPr>
          <w:rFonts w:hint="eastAsia" w:ascii="宋体" w:cs="宋体"/>
          <w:color w:val="auto"/>
          <w:sz w:val="22"/>
          <w:szCs w:val="22"/>
          <w:highlight w:val="none"/>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14:paraId="5574097C">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24.2  </w:t>
      </w:r>
      <w:r>
        <w:rPr>
          <w:rFonts w:hint="eastAsia" w:ascii="宋体" w:hAnsi="宋体" w:cs="宋体"/>
          <w:b/>
          <w:bCs/>
          <w:color w:val="auto"/>
          <w:sz w:val="22"/>
          <w:szCs w:val="22"/>
          <w:highlight w:val="none"/>
          <w:u w:val="dotted"/>
        </w:rPr>
        <w:t xml:space="preserve">                                                                                                        </w:t>
      </w:r>
    </w:p>
    <w:p w14:paraId="34A5F65B">
      <w:pPr>
        <w:tabs>
          <w:tab w:val="left" w:pos="126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78" name="文本框 79"/>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a:effectLst/>
                      </wps:spPr>
                      <wps:txbx>
                        <w:txbxContent>
                          <w:p w14:paraId="6B49A0A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wrap="square" upright="1"/>
                    </wps:wsp>
                  </a:graphicData>
                </a:graphic>
              </wp:anchor>
            </w:drawing>
          </mc:Choice>
          <mc:Fallback>
            <w:pict>
              <v:shape id="文本框 79"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KK2o9UAAAAIAQAADwAAAAAAAAABACAAAAAiAAAAZHJzL2Rvd25yZXYueG1sUEsBAhQA&#10;FAAAAAgAh07iQJUQiNW8AQAAawMAAA4AAAAAAAAAAQAgAAAAJAEAAGRycy9lMm9Eb2MueG1sUEsF&#10;BgAAAAAGAAYAWQEAAFIFAAAAAA==&#10;">
                <v:fill on="f" focussize="0,0"/>
                <v:stroke on="f"/>
                <v:imagedata o:title=""/>
                <o:lock v:ext="edit" aspectratio="f"/>
                <v:textbox>
                  <w:txbxContent>
                    <w:p w14:paraId="6B49A0A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宋体" w:hAnsi="宋体" w:cs="宋体"/>
          <w:color w:val="auto"/>
          <w:sz w:val="22"/>
          <w:szCs w:val="22"/>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3BCBD335">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24.3  </w:t>
      </w:r>
      <w:r>
        <w:rPr>
          <w:rFonts w:hint="eastAsia" w:ascii="宋体" w:hAnsi="宋体" w:cs="宋体"/>
          <w:b/>
          <w:bCs/>
          <w:color w:val="auto"/>
          <w:sz w:val="22"/>
          <w:szCs w:val="22"/>
          <w:highlight w:val="none"/>
          <w:u w:val="dotted"/>
        </w:rPr>
        <w:t xml:space="preserve">                                                                                                        </w:t>
      </w:r>
    </w:p>
    <w:p w14:paraId="61AE3712">
      <w:pPr>
        <w:tabs>
          <w:tab w:val="left" w:pos="126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79" name="文本框 8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a:effectLst/>
                      </wps:spPr>
                      <wps:txbx>
                        <w:txbxContent>
                          <w:p w14:paraId="41C2DDC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wrap="square" upright="1"/>
                    </wps:wsp>
                  </a:graphicData>
                </a:graphic>
              </wp:anchor>
            </w:drawing>
          </mc:Choice>
          <mc:Fallback>
            <w:pict>
              <v:shape id="文本框 80"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7y521AAAAAcBAAAPAAAAAAAAAAEAIAAAACIAAABkcnMvZG93bnJldi54bWxQSwECFAAU&#10;AAAACACHTuJAz6oSJ7wBAABrAwAADgAAAAAAAAABACAAAAAjAQAAZHJzL2Uyb0RvYy54bWxQSwUG&#10;AAAAAAYABgBZAQAAUQUAAAAA&#10;">
                <v:fill on="f" focussize="0,0"/>
                <v:stroke on="f"/>
                <v:imagedata o:title=""/>
                <o:lock v:ext="edit" aspectratio="f"/>
                <v:textbox>
                  <w:txbxContent>
                    <w:p w14:paraId="41C2DDC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宋体" w:hAnsi="宋体" w:cs="宋体"/>
          <w:color w:val="auto"/>
          <w:sz w:val="22"/>
          <w:szCs w:val="22"/>
          <w:highlight w:val="none"/>
        </w:rPr>
        <w:t>除属于第86条规定的争议外，造价工程师在职权范围内的工作，发包人应予认可，但下列事件应事先取得发包人的专项批准：</w:t>
      </w:r>
    </w:p>
    <w:p w14:paraId="5A231818">
      <w:pPr>
        <w:numPr>
          <w:ilvl w:val="0"/>
          <w:numId w:val="8"/>
        </w:numPr>
        <w:tabs>
          <w:tab w:val="left" w:pos="216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根据第63条规定使用暂列金额；</w:t>
      </w:r>
    </w:p>
    <w:p w14:paraId="2E1715B6">
      <w:pPr>
        <w:numPr>
          <w:ilvl w:val="0"/>
          <w:numId w:val="8"/>
        </w:numPr>
        <w:tabs>
          <w:tab w:val="left" w:pos="216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根据第64条规定使用计日工；</w:t>
      </w:r>
    </w:p>
    <w:p w14:paraId="012C58E7">
      <w:pPr>
        <w:numPr>
          <w:ilvl w:val="0"/>
          <w:numId w:val="8"/>
        </w:numPr>
        <w:tabs>
          <w:tab w:val="left" w:pos="216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根据第65条规定使用暂估价；</w:t>
      </w:r>
    </w:p>
    <w:p w14:paraId="16B44ACE">
      <w:pPr>
        <w:numPr>
          <w:ilvl w:val="0"/>
          <w:numId w:val="8"/>
        </w:numPr>
        <w:tabs>
          <w:tab w:val="left" w:pos="216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根据第66条确定的提前竣工奖与误期赔偿费；</w:t>
      </w:r>
    </w:p>
    <w:p w14:paraId="5A7C1074">
      <w:pPr>
        <w:numPr>
          <w:ilvl w:val="0"/>
          <w:numId w:val="8"/>
        </w:numPr>
        <w:tabs>
          <w:tab w:val="left" w:pos="216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根据第67条确定的工程优质费；</w:t>
      </w:r>
    </w:p>
    <w:p w14:paraId="10E10E6A">
      <w:pPr>
        <w:numPr>
          <w:ilvl w:val="0"/>
          <w:numId w:val="8"/>
        </w:numPr>
        <w:tabs>
          <w:tab w:val="left" w:pos="216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根据第68.2款规定事件调整的合同价款；</w:t>
      </w:r>
    </w:p>
    <w:p w14:paraId="7479CB60">
      <w:pPr>
        <w:numPr>
          <w:ilvl w:val="0"/>
          <w:numId w:val="8"/>
        </w:numPr>
        <w:tabs>
          <w:tab w:val="left" w:pos="216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专用条款约定需要发包人批准的其他事项。</w:t>
      </w:r>
    </w:p>
    <w:p w14:paraId="2358C6C3">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24.4  </w:t>
      </w:r>
      <w:r>
        <w:rPr>
          <w:rFonts w:hint="eastAsia" w:ascii="宋体" w:hAnsi="宋体" w:cs="宋体"/>
          <w:b/>
          <w:bCs/>
          <w:color w:val="auto"/>
          <w:sz w:val="22"/>
          <w:szCs w:val="22"/>
          <w:highlight w:val="none"/>
          <w:u w:val="dotted"/>
        </w:rPr>
        <w:t xml:space="preserve">                                                                                                        </w:t>
      </w:r>
    </w:p>
    <w:p w14:paraId="24E69628">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80" name="文本框 81"/>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a:effectLst/>
                      </wps:spPr>
                      <wps:txbx>
                        <w:txbxContent>
                          <w:p w14:paraId="2560397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19B86A1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81"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rxjfJ1QAAAAcBAAAPAAAAAAAAAAEAIAAAACIAAABkcnMvZG93bnJldi54bWxQSwECFAAU&#10;AAAACACHTuJAvIcFt7sBAABsAwAADgAAAAAAAAABACAAAAAkAQAAZHJzL2Uyb0RvYy54bWxQSwUG&#10;AAAAAAYABgBZAQAAUQUAAAAA&#10;">
                <v:fill on="f" focussize="0,0"/>
                <v:stroke on="f"/>
                <v:imagedata o:title=""/>
                <o:lock v:ext="edit" aspectratio="f"/>
                <v:textbox>
                  <w:txbxContent>
                    <w:p w14:paraId="2560397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19B86A1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宋体"/>
          <w:color w:val="auto"/>
          <w:sz w:val="22"/>
          <w:szCs w:val="22"/>
          <w:highlight w:val="none"/>
        </w:rPr>
        <w:t>造价工程师应按照合同约定时间向承包人提供实施合同工程的工程造价工作所需的核实、调整和通知等指令。</w:t>
      </w:r>
    </w:p>
    <w:p w14:paraId="319F562A">
      <w:pPr>
        <w:tabs>
          <w:tab w:val="left" w:pos="126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14:paraId="2F866205">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24.5  </w:t>
      </w:r>
      <w:r>
        <w:rPr>
          <w:rFonts w:hint="eastAsia" w:ascii="宋体" w:hAnsi="宋体" w:cs="宋体"/>
          <w:b/>
          <w:bCs/>
          <w:color w:val="auto"/>
          <w:sz w:val="22"/>
          <w:szCs w:val="22"/>
          <w:highlight w:val="none"/>
          <w:u w:val="dotted"/>
        </w:rPr>
        <w:t xml:space="preserve">                                                                                                        </w:t>
      </w:r>
    </w:p>
    <w:p w14:paraId="38771733">
      <w:pPr>
        <w:tabs>
          <w:tab w:val="left" w:pos="126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81" name="文本框 82"/>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a:effectLst/>
                      </wps:spPr>
                      <wps:txbx>
                        <w:txbxContent>
                          <w:p w14:paraId="1B46E70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wrap="square" upright="1"/>
                    </wps:wsp>
                  </a:graphicData>
                </a:graphic>
              </wp:anchor>
            </w:drawing>
          </mc:Choice>
          <mc:Fallback>
            <w:pict>
              <v:shape id="文本框 82"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Ko11F1QAAAAgBAAAPAAAAAAAAAAEAIAAAACIAAABkcnMvZG93bnJldi54bWxQSwECFAAU&#10;AAAACACHTuJALZqEe7sBAABrAwAADgAAAAAAAAABACAAAAAkAQAAZHJzL2Uyb0RvYy54bWxQSwUG&#10;AAAAAAYABgBZAQAAUQUAAAAA&#10;">
                <v:fill on="f" focussize="0,0"/>
                <v:stroke on="f"/>
                <v:imagedata o:title=""/>
                <o:lock v:ext="edit" aspectratio="f"/>
                <v:textbox>
                  <w:txbxContent>
                    <w:p w14:paraId="1B46E70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宋体" w:hAnsi="宋体" w:cs="宋体"/>
          <w:color w:val="auto"/>
          <w:sz w:val="22"/>
          <w:szCs w:val="22"/>
          <w:highlight w:val="none"/>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14:paraId="6AA3200B">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24.6  </w:t>
      </w:r>
      <w:r>
        <w:rPr>
          <w:rFonts w:hint="eastAsia" w:ascii="宋体" w:hAnsi="宋体" w:cs="宋体"/>
          <w:b/>
          <w:bCs/>
          <w:color w:val="auto"/>
          <w:sz w:val="22"/>
          <w:szCs w:val="22"/>
          <w:highlight w:val="none"/>
          <w:u w:val="dotted"/>
        </w:rPr>
        <w:t xml:space="preserve">                                                                                                        </w:t>
      </w:r>
    </w:p>
    <w:p w14:paraId="7A18EF60">
      <w:pPr>
        <w:tabs>
          <w:tab w:val="left" w:pos="126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2" name="文本框 8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0CA307BA">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wps:txbx>
                      <wps:bodyPr wrap="square" upright="1"/>
                    </wps:wsp>
                  </a:graphicData>
                </a:graphic>
              </wp:anchor>
            </w:drawing>
          </mc:Choice>
          <mc:Fallback>
            <w:pict>
              <v:shape id="文本框 83"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sn6TLVAAAABwEAAA8AAAAAAAAAAQAgAAAAIgAAAGRycy9kb3ducmV2LnhtbFBLAQIU&#10;ABQAAAAIAIdO4kDOYOQmvQEAAGsDAAAOAAAAAAAAAAEAIAAAACQBAABkcnMvZTJvRG9jLnhtbFBL&#10;BQYAAAAABgAGAFkBAABTBQAAAAA=&#10;">
                <v:fill on="f" focussize="0,0"/>
                <v:stroke on="f"/>
                <v:imagedata o:title=""/>
                <o:lock v:ext="edit" aspectratio="f"/>
                <v:textbox>
                  <w:txbxContent>
                    <w:p w14:paraId="0CA307BA">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宋体" w:hAnsi="宋体" w:cs="宋体"/>
          <w:color w:val="auto"/>
          <w:sz w:val="22"/>
          <w:szCs w:val="22"/>
          <w:highlight w:val="none"/>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21.3款规定，任何此类任命或撤回均为无效。</w:t>
      </w:r>
    </w:p>
    <w:p w14:paraId="25CEB701">
      <w:pPr>
        <w:tabs>
          <w:tab w:val="left" w:pos="1260"/>
        </w:tabs>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24.7</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40E5FF87">
      <w:pPr>
        <w:tabs>
          <w:tab w:val="left" w:pos="1260"/>
        </w:tabs>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3" name="文本框 8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326F07B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wrap="square" upright="1"/>
                    </wps:wsp>
                  </a:graphicData>
                </a:graphic>
              </wp:anchor>
            </w:drawing>
          </mc:Choice>
          <mc:Fallback>
            <w:pict>
              <v:shape id="文本框 84"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J+ky1QAAAAcBAAAPAAAAAAAAAAEAIAAAACIAAABkcnMvZG93bnJldi54bWxQSwEC&#10;FAAUAAAACACHTuJA7hgUOL4BAABrAwAADgAAAAAAAAABACAAAAAkAQAAZHJzL2Uyb0RvYy54bWxQ&#10;SwUGAAAAAAYABgBZAQAAVAUAAAAA&#10;">
                <v:fill on="f" focussize="0,0"/>
                <v:stroke on="f"/>
                <v:imagedata o:title=""/>
                <o:lock v:ext="edit" aspectratio="f"/>
                <v:textbox>
                  <w:txbxContent>
                    <w:p w14:paraId="326F07B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宋体" w:hAnsi="宋体" w:cs="宋体"/>
          <w:color w:val="auto"/>
          <w:sz w:val="22"/>
          <w:szCs w:val="22"/>
          <w:highlight w:val="none"/>
        </w:rPr>
        <w:t>造价工程师（含其代表）未能正确完成本合同约定的全部义务，或工作出现失误，导致费用的增加和（或）延误的工期，由发包人承担；给承包人造成损失的，发包人应予赔偿。</w:t>
      </w:r>
    </w:p>
    <w:p w14:paraId="3D4A613F">
      <w:pPr>
        <w:tabs>
          <w:tab w:val="left" w:pos="540"/>
          <w:tab w:val="left" w:pos="7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1851526A">
      <w:pPr>
        <w:pStyle w:val="4"/>
        <w:tabs>
          <w:tab w:val="left" w:pos="360"/>
          <w:tab w:val="left" w:pos="420"/>
        </w:tabs>
        <w:spacing w:line="420" w:lineRule="exact"/>
        <w:ind w:left="720"/>
        <w:rPr>
          <w:rFonts w:ascii="宋体" w:hAnsi="宋体" w:cs="宋体"/>
          <w:color w:val="auto"/>
          <w:sz w:val="22"/>
          <w:szCs w:val="22"/>
          <w:highlight w:val="none"/>
        </w:rPr>
      </w:pPr>
      <w:bookmarkStart w:id="242" w:name="_Toc1347"/>
      <w:bookmarkStart w:id="243" w:name="_Toc469384005"/>
      <w:bookmarkStart w:id="244" w:name="_Toc10341"/>
      <w:r>
        <w:rPr>
          <w:rFonts w:hint="eastAsia" w:ascii="宋体" w:hAnsi="宋体" w:cs="宋体"/>
          <w:color w:val="auto"/>
          <w:sz w:val="22"/>
          <w:szCs w:val="22"/>
          <w:highlight w:val="none"/>
        </w:rPr>
        <w:t>25  承包人代表</w:t>
      </w:r>
      <w:bookmarkEnd w:id="242"/>
      <w:bookmarkEnd w:id="243"/>
      <w:bookmarkEnd w:id="244"/>
    </w:p>
    <w:p w14:paraId="69AD2A19">
      <w:pPr>
        <w:tabs>
          <w:tab w:val="left" w:pos="540"/>
          <w:tab w:val="left" w:pos="7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25.1                                 </w:t>
      </w:r>
    </w:p>
    <w:p w14:paraId="564DB31A">
      <w:pPr>
        <w:pStyle w:val="34"/>
        <w:tabs>
          <w:tab w:val="left" w:pos="540"/>
          <w:tab w:val="left" w:pos="720"/>
        </w:tabs>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84" name="文本框 85"/>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a:effectLst/>
                      </wps:spPr>
                      <wps:txbx>
                        <w:txbxContent>
                          <w:p w14:paraId="269C2F61">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85"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lzqsjUAAAABwEAAA8AAAAAAAAAAQAgAAAAIgAAAGRycy9kb3ducmV2LnhtbFBLAQIUABQA&#10;AAAIAIdO4kCVVplouwEAAGsDAAAOAAAAAAAAAAEAIAAAACMBAABkcnMvZTJvRG9jLnhtbFBLBQYA&#10;AAAABgAGAFkBAABQBQAAAAA=&#10;">
                <v:fill on="f" focussize="0,0"/>
                <v:stroke on="f"/>
                <v:imagedata o:title=""/>
                <o:lock v:ext="edit" aspectratio="f"/>
                <v:textbox>
                  <w:txbxContent>
                    <w:p w14:paraId="269C2F61">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宋体" w:cs="宋体"/>
          <w:color w:val="auto"/>
          <w:sz w:val="22"/>
          <w:szCs w:val="22"/>
          <w:highlight w:val="none"/>
        </w:rPr>
        <w:t>承包人应依据第21.2款规定在专用条款中写明承包人代表具体人选，同时在开工前将承包人代表任命书以书面形式通知发包人，授予其代表承包人履行合同规定职责所需的一切权力。</w:t>
      </w:r>
    </w:p>
    <w:p w14:paraId="0E7F87F8">
      <w:pPr>
        <w:tabs>
          <w:tab w:val="left" w:pos="540"/>
          <w:tab w:val="left" w:pos="720"/>
          <w:tab w:val="left" w:pos="1260"/>
          <w:tab w:val="left" w:pos="144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25.2  </w:t>
      </w:r>
      <w:r>
        <w:rPr>
          <w:rFonts w:hint="eastAsia" w:ascii="宋体" w:hAnsi="宋体" w:cs="宋体"/>
          <w:b/>
          <w:bCs/>
          <w:color w:val="auto"/>
          <w:sz w:val="22"/>
          <w:szCs w:val="22"/>
          <w:highlight w:val="none"/>
          <w:u w:val="dotted"/>
        </w:rPr>
        <w:t xml:space="preserve">                                                                                                        </w:t>
      </w:r>
    </w:p>
    <w:p w14:paraId="005DD6BC">
      <w:pPr>
        <w:tabs>
          <w:tab w:val="left" w:pos="540"/>
          <w:tab w:val="left" w:pos="720"/>
          <w:tab w:val="left" w:pos="1260"/>
          <w:tab w:val="left" w:pos="1440"/>
        </w:tabs>
        <w:spacing w:line="420" w:lineRule="exact"/>
        <w:ind w:left="1619" w:leftChars="771" w:firstLine="2"/>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85" name="文本框 86"/>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a:effectLst/>
                      </wps:spPr>
                      <wps:txbx>
                        <w:txbxContent>
                          <w:p w14:paraId="100BFDA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5FA8470B">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权</w:t>
                            </w:r>
                          </w:p>
                        </w:txbxContent>
                      </wps:txbx>
                      <wps:bodyPr wrap="square" upright="1"/>
                    </wps:wsp>
                  </a:graphicData>
                </a:graphic>
              </wp:anchor>
            </w:drawing>
          </mc:Choice>
          <mc:Fallback>
            <w:pict>
              <v:shape id="文本框 86"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4yfBG1QAAAAgBAAAPAAAAAAAAAAEAIAAAACIAAABkcnMvZG93bnJldi54bWxQSwEC&#10;FAAUAAAACACHTuJAK8TLtr4BAABsAwAADgAAAAAAAAABACAAAAAkAQAAZHJzL2Uyb0RvYy54bWxQ&#10;SwUGAAAAAAYABgBZAQAAVAUAAAAA&#10;">
                <v:fill on="f" focussize="0,0"/>
                <v:stroke on="f"/>
                <v:imagedata o:title=""/>
                <o:lock v:ext="edit" aspectratio="f"/>
                <v:textbox>
                  <w:txbxContent>
                    <w:p w14:paraId="100BFDA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5FA8470B">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宋体" w:hAnsi="宋体" w:cs="宋体"/>
          <w:color w:val="auto"/>
          <w:sz w:val="22"/>
          <w:szCs w:val="22"/>
          <w:highlight w:val="none"/>
        </w:rPr>
        <w:t>承包人代表应代表承包人履行合同规定的职责、行使合同明文约定或必然隐含的权力，对承包人负责。承包人代表在承包人授予职权范围内的工作，承包人应予认可。</w:t>
      </w:r>
    </w:p>
    <w:p w14:paraId="6AE41BED">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25.3  </w:t>
      </w:r>
      <w:r>
        <w:rPr>
          <w:rFonts w:hint="eastAsia" w:ascii="宋体" w:hAnsi="宋体" w:cs="宋体"/>
          <w:b/>
          <w:bCs/>
          <w:color w:val="auto"/>
          <w:sz w:val="22"/>
          <w:szCs w:val="22"/>
          <w:highlight w:val="none"/>
          <w:u w:val="dotted"/>
        </w:rPr>
        <w:t xml:space="preserve">                                                                                                        </w:t>
      </w:r>
    </w:p>
    <w:p w14:paraId="231D5DB7">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86" name="文本框 87"/>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a:effectLst/>
                      </wps:spPr>
                      <wps:txbx>
                        <w:txbxContent>
                          <w:p w14:paraId="7913D49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wrap="square" upright="1"/>
                    </wps:wsp>
                  </a:graphicData>
                </a:graphic>
              </wp:anchor>
            </w:drawing>
          </mc:Choice>
          <mc:Fallback>
            <w:pict>
              <v:shape id="文本框 87"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Lt0V7VAAAABwEAAA8AAAAAAAAAAQAgAAAAIgAAAGRycy9kb3ducmV2LnhtbFBLAQIU&#10;ABQAAAAIAIdO4kCDgMKTvQEAAGsDAAAOAAAAAAAAAAEAIAAAACQBAABkcnMvZTJvRG9jLnhtbFBL&#10;BQYAAAAABgAGAFkBAABTBQAAAAA=&#10;">
                <v:fill on="f" focussize="0,0"/>
                <v:stroke on="f"/>
                <v:imagedata o:title=""/>
                <o:lock v:ext="edit" aspectratio="f"/>
                <v:textbox>
                  <w:txbxContent>
                    <w:p w14:paraId="7913D49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宋体" w:hAnsi="宋体" w:cs="宋体"/>
          <w:color w:val="auto"/>
          <w:sz w:val="22"/>
          <w:szCs w:val="22"/>
          <w:highlight w:val="none"/>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14:paraId="1F8AADBC">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25.4  </w:t>
      </w:r>
      <w:r>
        <w:rPr>
          <w:rFonts w:hint="eastAsia" w:ascii="宋体" w:hAnsi="宋体" w:cs="宋体"/>
          <w:b/>
          <w:bCs/>
          <w:color w:val="auto"/>
          <w:sz w:val="22"/>
          <w:szCs w:val="22"/>
          <w:highlight w:val="none"/>
          <w:u w:val="dotted"/>
        </w:rPr>
        <w:t xml:space="preserve">                                                                                                        </w:t>
      </w:r>
    </w:p>
    <w:p w14:paraId="5C08C845">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87" name="文本框 88"/>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a:effectLst/>
                      </wps:spPr>
                      <wps:txbx>
                        <w:txbxContent>
                          <w:p w14:paraId="19AE803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wrap="square" upright="1"/>
                    </wps:wsp>
                  </a:graphicData>
                </a:graphic>
              </wp:anchor>
            </w:drawing>
          </mc:Choice>
          <mc:Fallback>
            <w:pict>
              <v:shape id="文本框 88"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2u9lb1AAAAAgBAAAPAAAAAAAAAAEAIAAAACIAAABkcnMvZG93bnJldi54bWxQSwECFAAU&#10;AAAACACHTuJAKn89vbwBAABrAwAADgAAAAAAAAABACAAAAAjAQAAZHJzL2Uyb0RvYy54bWxQSwUG&#10;AAAAAAYABgBZAQAAUQUAAAAA&#10;">
                <v:fill on="f" focussize="0,0"/>
                <v:stroke on="f"/>
                <v:imagedata o:title=""/>
                <o:lock v:ext="edit" aspectratio="f"/>
                <v:textbox>
                  <w:txbxContent>
                    <w:p w14:paraId="19AE803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宋体" w:hAnsi="宋体" w:cs="宋体"/>
          <w:color w:val="auto"/>
          <w:sz w:val="22"/>
          <w:szCs w:val="22"/>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p>
    <w:p w14:paraId="374A7F80">
      <w:pPr>
        <w:pStyle w:val="22"/>
        <w:tabs>
          <w:tab w:val="left" w:pos="540"/>
        </w:tabs>
        <w:adjustRightInd w:val="0"/>
        <w:snapToGrid w:val="0"/>
        <w:spacing w:line="420" w:lineRule="exact"/>
        <w:ind w:right="-240"/>
        <w:rPr>
          <w:rFonts w:hAnsi="宋体"/>
          <w:b/>
          <w:bCs/>
          <w:color w:val="auto"/>
          <w:sz w:val="22"/>
          <w:szCs w:val="22"/>
          <w:highlight w:val="none"/>
          <w:u w:val="single"/>
        </w:rPr>
      </w:pPr>
      <w:bookmarkStart w:id="245" w:name="_Toc468936969"/>
      <w:r>
        <w:rPr>
          <w:rFonts w:hint="eastAsia" w:hAnsi="宋体"/>
          <w:b/>
          <w:bCs/>
          <w:color w:val="auto"/>
          <w:sz w:val="22"/>
          <w:szCs w:val="22"/>
          <w:highlight w:val="none"/>
          <w:u w:val="single"/>
        </w:rPr>
        <w:t xml:space="preserve">                                                                                                             </w:t>
      </w:r>
    </w:p>
    <w:p w14:paraId="04C3D69A">
      <w:pPr>
        <w:pStyle w:val="22"/>
        <w:tabs>
          <w:tab w:val="left" w:pos="540"/>
        </w:tabs>
        <w:adjustRightInd w:val="0"/>
        <w:snapToGrid w:val="0"/>
        <w:spacing w:line="420" w:lineRule="exact"/>
        <w:ind w:right="-240"/>
        <w:outlineLvl w:val="2"/>
        <w:rPr>
          <w:rFonts w:hAnsi="宋体"/>
          <w:b/>
          <w:bCs/>
          <w:color w:val="auto"/>
          <w:sz w:val="22"/>
          <w:szCs w:val="22"/>
          <w:highlight w:val="none"/>
        </w:rPr>
      </w:pPr>
      <w:bookmarkStart w:id="246" w:name="_Toc30657"/>
      <w:bookmarkStart w:id="247" w:name="_Toc7896"/>
      <w:bookmarkStart w:id="248" w:name="_Toc469384006"/>
      <w:r>
        <w:rPr>
          <w:rFonts w:hint="eastAsia" w:hAnsi="宋体"/>
          <w:b/>
          <w:bCs/>
          <w:color w:val="auto"/>
          <w:sz w:val="22"/>
          <w:szCs w:val="22"/>
          <w:highlight w:val="none"/>
        </w:rPr>
        <w:t>26  指定分包</w:t>
      </w:r>
      <w:bookmarkEnd w:id="245"/>
      <w:r>
        <w:rPr>
          <w:rFonts w:hint="eastAsia" w:hAnsi="宋体"/>
          <w:b/>
          <w:bCs/>
          <w:color w:val="auto"/>
          <w:sz w:val="22"/>
          <w:szCs w:val="22"/>
          <w:highlight w:val="none"/>
        </w:rPr>
        <w:t>人</w:t>
      </w:r>
      <w:bookmarkEnd w:id="246"/>
      <w:bookmarkEnd w:id="247"/>
      <w:bookmarkEnd w:id="248"/>
    </w:p>
    <w:p w14:paraId="511AFAA9">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26.1 </w:t>
      </w:r>
    </w:p>
    <w:p w14:paraId="770CEDB1">
      <w:pPr>
        <w:pStyle w:val="22"/>
        <w:adjustRightInd w:val="0"/>
        <w:snapToGrid w:val="0"/>
        <w:spacing w:line="420" w:lineRule="exact"/>
        <w:ind w:left="1978" w:leftChars="942"/>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88" name="文本框 8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7E0F608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89"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XsurXWAAAACQEAAA8AAAAAAAAAAQAgAAAAIgAAAGRycy9kb3ducmV2LnhtbFBLAQIU&#10;ABQAAAAIAIdO4kBwDBMVvAEAAGsDAAAOAAAAAAAAAAEAIAAAACUBAABkcnMvZTJvRG9jLnhtbFBL&#10;BQYAAAAABgAGAFkBAABTBQAAAAA=&#10;">
                <v:fill on="f" focussize="0,0"/>
                <v:stroke on="f"/>
                <v:imagedata o:title=""/>
                <o:lock v:ext="edit" aspectratio="f"/>
                <v:textbox>
                  <w:txbxContent>
                    <w:p w14:paraId="7E0F608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hAnsi="宋体"/>
          <w:color w:val="auto"/>
          <w:sz w:val="22"/>
          <w:szCs w:val="22"/>
          <w:highlight w:val="none"/>
        </w:rPr>
        <w:t>指定分包人是指发包人事先指定的从事下列工作之一的分包人：</w:t>
      </w:r>
    </w:p>
    <w:p w14:paraId="7F9A28E8">
      <w:pPr>
        <w:pStyle w:val="22"/>
        <w:widowControl/>
        <w:adjustRightInd w:val="0"/>
        <w:snapToGrid w:val="0"/>
        <w:spacing w:line="420" w:lineRule="exact"/>
        <w:ind w:left="1978"/>
        <w:jc w:val="left"/>
        <w:rPr>
          <w:rFonts w:hAnsi="宋体"/>
          <w:color w:val="auto"/>
          <w:sz w:val="22"/>
          <w:szCs w:val="22"/>
          <w:highlight w:val="none"/>
        </w:rPr>
      </w:pPr>
      <w:r>
        <w:rPr>
          <w:rFonts w:hint="eastAsia" w:hAnsi="宋体"/>
          <w:color w:val="auto"/>
          <w:sz w:val="22"/>
          <w:szCs w:val="22"/>
          <w:highlight w:val="none"/>
        </w:rPr>
        <w:t>（1）根据专用条款的约定，发包人依法事先指定的实施、完成部分永久工程的分包人；</w:t>
      </w:r>
    </w:p>
    <w:p w14:paraId="0F530EDF">
      <w:pPr>
        <w:pStyle w:val="22"/>
        <w:widowControl/>
        <w:adjustRightInd w:val="0"/>
        <w:snapToGrid w:val="0"/>
        <w:spacing w:line="420" w:lineRule="exact"/>
        <w:ind w:left="1978" w:leftChars="942" w:firstLine="15" w:firstLineChars="7"/>
        <w:jc w:val="left"/>
        <w:rPr>
          <w:rFonts w:hAnsi="宋体"/>
          <w:color w:val="auto"/>
          <w:sz w:val="22"/>
          <w:szCs w:val="22"/>
          <w:highlight w:val="none"/>
        </w:rPr>
      </w:pPr>
      <w:r>
        <w:rPr>
          <w:rFonts w:hint="eastAsia" w:hAnsi="宋体"/>
          <w:color w:val="auto"/>
          <w:sz w:val="22"/>
          <w:szCs w:val="22"/>
          <w:highlight w:val="none"/>
        </w:rPr>
        <w:t>（2）根据专用条款的约定，发包人选定的提供合同工程材料、工程设备和服务的分包人。</w:t>
      </w:r>
    </w:p>
    <w:p w14:paraId="08AC5829">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26.2  </w:t>
      </w:r>
      <w:r>
        <w:rPr>
          <w:rFonts w:hint="eastAsia" w:ascii="宋体" w:hAnsi="宋体" w:cs="宋体"/>
          <w:b/>
          <w:bCs/>
          <w:color w:val="auto"/>
          <w:sz w:val="22"/>
          <w:szCs w:val="22"/>
          <w:highlight w:val="none"/>
          <w:u w:val="dotted"/>
        </w:rPr>
        <w:t xml:space="preserve">                                                                             </w:t>
      </w:r>
    </w:p>
    <w:p w14:paraId="5A0CE213">
      <w:pPr>
        <w:pStyle w:val="22"/>
        <w:widowControl/>
        <w:adjustRightInd w:val="0"/>
        <w:snapToGrid w:val="0"/>
        <w:spacing w:line="420" w:lineRule="exact"/>
        <w:ind w:left="1978" w:leftChars="942" w:firstLine="2" w:firstLineChars="1"/>
        <w:jc w:val="left"/>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89" name="文本框 90"/>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a:effectLst/>
                      </wps:spPr>
                      <wps:txbx>
                        <w:txbxContent>
                          <w:p w14:paraId="37B8E88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wrap="square" upright="1"/>
                    </wps:wsp>
                  </a:graphicData>
                </a:graphic>
              </wp:anchor>
            </w:drawing>
          </mc:Choice>
          <mc:Fallback>
            <w:pict>
              <v:shape id="文本框 90"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GgOwG1AAAAAcBAAAPAAAAAAAAAAEAIAAAACIAAABkcnMvZG93bnJldi54bWxQSwECFAAU&#10;AAAACACHTuJAkHPKWrwBAABsAwAADgAAAAAAAAABACAAAAAjAQAAZHJzL2Uyb0RvYy54bWxQSwUG&#10;AAAAAAYABgBZAQAAUQUAAAAA&#10;">
                <v:fill on="f" focussize="0,0"/>
                <v:stroke on="f"/>
                <v:imagedata o:title=""/>
                <o:lock v:ext="edit" aspectratio="f"/>
                <v:textbox>
                  <w:txbxContent>
                    <w:p w14:paraId="37B8E88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hAnsi="宋体"/>
          <w:color w:val="auto"/>
          <w:sz w:val="22"/>
          <w:szCs w:val="22"/>
          <w:highlight w:val="none"/>
        </w:rPr>
        <w:t>指定分包人属于承包人的分包人，发包人不应要求承包人有义务接受承包人有理由反对的任何指定分包人。</w:t>
      </w:r>
    </w:p>
    <w:p w14:paraId="1B38FDC2">
      <w:pPr>
        <w:spacing w:line="420" w:lineRule="exact"/>
        <w:rPr>
          <w:rFonts w:ascii="宋体" w:hAnsi="宋体" w:cs="宋体"/>
          <w:b/>
          <w:bCs/>
          <w:color w:val="auto"/>
          <w:sz w:val="22"/>
          <w:szCs w:val="22"/>
          <w:highlight w:val="none"/>
          <w:u w:val="dotted"/>
        </w:rPr>
      </w:pPr>
      <w:r>
        <w:rPr>
          <w:rFonts w:hint="eastAsia" w:ascii="宋体" w:hAnsi="宋体" w:cs="宋体"/>
          <w:color w:val="auto"/>
          <w:sz w:val="22"/>
          <w:szCs w:val="22"/>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90" name="文本框 91"/>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a:effectLst/>
                      </wps:spPr>
                      <wps:txbx>
                        <w:txbxContent>
                          <w:p w14:paraId="6E217F4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wrap="square" upright="1"/>
                    </wps:wsp>
                  </a:graphicData>
                </a:graphic>
              </wp:anchor>
            </w:drawing>
          </mc:Choice>
          <mc:Fallback>
            <w:pict>
              <v:shape id="文本框 91"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8sHLtgAAAAKAQAADwAAAAAAAAABACAAAAAiAAAAZHJzL2Rvd25yZXYueG1sUEsB&#10;AhQAFAAAAAgAh07iQKEW2Y28AQAAbAMAAA4AAAAAAAAAAQAgAAAAJwEAAGRycy9lMm9Eb2MueG1s&#10;UEsFBgAAAAAGAAYAWQEAAFUFAAAAAA==&#10;">
                <v:fill on="f" focussize="0,0"/>
                <v:stroke on="f"/>
                <v:imagedata o:title=""/>
                <o:lock v:ext="edit" aspectratio="f"/>
                <v:textbox>
                  <w:txbxContent>
                    <w:p w14:paraId="6E217F4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hint="eastAsia" w:ascii="宋体" w:hAnsi="宋体" w:cs="宋体"/>
          <w:b/>
          <w:bCs/>
          <w:color w:val="auto"/>
          <w:sz w:val="22"/>
          <w:szCs w:val="22"/>
          <w:highlight w:val="none"/>
        </w:rPr>
        <w:t xml:space="preserve">26.3  </w:t>
      </w:r>
      <w:r>
        <w:rPr>
          <w:rFonts w:hint="eastAsia" w:ascii="宋体" w:hAnsi="宋体" w:cs="宋体"/>
          <w:b/>
          <w:bCs/>
          <w:color w:val="auto"/>
          <w:sz w:val="22"/>
          <w:szCs w:val="22"/>
          <w:highlight w:val="none"/>
          <w:u w:val="dotted"/>
        </w:rPr>
        <w:t xml:space="preserve">                                                                              </w:t>
      </w:r>
    </w:p>
    <w:p w14:paraId="255E8063">
      <w:pPr>
        <w:pStyle w:val="22"/>
        <w:widowControl/>
        <w:adjustRightInd w:val="0"/>
        <w:snapToGrid w:val="0"/>
        <w:spacing w:line="420" w:lineRule="exact"/>
        <w:ind w:firstLine="1760" w:firstLineChars="800"/>
        <w:jc w:val="left"/>
        <w:rPr>
          <w:rFonts w:hAnsi="宋体"/>
          <w:color w:val="auto"/>
          <w:sz w:val="22"/>
          <w:szCs w:val="22"/>
          <w:highlight w:val="none"/>
        </w:rPr>
      </w:pPr>
      <w:r>
        <w:rPr>
          <w:rFonts w:hint="eastAsia" w:hAnsi="宋体"/>
          <w:color w:val="auto"/>
          <w:sz w:val="22"/>
          <w:szCs w:val="22"/>
          <w:highlight w:val="none"/>
        </w:rPr>
        <w:t>发包人应按照合同的约定向承包人支付指定分包人的分包工程配合费。</w:t>
      </w:r>
    </w:p>
    <w:p w14:paraId="06B3B242">
      <w:pPr>
        <w:pStyle w:val="22"/>
        <w:widowControl/>
        <w:adjustRightInd w:val="0"/>
        <w:snapToGrid w:val="0"/>
        <w:spacing w:line="420" w:lineRule="exact"/>
        <w:ind w:left="1978"/>
        <w:jc w:val="left"/>
        <w:rPr>
          <w:rFonts w:hAnsi="宋体"/>
          <w:color w:val="auto"/>
          <w:sz w:val="22"/>
          <w:szCs w:val="22"/>
          <w:highlight w:val="none"/>
        </w:rPr>
      </w:pPr>
      <w:r>
        <w:rPr>
          <w:rFonts w:hint="eastAsia" w:hAnsi="宋体"/>
          <w:color w:val="auto"/>
          <w:sz w:val="22"/>
          <w:szCs w:val="22"/>
          <w:highlight w:val="none"/>
        </w:rPr>
        <w:t>指定分包工程款的结算与支付，按照第7.4款办理。</w:t>
      </w:r>
    </w:p>
    <w:p w14:paraId="03BD9C15">
      <w:pPr>
        <w:spacing w:line="420" w:lineRule="exact"/>
        <w:rPr>
          <w:rFonts w:ascii="宋体" w:hAnsi="宋体" w:cs="宋体"/>
          <w:b/>
          <w:bCs/>
          <w:color w:val="auto"/>
          <w:sz w:val="22"/>
          <w:szCs w:val="22"/>
          <w:highlight w:val="none"/>
          <w:u w:val="dotted"/>
        </w:rPr>
      </w:pPr>
      <w:r>
        <w:rPr>
          <w:rFonts w:hint="eastAsia" w:ascii="宋体" w:hAnsi="宋体" w:cs="宋体"/>
          <w:color w:val="auto"/>
          <w:sz w:val="22"/>
          <w:szCs w:val="22"/>
          <w:highlight w:val="none"/>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91" name="文本框 92"/>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a:effectLst/>
                      </wps:spPr>
                      <wps:txbx>
                        <w:txbxContent>
                          <w:p w14:paraId="0588943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799C000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2B37E38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54470E9E">
                            <w:pPr>
                              <w:rPr>
                                <w:rFonts w:ascii="楷体_GB2312" w:hAnsi="宋体" w:eastAsia="楷体_GB2312" w:cs="Times New Roman"/>
                                <w:b/>
                                <w:bCs/>
                                <w:color w:val="000000"/>
                              </w:rPr>
                            </w:pPr>
                          </w:p>
                          <w:p w14:paraId="72063759">
                            <w:pPr>
                              <w:rPr>
                                <w:rFonts w:ascii="Times New Roman" w:hAnsi="Times New Roman" w:cs="Times New Roman"/>
                              </w:rPr>
                            </w:pPr>
                          </w:p>
                          <w:p w14:paraId="13812C63">
                            <w:pPr>
                              <w:rPr>
                                <w:rFonts w:cs="Times New Roman"/>
                              </w:rPr>
                            </w:pPr>
                          </w:p>
                        </w:txbxContent>
                      </wps:txbx>
                      <wps:bodyPr wrap="square" upright="1"/>
                    </wps:wsp>
                  </a:graphicData>
                </a:graphic>
              </wp:anchor>
            </w:drawing>
          </mc:Choice>
          <mc:Fallback>
            <w:pict>
              <v:shape id="文本框 92"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lMgi/XAAAACgEAAA8AAAAAAAAAAQAgAAAAIgAAAGRycy9kb3ducmV2LnhtbFBL&#10;AQIUABQAAAAIAIdO4kBapyrzvgEAAGwDAAAOAAAAAAAAAAEAIAAAACYBAABkcnMvZTJvRG9jLnht&#10;bFBLBQYAAAAABgAGAFkBAABWBQAAAAA=&#10;">
                <v:fill on="f" focussize="0,0"/>
                <v:stroke on="f"/>
                <v:imagedata o:title=""/>
                <o:lock v:ext="edit" aspectratio="f"/>
                <v:textbox>
                  <w:txbxContent>
                    <w:p w14:paraId="0588943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799C000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2B37E38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54470E9E">
                      <w:pPr>
                        <w:rPr>
                          <w:rFonts w:ascii="楷体_GB2312" w:hAnsi="宋体" w:eastAsia="楷体_GB2312" w:cs="Times New Roman"/>
                          <w:b/>
                          <w:bCs/>
                          <w:color w:val="000000"/>
                        </w:rPr>
                      </w:pPr>
                    </w:p>
                    <w:p w14:paraId="72063759">
                      <w:pPr>
                        <w:rPr>
                          <w:rFonts w:ascii="Times New Roman" w:hAnsi="Times New Roman" w:cs="Times New Roman"/>
                        </w:rPr>
                      </w:pPr>
                    </w:p>
                    <w:p w14:paraId="13812C63">
                      <w:pPr>
                        <w:rPr>
                          <w:rFonts w:cs="Times New Roman"/>
                        </w:rPr>
                      </w:pPr>
                    </w:p>
                  </w:txbxContent>
                </v:textbox>
              </v:shape>
            </w:pict>
          </mc:Fallback>
        </mc:AlternateContent>
      </w:r>
      <w:r>
        <w:rPr>
          <w:rFonts w:hint="eastAsia" w:ascii="宋体" w:hAnsi="宋体" w:cs="宋体"/>
          <w:b/>
          <w:bCs/>
          <w:color w:val="auto"/>
          <w:sz w:val="22"/>
          <w:szCs w:val="22"/>
          <w:highlight w:val="none"/>
        </w:rPr>
        <w:t>26.4</w:t>
      </w:r>
      <w:r>
        <w:rPr>
          <w:rFonts w:hint="eastAsia" w:ascii="宋体" w:hAnsi="宋体" w:cs="宋体"/>
          <w:b/>
          <w:bCs/>
          <w:color w:val="auto"/>
          <w:sz w:val="22"/>
          <w:szCs w:val="22"/>
          <w:highlight w:val="none"/>
          <w:u w:val="dotted"/>
        </w:rPr>
        <w:t xml:space="preserve">                                                                               </w:t>
      </w:r>
    </w:p>
    <w:p w14:paraId="5A81164C">
      <w:pPr>
        <w:pStyle w:val="22"/>
        <w:widowControl/>
        <w:tabs>
          <w:tab w:val="left" w:pos="1260"/>
        </w:tabs>
        <w:adjustRightInd w:val="0"/>
        <w:snapToGrid w:val="0"/>
        <w:spacing w:line="420" w:lineRule="exact"/>
        <w:ind w:left="1978" w:leftChars="942" w:firstLine="1"/>
        <w:jc w:val="left"/>
        <w:rPr>
          <w:rFonts w:hAnsi="宋体"/>
          <w:color w:val="auto"/>
          <w:sz w:val="22"/>
          <w:szCs w:val="22"/>
          <w:highlight w:val="none"/>
        </w:rPr>
      </w:pPr>
      <w:r>
        <w:rPr>
          <w:rFonts w:hint="eastAsia" w:hAnsi="宋体"/>
          <w:color w:val="auto"/>
          <w:sz w:val="22"/>
          <w:szCs w:val="22"/>
          <w:highlight w:val="none"/>
        </w:rPr>
        <w:t>指定分包人应按照分包合同的约定对承包人负责。承包人有义务协助、配合指定分包人实施分包工程。</w:t>
      </w:r>
    </w:p>
    <w:p w14:paraId="2D48A707">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572759F7">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249" w:name="_Toc14666"/>
      <w:bookmarkStart w:id="250" w:name="_Toc25345"/>
      <w:bookmarkStart w:id="251" w:name="_Toc469384007"/>
      <w:r>
        <w:rPr>
          <w:rFonts w:hint="eastAsia" w:hAnsi="宋体"/>
          <w:b/>
          <w:bCs/>
          <w:color w:val="auto"/>
          <w:sz w:val="22"/>
          <w:szCs w:val="22"/>
          <w:highlight w:val="none"/>
        </w:rPr>
        <w:t>27  承包人劳务</w:t>
      </w:r>
      <w:bookmarkEnd w:id="249"/>
      <w:bookmarkEnd w:id="250"/>
      <w:bookmarkEnd w:id="251"/>
    </w:p>
    <w:p w14:paraId="2798A42A">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27.1   </w:t>
      </w:r>
    </w:p>
    <w:p w14:paraId="2F238427">
      <w:pPr>
        <w:widowControl/>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92" name="文本框 93"/>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a:effectLst/>
                      </wps:spPr>
                      <wps:txbx>
                        <w:txbxContent>
                          <w:p w14:paraId="638E01E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wrap="square" upright="1"/>
                    </wps:wsp>
                  </a:graphicData>
                </a:graphic>
              </wp:anchor>
            </w:drawing>
          </mc:Choice>
          <mc:Fallback>
            <w:pict>
              <v:shape id="文本框 93"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OzqsLVAAAACQEAAA8AAAAAAAAAAQAgAAAAIgAAAGRycy9kb3ducmV2LnhtbFBLAQIU&#10;ABQAAAAIAIdO4kA0m/CJvQEAAGsDAAAOAAAAAAAAAAEAIAAAACQBAABkcnMvZTJvRG9jLnhtbFBL&#10;BQYAAAAABgAGAFkBAABTBQAAAAA=&#10;">
                <v:fill on="f" focussize="0,0"/>
                <v:stroke on="f"/>
                <v:imagedata o:title=""/>
                <o:lock v:ext="edit" aspectratio="f"/>
                <v:textbox>
                  <w:txbxContent>
                    <w:p w14:paraId="638E01E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宋体" w:hAnsi="宋体" w:cs="宋体"/>
          <w:color w:val="auto"/>
          <w:sz w:val="22"/>
          <w:szCs w:val="22"/>
          <w:highlight w:val="none"/>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06C4A416">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27.2 </w:t>
      </w:r>
      <w:r>
        <w:rPr>
          <w:rFonts w:hint="eastAsia" w:ascii="宋体" w:hAnsi="宋体" w:cs="宋体"/>
          <w:b/>
          <w:bCs/>
          <w:color w:val="auto"/>
          <w:sz w:val="22"/>
          <w:szCs w:val="22"/>
          <w:highlight w:val="none"/>
          <w:u w:val="dotted"/>
        </w:rPr>
        <w:t xml:space="preserve">                                                                                 </w:t>
      </w:r>
      <w:r>
        <w:rPr>
          <w:rFonts w:hint="eastAsia" w:ascii="宋体" w:hAnsi="宋体" w:cs="宋体"/>
          <w:b/>
          <w:bCs/>
          <w:color w:val="auto"/>
          <w:sz w:val="22"/>
          <w:szCs w:val="22"/>
          <w:highlight w:val="none"/>
        </w:rPr>
        <w:t xml:space="preserve">   </w:t>
      </w:r>
    </w:p>
    <w:p w14:paraId="399DBD0B">
      <w:pPr>
        <w:widowControl/>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93" name="文本框 9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670D55E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94"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a3aJbVAAAACAEAAA8AAAAAAAAAAQAgAAAAIgAAAGRycy9kb3ducmV2LnhtbFBLAQIU&#10;ABQAAAAIAIdO4kA1lLWIvQEAAGsDAAAOAAAAAAAAAAEAIAAAACQBAABkcnMvZTJvRG9jLnhtbFBL&#10;BQYAAAAABgAGAFkBAABTBQAAAAA=&#10;">
                <v:fill on="f" focussize="0,0"/>
                <v:stroke on="f"/>
                <v:imagedata o:title=""/>
                <o:lock v:ext="edit" aspectratio="f"/>
                <v:textbox>
                  <w:txbxContent>
                    <w:p w14:paraId="670D55E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宋体" w:hAnsi="宋体" w:cs="宋体"/>
          <w:color w:val="auto"/>
          <w:sz w:val="22"/>
          <w:szCs w:val="22"/>
          <w:highlight w:val="none"/>
        </w:rPr>
        <w:t>承包人除应雇佣投标文件中“主要人员一览表”中指明的人员外，也可以雇佣经监理工程师批准的其他人员，但不得从发包人或服务于发包人的人员中雇佣人员。</w:t>
      </w:r>
    </w:p>
    <w:p w14:paraId="470B8931">
      <w:pPr>
        <w:tabs>
          <w:tab w:val="left" w:pos="16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27.3  </w:t>
      </w:r>
      <w:r>
        <w:rPr>
          <w:rFonts w:hint="eastAsia" w:ascii="宋体" w:hAnsi="宋体" w:cs="宋体"/>
          <w:b/>
          <w:bCs/>
          <w:color w:val="auto"/>
          <w:sz w:val="22"/>
          <w:szCs w:val="22"/>
          <w:highlight w:val="none"/>
          <w:u w:val="dotted"/>
        </w:rPr>
        <w:t xml:space="preserve">                                                                                                        </w:t>
      </w:r>
    </w:p>
    <w:p w14:paraId="361F6D45">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94" name="文本框 9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1ABE117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wrap="square" upright="1"/>
                    </wps:wsp>
                  </a:graphicData>
                </a:graphic>
              </wp:anchor>
            </w:drawing>
          </mc:Choice>
          <mc:Fallback>
            <w:pict>
              <v:shape id="文本框 95"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VgKKNUAAAAIAQAADwAAAAAAAAABACAAAAAiAAAAZHJzL2Rvd25yZXYueG1sUEsBAhQA&#10;FAAAAAgAh07iQBNmzPy8AQAAawMAAA4AAAAAAAAAAQAgAAAAJAEAAGRycy9lMm9Eb2MueG1sUEsF&#10;BgAAAAAGAAYAWQEAAFIFAAAAAA==&#10;">
                <v:fill on="f" focussize="0,0"/>
                <v:stroke on="f"/>
                <v:imagedata o:title=""/>
                <o:lock v:ext="edit" aspectratio="f"/>
                <v:textbox>
                  <w:txbxContent>
                    <w:p w14:paraId="1ABE117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宋体" w:hAnsi="宋体" w:cs="宋体"/>
          <w:color w:val="auto"/>
          <w:sz w:val="22"/>
          <w:szCs w:val="22"/>
          <w:highlight w:val="none"/>
        </w:rPr>
        <w:t>承包人应完善雇员的劳务注册手续，并与雇员订立劳动合同，明确双方的权利和义务。雇佣期间，承包人应做好下列工作：</w:t>
      </w:r>
    </w:p>
    <w:p w14:paraId="73D06A6A">
      <w:pPr>
        <w:tabs>
          <w:tab w:val="left" w:pos="1080"/>
          <w:tab w:val="left" w:pos="2160"/>
        </w:tabs>
        <w:spacing w:line="420" w:lineRule="exact"/>
        <w:ind w:left="1619"/>
        <w:rPr>
          <w:rFonts w:ascii="宋体" w:hAnsi="宋体" w:cs="宋体"/>
          <w:color w:val="auto"/>
          <w:sz w:val="22"/>
          <w:szCs w:val="22"/>
          <w:highlight w:val="none"/>
        </w:rPr>
      </w:pPr>
      <w:r>
        <w:rPr>
          <w:rFonts w:hint="eastAsia" w:ascii="宋体" w:hAnsi="宋体" w:cs="宋体"/>
          <w:color w:val="auto"/>
          <w:sz w:val="22"/>
          <w:szCs w:val="22"/>
          <w:highlight w:val="none"/>
        </w:rPr>
        <w:t>(1)负责为雇员提供必要的食宿及各种生活设施，采取合理的卫生、劳动保护和安全防护措施，保证雇员的健康和安全；</w:t>
      </w:r>
    </w:p>
    <w:p w14:paraId="5AAAD518">
      <w:pPr>
        <w:tabs>
          <w:tab w:val="left" w:pos="1080"/>
          <w:tab w:val="left" w:pos="2160"/>
        </w:tabs>
        <w:spacing w:line="420" w:lineRule="exact"/>
        <w:ind w:left="1680" w:leftChars="800"/>
        <w:rPr>
          <w:rFonts w:ascii="宋体" w:hAnsi="宋体" w:cs="宋体"/>
          <w:color w:val="auto"/>
          <w:sz w:val="22"/>
          <w:szCs w:val="22"/>
          <w:highlight w:val="none"/>
        </w:rPr>
      </w:pPr>
      <w:r>
        <w:rPr>
          <w:rFonts w:hint="eastAsia" w:ascii="宋体" w:hAnsi="宋体" w:cs="宋体"/>
          <w:color w:val="auto"/>
          <w:sz w:val="22"/>
          <w:szCs w:val="22"/>
          <w:highlight w:val="none"/>
        </w:rPr>
        <w:t>(2)保障雇员的合法权利和人身安全，及时采取有效措施抢救和治疗施工中受伤害的雇员；</w:t>
      </w:r>
    </w:p>
    <w:p w14:paraId="43456B04">
      <w:pPr>
        <w:tabs>
          <w:tab w:val="left" w:pos="2160"/>
        </w:tabs>
        <w:spacing w:line="420" w:lineRule="exact"/>
        <w:ind w:left="1617"/>
        <w:rPr>
          <w:rFonts w:ascii="宋体" w:hAnsi="宋体" w:cs="宋体"/>
          <w:color w:val="auto"/>
          <w:sz w:val="22"/>
          <w:szCs w:val="22"/>
          <w:highlight w:val="none"/>
        </w:rPr>
      </w:pPr>
      <w:r>
        <w:rPr>
          <w:rFonts w:hint="eastAsia" w:ascii="宋体" w:hAnsi="宋体" w:cs="宋体"/>
          <w:color w:val="auto"/>
          <w:sz w:val="22"/>
          <w:szCs w:val="22"/>
          <w:highlight w:val="none"/>
        </w:rPr>
        <w:t>(3)充分考虑和保障雇员的休息时间和法定节假日休假时间，尊重雇员的宗教信仰和风俗习惯；</w:t>
      </w:r>
    </w:p>
    <w:p w14:paraId="4E2449F5">
      <w:pPr>
        <w:tabs>
          <w:tab w:val="left" w:pos="1080"/>
          <w:tab w:val="left" w:pos="2160"/>
        </w:tabs>
        <w:spacing w:line="420" w:lineRule="exact"/>
        <w:ind w:left="1617"/>
        <w:rPr>
          <w:rFonts w:ascii="宋体" w:hAnsi="宋体" w:cs="宋体"/>
          <w:color w:val="auto"/>
          <w:sz w:val="22"/>
          <w:szCs w:val="22"/>
          <w:highlight w:val="none"/>
        </w:rPr>
      </w:pPr>
      <w:r>
        <w:rPr>
          <w:rFonts w:hint="eastAsia" w:ascii="宋体" w:hAnsi="宋体" w:cs="宋体"/>
          <w:color w:val="auto"/>
          <w:sz w:val="22"/>
          <w:szCs w:val="22"/>
          <w:highlight w:val="none"/>
        </w:rPr>
        <w:t>(4)在施工现场主要出入口处设榜公布雇员工资发放时间和投诉电话，以及合同工程中标价格、进度款支付情况。</w:t>
      </w:r>
    </w:p>
    <w:p w14:paraId="76402978">
      <w:pPr>
        <w:tabs>
          <w:tab w:val="left" w:pos="1080"/>
          <w:tab w:val="left" w:pos="2160"/>
        </w:tabs>
        <w:spacing w:line="420" w:lineRule="exact"/>
        <w:ind w:left="1617"/>
        <w:rPr>
          <w:rFonts w:ascii="宋体" w:hAnsi="宋体" w:cs="宋体"/>
          <w:color w:val="auto"/>
          <w:sz w:val="22"/>
          <w:szCs w:val="22"/>
          <w:highlight w:val="none"/>
        </w:rPr>
      </w:pPr>
      <w:r>
        <w:rPr>
          <w:rFonts w:hint="eastAsia" w:ascii="宋体" w:hAnsi="宋体" w:cs="宋体"/>
          <w:color w:val="auto"/>
          <w:sz w:val="22"/>
          <w:szCs w:val="22"/>
          <w:highlight w:val="none"/>
        </w:rPr>
        <w:t>(5)督促雇员和发包人现场人员应佩戴由合同双方当事人共同盖章、签发的工作证上岗；</w:t>
      </w:r>
    </w:p>
    <w:p w14:paraId="292790D6">
      <w:pPr>
        <w:tabs>
          <w:tab w:val="left" w:pos="1080"/>
          <w:tab w:val="left" w:pos="2160"/>
        </w:tabs>
        <w:spacing w:line="420" w:lineRule="exact"/>
        <w:ind w:left="1619"/>
        <w:rPr>
          <w:rFonts w:ascii="宋体" w:hAnsi="宋体" w:cs="宋体"/>
          <w:color w:val="auto"/>
          <w:sz w:val="22"/>
          <w:szCs w:val="22"/>
          <w:highlight w:val="none"/>
        </w:rPr>
      </w:pPr>
      <w:r>
        <w:rPr>
          <w:rFonts w:hint="eastAsia" w:ascii="宋体" w:hAnsi="宋体" w:cs="宋体"/>
          <w:color w:val="auto"/>
          <w:sz w:val="22"/>
          <w:szCs w:val="22"/>
          <w:highlight w:val="none"/>
        </w:rPr>
        <w:t>(6)办理雇员的意外伤害等一切保险，处理雇员因工伤亡事故的善后事宜。</w:t>
      </w:r>
    </w:p>
    <w:p w14:paraId="28970F94">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27.4  </w:t>
      </w:r>
      <w:r>
        <w:rPr>
          <w:rFonts w:hint="eastAsia" w:ascii="宋体" w:hAnsi="宋体" w:cs="宋体"/>
          <w:b/>
          <w:bCs/>
          <w:color w:val="auto"/>
          <w:sz w:val="22"/>
          <w:szCs w:val="22"/>
          <w:highlight w:val="none"/>
          <w:u w:val="dotted"/>
        </w:rPr>
        <w:t xml:space="preserve">                                                                                                        </w:t>
      </w:r>
    </w:p>
    <w:p w14:paraId="4A31244C">
      <w:pPr>
        <w:pStyle w:val="34"/>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95" name="文本框 9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1C6138C0">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wrap="square" upright="1"/>
                    </wps:wsp>
                  </a:graphicData>
                </a:graphic>
              </wp:anchor>
            </w:drawing>
          </mc:Choice>
          <mc:Fallback>
            <w:pict>
              <v:shape id="文本框 96"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OURUz1AAAAAgBAAAPAAAAAAAAAAEAIAAAACIAAABkcnMvZG93bnJldi54bWxQSwECFAAU&#10;AAAACACHTuJA4wlVrLwBAABrAwAADgAAAAAAAAABACAAAAAjAQAAZHJzL2Uyb0RvYy54bWxQSwUG&#10;AAAAAAYABgBZAQAAUQUAAAAA&#10;">
                <v:fill on="f" focussize="0,0"/>
                <v:stroke on="f"/>
                <v:imagedata o:title=""/>
                <o:lock v:ext="edit" aspectratio="f"/>
                <v:textbox>
                  <w:txbxContent>
                    <w:p w14:paraId="1C6138C0">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宋体" w:cs="宋体"/>
          <w:color w:val="auto"/>
          <w:sz w:val="22"/>
          <w:szCs w:val="22"/>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6AB89ED5">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27.5  </w:t>
      </w:r>
      <w:r>
        <w:rPr>
          <w:rFonts w:hint="eastAsia" w:ascii="宋体" w:hAnsi="宋体" w:cs="宋体"/>
          <w:b/>
          <w:bCs/>
          <w:color w:val="auto"/>
          <w:sz w:val="22"/>
          <w:szCs w:val="22"/>
          <w:highlight w:val="none"/>
          <w:u w:val="dotted"/>
        </w:rPr>
        <w:t xml:space="preserve">                                                                                                        </w:t>
      </w:r>
    </w:p>
    <w:p w14:paraId="271A3852">
      <w:pPr>
        <w:pStyle w:val="34"/>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96" name="文本框 97"/>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a:effectLst/>
                      </wps:spPr>
                      <wps:txbx>
                        <w:txbxContent>
                          <w:p w14:paraId="5429DCC6">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wrap="square" upright="1"/>
                    </wps:wsp>
                  </a:graphicData>
                </a:graphic>
              </wp:anchor>
            </w:drawing>
          </mc:Choice>
          <mc:Fallback>
            <w:pict>
              <v:shape id="文本框 97"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jbnstUAAAAHAQAADwAAAAAAAAABACAAAAAiAAAAZHJzL2Rvd25yZXYueG1sUEsBAhQA&#10;FAAAAAgAh07iQKRLMxW8AQAAawMAAA4AAAAAAAAAAQAgAAAAJAEAAGRycy9lMm9Eb2MueG1sUEsF&#10;BgAAAAAGAAYAWQEAAFIFAAAAAA==&#10;">
                <v:fill on="f" focussize="0,0"/>
                <v:stroke on="f"/>
                <v:imagedata o:title=""/>
                <o:lock v:ext="edit" aspectratio="f"/>
                <v:textbox>
                  <w:txbxContent>
                    <w:p w14:paraId="5429DCC6">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宋体" w:cs="宋体"/>
          <w:color w:val="auto"/>
          <w:sz w:val="22"/>
          <w:szCs w:val="22"/>
          <w:highlight w:val="none"/>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6371E846">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27.6  </w:t>
      </w:r>
      <w:r>
        <w:rPr>
          <w:rFonts w:hint="eastAsia" w:ascii="宋体" w:hAnsi="宋体" w:cs="宋体"/>
          <w:b/>
          <w:bCs/>
          <w:color w:val="auto"/>
          <w:sz w:val="22"/>
          <w:szCs w:val="22"/>
          <w:highlight w:val="none"/>
          <w:u w:val="dotted"/>
        </w:rPr>
        <w:t xml:space="preserve">                                                                                                        </w:t>
      </w:r>
    </w:p>
    <w:p w14:paraId="1353EB59">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97" name="文本框 98"/>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a:effectLst/>
                      </wps:spPr>
                      <wps:txbx>
                        <w:txbxContent>
                          <w:p w14:paraId="405CDE1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wrap="square" upright="1"/>
                    </wps:wsp>
                  </a:graphicData>
                </a:graphic>
              </wp:anchor>
            </w:drawing>
          </mc:Choice>
          <mc:Fallback>
            <w:pict>
              <v:shape id="文本框 98"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rOMRNQAAAAIAQAADwAAAAAAAAABACAAAAAiAAAAZHJzL2Rvd25yZXYueG1sUEsBAhQA&#10;FAAAAAgAh07iQF3M0PG9AQAAawMAAA4AAAAAAAAAAQAgAAAAIwEAAGRycy9lMm9Eb2MueG1sUEsF&#10;BgAAAAAGAAYAWQEAAFIFAAAAAA==&#10;">
                <v:fill on="f" focussize="0,0"/>
                <v:stroke on="f"/>
                <v:imagedata o:title=""/>
                <o:lock v:ext="edit" aspectratio="f"/>
                <v:textbox>
                  <w:txbxContent>
                    <w:p w14:paraId="405CDE1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宋体" w:hAnsi="宋体" w:cs="宋体"/>
          <w:color w:val="auto"/>
          <w:sz w:val="22"/>
          <w:szCs w:val="22"/>
          <w:highlight w:val="none"/>
        </w:rPr>
        <w:t>承包人的雇员应是在行业或职业内具有相应资格、技能和经验的人员。承包人应向施工场地派遣足够数量的下列雇员：</w:t>
      </w:r>
    </w:p>
    <w:p w14:paraId="2A58A1D3">
      <w:pPr>
        <w:numPr>
          <w:ilvl w:val="1"/>
          <w:numId w:val="9"/>
        </w:numPr>
        <w:tabs>
          <w:tab w:val="left" w:pos="2160"/>
          <w:tab w:val="left" w:pos="2340"/>
        </w:tabs>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 xml:space="preserve">具有相应资格的专业技工和合格的普工； </w:t>
      </w:r>
    </w:p>
    <w:p w14:paraId="5C7C16C8">
      <w:pPr>
        <w:numPr>
          <w:ilvl w:val="1"/>
          <w:numId w:val="9"/>
        </w:numPr>
        <w:tabs>
          <w:tab w:val="left" w:pos="2160"/>
          <w:tab w:val="left" w:pos="2340"/>
        </w:tabs>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具有相应施工经验的技术人员；</w:t>
      </w:r>
    </w:p>
    <w:p w14:paraId="7C11CB9C">
      <w:pPr>
        <w:numPr>
          <w:ilvl w:val="1"/>
          <w:numId w:val="9"/>
        </w:numPr>
        <w:tabs>
          <w:tab w:val="left" w:pos="2160"/>
          <w:tab w:val="left" w:pos="2340"/>
        </w:tabs>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具有相应岗位资格的各级管理人员。</w:t>
      </w:r>
    </w:p>
    <w:p w14:paraId="5AB0D42F">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27.7  </w:t>
      </w:r>
      <w:r>
        <w:rPr>
          <w:rFonts w:hint="eastAsia" w:ascii="宋体" w:hAnsi="宋体" w:cs="宋体"/>
          <w:b/>
          <w:bCs/>
          <w:color w:val="auto"/>
          <w:sz w:val="22"/>
          <w:szCs w:val="22"/>
          <w:highlight w:val="none"/>
          <w:u w:val="dotted"/>
        </w:rPr>
        <w:t xml:space="preserve">                                                                                                        </w:t>
      </w:r>
    </w:p>
    <w:p w14:paraId="3A18312F">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98" name="文本框 99"/>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a:effectLst/>
                      </wps:spPr>
                      <wps:txbx>
                        <w:txbxContent>
                          <w:p w14:paraId="1FD3B39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99"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2b8yh1AAAAAcBAAAPAAAAAAAAAAEAIAAAACIAAABkcnMvZG93bnJldi54bWxQSwECFAAU&#10;AAAACACHTuJAzOcgcrwBAABrAwAADgAAAAAAAAABACAAAAAjAQAAZHJzL2Uyb0RvYy54bWxQSwUG&#10;AAAAAAYABgBZAQAAUQUAAAAA&#10;">
                <v:fill on="f" focussize="0,0"/>
                <v:stroke on="f"/>
                <v:imagedata o:title=""/>
                <o:lock v:ext="edit" aspectratio="f"/>
                <v:textbox>
                  <w:txbxContent>
                    <w:p w14:paraId="1FD3B39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宋体" w:hAnsi="宋体" w:cs="宋体"/>
          <w:color w:val="auto"/>
          <w:sz w:val="22"/>
          <w:szCs w:val="22"/>
          <w:highlight w:val="none"/>
        </w:rPr>
        <w:t>承包人安排在施工场地的雇员应保持相对稳定，但有下列行为的任何承包人雇员，监理工程师可要求承包人将其撤换：</w:t>
      </w:r>
    </w:p>
    <w:p w14:paraId="7559CD51">
      <w:pPr>
        <w:numPr>
          <w:ilvl w:val="0"/>
          <w:numId w:val="10"/>
        </w:numPr>
        <w:tabs>
          <w:tab w:val="left" w:pos="2160"/>
        </w:tabs>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经常行为不当，或工作漫不经心；</w:t>
      </w:r>
    </w:p>
    <w:p w14:paraId="12A6E1E2">
      <w:pPr>
        <w:numPr>
          <w:ilvl w:val="0"/>
          <w:numId w:val="10"/>
        </w:numPr>
        <w:tabs>
          <w:tab w:val="left" w:pos="2160"/>
        </w:tabs>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无能力履行义务或玩忽职守；</w:t>
      </w:r>
    </w:p>
    <w:p w14:paraId="514637BA">
      <w:pPr>
        <w:numPr>
          <w:ilvl w:val="0"/>
          <w:numId w:val="10"/>
        </w:numPr>
        <w:tabs>
          <w:tab w:val="left" w:pos="2160"/>
        </w:tabs>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不遵守合同的约定；</w:t>
      </w:r>
    </w:p>
    <w:p w14:paraId="0191F602">
      <w:pPr>
        <w:numPr>
          <w:ilvl w:val="0"/>
          <w:numId w:val="10"/>
        </w:numPr>
        <w:tabs>
          <w:tab w:val="left" w:pos="2160"/>
        </w:tabs>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有损安全、健康和不利于环境保护的行为。</w:t>
      </w:r>
    </w:p>
    <w:p w14:paraId="26A1D413">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27.8  </w:t>
      </w:r>
      <w:r>
        <w:rPr>
          <w:rFonts w:hint="eastAsia" w:ascii="宋体" w:hAnsi="宋体" w:cs="宋体"/>
          <w:b/>
          <w:bCs/>
          <w:color w:val="auto"/>
          <w:sz w:val="22"/>
          <w:szCs w:val="22"/>
          <w:highlight w:val="none"/>
          <w:u w:val="dotted"/>
        </w:rPr>
        <w:t xml:space="preserve">                                                                                                        </w:t>
      </w:r>
    </w:p>
    <w:p w14:paraId="0A21524A">
      <w:pPr>
        <w:pStyle w:val="34"/>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99" name="文本框 100"/>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a:effectLst/>
                      </wps:spPr>
                      <wps:txbx>
                        <w:txbxContent>
                          <w:p w14:paraId="1F2EF855">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100"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LXY79UAAAAHAQAADwAAAAAAAAABACAAAAAiAAAAZHJzL2Rvd25yZXYueG1sUEsBAhQA&#10;FAAAAAgAh07iQLjIxkq8AQAAbAMAAA4AAAAAAAAAAQAgAAAAJAEAAGRycy9lMm9Eb2MueG1sUEsF&#10;BgAAAAAGAAYAWQEAAFIFAAAAAA==&#10;">
                <v:fill on="f" focussize="0,0"/>
                <v:stroke on="f"/>
                <v:imagedata o:title=""/>
                <o:lock v:ext="edit" aspectratio="f"/>
                <v:textbox>
                  <w:txbxContent>
                    <w:p w14:paraId="1F2EF855">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宋体" w:cs="宋体"/>
          <w:color w:val="auto"/>
          <w:sz w:val="22"/>
          <w:szCs w:val="22"/>
          <w:highlight w:val="none"/>
        </w:rPr>
        <w:t>承包人应自始至终采取各种合理的预防措施，防止雇员内部发生打斗和任何无序、非法的不良行为，以确保现场安定和保护现场及邻近人员的生命、财产安全。</w:t>
      </w:r>
    </w:p>
    <w:p w14:paraId="2290A168">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p>
    <w:p w14:paraId="6201C7FC">
      <w:pPr>
        <w:spacing w:line="420" w:lineRule="exact"/>
        <w:jc w:val="center"/>
        <w:outlineLvl w:val="1"/>
        <w:rPr>
          <w:rFonts w:ascii="方正小标宋_GBK" w:hAnsi="方正小标宋_GBK" w:eastAsia="方正小标宋_GBK" w:cs="方正小标宋_GBK"/>
          <w:b/>
          <w:bCs/>
          <w:color w:val="auto"/>
          <w:sz w:val="24"/>
          <w:szCs w:val="24"/>
          <w:highlight w:val="none"/>
        </w:rPr>
      </w:pPr>
      <w:bookmarkStart w:id="252" w:name="_Toc12222"/>
      <w:bookmarkStart w:id="253" w:name="_Toc15302"/>
      <w:bookmarkStart w:id="254" w:name="_Toc7932"/>
      <w:bookmarkStart w:id="255" w:name="_Toc469384008"/>
      <w:bookmarkStart w:id="256" w:name="_Toc24384"/>
      <w:bookmarkStart w:id="257" w:name="_Toc155166146"/>
      <w:r>
        <w:rPr>
          <w:rFonts w:hint="eastAsia" w:ascii="方正小标宋_GBK" w:hAnsi="方正小标宋_GBK" w:eastAsia="方正小标宋_GBK" w:cs="方正小标宋_GBK"/>
          <w:b/>
          <w:bCs/>
          <w:color w:val="auto"/>
          <w:sz w:val="24"/>
          <w:szCs w:val="24"/>
          <w:highlight w:val="none"/>
        </w:rPr>
        <w:t>三、担保、保险与风险</w:t>
      </w:r>
      <w:bookmarkEnd w:id="252"/>
      <w:bookmarkEnd w:id="253"/>
      <w:bookmarkEnd w:id="254"/>
      <w:bookmarkEnd w:id="255"/>
      <w:bookmarkEnd w:id="256"/>
      <w:bookmarkEnd w:id="257"/>
    </w:p>
    <w:p w14:paraId="47DFBFF1">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258" w:name="_Toc31191"/>
      <w:bookmarkStart w:id="259" w:name="_Toc361"/>
      <w:bookmarkStart w:id="260" w:name="_Toc469384009"/>
      <w:r>
        <w:rPr>
          <w:rFonts w:hint="eastAsia" w:hAnsi="宋体"/>
          <w:b/>
          <w:bCs/>
          <w:color w:val="auto"/>
          <w:sz w:val="22"/>
          <w:szCs w:val="22"/>
          <w:highlight w:val="none"/>
        </w:rPr>
        <w:t>28  工程担保</w:t>
      </w:r>
      <w:bookmarkEnd w:id="258"/>
      <w:bookmarkEnd w:id="259"/>
      <w:bookmarkEnd w:id="260"/>
    </w:p>
    <w:p w14:paraId="69A6EF52">
      <w:pPr>
        <w:pStyle w:val="22"/>
        <w:tabs>
          <w:tab w:val="left" w:pos="1320"/>
        </w:tabs>
        <w:adjustRightInd w:val="0"/>
        <w:snapToGrid w:val="0"/>
        <w:spacing w:line="420" w:lineRule="exact"/>
        <w:ind w:right="-240"/>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100" name="文本框 1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34E358F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101"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gblBNcAAAAKAQAADwAAAAAAAAABACAAAAAiAAAAZHJzL2Rvd25yZXYueG1sUEsB&#10;AhQAFAAAAAgAh07iQCG0chu9AQAAbQMAAA4AAAAAAAAAAQAgAAAAJgEAAGRycy9lMm9Eb2MueG1s&#10;UEsFBgAAAAAGAAYAWQEAAFUFAAAAAA==&#10;">
                <v:fill on="f" focussize="0,0"/>
                <v:stroke on="f"/>
                <v:imagedata o:title=""/>
                <o:lock v:ext="edit" aspectratio="f"/>
                <v:textbox>
                  <w:txbxContent>
                    <w:p w14:paraId="34E358F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hAnsi="宋体"/>
          <w:b/>
          <w:bCs/>
          <w:color w:val="auto"/>
          <w:sz w:val="22"/>
          <w:szCs w:val="22"/>
          <w:highlight w:val="none"/>
        </w:rPr>
        <w:t xml:space="preserve">28.1       </w:t>
      </w:r>
    </w:p>
    <w:p w14:paraId="201A744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为正确履行本合同，发包人应在招标文件中或在签订合同前明确履约担保的有关要求，承包人应按照合同约定时间向发包人提供履约担保。履约担保采用银行保函、担保公司担保或</w:t>
      </w:r>
      <w:r>
        <w:rPr>
          <w:rFonts w:hint="eastAsia" w:hAnsi="宋体"/>
          <w:color w:val="auto"/>
          <w:sz w:val="22"/>
          <w:szCs w:val="22"/>
          <w:highlight w:val="none"/>
          <w:shd w:val="clear" w:color="auto" w:fill="FFFFFF"/>
        </w:rPr>
        <w:t>履约保证保险</w:t>
      </w:r>
      <w:r>
        <w:rPr>
          <w:rFonts w:hint="eastAsia" w:hAnsi="宋体"/>
          <w:color w:val="auto"/>
          <w:sz w:val="22"/>
          <w:szCs w:val="22"/>
          <w:highlight w:val="none"/>
        </w:rPr>
        <w:t>的形式，提供履约保函、担保公司担保、</w:t>
      </w:r>
      <w:r>
        <w:rPr>
          <w:rFonts w:hint="eastAsia" w:hAnsi="宋体"/>
          <w:color w:val="auto"/>
          <w:sz w:val="22"/>
          <w:szCs w:val="22"/>
          <w:highlight w:val="none"/>
          <w:shd w:val="clear" w:color="auto" w:fill="FFFFFF"/>
        </w:rPr>
        <w:t>履约保证保险</w:t>
      </w:r>
      <w:r>
        <w:rPr>
          <w:rFonts w:hint="eastAsia" w:hAnsi="宋体"/>
          <w:color w:val="auto"/>
          <w:sz w:val="22"/>
          <w:szCs w:val="22"/>
          <w:highlight w:val="none"/>
        </w:rPr>
        <w:t>所发生的费用由承包人承担。</w:t>
      </w:r>
    </w:p>
    <w:p w14:paraId="533F8D32">
      <w:pPr>
        <w:pStyle w:val="22"/>
        <w:tabs>
          <w:tab w:val="left" w:pos="1320"/>
        </w:tabs>
        <w:adjustRightInd w:val="0"/>
        <w:snapToGrid w:val="0"/>
        <w:spacing w:line="420" w:lineRule="exact"/>
        <w:ind w:right="-240"/>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101" name="文本框 102"/>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a:effectLst/>
                      </wps:spPr>
                      <wps:txbx>
                        <w:txbxContent>
                          <w:p w14:paraId="4AC4F08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102"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pHnUjXAAAACgEAAA8AAAAAAAAAAQAgAAAAIgAAAGRycy9kb3ducmV2LnhtbFBL&#10;AQIUABQAAAAIAIdO4kABfWg+vgEAAG0DAAAOAAAAAAAAAAEAIAAAACYBAABkcnMvZTJvRG9jLnht&#10;bFBLBQYAAAAABgAGAFkBAABWBQAAAAA=&#10;">
                <v:fill on="f" focussize="0,0"/>
                <v:stroke on="f"/>
                <v:imagedata o:title=""/>
                <o:lock v:ext="edit" aspectratio="f"/>
                <v:textbox>
                  <w:txbxContent>
                    <w:p w14:paraId="4AC4F08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hAnsi="宋体"/>
          <w:b/>
          <w:bCs/>
          <w:color w:val="auto"/>
          <w:sz w:val="22"/>
          <w:szCs w:val="22"/>
          <w:highlight w:val="none"/>
        </w:rPr>
        <w:t xml:space="preserve">28.2  </w:t>
      </w:r>
      <w:r>
        <w:rPr>
          <w:rFonts w:hint="eastAsia" w:hAnsi="宋体"/>
          <w:b/>
          <w:bCs/>
          <w:color w:val="auto"/>
          <w:sz w:val="22"/>
          <w:szCs w:val="22"/>
          <w:highlight w:val="none"/>
          <w:u w:val="dotted"/>
        </w:rPr>
        <w:t xml:space="preserve">                                                                             </w:t>
      </w:r>
    </w:p>
    <w:p w14:paraId="4F4F92B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履约担保的有效期，是从提供履约担保之日起至合同工程竣工验收合格之日止。发包人应在担保有效期满后的14 天内将此担保退还给承包人。</w:t>
      </w:r>
    </w:p>
    <w:p w14:paraId="11316459">
      <w:pPr>
        <w:pStyle w:val="22"/>
        <w:tabs>
          <w:tab w:val="left" w:pos="1320"/>
        </w:tabs>
        <w:adjustRightInd w:val="0"/>
        <w:snapToGrid w:val="0"/>
        <w:spacing w:line="420" w:lineRule="exact"/>
        <w:ind w:right="-238"/>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102" name="文本框 10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44D9987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103"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7JD7YAAAACgEAAA8AAAAAAAAAAQAgAAAAIgAAAGRycy9kb3ducmV2LnhtbFBL&#10;AQIUABQAAAAIAIdO4kCx9/+MvQEAAG0DAAAOAAAAAAAAAAEAIAAAACcBAABkcnMvZTJvRG9jLnht&#10;bFBLBQYAAAAABgAGAFkBAABWBQAAAAA=&#10;">
                <v:fill on="f" focussize="0,0"/>
                <v:stroke on="f"/>
                <v:imagedata o:title=""/>
                <o:lock v:ext="edit" aspectratio="f"/>
                <v:textbox>
                  <w:txbxContent>
                    <w:p w14:paraId="44D9987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hAnsi="宋体"/>
          <w:b/>
          <w:bCs/>
          <w:color w:val="auto"/>
          <w:sz w:val="22"/>
          <w:szCs w:val="22"/>
          <w:highlight w:val="none"/>
        </w:rPr>
        <w:t xml:space="preserve">28.3  </w:t>
      </w:r>
      <w:r>
        <w:rPr>
          <w:rFonts w:hint="eastAsia" w:hAnsi="宋体"/>
          <w:b/>
          <w:bCs/>
          <w:color w:val="auto"/>
          <w:sz w:val="22"/>
          <w:szCs w:val="22"/>
          <w:highlight w:val="none"/>
          <w:u w:val="dotted"/>
        </w:rPr>
        <w:t xml:space="preserve">                                                                             </w:t>
      </w:r>
    </w:p>
    <w:p w14:paraId="6EBE0671">
      <w:pPr>
        <w:pStyle w:val="22"/>
        <w:adjustRightInd w:val="0"/>
        <w:snapToGrid w:val="0"/>
        <w:spacing w:line="420" w:lineRule="exact"/>
        <w:ind w:left="1619" w:leftChars="771"/>
        <w:rPr>
          <w:rFonts w:hAnsi="宋体"/>
          <w:b/>
          <w:bCs/>
          <w:color w:val="auto"/>
          <w:sz w:val="22"/>
          <w:szCs w:val="22"/>
          <w:highlight w:val="none"/>
        </w:rPr>
      </w:pPr>
      <w:r>
        <w:rPr>
          <w:rFonts w:hint="eastAsia" w:hAnsi="宋体"/>
          <w:color w:val="auto"/>
          <w:sz w:val="22"/>
          <w:szCs w:val="22"/>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79A76B37">
      <w:pPr>
        <w:pStyle w:val="22"/>
        <w:tabs>
          <w:tab w:val="left" w:pos="540"/>
          <w:tab w:val="left" w:pos="720"/>
        </w:tabs>
        <w:adjustRightInd w:val="0"/>
        <w:snapToGrid w:val="0"/>
        <w:spacing w:line="420" w:lineRule="exact"/>
        <w:ind w:right="-238"/>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103" name="文本框 104"/>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a:effectLst/>
                      </wps:spPr>
                      <wps:txbx>
                        <w:txbxContent>
                          <w:p w14:paraId="15FD467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104"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LE7+Y2AAAAAoBAAAPAAAAAAAAAAEAIAAAACIAAABkcnMvZG93bnJldi54bWxQ&#10;SwECFAAUAAAACACHTuJAq8F9Wb4BAABtAwAADgAAAAAAAAABACAAAAAnAQAAZHJzL2Uyb0RvYy54&#10;bWxQSwUGAAAAAAYABgBZAQAAVwUAAAAA&#10;">
                <v:fill on="f" focussize="0,0"/>
                <v:stroke on="f"/>
                <v:imagedata o:title=""/>
                <o:lock v:ext="edit" aspectratio="f"/>
                <v:textbox>
                  <w:txbxContent>
                    <w:p w14:paraId="15FD467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hAnsi="宋体"/>
          <w:b/>
          <w:bCs/>
          <w:color w:val="auto"/>
          <w:sz w:val="22"/>
          <w:szCs w:val="22"/>
          <w:highlight w:val="none"/>
        </w:rPr>
        <w:t xml:space="preserve">28.4  </w:t>
      </w:r>
      <w:r>
        <w:rPr>
          <w:rFonts w:hint="eastAsia" w:hAnsi="宋体"/>
          <w:b/>
          <w:bCs/>
          <w:color w:val="auto"/>
          <w:sz w:val="22"/>
          <w:szCs w:val="22"/>
          <w:highlight w:val="none"/>
          <w:u w:val="dotted"/>
        </w:rPr>
        <w:t xml:space="preserve">                                                                             </w:t>
      </w:r>
    </w:p>
    <w:p w14:paraId="037AAD7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按照第28.1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hAnsi="宋体"/>
          <w:color w:val="auto"/>
          <w:sz w:val="22"/>
          <w:szCs w:val="22"/>
          <w:highlight w:val="none"/>
          <w:shd w:val="clear" w:color="auto" w:fill="FFFFFF"/>
        </w:rPr>
        <w:t>支付保证保险</w:t>
      </w:r>
      <w:r>
        <w:rPr>
          <w:rFonts w:hint="eastAsia" w:hAnsi="宋体"/>
          <w:color w:val="auto"/>
          <w:sz w:val="22"/>
          <w:szCs w:val="22"/>
          <w:highlight w:val="none"/>
        </w:rPr>
        <w:t>的形式，提供支付保函、担保公司担保、</w:t>
      </w:r>
      <w:r>
        <w:rPr>
          <w:rFonts w:hint="eastAsia" w:hAnsi="宋体"/>
          <w:color w:val="auto"/>
          <w:sz w:val="22"/>
          <w:szCs w:val="22"/>
          <w:highlight w:val="none"/>
          <w:shd w:val="clear" w:color="auto" w:fill="FFFFFF"/>
        </w:rPr>
        <w:t>支付保证保险</w:t>
      </w:r>
      <w:r>
        <w:rPr>
          <w:rFonts w:hint="eastAsia" w:hAnsi="宋体"/>
          <w:color w:val="auto"/>
          <w:sz w:val="22"/>
          <w:szCs w:val="22"/>
          <w:highlight w:val="none"/>
        </w:rPr>
        <w:t>所发生的费用由发包人承担。</w:t>
      </w:r>
    </w:p>
    <w:p w14:paraId="01569902">
      <w:pPr>
        <w:pStyle w:val="22"/>
        <w:tabs>
          <w:tab w:val="left" w:pos="1320"/>
        </w:tabs>
        <w:adjustRightInd w:val="0"/>
        <w:snapToGrid w:val="0"/>
        <w:spacing w:line="420" w:lineRule="exact"/>
        <w:ind w:right="-238"/>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104" name="文本框 105"/>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a:effectLst/>
                      </wps:spPr>
                      <wps:txbx>
                        <w:txbxContent>
                          <w:p w14:paraId="15EBB9E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105"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48MnY2AAAAAoBAAAPAAAAAAAAAAEAIAAAACIAAABkcnMvZG93bnJldi54bWxQ&#10;SwECFAAUAAAACACHTuJAMsh7OL4BAABtAwAADgAAAAAAAAABACAAAAAnAQAAZHJzL2Uyb0RvYy54&#10;bWxQSwUGAAAAAAYABgBZAQAAVwUAAAAA&#10;">
                <v:fill on="f" focussize="0,0"/>
                <v:stroke on="f"/>
                <v:imagedata o:title=""/>
                <o:lock v:ext="edit" aspectratio="f"/>
                <v:textbox>
                  <w:txbxContent>
                    <w:p w14:paraId="15EBB9E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hAnsi="宋体"/>
          <w:b/>
          <w:bCs/>
          <w:color w:val="auto"/>
          <w:sz w:val="22"/>
          <w:szCs w:val="22"/>
          <w:highlight w:val="none"/>
        </w:rPr>
        <w:t xml:space="preserve">28.5  </w:t>
      </w:r>
      <w:r>
        <w:rPr>
          <w:rFonts w:hint="eastAsia" w:hAnsi="宋体"/>
          <w:b/>
          <w:bCs/>
          <w:color w:val="auto"/>
          <w:sz w:val="22"/>
          <w:szCs w:val="22"/>
          <w:highlight w:val="none"/>
          <w:u w:val="dotted"/>
        </w:rPr>
        <w:t xml:space="preserve">                                                                             </w:t>
      </w:r>
    </w:p>
    <w:p w14:paraId="587A0B4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支付担保的有效期，是从提供支付担保之日起至发包人根据本合同约定支付完除质量保证金以外的全部款项之日止。承包人应在担保有效期满后的14天内将此担保退还给发包人。</w:t>
      </w:r>
    </w:p>
    <w:p w14:paraId="56AF8040">
      <w:pPr>
        <w:pStyle w:val="22"/>
        <w:tabs>
          <w:tab w:val="left" w:pos="1320"/>
        </w:tabs>
        <w:adjustRightInd w:val="0"/>
        <w:snapToGrid w:val="0"/>
        <w:spacing w:line="420" w:lineRule="exact"/>
        <w:ind w:right="-238"/>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105" name="文本框 1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6F1EE6C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106"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oaQYtYAAAAKAQAADwAAAAAAAAABACAAAAAiAAAAZHJzL2Rvd25yZXYueG1sUEsB&#10;AhQAFAAAAAgAh07iQHToHIK+AQAAbQMAAA4AAAAAAAAAAQAgAAAAJQEAAGRycy9lMm9Eb2MueG1s&#10;UEsFBgAAAAAGAAYAWQEAAFUFAAAAAA==&#10;">
                <v:fill on="f" focussize="0,0"/>
                <v:stroke on="f"/>
                <v:imagedata o:title=""/>
                <o:lock v:ext="edit" aspectratio="f"/>
                <v:textbox>
                  <w:txbxContent>
                    <w:p w14:paraId="6F1EE6C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hAnsi="宋体"/>
          <w:b/>
          <w:bCs/>
          <w:color w:val="auto"/>
          <w:sz w:val="22"/>
          <w:szCs w:val="22"/>
          <w:highlight w:val="none"/>
        </w:rPr>
        <w:t xml:space="preserve">28.6  </w:t>
      </w:r>
      <w:r>
        <w:rPr>
          <w:rFonts w:hint="eastAsia" w:hAnsi="宋体"/>
          <w:b/>
          <w:bCs/>
          <w:color w:val="auto"/>
          <w:sz w:val="22"/>
          <w:szCs w:val="22"/>
          <w:highlight w:val="none"/>
          <w:u w:val="dotted"/>
        </w:rPr>
        <w:t xml:space="preserve">                                                                             </w:t>
      </w:r>
    </w:p>
    <w:p w14:paraId="70870562">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60D79561">
      <w:pPr>
        <w:pStyle w:val="22"/>
        <w:tabs>
          <w:tab w:val="left" w:pos="1320"/>
        </w:tabs>
        <w:adjustRightInd w:val="0"/>
        <w:snapToGrid w:val="0"/>
        <w:spacing w:line="420" w:lineRule="exact"/>
        <w:ind w:right="-238"/>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106" name="文本框 107"/>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a:effectLst/>
                      </wps:spPr>
                      <wps:txbx>
                        <w:txbxContent>
                          <w:p w14:paraId="099D462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107"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ATYqdcAAAAKAQAADwAAAAAAAAABACAAAAAiAAAAZHJzL2Rvd25yZXYueG1sUEsB&#10;AhQAFAAAAAgAh07iQLNats69AQAAbQMAAA4AAAAAAAAAAQAgAAAAJgEAAGRycy9lMm9Eb2MueG1s&#10;UEsFBgAAAAAGAAYAWQEAAFUFAAAAAA==&#10;">
                <v:fill on="f" focussize="0,0"/>
                <v:stroke on="f"/>
                <v:imagedata o:title=""/>
                <o:lock v:ext="edit" aspectratio="f"/>
                <v:textbox>
                  <w:txbxContent>
                    <w:p w14:paraId="099D462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hAnsi="宋体"/>
          <w:b/>
          <w:bCs/>
          <w:color w:val="auto"/>
          <w:sz w:val="22"/>
          <w:szCs w:val="22"/>
          <w:highlight w:val="none"/>
        </w:rPr>
        <w:t xml:space="preserve">28.7  </w:t>
      </w:r>
      <w:r>
        <w:rPr>
          <w:rFonts w:hint="eastAsia" w:hAnsi="宋体"/>
          <w:b/>
          <w:bCs/>
          <w:color w:val="auto"/>
          <w:sz w:val="22"/>
          <w:szCs w:val="22"/>
          <w:highlight w:val="none"/>
          <w:u w:val="dotted"/>
        </w:rPr>
        <w:t xml:space="preserve">                                                                             </w:t>
      </w:r>
    </w:p>
    <w:p w14:paraId="1139626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合同双方当事人均应确保合同工程担保有效期符合工期合理顺延的要求。若合同一方当事人未能保证延长担保有效期，另一方当事人可向其索赔担保的全部金额。</w:t>
      </w:r>
    </w:p>
    <w:p w14:paraId="02059E25">
      <w:pPr>
        <w:pStyle w:val="22"/>
        <w:tabs>
          <w:tab w:val="left" w:pos="1320"/>
        </w:tabs>
        <w:adjustRightInd w:val="0"/>
        <w:snapToGrid w:val="0"/>
        <w:spacing w:line="420" w:lineRule="exact"/>
        <w:ind w:right="-238"/>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107" name="文本框 108"/>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a:effectLst/>
                      </wps:spPr>
                      <wps:txbx>
                        <w:txbxContent>
                          <w:p w14:paraId="08966CD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108"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xIfdXXAAAACQEAAA8AAAAAAAAAAQAgAAAAIgAAAGRycy9kb3ducmV2LnhtbFBL&#10;AQIUABQAAAAIAIdO4kB76itsvgEAAG0DAAAOAAAAAAAAAAEAIAAAACYBAABkcnMvZTJvRG9jLnht&#10;bFBLBQYAAAAABgAGAFkBAABWBQAAAAA=&#10;">
                <v:fill on="f" focussize="0,0"/>
                <v:stroke on="f"/>
                <v:imagedata o:title=""/>
                <o:lock v:ext="edit" aspectratio="f"/>
                <v:textbox>
                  <w:txbxContent>
                    <w:p w14:paraId="08966CD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hAnsi="宋体"/>
          <w:b/>
          <w:bCs/>
          <w:color w:val="auto"/>
          <w:sz w:val="22"/>
          <w:szCs w:val="22"/>
          <w:highlight w:val="none"/>
        </w:rPr>
        <w:t xml:space="preserve">28.8  </w:t>
      </w:r>
      <w:r>
        <w:rPr>
          <w:rFonts w:hint="eastAsia" w:hAnsi="宋体"/>
          <w:b/>
          <w:bCs/>
          <w:color w:val="auto"/>
          <w:sz w:val="22"/>
          <w:szCs w:val="22"/>
          <w:highlight w:val="none"/>
          <w:u w:val="dotted"/>
        </w:rPr>
        <w:t xml:space="preserve">                                                                             </w:t>
      </w:r>
    </w:p>
    <w:p w14:paraId="6C8A7B3B">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合同双方当事人在专用条款中约定担保内容、方式和责任等事项，并签订担保合同，作为本合同附件。</w:t>
      </w:r>
    </w:p>
    <w:p w14:paraId="694D21EC">
      <w:pPr>
        <w:pStyle w:val="22"/>
        <w:adjustRightInd w:val="0"/>
        <w:snapToGrid w:val="0"/>
        <w:spacing w:line="420" w:lineRule="exact"/>
        <w:ind w:right="-240"/>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633A6C2D">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261" w:name="_Toc17148"/>
      <w:bookmarkStart w:id="262" w:name="_Toc24244"/>
      <w:bookmarkStart w:id="263" w:name="_Toc469384010"/>
      <w:r>
        <w:rPr>
          <w:rFonts w:hint="eastAsia" w:hAnsi="宋体"/>
          <w:b/>
          <w:bCs/>
          <w:color w:val="auto"/>
          <w:sz w:val="22"/>
          <w:szCs w:val="22"/>
          <w:highlight w:val="none"/>
        </w:rPr>
        <w:t>29  发包人风险</w:t>
      </w:r>
      <w:bookmarkEnd w:id="261"/>
      <w:bookmarkEnd w:id="262"/>
      <w:bookmarkEnd w:id="263"/>
    </w:p>
    <w:p w14:paraId="0B1D16AE">
      <w:pPr>
        <w:pStyle w:val="22"/>
        <w:adjustRightInd w:val="0"/>
        <w:snapToGrid w:val="0"/>
        <w:spacing w:line="420" w:lineRule="exact"/>
        <w:ind w:right="-240"/>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108" name="文本框 10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331C340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109"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Fo6vjXAAAACQEAAA8AAAAAAAAAAQAgAAAAIgAAAGRycy9kb3ducmV2LnhtbFBL&#10;AQIUABQAAAAIAIdO4kC1UqGQvgEAAG0DAAAOAAAAAAAAAAEAIAAAACYBAABkcnMvZTJvRG9jLnht&#10;bFBLBQYAAAAABgAGAFkBAABWBQAAAAA=&#10;">
                <v:fill on="f" focussize="0,0"/>
                <v:stroke on="f"/>
                <v:imagedata o:title=""/>
                <o:lock v:ext="edit" aspectratio="f"/>
                <v:textbox>
                  <w:txbxContent>
                    <w:p w14:paraId="331C340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hAnsi="宋体"/>
          <w:b/>
          <w:bCs/>
          <w:color w:val="auto"/>
          <w:sz w:val="22"/>
          <w:szCs w:val="22"/>
          <w:highlight w:val="none"/>
        </w:rPr>
        <w:t xml:space="preserve">29.1     </w:t>
      </w:r>
    </w:p>
    <w:p w14:paraId="56DCDC50">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发包人应承担本合同中规定应由发包人承担的风险。</w:t>
      </w:r>
    </w:p>
    <w:p w14:paraId="222028FA">
      <w:pPr>
        <w:pStyle w:val="22"/>
        <w:adjustRightInd w:val="0"/>
        <w:snapToGrid w:val="0"/>
        <w:spacing w:line="420" w:lineRule="exact"/>
        <w:ind w:right="-240"/>
        <w:rPr>
          <w:rFonts w:hAnsi="宋体"/>
          <w:b/>
          <w:bCs/>
          <w:color w:val="auto"/>
          <w:sz w:val="22"/>
          <w:szCs w:val="22"/>
          <w:highlight w:val="none"/>
        </w:rPr>
      </w:pPr>
      <w:r>
        <w:rPr>
          <w:rFonts w:hint="eastAsia" w:hAnsi="宋体"/>
          <w:b/>
          <w:bCs/>
          <w:color w:val="auto"/>
          <w:sz w:val="22"/>
          <w:szCs w:val="22"/>
          <w:highlight w:val="none"/>
        </w:rPr>
        <w:t xml:space="preserve">29.2  </w:t>
      </w:r>
      <w:r>
        <w:rPr>
          <w:rFonts w:hint="eastAsia" w:hAnsi="宋体"/>
          <w:b/>
          <w:bCs/>
          <w:color w:val="auto"/>
          <w:sz w:val="22"/>
          <w:szCs w:val="22"/>
          <w:highlight w:val="none"/>
          <w:u w:val="dotted"/>
        </w:rPr>
        <w:t xml:space="preserve">                                                                             </w:t>
      </w:r>
    </w:p>
    <w:p w14:paraId="2C968E30">
      <w:pPr>
        <w:pStyle w:val="22"/>
        <w:adjustRightInd w:val="0"/>
        <w:snapToGrid w:val="0"/>
        <w:spacing w:line="420" w:lineRule="exact"/>
        <w:ind w:right="-240" w:firstLine="1485" w:firstLineChars="675"/>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109" name="文本框 110"/>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a:effectLst/>
                      </wps:spPr>
                      <wps:txbx>
                        <w:txbxContent>
                          <w:p w14:paraId="7D193D3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110"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RBU2NUAAAAIAQAADwAAAAAAAAABACAAAAAiAAAAZHJzL2Rvd25yZXYueG1sUEsBAhQA&#10;FAAAAAgAh07iQHfCqDe8AQAAbQMAAA4AAAAAAAAAAQAgAAAAJAEAAGRycy9lMm9Eb2MueG1sUEsF&#10;BgAAAAAGAAYAWQEAAFIFAAAAAA==&#10;">
                <v:fill on="f" focussize="0,0"/>
                <v:stroke on="f"/>
                <v:imagedata o:title=""/>
                <o:lock v:ext="edit" aspectratio="f"/>
                <v:textbox>
                  <w:txbxContent>
                    <w:p w14:paraId="7D193D3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hAnsi="宋体"/>
          <w:color w:val="auto"/>
          <w:sz w:val="22"/>
          <w:szCs w:val="22"/>
          <w:highlight w:val="none"/>
        </w:rPr>
        <w:t>自开工之日起至颁发工程接收证书之日止，发包人风险包括但不限于：</w:t>
      </w:r>
    </w:p>
    <w:p w14:paraId="6C385E07">
      <w:pPr>
        <w:pStyle w:val="22"/>
        <w:numPr>
          <w:ilvl w:val="0"/>
          <w:numId w:val="11"/>
        </w:numPr>
        <w:tabs>
          <w:tab w:val="left" w:pos="1080"/>
        </w:tabs>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w:t>由于永久工程本身或施工而不可避免造成的财产（除工程本身、材料和工程设备和施工设备外）损失或损坏；</w:t>
      </w:r>
    </w:p>
    <w:p w14:paraId="2F502917">
      <w:pPr>
        <w:pStyle w:val="22"/>
        <w:numPr>
          <w:ilvl w:val="0"/>
          <w:numId w:val="11"/>
        </w:numPr>
        <w:tabs>
          <w:tab w:val="left" w:pos="1080"/>
        </w:tabs>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w:t>由于发包人工作人员及其相关人员（除承包人外）的疏忽或违规造成的人员伤亡、财产损失或损坏；</w:t>
      </w:r>
    </w:p>
    <w:p w14:paraId="32BE06A0">
      <w:pPr>
        <w:pStyle w:val="22"/>
        <w:numPr>
          <w:ilvl w:val="0"/>
          <w:numId w:val="11"/>
        </w:numPr>
        <w:tabs>
          <w:tab w:val="left" w:pos="1080"/>
        </w:tabs>
        <w:adjustRightInd w:val="0"/>
        <w:snapToGrid w:val="0"/>
        <w:spacing w:line="420" w:lineRule="exact"/>
        <w:ind w:left="2056" w:leftChars="772" w:hanging="435" w:hangingChars="198"/>
        <w:rPr>
          <w:rFonts w:hAnsi="宋体"/>
          <w:color w:val="auto"/>
          <w:sz w:val="22"/>
          <w:szCs w:val="22"/>
          <w:highlight w:val="none"/>
        </w:rPr>
      </w:pPr>
      <w:r>
        <w:rPr>
          <w:rFonts w:hint="eastAsia" w:hAnsi="宋体"/>
          <w:color w:val="auto"/>
          <w:sz w:val="22"/>
          <w:szCs w:val="22"/>
          <w:highlight w:val="none"/>
        </w:rPr>
        <w:t>由于发包人提前使用或占用永久工程或其部分造成的损失或损坏；</w:t>
      </w:r>
    </w:p>
    <w:p w14:paraId="682680EE">
      <w:pPr>
        <w:pStyle w:val="22"/>
        <w:numPr>
          <w:ilvl w:val="0"/>
          <w:numId w:val="11"/>
        </w:numPr>
        <w:tabs>
          <w:tab w:val="left" w:pos="1080"/>
        </w:tabs>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w:t>由于发包人提供或发包人负责的设计造成的对永久工程、材料和工程设备和施工设备的损失或损害；</w:t>
      </w:r>
    </w:p>
    <w:p w14:paraId="45CF0785">
      <w:pPr>
        <w:pStyle w:val="22"/>
        <w:numPr>
          <w:ilvl w:val="0"/>
          <w:numId w:val="11"/>
        </w:numPr>
        <w:tabs>
          <w:tab w:val="left" w:pos="1080"/>
        </w:tabs>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w:t>由于地质、邻近建筑物、古树名木和物价上涨等非承包人原因造成施工过程中费用的增加。</w:t>
      </w:r>
    </w:p>
    <w:p w14:paraId="679D1184">
      <w:pPr>
        <w:pStyle w:val="22"/>
        <w:adjustRightInd w:val="0"/>
        <w:snapToGrid w:val="0"/>
        <w:spacing w:line="420" w:lineRule="exact"/>
        <w:ind w:right="-240"/>
        <w:rPr>
          <w:rFonts w:hAnsi="宋体"/>
          <w:color w:val="auto"/>
          <w:sz w:val="22"/>
          <w:szCs w:val="22"/>
          <w:highlight w:val="none"/>
          <w:u w:val="single"/>
        </w:rPr>
      </w:pPr>
      <w:r>
        <w:rPr>
          <w:rFonts w:hint="eastAsia" w:hAnsi="宋体"/>
          <w:color w:val="auto"/>
          <w:sz w:val="22"/>
          <w:szCs w:val="22"/>
          <w:highlight w:val="none"/>
          <w:u w:val="single"/>
        </w:rPr>
        <w:t xml:space="preserve">                                                                                                             </w:t>
      </w:r>
    </w:p>
    <w:p w14:paraId="281D217F">
      <w:pPr>
        <w:pStyle w:val="22"/>
        <w:adjustRightInd w:val="0"/>
        <w:snapToGrid w:val="0"/>
        <w:spacing w:line="420" w:lineRule="exact"/>
        <w:ind w:right="-240"/>
        <w:outlineLvl w:val="2"/>
        <w:rPr>
          <w:rFonts w:hAnsi="宋体"/>
          <w:b/>
          <w:bCs/>
          <w:color w:val="auto"/>
          <w:sz w:val="22"/>
          <w:szCs w:val="22"/>
          <w:highlight w:val="none"/>
        </w:rPr>
      </w:pPr>
      <w:bookmarkStart w:id="264" w:name="_Toc6537"/>
      <w:bookmarkStart w:id="265" w:name="_Toc469384011"/>
      <w:bookmarkStart w:id="266" w:name="_Toc10849"/>
      <w:r>
        <w:rPr>
          <w:rFonts w:hint="eastAsia" w:hAnsi="宋体"/>
          <w:b/>
          <w:bCs/>
          <w:color w:val="auto"/>
          <w:sz w:val="22"/>
          <w:szCs w:val="22"/>
          <w:highlight w:val="none"/>
        </w:rPr>
        <w:t>30  承包人风险</w:t>
      </w:r>
      <w:bookmarkEnd w:id="264"/>
      <w:bookmarkEnd w:id="265"/>
      <w:bookmarkEnd w:id="266"/>
    </w:p>
    <w:p w14:paraId="43405EA7">
      <w:pPr>
        <w:pStyle w:val="22"/>
        <w:tabs>
          <w:tab w:val="left" w:pos="1320"/>
          <w:tab w:val="left" w:pos="1440"/>
        </w:tabs>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110" name="文本框 111"/>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a:effectLst/>
                      </wps:spPr>
                      <wps:txbx>
                        <w:txbxContent>
                          <w:p w14:paraId="680DE86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728E3DF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111" o:spid="_x0000_s1026" o:spt="202" type="#_x0000_t202" style="position:absolute;left:0pt;margin-left:-10.5pt;margin-top:20.05pt;height:33.65pt;width:81pt;z-index:251770880;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kqrJnWAAAACgEAAA8AAAAAAAAAAQAgAAAAIgAAAGRycy9kb3ducmV2LnhtbFBLAQIU&#10;ABQAAAAIAIdO4kAR5KEpvAEAAG4DAAAOAAAAAAAAAAEAIAAAACUBAABkcnMvZTJvRG9jLnhtbFBL&#10;BQYAAAAABgAGAFkBAABTBQAAAAA=&#10;">
                <v:fill on="f" focussize="0,0"/>
                <v:stroke on="f"/>
                <v:imagedata o:title=""/>
                <o:lock v:ext="edit" aspectratio="f"/>
                <v:textbox>
                  <w:txbxContent>
                    <w:p w14:paraId="680DE86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728E3DF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b/>
          <w:bCs/>
          <w:color w:val="auto"/>
          <w:sz w:val="22"/>
          <w:szCs w:val="22"/>
          <w:highlight w:val="none"/>
        </w:rPr>
        <w:t xml:space="preserve">30.1      </w:t>
      </w:r>
    </w:p>
    <w:p w14:paraId="749FC256">
      <w:pPr>
        <w:pStyle w:val="22"/>
        <w:tabs>
          <w:tab w:val="left" w:pos="1440"/>
        </w:tabs>
        <w:adjustRightInd w:val="0"/>
        <w:snapToGrid w:val="0"/>
        <w:spacing w:line="420" w:lineRule="exact"/>
        <w:ind w:firstLine="1485" w:firstLineChars="675"/>
        <w:rPr>
          <w:rFonts w:hAnsi="宋体"/>
          <w:color w:val="auto"/>
          <w:sz w:val="22"/>
          <w:szCs w:val="22"/>
          <w:highlight w:val="none"/>
        </w:rPr>
      </w:pPr>
      <w:r>
        <w:rPr>
          <w:rFonts w:hint="eastAsia" w:hAnsi="宋体"/>
          <w:color w:val="auto"/>
          <w:sz w:val="22"/>
          <w:szCs w:val="22"/>
          <w:highlight w:val="none"/>
        </w:rPr>
        <w:t>承包人应承担本合同中规定应由承包人承担的风险。</w:t>
      </w:r>
    </w:p>
    <w:p w14:paraId="32B11F12">
      <w:pPr>
        <w:pStyle w:val="22"/>
        <w:tabs>
          <w:tab w:val="left" w:pos="1320"/>
          <w:tab w:val="left" w:pos="1440"/>
        </w:tabs>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111" name="文本框 112"/>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a:effectLst/>
                      </wps:spPr>
                      <wps:txbx>
                        <w:txbxContent>
                          <w:p w14:paraId="520A5B0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112"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L5PnNcAAAAJAQAADwAAAAAAAAABACAAAAAiAAAAZHJzL2Rvd25yZXYueG1sUEsB&#10;AhQAFAAAAAgAh07iQOWUIOW9AQAAbQMAAA4AAAAAAAAAAQAgAAAAJgEAAGRycy9lMm9Eb2MueG1s&#10;UEsFBgAAAAAGAAYAWQEAAFUFAAAAAA==&#10;">
                <v:fill on="f" focussize="0,0"/>
                <v:stroke on="f"/>
                <v:imagedata o:title=""/>
                <o:lock v:ext="edit" aspectratio="f"/>
                <v:textbox>
                  <w:txbxContent>
                    <w:p w14:paraId="520A5B0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int="eastAsia" w:hAnsi="宋体"/>
          <w:b/>
          <w:bCs/>
          <w:color w:val="auto"/>
          <w:sz w:val="22"/>
          <w:szCs w:val="22"/>
          <w:highlight w:val="none"/>
        </w:rPr>
        <w:t xml:space="preserve">30.2  </w:t>
      </w:r>
      <w:r>
        <w:rPr>
          <w:rFonts w:hint="eastAsia" w:hAnsi="宋体"/>
          <w:b/>
          <w:bCs/>
          <w:color w:val="auto"/>
          <w:sz w:val="22"/>
          <w:szCs w:val="22"/>
          <w:highlight w:val="none"/>
          <w:u w:val="dotted"/>
        </w:rPr>
        <w:t xml:space="preserve">                                                                                                                </w:t>
      </w:r>
      <w:r>
        <w:rPr>
          <w:rFonts w:hint="eastAsia" w:hAnsi="宋体"/>
          <w:b/>
          <w:bCs/>
          <w:color w:val="auto"/>
          <w:sz w:val="22"/>
          <w:szCs w:val="22"/>
          <w:highlight w:val="none"/>
        </w:rPr>
        <w:t xml:space="preserve">                                                                                     </w:t>
      </w:r>
    </w:p>
    <w:p w14:paraId="087284AC">
      <w:pPr>
        <w:pStyle w:val="22"/>
        <w:tabs>
          <w:tab w:val="left" w:pos="1440"/>
        </w:tabs>
        <w:adjustRightInd w:val="0"/>
        <w:snapToGrid w:val="0"/>
        <w:spacing w:line="420" w:lineRule="exact"/>
        <w:ind w:left="1619" w:leftChars="771" w:firstLine="2"/>
        <w:rPr>
          <w:rFonts w:hAnsi="宋体"/>
          <w:color w:val="auto"/>
          <w:sz w:val="22"/>
          <w:szCs w:val="22"/>
          <w:highlight w:val="none"/>
        </w:rPr>
      </w:pPr>
      <w:r>
        <w:rPr>
          <w:rFonts w:hint="eastAsia" w:hAnsi="宋体"/>
          <w:color w:val="auto"/>
          <w:sz w:val="22"/>
          <w:szCs w:val="22"/>
          <w:highlight w:val="none"/>
        </w:rPr>
        <w:t>自开工之日起直到颁发工程接收证书之日止，承包人风险为：除第29条和第31条以外的人员伤亡以及财产（包括但不限于合同工程、材料、工程设备和施工设备）的损失或损坏。</w:t>
      </w:r>
    </w:p>
    <w:p w14:paraId="1447DD20">
      <w:pPr>
        <w:pStyle w:val="22"/>
        <w:adjustRightInd w:val="0"/>
        <w:snapToGrid w:val="0"/>
        <w:spacing w:line="420" w:lineRule="exact"/>
        <w:ind w:right="-240"/>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71E6C6D9">
      <w:pPr>
        <w:pStyle w:val="22"/>
        <w:adjustRightInd w:val="0"/>
        <w:snapToGrid w:val="0"/>
        <w:spacing w:line="420" w:lineRule="exact"/>
        <w:ind w:right="-240"/>
        <w:outlineLvl w:val="2"/>
        <w:rPr>
          <w:rFonts w:hAnsi="宋体"/>
          <w:b/>
          <w:bCs/>
          <w:color w:val="auto"/>
          <w:sz w:val="22"/>
          <w:szCs w:val="22"/>
          <w:highlight w:val="none"/>
        </w:rPr>
      </w:pPr>
      <w:bookmarkStart w:id="267" w:name="_Toc469384012"/>
      <w:bookmarkStart w:id="268" w:name="_Toc18881"/>
      <w:bookmarkStart w:id="269" w:name="_Toc4673"/>
      <w:r>
        <w:rPr>
          <w:rFonts w:hint="eastAsia" w:hAnsi="宋体"/>
          <w:b/>
          <w:bCs/>
          <w:color w:val="auto"/>
          <w:sz w:val="22"/>
          <w:szCs w:val="22"/>
          <w:highlight w:val="none"/>
        </w:rPr>
        <w:t>31  不可抗力</w:t>
      </w:r>
      <w:bookmarkEnd w:id="267"/>
      <w:bookmarkEnd w:id="268"/>
      <w:bookmarkEnd w:id="269"/>
    </w:p>
    <w:p w14:paraId="1DD2B097">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31.1      </w:t>
      </w:r>
    </w:p>
    <w:p w14:paraId="2BD2A02B">
      <w:pPr>
        <w:pStyle w:val="22"/>
        <w:adjustRightInd w:val="0"/>
        <w:snapToGrid w:val="0"/>
        <w:spacing w:line="420" w:lineRule="exact"/>
        <w:ind w:left="1619"/>
        <w:rPr>
          <w:rFonts w:hAnsi="宋体"/>
          <w:color w:val="auto"/>
          <w:kern w:val="0"/>
          <w:sz w:val="22"/>
          <w:szCs w:val="22"/>
          <w:highlight w:val="none"/>
        </w:rPr>
      </w:pPr>
      <w:r>
        <w:rPr>
          <w:rFonts w:hint="eastAsia" w:hAnsi="宋体"/>
          <w:color w:val="auto"/>
          <w:kern w:val="0"/>
          <w:sz w:val="22"/>
          <w:szCs w:val="22"/>
          <w:highlight w:val="none"/>
        </w:rPr>
        <w:t>不可抗力是指合同当事人在签订合同时不可预见，在合同履行过程中不可避免且不能克服的自然灾害和社会性突发事件，如地震、海啸、瘟疫、骚乱、戒严、暴动、战争等。</w:t>
      </w:r>
    </w:p>
    <w:p w14:paraId="7F5C2A05">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31.2  </w:t>
      </w:r>
      <w:r>
        <w:rPr>
          <w:rFonts w:hint="eastAsia" w:hAnsi="宋体"/>
          <w:b/>
          <w:bCs/>
          <w:color w:val="auto"/>
          <w:sz w:val="22"/>
          <w:szCs w:val="22"/>
          <w:highlight w:val="none"/>
          <w:u w:val="dotted"/>
        </w:rPr>
        <w:t xml:space="preserve">                                                                                                       </w:t>
      </w:r>
    </w:p>
    <w:p w14:paraId="6C88B22B">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112" name="文本框 113"/>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a:effectLst/>
                      </wps:spPr>
                      <wps:txbx>
                        <w:txbxContent>
                          <w:p w14:paraId="105C0EA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113"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r7S/t1QAAAAgBAAAPAAAAAAAAAAEAIAAAACIAAABkcnMvZG93bnJldi54bWxQSwEC&#10;FAAUAAAACACHTuJANwpCYr4BAABtAwAADgAAAAAAAAABACAAAAAkAQAAZHJzL2Uyb0RvYy54bWxQ&#10;SwUGAAAAAAYABgBZAQAAVAUAAAAA&#10;">
                <v:fill on="f" focussize="0,0"/>
                <v:stroke on="f"/>
                <v:imagedata o:title=""/>
                <o:lock v:ext="edit" aspectratio="f"/>
                <v:textbox>
                  <w:txbxContent>
                    <w:p w14:paraId="105C0EA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hAnsi="宋体"/>
          <w:color w:val="auto"/>
          <w:sz w:val="22"/>
          <w:szCs w:val="22"/>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14:paraId="74EBC08A">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31.3  </w:t>
      </w:r>
      <w:r>
        <w:rPr>
          <w:rFonts w:hint="eastAsia" w:hAnsi="宋体"/>
          <w:b/>
          <w:bCs/>
          <w:color w:val="auto"/>
          <w:sz w:val="22"/>
          <w:szCs w:val="22"/>
          <w:highlight w:val="none"/>
          <w:u w:val="dotted"/>
        </w:rPr>
        <w:t xml:space="preserve">                                                                                                       </w:t>
      </w:r>
    </w:p>
    <w:p w14:paraId="04CA837F">
      <w:pPr>
        <w:pStyle w:val="22"/>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113" name="文本框 11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BE0F37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wrap="square" upright="1"/>
                    </wps:wsp>
                  </a:graphicData>
                </a:graphic>
              </wp:anchor>
            </w:drawing>
          </mc:Choice>
          <mc:Fallback>
            <w:pict>
              <v:shape id="文本框 114"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EuuldcAAAAJAQAADwAAAAAAAAABACAAAAAiAAAAZHJzL2Rvd25yZXYueG1sUEsB&#10;AhQAFAAAAAgAh07iQLEeXk29AQAAbQMAAA4AAAAAAAAAAQAgAAAAJgEAAGRycy9lMm9Eb2MueG1s&#10;UEsFBgAAAAAGAAYAWQEAAFUFAAAAAA==&#10;">
                <v:fill on="f" focussize="0,0"/>
                <v:stroke on="f"/>
                <v:imagedata o:title=""/>
                <o:lock v:ext="edit" aspectratio="f"/>
                <v:textbox>
                  <w:txbxContent>
                    <w:p w14:paraId="6BE0F37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hAnsi="宋体"/>
          <w:color w:val="auto"/>
          <w:sz w:val="22"/>
          <w:szCs w:val="22"/>
          <w:highlight w:val="none"/>
        </w:rPr>
        <w:t>因不可抗力事件导致的费用，由合同双方当事人按照下列规定承担，并相应调整合同价款：</w:t>
      </w:r>
    </w:p>
    <w:p w14:paraId="3062CE39">
      <w:pPr>
        <w:pStyle w:val="22"/>
        <w:numPr>
          <w:ilvl w:val="0"/>
          <w:numId w:val="12"/>
        </w:numPr>
        <w:tabs>
          <w:tab w:val="left" w:pos="1080"/>
        </w:tabs>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w:t>永久工程本身的损害、已运至施工场地的材料和工程设备的损害，以及因工程损害导致第三者人员伤亡和财产损失，由发包人承担；</w:t>
      </w:r>
    </w:p>
    <w:p w14:paraId="2DF7D146">
      <w:pPr>
        <w:pStyle w:val="22"/>
        <w:numPr>
          <w:ilvl w:val="0"/>
          <w:numId w:val="12"/>
        </w:numPr>
        <w:tabs>
          <w:tab w:val="left" w:pos="1080"/>
        </w:tabs>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w:t>承包人施工设备和用于合同工程的周转材料损坏以及停工损失，由承包人承担；发包人提供的施工设备损坏，由发包人承担；</w:t>
      </w:r>
    </w:p>
    <w:p w14:paraId="6D87528B">
      <w:pPr>
        <w:pStyle w:val="22"/>
        <w:numPr>
          <w:ilvl w:val="0"/>
          <w:numId w:val="12"/>
        </w:numPr>
        <w:tabs>
          <w:tab w:val="left" w:pos="1080"/>
        </w:tabs>
        <w:adjustRightInd w:val="0"/>
        <w:snapToGrid w:val="0"/>
        <w:spacing w:line="420" w:lineRule="exact"/>
        <w:ind w:left="1619" w:leftChars="771" w:firstLine="0"/>
        <w:rPr>
          <w:rFonts w:hAnsi="宋体"/>
          <w:color w:val="auto"/>
          <w:sz w:val="22"/>
          <w:szCs w:val="22"/>
          <w:highlight w:val="none"/>
        </w:rPr>
      </w:pPr>
      <w:r>
        <w:rPr>
          <w:rFonts w:hint="eastAsia" w:hAnsi="宋体"/>
          <w:color w:val="auto"/>
          <w:sz w:val="22"/>
          <w:szCs w:val="22"/>
          <w:highlight w:val="none"/>
        </w:rPr>
        <w:t>施工场地内的人员伤亡和本款第(1)点、第(2)点以外财产损失及其相关费用，由合同双方当事人各自承担；</w:t>
      </w:r>
    </w:p>
    <w:p w14:paraId="5E67ECD8">
      <w:pPr>
        <w:pStyle w:val="22"/>
        <w:numPr>
          <w:ilvl w:val="0"/>
          <w:numId w:val="12"/>
        </w:numPr>
        <w:tabs>
          <w:tab w:val="left" w:pos="1080"/>
        </w:tabs>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w:t>停工期间，承包人应监理工程师要求照管工程的费用，由发包人承担；</w:t>
      </w:r>
    </w:p>
    <w:p w14:paraId="460F68DE">
      <w:pPr>
        <w:pStyle w:val="22"/>
        <w:numPr>
          <w:ilvl w:val="0"/>
          <w:numId w:val="12"/>
        </w:numPr>
        <w:tabs>
          <w:tab w:val="left" w:pos="1080"/>
        </w:tabs>
        <w:adjustRightInd w:val="0"/>
        <w:snapToGrid w:val="0"/>
        <w:spacing w:line="420" w:lineRule="exact"/>
        <w:ind w:left="2056" w:leftChars="772" w:hanging="435" w:hangingChars="198"/>
        <w:rPr>
          <w:rFonts w:hAnsi="宋体"/>
          <w:color w:val="auto"/>
          <w:sz w:val="22"/>
          <w:szCs w:val="22"/>
          <w:highlight w:val="none"/>
        </w:rPr>
      </w:pPr>
      <w:r>
        <w:rPr>
          <w:rFonts w:hint="eastAsia" w:hAnsi="宋体"/>
          <w:color w:val="auto"/>
          <w:sz w:val="22"/>
          <w:szCs w:val="22"/>
          <w:highlight w:val="none"/>
        </w:rPr>
        <w:t>工程所需的清理、修复费用，由发包人承担。</w:t>
      </w:r>
    </w:p>
    <w:p w14:paraId="720FF213">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4" name="文本框 115"/>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a:effectLst/>
                      </wps:spPr>
                      <wps:txbx>
                        <w:txbxContent>
                          <w:p w14:paraId="5731B02C">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wps:txbx>
                      <wps:bodyPr wrap="square" upright="1"/>
                    </wps:wsp>
                  </a:graphicData>
                </a:graphic>
              </wp:anchor>
            </w:drawing>
          </mc:Choice>
          <mc:Fallback>
            <w:pict>
              <v:shape id="文本框 115"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5whodcAAAAKAQAADwAAAAAAAAABACAAAAAiAAAAZHJzL2Rvd25yZXYueG1sUEsB&#10;AhQAFAAAAAgAh07iQP4Df9i9AQAAbQMAAA4AAAAAAAAAAQAgAAAAJgEAAGRycy9lMm9Eb2MueG1s&#10;UEsFBgAAAAAGAAYAWQEAAFUFAAAAAA==&#10;">
                <v:fill on="f" focussize="0,0"/>
                <v:stroke on="f"/>
                <v:imagedata o:title=""/>
                <o:lock v:ext="edit" aspectratio="f"/>
                <v:textbox>
                  <w:txbxContent>
                    <w:p w14:paraId="5731B02C">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int="eastAsia" w:hAnsi="宋体"/>
          <w:b/>
          <w:bCs/>
          <w:color w:val="auto"/>
          <w:sz w:val="22"/>
          <w:szCs w:val="22"/>
          <w:highlight w:val="none"/>
        </w:rPr>
        <w:t xml:space="preserve">31.4  </w:t>
      </w:r>
      <w:r>
        <w:rPr>
          <w:rFonts w:hint="eastAsia" w:hAnsi="宋体"/>
          <w:b/>
          <w:bCs/>
          <w:color w:val="auto"/>
          <w:sz w:val="22"/>
          <w:szCs w:val="22"/>
          <w:highlight w:val="none"/>
          <w:u w:val="dotted"/>
        </w:rPr>
        <w:t xml:space="preserve">                                                                                                        </w:t>
      </w:r>
    </w:p>
    <w:p w14:paraId="3A2AB83C">
      <w:pPr>
        <w:pStyle w:val="22"/>
        <w:adjustRightInd w:val="0"/>
        <w:snapToGrid w:val="0"/>
        <w:spacing w:line="420" w:lineRule="exact"/>
        <w:ind w:left="1619" w:leftChars="771"/>
        <w:rPr>
          <w:rFonts w:hAnsi="宋体"/>
          <w:dstrike/>
          <w:color w:val="auto"/>
          <w:sz w:val="22"/>
          <w:szCs w:val="22"/>
          <w:highlight w:val="none"/>
        </w:rPr>
      </w:pPr>
      <w:r>
        <w:rPr>
          <w:rFonts w:hint="eastAsia" w:hAnsi="宋体"/>
          <w:color w:val="auto"/>
          <w:sz w:val="22"/>
          <w:szCs w:val="22"/>
          <w:highlight w:val="none"/>
        </w:rPr>
        <w:t>因发生不可抗力事件导致工期延误的，工期相应顺延；不能按期竣工的，承包人无需为此支付任何误期赔偿费。发包人要求赶工的，承包人应采取赶工措施，赶工费用由发包人支付。</w:t>
      </w:r>
    </w:p>
    <w:p w14:paraId="70FB6BC9">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5" name="文本框 116"/>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a:effectLst/>
                      </wps:spPr>
                      <wps:txbx>
                        <w:txbxContent>
                          <w:p w14:paraId="5C96F69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wrap="square" upright="1"/>
                    </wps:wsp>
                  </a:graphicData>
                </a:graphic>
              </wp:anchor>
            </w:drawing>
          </mc:Choice>
          <mc:Fallback>
            <w:pict>
              <v:shape id="文本框 116"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5whodcAAAAKAQAADwAAAAAAAAABACAAAAAiAAAAZHJzL2Rvd25yZXYueG1sUEsB&#10;AhQAFAAAAAgAh07iQOGs+AS9AQAAbQMAAA4AAAAAAAAAAQAgAAAAJgEAAGRycy9lMm9Eb2MueG1s&#10;UEsFBgAAAAAGAAYAWQEAAFUFAAAAAA==&#10;">
                <v:fill on="f" focussize="0,0"/>
                <v:stroke on="f"/>
                <v:imagedata o:title=""/>
                <o:lock v:ext="edit" aspectratio="f"/>
                <v:textbox>
                  <w:txbxContent>
                    <w:p w14:paraId="5C96F69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int="eastAsia" w:hAnsi="宋体"/>
          <w:b/>
          <w:bCs/>
          <w:color w:val="auto"/>
          <w:sz w:val="22"/>
          <w:szCs w:val="22"/>
          <w:highlight w:val="none"/>
        </w:rPr>
        <w:t xml:space="preserve">31.5 </w:t>
      </w:r>
      <w:r>
        <w:rPr>
          <w:rFonts w:hint="eastAsia" w:hAnsi="宋体"/>
          <w:b/>
          <w:bCs/>
          <w:color w:val="auto"/>
          <w:sz w:val="22"/>
          <w:szCs w:val="22"/>
          <w:highlight w:val="none"/>
          <w:u w:val="dotted"/>
        </w:rPr>
        <w:t xml:space="preserve">                                                                                                        </w:t>
      </w:r>
    </w:p>
    <w:p w14:paraId="0A2CB457">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合同任何一方当事人延迟履行合同后发生不可抗力事件的，不能免除另一方当事人因不可抗力造成损失的责任。</w:t>
      </w:r>
    </w:p>
    <w:p w14:paraId="0DD769B9">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6" name="文本框 117"/>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a:effectLst/>
                      </wps:spPr>
                      <wps:txbx>
                        <w:txbxContent>
                          <w:p w14:paraId="4F90520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wrap="square" upright="1"/>
                    </wps:wsp>
                  </a:graphicData>
                </a:graphic>
              </wp:anchor>
            </w:drawing>
          </mc:Choice>
          <mc:Fallback>
            <w:pict>
              <v:shape id="文本框 117"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OcIaHXAAAACgEAAA8AAAAAAAAAAQAgAAAAIgAAAGRycy9kb3ducmV2LnhtbFBL&#10;AQIUABQAAAAIAIdO4kBb+ov6vgEAAG0DAAAOAAAAAAAAAAEAIAAAACYBAABkcnMvZTJvRG9jLnht&#10;bFBLBQYAAAAABgAGAFkBAABWBQAAAAA=&#10;">
                <v:fill on="f" focussize="0,0"/>
                <v:stroke on="f"/>
                <v:imagedata o:title=""/>
                <o:lock v:ext="edit" aspectratio="f"/>
                <v:textbox>
                  <w:txbxContent>
                    <w:p w14:paraId="4F90520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int="eastAsia" w:hAnsi="宋体"/>
          <w:b/>
          <w:bCs/>
          <w:color w:val="auto"/>
          <w:sz w:val="22"/>
          <w:szCs w:val="22"/>
          <w:highlight w:val="none"/>
        </w:rPr>
        <w:t xml:space="preserve">31.6 </w:t>
      </w:r>
      <w:r>
        <w:rPr>
          <w:rFonts w:hint="eastAsia" w:hAnsi="宋体"/>
          <w:b/>
          <w:bCs/>
          <w:color w:val="auto"/>
          <w:sz w:val="22"/>
          <w:szCs w:val="22"/>
          <w:highlight w:val="none"/>
          <w:u w:val="dotted"/>
        </w:rPr>
        <w:t xml:space="preserve">                                                                                                        </w:t>
      </w:r>
    </w:p>
    <w:p w14:paraId="0733A32D">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不可抗力事件发生后，合同双方当事人应采取措施尽量避免和减少由此发生的损失。因合同任何一方当事人没有采取有效措施而导致损失扩大的，则损失扩大部分由其自身承担。</w:t>
      </w:r>
    </w:p>
    <w:p w14:paraId="6136C2C8">
      <w:pPr>
        <w:pStyle w:val="22"/>
        <w:adjustRightInd w:val="0"/>
        <w:snapToGrid w:val="0"/>
        <w:spacing w:line="420" w:lineRule="exact"/>
        <w:rPr>
          <w:rFonts w:hAnsi="宋体"/>
          <w:color w:val="auto"/>
          <w:sz w:val="22"/>
          <w:szCs w:val="22"/>
          <w:highlight w:val="none"/>
          <w:u w:val="single"/>
        </w:rPr>
      </w:pPr>
      <w:r>
        <w:rPr>
          <w:rFonts w:hint="eastAsia" w:hAnsi="宋体"/>
          <w:b/>
          <w:bCs/>
          <w:color w:val="auto"/>
          <w:sz w:val="22"/>
          <w:szCs w:val="22"/>
          <w:highlight w:val="none"/>
          <w:u w:val="single"/>
        </w:rPr>
        <w:t xml:space="preserve">                                                                                   </w:t>
      </w:r>
      <w:r>
        <w:rPr>
          <w:rFonts w:hint="eastAsia" w:hAnsi="宋体"/>
          <w:color w:val="auto"/>
          <w:sz w:val="22"/>
          <w:szCs w:val="22"/>
          <w:highlight w:val="none"/>
          <w:u w:val="single"/>
        </w:rPr>
        <w:t xml:space="preserve">        </w:t>
      </w:r>
    </w:p>
    <w:p w14:paraId="5F1A4C5C">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270" w:name="_Toc469384013"/>
      <w:bookmarkStart w:id="271" w:name="_Toc3289"/>
      <w:bookmarkStart w:id="272" w:name="_Toc19565"/>
      <w:r>
        <w:rPr>
          <w:rFonts w:hint="eastAsia" w:hAnsi="宋体"/>
          <w:b/>
          <w:bCs/>
          <w:color w:val="auto"/>
          <w:sz w:val="22"/>
          <w:szCs w:val="22"/>
          <w:highlight w:val="none"/>
        </w:rPr>
        <w:t>32  保险</w:t>
      </w:r>
      <w:bookmarkEnd w:id="270"/>
      <w:bookmarkEnd w:id="271"/>
      <w:bookmarkEnd w:id="272"/>
    </w:p>
    <w:p w14:paraId="6BC5EB62">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32.1      </w:t>
      </w:r>
    </w:p>
    <w:p w14:paraId="29CC2775">
      <w:pPr>
        <w:pStyle w:val="22"/>
        <w:adjustRightInd w:val="0"/>
        <w:snapToGrid w:val="0"/>
        <w:spacing w:line="420" w:lineRule="exact"/>
        <w:ind w:firstLine="1485" w:firstLineChars="675"/>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117" name="文本框 118"/>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a:effectLst/>
                      </wps:spPr>
                      <wps:txbx>
                        <w:txbxContent>
                          <w:p w14:paraId="717CD25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450979B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118"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4yfBG1QAAAAgBAAAPAAAAAAAAAAEAIAAAACIAAABkcnMvZG93bnJldi54bWxQSwEC&#10;FAAUAAAACACHTuJAYh1p+L4BAABuAwAADgAAAAAAAAABACAAAAAkAQAAZHJzL2Uyb0RvYy54bWxQ&#10;SwUGAAAAAAYABgBZAQAAVAUAAAAA&#10;">
                <v:fill on="f" focussize="0,0"/>
                <v:stroke on="f"/>
                <v:imagedata o:title=""/>
                <o:lock v:ext="edit" aspectratio="f"/>
                <v:textbox>
                  <w:txbxContent>
                    <w:p w14:paraId="717CD25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450979B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color w:val="auto"/>
          <w:sz w:val="22"/>
          <w:szCs w:val="22"/>
          <w:highlight w:val="none"/>
        </w:rPr>
        <w:t>发包人应按照下列规定办理保险，并支付保险费：</w:t>
      </w:r>
    </w:p>
    <w:p w14:paraId="27D115CC">
      <w:pPr>
        <w:pStyle w:val="22"/>
        <w:numPr>
          <w:ilvl w:val="0"/>
          <w:numId w:val="13"/>
        </w:numPr>
        <w:tabs>
          <w:tab w:val="left" w:pos="1980"/>
        </w:tabs>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工程开工前，为合同工程办理建筑工程一切险、安装工程一切险；</w:t>
      </w:r>
    </w:p>
    <w:p w14:paraId="61D611A1">
      <w:pPr>
        <w:pStyle w:val="22"/>
        <w:numPr>
          <w:ilvl w:val="0"/>
          <w:numId w:val="13"/>
        </w:numPr>
        <w:tabs>
          <w:tab w:val="left" w:pos="540"/>
          <w:tab w:val="left" w:pos="1980"/>
        </w:tabs>
        <w:adjustRightInd w:val="0"/>
        <w:snapToGrid w:val="0"/>
        <w:spacing w:line="420" w:lineRule="exact"/>
        <w:ind w:left="1617" w:leftChars="770" w:firstLine="0"/>
        <w:rPr>
          <w:rFonts w:hAnsi="宋体"/>
          <w:color w:val="auto"/>
          <w:sz w:val="22"/>
          <w:szCs w:val="22"/>
          <w:highlight w:val="none"/>
        </w:rPr>
      </w:pPr>
      <w:r>
        <w:rPr>
          <w:rFonts w:hint="eastAsia" w:hAnsi="宋体"/>
          <w:color w:val="auto"/>
          <w:sz w:val="22"/>
          <w:szCs w:val="22"/>
          <w:highlight w:val="none"/>
        </w:rPr>
        <w:t>工程开工前，为施工场地内的自有人员（包括监理工程师、造价工程师在内）办理工伤保险、意外伤害保险；</w:t>
      </w:r>
    </w:p>
    <w:p w14:paraId="0BFBA472">
      <w:pPr>
        <w:pStyle w:val="22"/>
        <w:numPr>
          <w:ilvl w:val="0"/>
          <w:numId w:val="13"/>
        </w:numPr>
        <w:tabs>
          <w:tab w:val="left" w:pos="540"/>
          <w:tab w:val="left" w:pos="1980"/>
        </w:tabs>
        <w:adjustRightInd w:val="0"/>
        <w:snapToGrid w:val="0"/>
        <w:spacing w:line="420" w:lineRule="exact"/>
        <w:ind w:left="2059" w:leftChars="771" w:hanging="440" w:hangingChars="200"/>
        <w:rPr>
          <w:rFonts w:hAnsi="宋体"/>
          <w:color w:val="auto"/>
          <w:sz w:val="22"/>
          <w:szCs w:val="22"/>
          <w:highlight w:val="none"/>
        </w:rPr>
      </w:pPr>
      <w:r>
        <w:rPr>
          <w:rFonts w:hint="eastAsia" w:hAnsi="宋体"/>
          <w:color w:val="auto"/>
          <w:sz w:val="22"/>
          <w:szCs w:val="22"/>
          <w:highlight w:val="none"/>
        </w:rPr>
        <w:t>为第三者办理第三者责任险；</w:t>
      </w:r>
    </w:p>
    <w:p w14:paraId="2CBDFE2A">
      <w:pPr>
        <w:pStyle w:val="22"/>
        <w:numPr>
          <w:ilvl w:val="0"/>
          <w:numId w:val="13"/>
        </w:numPr>
        <w:tabs>
          <w:tab w:val="left" w:pos="1980"/>
        </w:tabs>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为运至施工场地内用于永久工程的材料和待安装工程设备办理保险。</w:t>
      </w:r>
    </w:p>
    <w:p w14:paraId="5754E6DC">
      <w:pPr>
        <w:pStyle w:val="22"/>
        <w:tabs>
          <w:tab w:val="left" w:pos="1080"/>
        </w:tabs>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保险期从办理保险之日起至工程竣工验收合格之日止。</w:t>
      </w:r>
    </w:p>
    <w:p w14:paraId="6A06A0DE">
      <w:pPr>
        <w:pStyle w:val="22"/>
        <w:tabs>
          <w:tab w:val="left" w:pos="1080"/>
        </w:tabs>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发包人可将其中部分事项委托给承包人办理，具体由合同双方当事人在专用条款中约定。除合同价款已包括外，由发包人承担所需保险费用，并向承包人支付合理利润。</w:t>
      </w:r>
    </w:p>
    <w:p w14:paraId="33BA299B">
      <w:pPr>
        <w:spacing w:line="420" w:lineRule="exact"/>
        <w:ind w:left="1650" w:hanging="1650" w:hangingChars="750"/>
        <w:rPr>
          <w:rFonts w:ascii="宋体" w:hAnsi="宋体" w:cs="宋体"/>
          <w:color w:val="auto"/>
          <w:sz w:val="22"/>
          <w:szCs w:val="22"/>
          <w:highlight w:val="none"/>
        </w:rPr>
      </w:pPr>
      <w:r>
        <w:rPr>
          <w:rFonts w:hint="eastAsia" w:ascii="宋体" w:hAnsi="宋体" w:cs="宋体"/>
          <w:color w:val="auto"/>
          <w:sz w:val="22"/>
          <w:szCs w:val="22"/>
          <w:highlight w:val="none"/>
        </w:rPr>
        <w:t xml:space="preserve">               （5）工程开工前，为合同工程办理工程质量保险；并由保险公司对工程质量、施工安全进行综合担保，以及聘请专业的团队进行工程建设全过程风险、质量控制。</w:t>
      </w:r>
    </w:p>
    <w:p w14:paraId="47E81DDB">
      <w:pPr>
        <w:pStyle w:val="22"/>
        <w:tabs>
          <w:tab w:val="left" w:pos="1320"/>
        </w:tabs>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32.2  </w:t>
      </w:r>
      <w:r>
        <w:rPr>
          <w:rFonts w:hint="eastAsia" w:hAnsi="宋体"/>
          <w:b/>
          <w:bCs/>
          <w:color w:val="auto"/>
          <w:sz w:val="22"/>
          <w:szCs w:val="22"/>
          <w:highlight w:val="none"/>
          <w:u w:val="dotted"/>
        </w:rPr>
        <w:t xml:space="preserve">                                                                                                        </w:t>
      </w:r>
    </w:p>
    <w:p w14:paraId="28FC6C0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118" name="文本框 119"/>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a:effectLst/>
                      </wps:spPr>
                      <wps:txbx>
                        <w:txbxContent>
                          <w:p w14:paraId="4D0E5E5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25961DC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119"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pTssW1AAAAAcBAAAPAAAAAAAAAAEAIAAAACIAAABkcnMvZG93bnJldi54bWxQSwECFAAU&#10;AAAACACHTuJAT3okhLwBAABuAwAADgAAAAAAAAABACAAAAAjAQAAZHJzL2Uyb0RvYy54bWxQSwUG&#10;AAAAAAYABgBZAQAAUQUAAAAA&#10;">
                <v:fill on="f" focussize="0,0"/>
                <v:stroke on="f"/>
                <v:imagedata o:title=""/>
                <o:lock v:ext="edit" aspectratio="f"/>
                <v:textbox>
                  <w:txbxContent>
                    <w:p w14:paraId="4D0E5E5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25961DC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color w:val="auto"/>
          <w:sz w:val="22"/>
          <w:szCs w:val="22"/>
          <w:highlight w:val="none"/>
        </w:rPr>
        <w:t>承包人应按照下列规定办理保险，并支付保险费：</w:t>
      </w:r>
    </w:p>
    <w:p w14:paraId="3AC75682">
      <w:pPr>
        <w:pStyle w:val="22"/>
        <w:adjustRightInd w:val="0"/>
        <w:snapToGrid w:val="0"/>
        <w:spacing w:line="420" w:lineRule="exact"/>
        <w:ind w:left="1617" w:leftChars="770" w:firstLine="1"/>
        <w:rPr>
          <w:rFonts w:hAnsi="宋体"/>
          <w:color w:val="auto"/>
          <w:sz w:val="22"/>
          <w:szCs w:val="22"/>
          <w:highlight w:val="none"/>
        </w:rPr>
      </w:pPr>
      <w:r>
        <w:rPr>
          <w:rFonts w:hint="eastAsia" w:hAnsi="宋体"/>
          <w:color w:val="auto"/>
          <w:sz w:val="22"/>
          <w:szCs w:val="22"/>
          <w:highlight w:val="none"/>
        </w:rPr>
        <w:t>(1)工程开工前，为施工场地内自有人员（包括分包人在内）办理工伤保险、意外伤害保险；</w:t>
      </w:r>
    </w:p>
    <w:p w14:paraId="6E5CBFC8">
      <w:pPr>
        <w:pStyle w:val="22"/>
        <w:adjustRightInd w:val="0"/>
        <w:snapToGrid w:val="0"/>
        <w:spacing w:line="420" w:lineRule="exact"/>
        <w:ind w:left="1676" w:leftChars="798"/>
        <w:rPr>
          <w:rFonts w:hAnsi="宋体"/>
          <w:color w:val="auto"/>
          <w:sz w:val="22"/>
          <w:szCs w:val="22"/>
          <w:highlight w:val="none"/>
        </w:rPr>
      </w:pPr>
      <w:r>
        <w:rPr>
          <w:rFonts w:hint="eastAsia" w:hAnsi="宋体"/>
          <w:color w:val="auto"/>
          <w:sz w:val="22"/>
          <w:szCs w:val="22"/>
          <w:highlight w:val="none"/>
        </w:rPr>
        <w:t>(2)为施工场地内的自有施工设备、第32.1款第(4)点以外采购进场的材料和工程设备等办理保险。</w:t>
      </w:r>
    </w:p>
    <w:p w14:paraId="3C2DEAAC">
      <w:pPr>
        <w:pStyle w:val="22"/>
        <w:tabs>
          <w:tab w:val="left" w:pos="1080"/>
        </w:tabs>
        <w:adjustRightInd w:val="0"/>
        <w:snapToGrid w:val="0"/>
        <w:spacing w:line="420" w:lineRule="exact"/>
        <w:ind w:left="1680" w:leftChars="800"/>
        <w:rPr>
          <w:rFonts w:hAnsi="宋体"/>
          <w:color w:val="auto"/>
          <w:sz w:val="22"/>
          <w:szCs w:val="22"/>
          <w:highlight w:val="none"/>
        </w:rPr>
      </w:pPr>
      <w:r>
        <w:rPr>
          <w:rFonts w:hint="eastAsia" w:hAnsi="宋体"/>
          <w:color w:val="auto"/>
          <w:sz w:val="22"/>
          <w:szCs w:val="22"/>
          <w:highlight w:val="none"/>
        </w:rPr>
        <w:t>保险期从开工之日起至工程竣工验收合格之日止。</w:t>
      </w:r>
    </w:p>
    <w:p w14:paraId="1A9CDF8A">
      <w:pPr>
        <w:pStyle w:val="22"/>
        <w:tabs>
          <w:tab w:val="left" w:pos="1080"/>
        </w:tabs>
        <w:adjustRightInd w:val="0"/>
        <w:snapToGrid w:val="0"/>
        <w:spacing w:line="420" w:lineRule="exact"/>
        <w:rPr>
          <w:rFonts w:hAnsi="宋体"/>
          <w:b/>
          <w:bCs/>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119" name="文本框 120"/>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a:effectLst/>
                      </wps:spPr>
                      <wps:txbx>
                        <w:txbxContent>
                          <w:p w14:paraId="733DE52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120"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JGd42AAAAAoBAAAPAAAAAAAAAAEAIAAAACIAAABkcnMvZG93bnJldi54bWxQSwEC&#10;FAAUAAAACACHTuJAzUKmOLsBAABtAwAADgAAAAAAAAABACAAAAAnAQAAZHJzL2Uyb0RvYy54bWxQ&#10;SwUGAAAAAAYABgBZAQAAVAUAAAAA&#10;">
                <v:fill on="f" focussize="0,0"/>
                <v:stroke on="f"/>
                <v:imagedata o:title=""/>
                <o:lock v:ext="edit" aspectratio="f"/>
                <v:textbox>
                  <w:txbxContent>
                    <w:p w14:paraId="733DE52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int="eastAsia" w:hAnsi="宋体"/>
          <w:b/>
          <w:bCs/>
          <w:color w:val="auto"/>
          <w:sz w:val="22"/>
          <w:szCs w:val="22"/>
          <w:highlight w:val="none"/>
        </w:rPr>
        <w:t xml:space="preserve">32.3  </w:t>
      </w:r>
      <w:r>
        <w:rPr>
          <w:rFonts w:hint="eastAsia" w:hAnsi="宋体"/>
          <w:b/>
          <w:bCs/>
          <w:color w:val="auto"/>
          <w:sz w:val="22"/>
          <w:szCs w:val="22"/>
          <w:highlight w:val="none"/>
          <w:u w:val="dotted"/>
        </w:rPr>
        <w:t xml:space="preserve">                                                                                                        </w:t>
      </w:r>
    </w:p>
    <w:p w14:paraId="4FFABB6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合同一方当事人应按照本合同要求向另一方当事人提供有效的投保保险单和保险凭证。</w:t>
      </w:r>
    </w:p>
    <w:p w14:paraId="303E6947">
      <w:pPr>
        <w:pStyle w:val="22"/>
        <w:tabs>
          <w:tab w:val="left" w:pos="1320"/>
        </w:tabs>
        <w:adjustRightInd w:val="0"/>
        <w:snapToGrid w:val="0"/>
        <w:spacing w:line="420" w:lineRule="exact"/>
        <w:rPr>
          <w:rFonts w:hAnsi="宋体"/>
          <w:b/>
          <w:bCs/>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120" name="文本框 12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74B2FCF9">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wps:txbx>
                      <wps:bodyPr wrap="square" upright="1"/>
                    </wps:wsp>
                  </a:graphicData>
                </a:graphic>
              </wp:anchor>
            </w:drawing>
          </mc:Choice>
          <mc:Fallback>
            <w:pict>
              <v:shape id="文本框 121"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CiQ4tcAAAAJAQAADwAAAAAAAAABACAAAAAiAAAAZHJzL2Rvd25yZXYueG1sUEsB&#10;AhQAFAAAAAgAh07iQL8X7L29AQAAbQMAAA4AAAAAAAAAAQAgAAAAJgEAAGRycy9lMm9Eb2MueG1s&#10;UEsFBgAAAAAGAAYAWQEAAFUFAAAAAA==&#10;">
                <v:fill on="f" focussize="0,0"/>
                <v:stroke on="f"/>
                <v:imagedata o:title=""/>
                <o:lock v:ext="edit" aspectratio="f"/>
                <v:textbox>
                  <w:txbxContent>
                    <w:p w14:paraId="74B2FCF9">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int="eastAsia" w:hAnsi="宋体"/>
          <w:b/>
          <w:bCs/>
          <w:color w:val="auto"/>
          <w:sz w:val="22"/>
          <w:szCs w:val="22"/>
          <w:highlight w:val="none"/>
        </w:rPr>
        <w:t xml:space="preserve">32.4  </w:t>
      </w:r>
      <w:r>
        <w:rPr>
          <w:rFonts w:hint="eastAsia" w:hAnsi="宋体"/>
          <w:b/>
          <w:bCs/>
          <w:color w:val="auto"/>
          <w:sz w:val="22"/>
          <w:szCs w:val="22"/>
          <w:highlight w:val="none"/>
          <w:u w:val="dotted"/>
        </w:rPr>
        <w:t xml:space="preserve">                                                                                                        </w:t>
      </w:r>
    </w:p>
    <w:p w14:paraId="6504A02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合同双方当事人应遵守本条规定办理有关保险事项。如果未按规定投保的，应按下列规定补偿：</w:t>
      </w:r>
    </w:p>
    <w:p w14:paraId="03C557BC">
      <w:pPr>
        <w:pStyle w:val="22"/>
        <w:adjustRightInd w:val="0"/>
        <w:snapToGrid w:val="0"/>
        <w:spacing w:line="420" w:lineRule="exact"/>
        <w:ind w:left="1617" w:leftChars="770" w:firstLine="1"/>
        <w:rPr>
          <w:rFonts w:hAnsi="宋体"/>
          <w:color w:val="auto"/>
          <w:sz w:val="22"/>
          <w:szCs w:val="22"/>
          <w:highlight w:val="none"/>
        </w:rPr>
      </w:pPr>
      <w:r>
        <w:rPr>
          <w:rFonts w:hint="eastAsia" w:hAnsi="宋体"/>
          <w:color w:val="auto"/>
          <w:sz w:val="22"/>
          <w:szCs w:val="22"/>
          <w:highlight w:val="none"/>
        </w:rPr>
        <w:t>(1)由于负有投保义务的合同一方当事人未按合同约定办理保险，或未能使保险持续有效的，则另一方当事人可代为办理，所需费用由对方当事人承担；</w:t>
      </w:r>
    </w:p>
    <w:p w14:paraId="4C9820B0">
      <w:pPr>
        <w:pStyle w:val="22"/>
        <w:adjustRightInd w:val="0"/>
        <w:snapToGrid w:val="0"/>
        <w:spacing w:line="420" w:lineRule="exact"/>
        <w:ind w:left="1617" w:leftChars="770" w:firstLine="1"/>
        <w:rPr>
          <w:rFonts w:hAnsi="宋体"/>
          <w:color w:val="auto"/>
          <w:sz w:val="22"/>
          <w:szCs w:val="22"/>
          <w:highlight w:val="none"/>
        </w:rPr>
      </w:pPr>
      <w:r>
        <w:rPr>
          <w:rFonts w:hint="eastAsia" w:hAnsi="宋体"/>
          <w:color w:val="auto"/>
          <w:sz w:val="22"/>
          <w:szCs w:val="22"/>
          <w:highlight w:val="none"/>
        </w:rPr>
        <w:t>(2)由于负有投保义务的合同一方当事人未按合同约定办理某项保险，导致受益人未能得到保险人的赔偿，则该项保险金应由负有投保义务的一方当事人支付。</w:t>
      </w:r>
    </w:p>
    <w:p w14:paraId="3E5EC913">
      <w:pPr>
        <w:pStyle w:val="22"/>
        <w:adjustRightInd w:val="0"/>
        <w:snapToGrid w:val="0"/>
        <w:spacing w:line="420" w:lineRule="exact"/>
        <w:rPr>
          <w:rFonts w:hAnsi="宋体"/>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121" name="文本框 122"/>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a:effectLst/>
                      </wps:spPr>
                      <wps:txbx>
                        <w:txbxContent>
                          <w:p w14:paraId="794921E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wrap="square" upright="1"/>
                    </wps:wsp>
                  </a:graphicData>
                </a:graphic>
              </wp:anchor>
            </w:drawing>
          </mc:Choice>
          <mc:Fallback>
            <w:pict>
              <v:shape id="文本框 122"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jylF9cAAAAKAQAADwAAAAAAAAABACAAAAAiAAAAZHJzL2Rvd25yZXYueG1sUEsB&#10;AhQAFAAAAAgAh07iQC7wmru9AQAAbQMAAA4AAAAAAAAAAQAgAAAAJgEAAGRycy9lMm9Eb2MueG1s&#10;UEsFBgAAAAAGAAYAWQEAAFUFAAAAAA==&#10;">
                <v:fill on="f" focussize="0,0"/>
                <v:stroke on="f"/>
                <v:imagedata o:title=""/>
                <o:lock v:ext="edit" aspectratio="f"/>
                <v:textbox>
                  <w:txbxContent>
                    <w:p w14:paraId="794921E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int="eastAsia" w:hAnsi="宋体"/>
          <w:b/>
          <w:bCs/>
          <w:color w:val="auto"/>
          <w:sz w:val="22"/>
          <w:szCs w:val="22"/>
          <w:highlight w:val="none"/>
        </w:rPr>
        <w:t xml:space="preserve">32.5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71D81F6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当合同工程发生保险事故时,被保险人应及时通知保险人，并提供有关资料。合同双方当事人有责任采取合理有效措施防止或减少损失，并应相互协助做好向保险人的报告和理赔工作。</w:t>
      </w:r>
    </w:p>
    <w:p w14:paraId="3D2E788D">
      <w:pPr>
        <w:pStyle w:val="22"/>
        <w:tabs>
          <w:tab w:val="left" w:pos="1320"/>
          <w:tab w:val="left" w:pos="1620"/>
        </w:tabs>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32.6  </w:t>
      </w:r>
      <w:r>
        <w:rPr>
          <w:rFonts w:hint="eastAsia" w:hAnsi="宋体"/>
          <w:b/>
          <w:bCs/>
          <w:color w:val="auto"/>
          <w:sz w:val="22"/>
          <w:szCs w:val="22"/>
          <w:highlight w:val="none"/>
          <w:u w:val="dotted"/>
        </w:rPr>
        <w:t xml:space="preserve">                                                                                                        </w:t>
      </w:r>
    </w:p>
    <w:p w14:paraId="0B08FFD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122" name="文本框 123"/>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a:effectLst/>
                      </wps:spPr>
                      <wps:txbx>
                        <w:txbxContent>
                          <w:p w14:paraId="3CAE61D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wrap="square" upright="1"/>
                    </wps:wsp>
                  </a:graphicData>
                </a:graphic>
              </wp:anchor>
            </w:drawing>
          </mc:Choice>
          <mc:Fallback>
            <w:pict>
              <v:shape id="文本框 123"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9EAn7UAAAABwEAAA8AAAAAAAAAAQAgAAAAIgAAAGRycy9kb3ducmV2LnhtbFBLAQIU&#10;ABQAAAAIAIdO4kB/nVLFvgEAAG0DAAAOAAAAAAAAAAEAIAAAACMBAABkcnMvZTJvRG9jLnhtbFBL&#10;BQYAAAAABgAGAFkBAABTBQAAAAA=&#10;">
                <v:fill on="f" focussize="0,0"/>
                <v:stroke on="f"/>
                <v:imagedata o:title=""/>
                <o:lock v:ext="edit" aspectratio="f"/>
                <v:textbox>
                  <w:txbxContent>
                    <w:p w14:paraId="3CAE61D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hAnsi="宋体"/>
          <w:color w:val="auto"/>
          <w:sz w:val="22"/>
          <w:szCs w:val="22"/>
          <w:highlight w:val="none"/>
        </w:rPr>
        <w:t>当合同工程的性质、规模或计划发生变更时，被保险人应及时通知保险人，并在合同履行期间按照本条规定保证足够的保险额，由此造成的费用由责任方承担。</w:t>
      </w:r>
    </w:p>
    <w:p w14:paraId="3BE200A7">
      <w:pPr>
        <w:pStyle w:val="22"/>
        <w:tabs>
          <w:tab w:val="left" w:pos="1320"/>
        </w:tabs>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32.7  </w:t>
      </w:r>
      <w:r>
        <w:rPr>
          <w:rFonts w:hint="eastAsia" w:hAnsi="宋体"/>
          <w:b/>
          <w:bCs/>
          <w:color w:val="auto"/>
          <w:sz w:val="22"/>
          <w:szCs w:val="22"/>
          <w:highlight w:val="none"/>
          <w:u w:val="dotted"/>
        </w:rPr>
        <w:t xml:space="preserve">                                                                                                        </w:t>
      </w:r>
    </w:p>
    <w:p w14:paraId="33E71425">
      <w:pPr>
        <w:pStyle w:val="22"/>
        <w:tabs>
          <w:tab w:val="left" w:pos="1320"/>
        </w:tabs>
        <w:adjustRightInd w:val="0"/>
        <w:snapToGrid w:val="0"/>
        <w:spacing w:line="420" w:lineRule="exact"/>
        <w:ind w:left="1575" w:leftChars="750"/>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123" name="文本框 124"/>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a:effectLst/>
                      </wps:spPr>
                      <wps:txbx>
                        <w:txbxContent>
                          <w:p w14:paraId="5DF8C93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124"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P1NR1QAAAAgBAAAPAAAAAAAAAAEAIAAAACIAAABkcnMvZG93bnJldi54bWxQSwEC&#10;FAAUAAAACACHTuJARjfNZr4BAABtAwAADgAAAAAAAAABACAAAAAkAQAAZHJzL2Uyb0RvYy54bWxQ&#10;SwUGAAAAAAYABgBZAQAAVAUAAAAA&#10;">
                <v:fill on="f" focussize="0,0"/>
                <v:stroke on="f"/>
                <v:imagedata o:title=""/>
                <o:lock v:ext="edit" aspectratio="f"/>
                <v:textbox>
                  <w:txbxContent>
                    <w:p w14:paraId="5DF8C93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hAnsi="宋体"/>
          <w:color w:val="auto"/>
          <w:sz w:val="22"/>
          <w:szCs w:val="22"/>
          <w:highlight w:val="none"/>
        </w:rPr>
        <w:t>从保险人收到的因合同工程本身损失或损坏的保险金,应专项用于修复合同工程的损失或损坏，或作为对未能修复合同工程这些损失或损坏的补偿。</w:t>
      </w:r>
    </w:p>
    <w:p w14:paraId="11031673">
      <w:pPr>
        <w:pStyle w:val="22"/>
        <w:tabs>
          <w:tab w:val="left" w:pos="1320"/>
        </w:tabs>
        <w:adjustRightInd w:val="0"/>
        <w:snapToGrid w:val="0"/>
        <w:spacing w:line="420" w:lineRule="exact"/>
        <w:rPr>
          <w:rFonts w:hAnsi="宋体"/>
          <w:b/>
          <w:bCs/>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124" name="文本框 125"/>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a:effectLst/>
                      </wps:spPr>
                      <wps:txbx>
                        <w:txbxContent>
                          <w:p w14:paraId="76641C8C">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125"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3Dy41gAAAAkBAAAPAAAAAAAAAAEAIAAAACIAAABkcnMvZG93bnJldi54bWxQSwEC&#10;FAAUAAAACACHTuJACfdWnr0BAABtAwAADgAAAAAAAAABACAAAAAlAQAAZHJzL2Uyb0RvYy54bWxQ&#10;SwUGAAAAAAYABgBZAQAAVAUAAAAA&#10;">
                <v:fill on="f" focussize="0,0"/>
                <v:stroke on="f"/>
                <v:imagedata o:title=""/>
                <o:lock v:ext="edit" aspectratio="f"/>
                <v:textbox>
                  <w:txbxContent>
                    <w:p w14:paraId="76641C8C">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hAnsi="宋体"/>
          <w:b/>
          <w:bCs/>
          <w:color w:val="auto"/>
          <w:sz w:val="22"/>
          <w:szCs w:val="22"/>
          <w:highlight w:val="none"/>
        </w:rPr>
        <w:t xml:space="preserve">32.8  </w:t>
      </w:r>
      <w:r>
        <w:rPr>
          <w:rFonts w:hint="eastAsia" w:hAnsi="宋体"/>
          <w:b/>
          <w:bCs/>
          <w:color w:val="auto"/>
          <w:sz w:val="22"/>
          <w:szCs w:val="22"/>
          <w:highlight w:val="none"/>
          <w:u w:val="dotted"/>
        </w:rPr>
        <w:t xml:space="preserve">                                                                                                        </w:t>
      </w:r>
    </w:p>
    <w:p w14:paraId="7B350A2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具体投保内容、保险金、保险期限及相关责任等事项，合同双方当事人应在专用条款中约定。</w:t>
      </w:r>
    </w:p>
    <w:p w14:paraId="313BAE21">
      <w:pPr>
        <w:pStyle w:val="22"/>
        <w:adjustRightInd w:val="0"/>
        <w:snapToGrid w:val="0"/>
        <w:spacing w:line="420" w:lineRule="exact"/>
        <w:rPr>
          <w:rFonts w:ascii="方正小标宋_GBK" w:hAnsi="方正小标宋_GBK" w:eastAsia="方正小标宋_GBK" w:cs="方正小标宋_GBK"/>
          <w:b/>
          <w:bCs/>
          <w:color w:val="auto"/>
          <w:sz w:val="24"/>
          <w:szCs w:val="24"/>
          <w:highlight w:val="none"/>
        </w:rPr>
      </w:pPr>
      <w:r>
        <w:rPr>
          <w:rFonts w:hint="eastAsia" w:hAnsi="宋体"/>
          <w:color w:val="auto"/>
          <w:sz w:val="22"/>
          <w:szCs w:val="22"/>
          <w:highlight w:val="none"/>
          <w:u w:val="single"/>
        </w:rPr>
        <w:t xml:space="preserve">                                                                                              </w:t>
      </w:r>
    </w:p>
    <w:p w14:paraId="43A7D84E">
      <w:pPr>
        <w:spacing w:line="420" w:lineRule="exact"/>
        <w:jc w:val="center"/>
        <w:outlineLvl w:val="1"/>
        <w:rPr>
          <w:rFonts w:ascii="方正小标宋_GBK" w:hAnsi="方正小标宋_GBK" w:eastAsia="方正小标宋_GBK" w:cs="方正小标宋_GBK"/>
          <w:b/>
          <w:bCs/>
          <w:color w:val="auto"/>
          <w:sz w:val="24"/>
          <w:szCs w:val="24"/>
          <w:highlight w:val="none"/>
        </w:rPr>
      </w:pPr>
      <w:bookmarkStart w:id="273" w:name="_Toc15776"/>
      <w:bookmarkStart w:id="274" w:name="_Toc469384014"/>
      <w:bookmarkStart w:id="275" w:name="_Toc3329"/>
      <w:bookmarkStart w:id="276" w:name="_Toc3482"/>
      <w:bookmarkStart w:id="277" w:name="_Toc31032"/>
      <w:bookmarkStart w:id="278" w:name="_Toc155166147"/>
      <w:r>
        <w:rPr>
          <w:rFonts w:hint="eastAsia" w:ascii="方正小标宋_GBK" w:hAnsi="方正小标宋_GBK" w:eastAsia="方正小标宋_GBK" w:cs="方正小标宋_GBK"/>
          <w:b/>
          <w:bCs/>
          <w:color w:val="auto"/>
          <w:sz w:val="24"/>
          <w:szCs w:val="24"/>
          <w:highlight w:val="none"/>
        </w:rPr>
        <w:t>四、工  期</w:t>
      </w:r>
      <w:bookmarkEnd w:id="273"/>
      <w:bookmarkEnd w:id="274"/>
      <w:bookmarkEnd w:id="275"/>
      <w:bookmarkEnd w:id="276"/>
      <w:bookmarkEnd w:id="277"/>
      <w:bookmarkEnd w:id="278"/>
    </w:p>
    <w:p w14:paraId="366A7D81">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279" w:name="_Toc469384015"/>
      <w:bookmarkStart w:id="280" w:name="_Toc9425"/>
      <w:bookmarkStart w:id="281" w:name="_Toc25646"/>
      <w:r>
        <w:rPr>
          <w:rFonts w:hint="eastAsia" w:hAnsi="宋体"/>
          <w:b/>
          <w:bCs/>
          <w:color w:val="auto"/>
          <w:sz w:val="22"/>
          <w:szCs w:val="22"/>
          <w:highlight w:val="none"/>
        </w:rPr>
        <w:t>33  进度计划和报告</w:t>
      </w:r>
      <w:bookmarkEnd w:id="279"/>
      <w:bookmarkEnd w:id="280"/>
      <w:bookmarkEnd w:id="281"/>
    </w:p>
    <w:p w14:paraId="51338891">
      <w:pPr>
        <w:pStyle w:val="22"/>
        <w:tabs>
          <w:tab w:val="left" w:pos="1620"/>
        </w:tabs>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125" name="文本框 126"/>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a:effectLst/>
                      </wps:spPr>
                      <wps:txbx>
                        <w:txbxContent>
                          <w:p w14:paraId="51FF2135">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126"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cbg72AAAAAoBAAAPAAAAAAAAAAEAIAAAACIAAABkcnMvZG93bnJldi54bWxQ&#10;SwECFAAUAAAACACHTuJAs8RiQr4BAABtAwAADgAAAAAAAAABACAAAAAnAQAAZHJzL2Uyb0RvYy54&#10;bWxQSwUGAAAAAAYABgBZAQAAVwUAAAAA&#10;">
                <v:fill on="f" focussize="0,0"/>
                <v:stroke on="f"/>
                <v:imagedata o:title=""/>
                <o:lock v:ext="edit" aspectratio="f"/>
                <v:textbox>
                  <w:txbxContent>
                    <w:p w14:paraId="51FF2135">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hAnsi="宋体"/>
          <w:b/>
          <w:bCs/>
          <w:color w:val="auto"/>
          <w:sz w:val="22"/>
          <w:szCs w:val="22"/>
          <w:highlight w:val="none"/>
        </w:rPr>
        <w:t xml:space="preserve">33.1      </w:t>
      </w:r>
    </w:p>
    <w:p w14:paraId="015A1EB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应在签订本合同后的31天内，向监理工程师提交一式两份施工组织设计和合同工程进度计划，向发包方提交一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557DECB5">
      <w:pPr>
        <w:pStyle w:val="22"/>
        <w:tabs>
          <w:tab w:val="left" w:pos="1620"/>
        </w:tabs>
        <w:adjustRightInd w:val="0"/>
        <w:snapToGrid w:val="0"/>
        <w:spacing w:line="420" w:lineRule="exact"/>
        <w:rPr>
          <w:rFonts w:hAnsi="宋体"/>
          <w:b/>
          <w:bCs/>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126" name="文本框 127"/>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a:effectLst/>
                      </wps:spPr>
                      <wps:txbx>
                        <w:txbxContent>
                          <w:p w14:paraId="0957BE3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127"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B+0eNcAAAAKAQAADwAAAAAAAAABACAAAAAiAAAAZHJzL2Rvd25yZXYueG1sUEsB&#10;AhQAFAAAAAgAh07iQEK1g629AQAAbQMAAA4AAAAAAAAAAQAgAAAAJgEAAGRycy9lMm9Eb2MueG1s&#10;UEsFBgAAAAAGAAYAWQEAAFUFAAAAAA==&#10;">
                <v:fill on="f" focussize="0,0"/>
                <v:stroke on="f"/>
                <v:imagedata o:title=""/>
                <o:lock v:ext="edit" aspectratio="f"/>
                <v:textbox>
                  <w:txbxContent>
                    <w:p w14:paraId="0957BE3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hAnsi="宋体"/>
          <w:b/>
          <w:bCs/>
          <w:color w:val="auto"/>
          <w:sz w:val="22"/>
          <w:szCs w:val="22"/>
          <w:highlight w:val="none"/>
        </w:rPr>
        <w:t xml:space="preserve">33.2  </w:t>
      </w:r>
      <w:r>
        <w:rPr>
          <w:rFonts w:hint="eastAsia" w:hAnsi="宋体"/>
          <w:b/>
          <w:bCs/>
          <w:color w:val="auto"/>
          <w:sz w:val="22"/>
          <w:szCs w:val="22"/>
          <w:highlight w:val="none"/>
          <w:u w:val="dotted"/>
        </w:rPr>
        <w:t xml:space="preserve">                                                                                                        </w:t>
      </w:r>
    </w:p>
    <w:p w14:paraId="33CCEA8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承包人应按照经监理工程师确认并由其报发包人批准的进度计划组织施工，接受监理工程师对工程进度的监督和检查。</w:t>
      </w:r>
    </w:p>
    <w:p w14:paraId="07B3291E">
      <w:pPr>
        <w:pStyle w:val="22"/>
        <w:tabs>
          <w:tab w:val="left" w:pos="1620"/>
        </w:tabs>
        <w:adjustRightInd w:val="0"/>
        <w:snapToGrid w:val="0"/>
        <w:spacing w:line="420" w:lineRule="exact"/>
        <w:rPr>
          <w:rFonts w:hAnsi="宋体"/>
          <w:b/>
          <w:bCs/>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127" name="文本框 128"/>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a:effectLst/>
                      </wps:spPr>
                      <wps:txbx>
                        <w:txbxContent>
                          <w:p w14:paraId="66DF1D4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wrap="square" upright="1"/>
                    </wps:wsp>
                  </a:graphicData>
                </a:graphic>
              </wp:anchor>
            </w:drawing>
          </mc:Choice>
          <mc:Fallback>
            <w:pict>
              <v:shape id="文本框 128"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C5uAjXAAAACgEAAA8AAAAAAAAAAQAgAAAAIgAAAGRycy9kb3ducmV2LnhtbFBL&#10;AQIUABQAAAAIAIdO4kCJrDL7vgEAAG0DAAAOAAAAAAAAAAEAIAAAACYBAABkcnMvZTJvRG9jLnht&#10;bFBLBQYAAAAABgAGAFkBAABWBQAAAAA=&#10;">
                <v:fill on="f" focussize="0,0"/>
                <v:stroke on="f"/>
                <v:imagedata o:title=""/>
                <o:lock v:ext="edit" aspectratio="f"/>
                <v:textbox>
                  <w:txbxContent>
                    <w:p w14:paraId="66DF1D4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int="eastAsia" w:hAnsi="宋体"/>
          <w:b/>
          <w:bCs/>
          <w:color w:val="auto"/>
          <w:sz w:val="22"/>
          <w:szCs w:val="22"/>
          <w:highlight w:val="none"/>
        </w:rPr>
        <w:t xml:space="preserve">33.3  </w:t>
      </w:r>
      <w:r>
        <w:rPr>
          <w:rFonts w:hint="eastAsia" w:hAnsi="宋体"/>
          <w:b/>
          <w:bCs/>
          <w:color w:val="auto"/>
          <w:sz w:val="22"/>
          <w:szCs w:val="22"/>
          <w:highlight w:val="none"/>
          <w:u w:val="dotted"/>
        </w:rPr>
        <w:t xml:space="preserve">                                                                                                        </w:t>
      </w:r>
    </w:p>
    <w:p w14:paraId="7FFE64A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除专用条款另有约定外，承包人应编制每月施工进度报告，同时每季度对进度计划修订一次，并在每月或季结束后的7天内向监理工程师提交上述报告和修订计划一式两份。月施工进度报告的内容至少应包括：</w:t>
      </w:r>
    </w:p>
    <w:p w14:paraId="717FFC7E">
      <w:pPr>
        <w:pStyle w:val="22"/>
        <w:adjustRightInd w:val="0"/>
        <w:snapToGrid w:val="0"/>
        <w:spacing w:line="420" w:lineRule="exact"/>
        <w:ind w:firstLine="1430" w:firstLineChars="650"/>
        <w:rPr>
          <w:rFonts w:hAnsi="宋体"/>
          <w:color w:val="auto"/>
          <w:sz w:val="22"/>
          <w:szCs w:val="22"/>
          <w:highlight w:val="none"/>
        </w:rPr>
      </w:pPr>
      <w:r>
        <w:rPr>
          <w:rFonts w:hint="eastAsia" w:hAnsi="宋体"/>
          <w:color w:val="auto"/>
          <w:sz w:val="22"/>
          <w:szCs w:val="22"/>
          <w:highlight w:val="none"/>
        </w:rPr>
        <w:t>（1）施工、安装、试验以及其他发包人工作等进展情况的图表和说明；</w:t>
      </w:r>
    </w:p>
    <w:p w14:paraId="4244A3EA">
      <w:pPr>
        <w:pStyle w:val="22"/>
        <w:adjustRightInd w:val="0"/>
        <w:snapToGrid w:val="0"/>
        <w:spacing w:line="420" w:lineRule="exact"/>
        <w:ind w:firstLine="1430" w:firstLineChars="650"/>
        <w:rPr>
          <w:rFonts w:hAnsi="宋体"/>
          <w:color w:val="auto"/>
          <w:sz w:val="22"/>
          <w:szCs w:val="22"/>
          <w:highlight w:val="none"/>
        </w:rPr>
      </w:pPr>
      <w:r>
        <w:rPr>
          <w:rFonts w:hint="eastAsia" w:hAnsi="宋体"/>
          <w:color w:val="auto"/>
          <w:sz w:val="22"/>
          <w:szCs w:val="22"/>
          <w:highlight w:val="none"/>
        </w:rPr>
        <w:t>（2）材料、设备、货物的采购和制造商名称、地点以及进入现场情况；</w:t>
      </w:r>
    </w:p>
    <w:p w14:paraId="1486765B">
      <w:pPr>
        <w:pStyle w:val="22"/>
        <w:adjustRightInd w:val="0"/>
        <w:snapToGrid w:val="0"/>
        <w:spacing w:line="420" w:lineRule="exact"/>
        <w:ind w:firstLine="1430" w:firstLineChars="650"/>
        <w:rPr>
          <w:rFonts w:hAnsi="宋体"/>
          <w:color w:val="auto"/>
          <w:sz w:val="22"/>
          <w:szCs w:val="22"/>
          <w:highlight w:val="none"/>
        </w:rPr>
      </w:pPr>
      <w:r>
        <w:rPr>
          <w:rFonts w:hint="eastAsia" w:hAnsi="宋体"/>
          <w:color w:val="auto"/>
          <w:sz w:val="22"/>
          <w:szCs w:val="22"/>
          <w:highlight w:val="none"/>
        </w:rPr>
        <w:t>（3）索赔情况和安全统计；</w:t>
      </w:r>
    </w:p>
    <w:p w14:paraId="45497C97">
      <w:pPr>
        <w:pStyle w:val="22"/>
        <w:adjustRightInd w:val="0"/>
        <w:snapToGrid w:val="0"/>
        <w:spacing w:line="420" w:lineRule="exact"/>
        <w:ind w:left="1558" w:leftChars="742"/>
        <w:rPr>
          <w:rFonts w:hAnsi="宋体"/>
          <w:color w:val="auto"/>
          <w:sz w:val="22"/>
          <w:szCs w:val="22"/>
          <w:highlight w:val="none"/>
        </w:rPr>
      </w:pPr>
      <w:r>
        <w:rPr>
          <w:rFonts w:hint="eastAsia" w:hAnsi="宋体"/>
          <w:color w:val="auto"/>
          <w:sz w:val="22"/>
          <w:szCs w:val="22"/>
          <w:highlight w:val="none"/>
        </w:rPr>
        <w:t>（4）实际进度与计划进度的对比，以及为消除延误正在或准备采取的措施。</w:t>
      </w:r>
    </w:p>
    <w:p w14:paraId="0642965D">
      <w:pPr>
        <w:pStyle w:val="22"/>
        <w:tabs>
          <w:tab w:val="left" w:pos="1620"/>
        </w:tabs>
        <w:adjustRightInd w:val="0"/>
        <w:snapToGrid w:val="0"/>
        <w:spacing w:line="420" w:lineRule="exact"/>
        <w:rPr>
          <w:rFonts w:hAnsi="宋体"/>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128" name="文本框 129"/>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a:effectLst/>
                      </wps:spPr>
                      <wps:txbx>
                        <w:txbxContent>
                          <w:p w14:paraId="3E93DC9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wrap="square" upright="1"/>
                    </wps:wsp>
                  </a:graphicData>
                </a:graphic>
              </wp:anchor>
            </w:drawing>
          </mc:Choice>
          <mc:Fallback>
            <w:pict>
              <v:shape id="文本框 129"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emlUNgAAAAKAQAADwAAAAAAAAABACAAAAAiAAAAZHJzL2Rvd25yZXYueG1sUEsB&#10;AhQAFAAAAAgAh07iQOUzV9O8AQAAbQMAAA4AAAAAAAAAAQAgAAAAJwEAAGRycy9lMm9Eb2MueG1s&#10;UEsFBgAAAAAGAAYAWQEAAFUFAAAAAA==&#10;">
                <v:fill on="f" focussize="0,0"/>
                <v:stroke on="f"/>
                <v:imagedata o:title=""/>
                <o:lock v:ext="edit" aspectratio="f"/>
                <v:textbox>
                  <w:txbxContent>
                    <w:p w14:paraId="3E93DC9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int="eastAsia" w:hAnsi="宋体"/>
          <w:b/>
          <w:bCs/>
          <w:color w:val="auto"/>
          <w:sz w:val="22"/>
          <w:szCs w:val="22"/>
          <w:highlight w:val="none"/>
        </w:rPr>
        <w:t xml:space="preserve">33.4  </w:t>
      </w:r>
      <w:r>
        <w:rPr>
          <w:rFonts w:hint="eastAsia" w:hAnsi="宋体"/>
          <w:color w:val="auto"/>
          <w:sz w:val="22"/>
          <w:szCs w:val="22"/>
          <w:highlight w:val="none"/>
          <w:u w:val="dotted"/>
        </w:rPr>
        <w:t xml:space="preserve">                                                                                                        </w:t>
      </w:r>
    </w:p>
    <w:p w14:paraId="5BF0255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14:paraId="3C035DB3">
      <w:pPr>
        <w:pStyle w:val="22"/>
        <w:adjustRightInd w:val="0"/>
        <w:snapToGrid w:val="0"/>
        <w:spacing w:line="420" w:lineRule="exact"/>
        <w:ind w:right="-238"/>
        <w:rPr>
          <w:rFonts w:hAnsi="宋体"/>
          <w:b/>
          <w:bCs/>
          <w:color w:val="auto"/>
          <w:sz w:val="22"/>
          <w:szCs w:val="22"/>
          <w:highlight w:val="none"/>
        </w:rPr>
      </w:pPr>
      <w:r>
        <w:rPr>
          <w:rFonts w:hint="eastAsia" w:hAnsi="宋体"/>
          <w:b/>
          <w:bCs/>
          <w:color w:val="auto"/>
          <w:sz w:val="22"/>
          <w:szCs w:val="22"/>
          <w:highlight w:val="none"/>
          <w:u w:val="single"/>
        </w:rPr>
        <w:t xml:space="preserve">                                                                                                                                                       </w:t>
      </w:r>
    </w:p>
    <w:p w14:paraId="66AA76BA">
      <w:pPr>
        <w:pStyle w:val="22"/>
        <w:adjustRightInd w:val="0"/>
        <w:snapToGrid w:val="0"/>
        <w:spacing w:line="420" w:lineRule="exact"/>
        <w:ind w:right="-238"/>
        <w:outlineLvl w:val="2"/>
        <w:rPr>
          <w:rFonts w:hAnsi="宋体"/>
          <w:b/>
          <w:bCs/>
          <w:color w:val="auto"/>
          <w:sz w:val="22"/>
          <w:szCs w:val="22"/>
          <w:highlight w:val="none"/>
        </w:rPr>
      </w:pPr>
      <w:bookmarkStart w:id="282" w:name="_Toc2956"/>
      <w:bookmarkStart w:id="283" w:name="_Toc5786"/>
      <w:bookmarkStart w:id="284" w:name="_Toc469384016"/>
      <w:r>
        <w:rPr>
          <w:rFonts w:hint="eastAsia" w:hAnsi="宋体"/>
          <w:b/>
          <w:bCs/>
          <w:color w:val="auto"/>
          <w:sz w:val="22"/>
          <w:szCs w:val="22"/>
          <w:highlight w:val="none"/>
        </w:rPr>
        <w:t>34  开工</w:t>
      </w:r>
      <w:bookmarkEnd w:id="282"/>
      <w:bookmarkEnd w:id="283"/>
      <w:bookmarkEnd w:id="284"/>
    </w:p>
    <w:p w14:paraId="6CE602F9">
      <w:pPr>
        <w:pStyle w:val="22"/>
        <w:tabs>
          <w:tab w:val="left" w:pos="1320"/>
        </w:tabs>
        <w:adjustRightInd w:val="0"/>
        <w:snapToGrid w:val="0"/>
        <w:spacing w:line="420" w:lineRule="exact"/>
        <w:ind w:right="3"/>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129" name="文本框 130"/>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a:effectLst/>
                      </wps:spPr>
                      <wps:txbx>
                        <w:txbxContent>
                          <w:p w14:paraId="31BC189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wps:txbx>
                      <wps:bodyPr wrap="square" upright="1"/>
                    </wps:wsp>
                  </a:graphicData>
                </a:graphic>
              </wp:anchor>
            </w:drawing>
          </mc:Choice>
          <mc:Fallback>
            <w:pict>
              <v:shape id="文本框 130"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h+JWA1QAAAAkBAAAPAAAAAAAAAAEAIAAAACIAAABkcnMvZG93bnJldi54bWxQSwECFAAU&#10;AAAACACHTuJAtEZs5LsBAABtAwAADgAAAAAAAAABACAAAAAkAQAAZHJzL2Uyb0RvYy54bWxQSwUG&#10;AAAAAAYABgBZAQAAUQUAAAAA&#10;">
                <v:fill on="f" focussize="0,0"/>
                <v:stroke on="f"/>
                <v:imagedata o:title=""/>
                <o:lock v:ext="edit" aspectratio="f"/>
                <v:textbox>
                  <w:txbxContent>
                    <w:p w14:paraId="31BC189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int="eastAsia" w:hAnsi="宋体"/>
          <w:b/>
          <w:bCs/>
          <w:color w:val="auto"/>
          <w:sz w:val="22"/>
          <w:szCs w:val="22"/>
          <w:highlight w:val="none"/>
        </w:rPr>
        <w:t xml:space="preserve">34.1    </w:t>
      </w:r>
    </w:p>
    <w:p w14:paraId="0E9CB618">
      <w:pPr>
        <w:pStyle w:val="22"/>
        <w:adjustRightInd w:val="0"/>
        <w:snapToGrid w:val="0"/>
        <w:spacing w:line="420" w:lineRule="exact"/>
        <w:ind w:left="1619" w:leftChars="771" w:right="6"/>
        <w:rPr>
          <w:rFonts w:hAnsi="宋体"/>
          <w:color w:val="auto"/>
          <w:sz w:val="22"/>
          <w:szCs w:val="22"/>
          <w:highlight w:val="none"/>
        </w:rPr>
      </w:pPr>
      <w:r>
        <w:rPr>
          <w:rFonts w:hint="eastAsia" w:hAnsi="宋体"/>
          <w:color w:val="auto"/>
          <w:sz w:val="22"/>
          <w:szCs w:val="22"/>
          <w:highlight w:val="none"/>
        </w:rPr>
        <w:t>工程开工必须具备法律规定的开工条件，并已经领取了施工许可证。</w:t>
      </w:r>
    </w:p>
    <w:p w14:paraId="1A911635">
      <w:pPr>
        <w:pStyle w:val="22"/>
        <w:tabs>
          <w:tab w:val="left" w:pos="1320"/>
        </w:tabs>
        <w:adjustRightInd w:val="0"/>
        <w:snapToGrid w:val="0"/>
        <w:spacing w:line="420" w:lineRule="exact"/>
        <w:ind w:right="3"/>
        <w:rPr>
          <w:rFonts w:hAnsi="宋体"/>
          <w:b/>
          <w:bCs/>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130" name="文本框 13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4B8B845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wps:txbx>
                      <wps:bodyPr wrap="square" upright="1"/>
                    </wps:wsp>
                  </a:graphicData>
                </a:graphic>
              </wp:anchor>
            </w:drawing>
          </mc:Choice>
          <mc:Fallback>
            <w:pict>
              <v:shape id="文本框 131"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hZulfWAAAACQEAAA8AAAAAAAAAAQAgAAAAIgAAAGRycy9kb3ducmV2LnhtbFBLAQIU&#10;ABQAAAAIAIdO4kB7nqfNvAEAAG0DAAAOAAAAAAAAAAEAIAAAACUBAABkcnMvZTJvRG9jLnhtbFBL&#10;BQYAAAAABgAGAFkBAABTBQAAAAA=&#10;">
                <v:fill on="f" focussize="0,0"/>
                <v:stroke on="f"/>
                <v:imagedata o:title=""/>
                <o:lock v:ext="edit" aspectratio="f"/>
                <v:textbox>
                  <w:txbxContent>
                    <w:p w14:paraId="4B8B845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int="eastAsia" w:hAnsi="宋体"/>
          <w:b/>
          <w:bCs/>
          <w:color w:val="auto"/>
          <w:sz w:val="22"/>
          <w:szCs w:val="22"/>
          <w:highlight w:val="none"/>
        </w:rPr>
        <w:t xml:space="preserve">34.2  </w:t>
      </w:r>
      <w:r>
        <w:rPr>
          <w:rFonts w:hint="eastAsia" w:hAnsi="宋体"/>
          <w:b/>
          <w:bCs/>
          <w:color w:val="auto"/>
          <w:sz w:val="22"/>
          <w:szCs w:val="22"/>
          <w:highlight w:val="none"/>
          <w:u w:val="dotted"/>
        </w:rPr>
        <w:t xml:space="preserve">                                                                                                        </w:t>
      </w:r>
    </w:p>
    <w:p w14:paraId="3F925F3D">
      <w:pPr>
        <w:pStyle w:val="22"/>
        <w:adjustRightInd w:val="0"/>
        <w:snapToGrid w:val="0"/>
        <w:spacing w:line="420" w:lineRule="exact"/>
        <w:ind w:left="1619" w:leftChars="771" w:right="3"/>
        <w:rPr>
          <w:rFonts w:hAnsi="宋体"/>
          <w:color w:val="auto"/>
          <w:sz w:val="22"/>
          <w:szCs w:val="22"/>
          <w:highlight w:val="none"/>
        </w:rPr>
      </w:pPr>
      <w:r>
        <w:rPr>
          <w:rFonts w:hint="eastAsia" w:hAnsi="宋体"/>
          <w:color w:val="auto"/>
          <w:sz w:val="22"/>
          <w:szCs w:val="22"/>
          <w:highlight w:val="none"/>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14:paraId="689613B3">
      <w:pPr>
        <w:pStyle w:val="22"/>
        <w:tabs>
          <w:tab w:val="left" w:pos="1320"/>
        </w:tabs>
        <w:adjustRightInd w:val="0"/>
        <w:snapToGrid w:val="0"/>
        <w:spacing w:line="420" w:lineRule="exact"/>
        <w:ind w:right="3"/>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131" name="文本框 132"/>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6082562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wrap="square" upright="1"/>
                    </wps:wsp>
                  </a:graphicData>
                </a:graphic>
              </wp:anchor>
            </w:drawing>
          </mc:Choice>
          <mc:Fallback>
            <w:pict>
              <v:shape id="文本框 132"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6Ck4NgAAAAKAQAADwAAAAAAAAABACAAAAAiAAAAZHJzL2Rvd25yZXYueG1s&#10;UEsBAhQAFAAAAAgAh07iQPrfKAG/AQAAbQMAAA4AAAAAAAAAAQAgAAAAJwEAAGRycy9lMm9Eb2Mu&#10;eG1sUEsFBgAAAAAGAAYAWQEAAFgFAAAAAA==&#10;">
                <v:fill on="f" focussize="0,0"/>
                <v:stroke on="f"/>
                <v:imagedata o:title=""/>
                <o:lock v:ext="edit" aspectratio="f"/>
                <v:textbox>
                  <w:txbxContent>
                    <w:p w14:paraId="6082562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int="eastAsia" w:hAnsi="宋体"/>
          <w:b/>
          <w:bCs/>
          <w:color w:val="auto"/>
          <w:sz w:val="22"/>
          <w:szCs w:val="22"/>
          <w:highlight w:val="none"/>
        </w:rPr>
        <w:t xml:space="preserve">34.3  </w:t>
      </w:r>
      <w:r>
        <w:rPr>
          <w:rFonts w:hint="eastAsia" w:hAnsi="宋体"/>
          <w:b/>
          <w:bCs/>
          <w:color w:val="auto"/>
          <w:sz w:val="22"/>
          <w:szCs w:val="22"/>
          <w:highlight w:val="none"/>
          <w:u w:val="dotted"/>
        </w:rPr>
        <w:t xml:space="preserve">                                                                                                        </w:t>
      </w:r>
    </w:p>
    <w:p w14:paraId="60DA0A9B">
      <w:pPr>
        <w:pStyle w:val="22"/>
        <w:adjustRightInd w:val="0"/>
        <w:snapToGrid w:val="0"/>
        <w:spacing w:line="420" w:lineRule="exact"/>
        <w:ind w:left="1619" w:leftChars="771" w:right="3"/>
        <w:rPr>
          <w:rFonts w:hAnsi="宋体"/>
          <w:color w:val="auto"/>
          <w:sz w:val="22"/>
          <w:szCs w:val="22"/>
          <w:highlight w:val="none"/>
        </w:rPr>
      </w:pPr>
      <w:r>
        <w:rPr>
          <w:rFonts w:hint="eastAsia" w:hAnsi="宋体"/>
          <w:color w:val="auto"/>
          <w:sz w:val="22"/>
          <w:szCs w:val="22"/>
          <w:highlight w:val="none"/>
        </w:rPr>
        <w:t>承包人未能按照时开工，应在接到开工令后立即以书面形式向监理工程师提出延期开工的要求并说明理由。监理工程师应当在接到延期开工申请后的48小时内书面予以答复，否则视为同意。由此造成的损失和延误的工期由承包人承担.</w:t>
      </w:r>
    </w:p>
    <w:p w14:paraId="56F9DA13">
      <w:pPr>
        <w:pStyle w:val="22"/>
        <w:tabs>
          <w:tab w:val="left" w:pos="1320"/>
        </w:tabs>
        <w:adjustRightInd w:val="0"/>
        <w:snapToGrid w:val="0"/>
        <w:spacing w:line="420" w:lineRule="exact"/>
        <w:ind w:right="3"/>
        <w:rPr>
          <w:rFonts w:hAnsi="宋体"/>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132" name="文本框 133"/>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a:effectLst/>
                      </wps:spPr>
                      <wps:txbx>
                        <w:txbxContent>
                          <w:p w14:paraId="03D7995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wrap="square" upright="1"/>
                    </wps:wsp>
                  </a:graphicData>
                </a:graphic>
              </wp:anchor>
            </w:drawing>
          </mc:Choice>
          <mc:Fallback>
            <w:pict>
              <v:shape id="文本框 133"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Qd2RLXAAAACgEAAA8AAAAAAAAAAQAgAAAAIgAAAGRycy9kb3ducmV2LnhtbFBL&#10;AQIUABQAAAAIAIdO4kDIc6rgvgEAAG0DAAAOAAAAAAAAAAEAIAAAACYBAABkcnMvZTJvRG9jLnht&#10;bFBLBQYAAAAABgAGAFkBAABWBQAAAAA=&#10;">
                <v:fill on="f" focussize="0,0"/>
                <v:stroke on="f"/>
                <v:imagedata o:title=""/>
                <o:lock v:ext="edit" aspectratio="f"/>
                <v:textbox>
                  <w:txbxContent>
                    <w:p w14:paraId="03D7995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hint="eastAsia" w:hAnsi="宋体"/>
          <w:color w:val="auto"/>
          <w:sz w:val="22"/>
          <w:szCs w:val="22"/>
          <w:highlight w:val="none"/>
        </w:rPr>
        <w:t xml:space="preserve">34.4  </w:t>
      </w:r>
      <w:r>
        <w:rPr>
          <w:rFonts w:hint="eastAsia" w:hAnsi="宋体"/>
          <w:color w:val="auto"/>
          <w:sz w:val="22"/>
          <w:szCs w:val="22"/>
          <w:highlight w:val="none"/>
          <w:u w:val="dotted"/>
        </w:rPr>
        <w:t xml:space="preserve">                                                                                                        </w:t>
      </w:r>
    </w:p>
    <w:p w14:paraId="3FC816A4">
      <w:pPr>
        <w:pStyle w:val="22"/>
        <w:adjustRightInd w:val="0"/>
        <w:snapToGrid w:val="0"/>
        <w:spacing w:line="420" w:lineRule="exact"/>
        <w:ind w:left="1619" w:leftChars="771" w:right="3"/>
        <w:rPr>
          <w:rFonts w:hAnsi="宋体"/>
          <w:color w:val="auto"/>
          <w:sz w:val="22"/>
          <w:szCs w:val="22"/>
          <w:highlight w:val="none"/>
        </w:rPr>
      </w:pPr>
      <w:r>
        <w:rPr>
          <w:rFonts w:hint="eastAsia" w:hAnsi="宋体"/>
          <w:color w:val="auto"/>
          <w:sz w:val="22"/>
          <w:szCs w:val="22"/>
          <w:highlight w:val="none"/>
        </w:rPr>
        <w:t>因发包人的原因不能在第34.2款规定的时间内发出开工令的，监理工程师应至少提前7天以书面形式通知承包人推迟开工。由此造成的损失由发包人承担，开工日期相应顺延。监理工程师未能提前7天通知承包人推迟开工的，由此造成损失的扩大由发包人承担。</w:t>
      </w:r>
    </w:p>
    <w:p w14:paraId="571AEF62">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2B63B778">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      </w:t>
      </w:r>
    </w:p>
    <w:p w14:paraId="0FE716F9">
      <w:pPr>
        <w:pStyle w:val="22"/>
        <w:adjustRightInd w:val="0"/>
        <w:snapToGrid w:val="0"/>
        <w:spacing w:line="420" w:lineRule="exact"/>
        <w:outlineLvl w:val="2"/>
        <w:rPr>
          <w:rFonts w:hAnsi="宋体"/>
          <w:b/>
          <w:bCs/>
          <w:color w:val="auto"/>
          <w:sz w:val="22"/>
          <w:szCs w:val="22"/>
          <w:highlight w:val="none"/>
        </w:rPr>
      </w:pPr>
      <w:bookmarkStart w:id="285" w:name="_Toc23249"/>
      <w:bookmarkStart w:id="286" w:name="_Toc469384017"/>
      <w:bookmarkStart w:id="287" w:name="_Toc23650"/>
      <w:r>
        <w:rPr>
          <w:rFonts w:hint="eastAsia" w:hAnsi="宋体"/>
          <w:b/>
          <w:bCs/>
          <w:color w:val="auto"/>
          <w:sz w:val="22"/>
          <w:szCs w:val="22"/>
          <w:highlight w:val="none"/>
        </w:rPr>
        <w:t>35  暂停施工和复工</w:t>
      </w:r>
      <w:bookmarkEnd w:id="285"/>
      <w:bookmarkEnd w:id="286"/>
      <w:bookmarkEnd w:id="287"/>
    </w:p>
    <w:p w14:paraId="7B2E1F33">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133" name="文本框 134"/>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a:effectLst/>
                      </wps:spPr>
                      <wps:txbx>
                        <w:txbxContent>
                          <w:p w14:paraId="5A0981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wrap="square" upright="1"/>
                    </wps:wsp>
                  </a:graphicData>
                </a:graphic>
              </wp:anchor>
            </w:drawing>
          </mc:Choice>
          <mc:Fallback>
            <w:pict>
              <v:shape id="文本框 134"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bVN6NcAAAAKAQAADwAAAAAAAAABACAAAAAiAAAAZHJzL2Rvd25yZXYueG1sUEsB&#10;AhQAFAAAAAgAh07iQHoHL0q9AQAAbQMAAA4AAAAAAAAAAQAgAAAAJgEAAGRycy9lMm9Eb2MueG1s&#10;UEsFBgAAAAAGAAYAWQEAAFUFAAAAAA==&#10;">
                <v:fill on="f" focussize="0,0"/>
                <v:stroke on="f"/>
                <v:imagedata o:title=""/>
                <o:lock v:ext="edit" aspectratio="f"/>
                <v:textbox>
                  <w:txbxContent>
                    <w:p w14:paraId="5A0981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int="eastAsia" w:hAnsi="宋体"/>
          <w:b/>
          <w:bCs/>
          <w:color w:val="auto"/>
          <w:sz w:val="22"/>
          <w:szCs w:val="22"/>
          <w:highlight w:val="none"/>
        </w:rPr>
        <w:t xml:space="preserve">35.1      </w:t>
      </w:r>
    </w:p>
    <w:p w14:paraId="4E7F43D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14:paraId="7CF2A25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视为承包人的暂停施工报告被认可。</w:t>
      </w:r>
    </w:p>
    <w:p w14:paraId="5A216D55">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35.2</w:t>
      </w:r>
      <w:r>
        <w:rPr>
          <w:rFonts w:hint="eastAsia" w:hAnsi="宋体"/>
          <w:b/>
          <w:bCs/>
          <w:color w:val="auto"/>
          <w:sz w:val="22"/>
          <w:szCs w:val="22"/>
          <w:highlight w:val="none"/>
          <w:u w:val="dotted"/>
        </w:rPr>
        <w:t xml:space="preserve">                                                                             </w:t>
      </w:r>
      <w:r>
        <w:rPr>
          <w:rFonts w:hint="eastAsia" w:hAnsi="宋体"/>
          <w:b/>
          <w:bCs/>
          <w:color w:val="auto"/>
          <w:sz w:val="22"/>
          <w:szCs w:val="22"/>
          <w:highlight w:val="none"/>
        </w:rPr>
        <w:t xml:space="preserve">      </w:t>
      </w:r>
    </w:p>
    <w:p w14:paraId="28C21C17">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134" name="文本框 135"/>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a:effectLst/>
                      </wps:spPr>
                      <wps:txbx>
                        <w:txbxContent>
                          <w:p w14:paraId="202A3E9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135"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xNzy01QAAAAgBAAAPAAAAAAAAAAEAIAAAACIAAABkcnMvZG93bnJldi54bWxQSwEC&#10;FAAUAAAACACHTuJAUAM/sb4BAABtAwAADgAAAAAAAAABACAAAAAkAQAAZHJzL2Uyb0RvYy54bWxQ&#10;SwUGAAAAAAYABgBZAQAAVAUAAAAA&#10;">
                <v:fill on="f" focussize="0,0"/>
                <v:stroke on="f"/>
                <v:imagedata o:title=""/>
                <o:lock v:ext="edit" aspectratio="f"/>
                <v:textbox>
                  <w:txbxContent>
                    <w:p w14:paraId="202A3E9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hAnsi="宋体"/>
          <w:color w:val="auto"/>
          <w:sz w:val="22"/>
          <w:szCs w:val="22"/>
          <w:highlight w:val="none"/>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可自行复工，监理工程师应予认可。</w:t>
      </w:r>
    </w:p>
    <w:p w14:paraId="57ECEEE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承包人无故拖延或拒绝复工的，由此增加的费用和（或）延误的工期由承包人承担；因发包人的原因无法按时复工的，承包人有权要求发包人增加发生的费用和（或）顺延工期，并支付合理利润。</w:t>
      </w:r>
    </w:p>
    <w:p w14:paraId="64EEA5FF">
      <w:pPr>
        <w:pStyle w:val="22"/>
        <w:adjustRightInd w:val="0"/>
        <w:snapToGrid w:val="0"/>
        <w:spacing w:line="420" w:lineRule="exact"/>
        <w:rPr>
          <w:rFonts w:hAnsi="宋体"/>
          <w:b/>
          <w:bCs/>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135" name="文本框 136"/>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14682E7D">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wrap="square" upright="1"/>
                    </wps:wsp>
                  </a:graphicData>
                </a:graphic>
              </wp:anchor>
            </w:drawing>
          </mc:Choice>
          <mc:Fallback>
            <w:pict>
              <v:shape id="文本框 136"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wnZ31wAAAAoBAAAPAAAAAAAAAAEAIAAAACIAAABkcnMvZG93bnJldi54bWxQ&#10;SwECFAAUAAAACACHTuJALIknhb8BAABtAwAADgAAAAAAAAABACAAAAAmAQAAZHJzL2Uyb0RvYy54&#10;bWxQSwUGAAAAAAYABgBZAQAAVwUAAAAA&#10;">
                <v:fill on="f" focussize="0,0"/>
                <v:stroke on="f"/>
                <v:imagedata o:title=""/>
                <o:lock v:ext="edit" aspectratio="f"/>
                <v:textbox>
                  <w:txbxContent>
                    <w:p w14:paraId="14682E7D">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int="eastAsia" w:hAnsi="宋体"/>
          <w:b/>
          <w:bCs/>
          <w:color w:val="auto"/>
          <w:sz w:val="22"/>
          <w:szCs w:val="22"/>
          <w:highlight w:val="none"/>
        </w:rPr>
        <w:t xml:space="preserve">35.3  </w:t>
      </w:r>
      <w:r>
        <w:rPr>
          <w:rFonts w:hint="eastAsia" w:hAnsi="宋体"/>
          <w:b/>
          <w:bCs/>
          <w:color w:val="auto"/>
          <w:sz w:val="22"/>
          <w:szCs w:val="22"/>
          <w:highlight w:val="none"/>
          <w:u w:val="dotted"/>
        </w:rPr>
        <w:t xml:space="preserve">                                                                                                       </w:t>
      </w:r>
    </w:p>
    <w:p w14:paraId="0166DCD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非承包人的原因造成暂停施工持续56天以上时，承包人可向监理工程师提交复工报审表要求复工；监理工程师应在收到复工报审表后的28天内准许复工。如果在上述期限内监理工程师未予准许，则承包人可以作如下选择：</w:t>
      </w:r>
    </w:p>
    <w:p w14:paraId="6EF2BC4A">
      <w:pPr>
        <w:pStyle w:val="22"/>
        <w:numPr>
          <w:ilvl w:val="0"/>
          <w:numId w:val="14"/>
        </w:numPr>
        <w:tabs>
          <w:tab w:val="left" w:pos="1080"/>
        </w:tabs>
        <w:adjustRightInd w:val="0"/>
        <w:snapToGrid w:val="0"/>
        <w:spacing w:line="420" w:lineRule="exact"/>
        <w:ind w:left="1618" w:leftChars="770" w:hanging="1"/>
        <w:rPr>
          <w:rFonts w:hAnsi="宋体"/>
          <w:color w:val="auto"/>
          <w:sz w:val="22"/>
          <w:szCs w:val="22"/>
          <w:highlight w:val="none"/>
        </w:rPr>
      </w:pPr>
      <w:r>
        <w:rPr>
          <w:rFonts w:hint="eastAsia" w:hAnsi="宋体"/>
          <w:color w:val="auto"/>
          <w:sz w:val="22"/>
          <w:szCs w:val="22"/>
          <w:highlight w:val="none"/>
        </w:rPr>
        <w:t>如果此项停工仅影响合同工程的一部分时，则根据第56.2款规定及时提出工程变更，取消该部分工程，并书面通知发包人，抄送监理工程师和造价工程师；</w:t>
      </w:r>
    </w:p>
    <w:p w14:paraId="356CB31F">
      <w:pPr>
        <w:pStyle w:val="22"/>
        <w:numPr>
          <w:ilvl w:val="0"/>
          <w:numId w:val="14"/>
        </w:numPr>
        <w:tabs>
          <w:tab w:val="left" w:pos="1080"/>
        </w:tabs>
        <w:adjustRightInd w:val="0"/>
        <w:snapToGrid w:val="0"/>
        <w:spacing w:line="420" w:lineRule="exact"/>
        <w:ind w:left="2114" w:leftChars="771" w:hanging="495" w:hangingChars="225"/>
        <w:rPr>
          <w:rFonts w:hAnsi="宋体"/>
          <w:color w:val="auto"/>
          <w:sz w:val="22"/>
          <w:szCs w:val="22"/>
          <w:highlight w:val="none"/>
        </w:rPr>
      </w:pPr>
      <w:r>
        <w:rPr>
          <w:rFonts w:hint="eastAsia" w:hAnsi="宋体"/>
          <w:color w:val="auto"/>
          <w:sz w:val="22"/>
          <w:szCs w:val="22"/>
          <w:highlight w:val="none"/>
        </w:rPr>
        <w:t>如果此项停工影响整个合同工程时，则根据第87.4款规定解除合同。</w:t>
      </w:r>
    </w:p>
    <w:p w14:paraId="7B189CE8">
      <w:pPr>
        <w:pStyle w:val="22"/>
        <w:adjustRightInd w:val="0"/>
        <w:snapToGrid w:val="0"/>
        <w:spacing w:line="420" w:lineRule="exact"/>
        <w:ind w:left="1619"/>
        <w:rPr>
          <w:rFonts w:hAnsi="宋体"/>
          <w:color w:val="auto"/>
          <w:sz w:val="22"/>
          <w:szCs w:val="22"/>
          <w:highlight w:val="none"/>
        </w:rPr>
      </w:pPr>
      <w:r>
        <w:rPr>
          <w:rFonts w:hint="eastAsia" w:hAnsi="宋体"/>
          <w:color w:val="auto"/>
          <w:sz w:val="22"/>
          <w:szCs w:val="22"/>
          <w:highlight w:val="none"/>
        </w:rPr>
        <w:t>因承包人的原因引起暂停施工持续56天以上，承包人不采取有效的复工措施，造成工期延误的，发包人可根据第87.3款规定解除合同。</w:t>
      </w:r>
    </w:p>
    <w:p w14:paraId="09A36CE8">
      <w:pPr>
        <w:pStyle w:val="22"/>
        <w:tabs>
          <w:tab w:val="left" w:pos="216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35.4  </w:t>
      </w:r>
      <w:r>
        <w:rPr>
          <w:rFonts w:hint="eastAsia" w:hAnsi="宋体"/>
          <w:b/>
          <w:bCs/>
          <w:color w:val="auto"/>
          <w:sz w:val="22"/>
          <w:szCs w:val="22"/>
          <w:highlight w:val="none"/>
          <w:u w:val="dotted"/>
        </w:rPr>
        <w:t xml:space="preserve">                                                                                                        </w:t>
      </w:r>
    </w:p>
    <w:p w14:paraId="79AD9749">
      <w:pPr>
        <w:pStyle w:val="22"/>
        <w:adjustRightInd w:val="0"/>
        <w:snapToGrid w:val="0"/>
        <w:spacing w:line="420" w:lineRule="exact"/>
        <w:ind w:left="1619" w:leftChars="771" w:firstLine="2"/>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136" name="文本框 13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385C8886">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wrap="square" upright="1"/>
                    </wps:wsp>
                  </a:graphicData>
                </a:graphic>
              </wp:anchor>
            </w:drawing>
          </mc:Choice>
          <mc:Fallback>
            <w:pict>
              <v:shape id="文本框 137"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2odL1AAAAAgBAAAPAAAAAAAAAAEAIAAAACIAAABkcnMvZG93bnJldi54bWxQSwEC&#10;FAAUAAAACACHTuJAlt9Ue78BAABtAwAADgAAAAAAAAABACAAAAAjAQAAZHJzL2Uyb0RvYy54bWxQ&#10;SwUGAAAAAAYABgBZAQAAVAUAAAAA&#10;">
                <v:fill on="f" focussize="0,0"/>
                <v:stroke on="f"/>
                <v:imagedata o:title=""/>
                <o:lock v:ext="edit" aspectratio="f"/>
                <v:textbox>
                  <w:txbxContent>
                    <w:p w14:paraId="385C8886">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hAnsi="宋体"/>
          <w:color w:val="auto"/>
          <w:sz w:val="22"/>
          <w:szCs w:val="22"/>
          <w:highlight w:val="none"/>
        </w:rPr>
        <w:t>因发包人的原因造成暂停施工且引起工期延误的，承包人有权要求发包人增加由此发生的费用和（或）顺延工期，并支付合理利润。</w:t>
      </w:r>
    </w:p>
    <w:p w14:paraId="0D5B19E9">
      <w:pPr>
        <w:pStyle w:val="22"/>
        <w:adjustRightInd w:val="0"/>
        <w:snapToGrid w:val="0"/>
        <w:spacing w:line="420" w:lineRule="exact"/>
        <w:ind w:left="1619" w:leftChars="771" w:firstLine="2"/>
        <w:rPr>
          <w:rFonts w:hAnsi="宋体"/>
          <w:color w:val="auto"/>
          <w:sz w:val="22"/>
          <w:szCs w:val="22"/>
          <w:highlight w:val="none"/>
        </w:rPr>
      </w:pPr>
      <w:r>
        <w:rPr>
          <w:rFonts w:hint="eastAsia" w:hAnsi="宋体"/>
          <w:color w:val="auto"/>
          <w:sz w:val="22"/>
          <w:szCs w:val="22"/>
          <w:highlight w:val="none"/>
        </w:rPr>
        <w:t>因承包人下列原因造成的暂停施工，增加的费用和（或）延误的工期由承包人承担：</w:t>
      </w:r>
    </w:p>
    <w:p w14:paraId="64617EFB">
      <w:pPr>
        <w:pStyle w:val="22"/>
        <w:numPr>
          <w:ilvl w:val="0"/>
          <w:numId w:val="15"/>
        </w:numPr>
        <w:adjustRightInd w:val="0"/>
        <w:snapToGrid w:val="0"/>
        <w:spacing w:line="420" w:lineRule="exact"/>
        <w:ind w:left="1617" w:leftChars="770" w:firstLine="0"/>
        <w:rPr>
          <w:rFonts w:hAnsi="宋体"/>
          <w:color w:val="auto"/>
          <w:sz w:val="22"/>
          <w:szCs w:val="22"/>
          <w:highlight w:val="none"/>
        </w:rPr>
      </w:pPr>
      <w:r>
        <w:rPr>
          <w:rFonts w:hint="eastAsia" w:hAnsi="宋体"/>
          <w:color w:val="auto"/>
          <w:sz w:val="22"/>
          <w:szCs w:val="22"/>
          <w:highlight w:val="none"/>
        </w:rPr>
        <w:t>工作失误或违约造成的；</w:t>
      </w:r>
    </w:p>
    <w:p w14:paraId="284B82F6">
      <w:pPr>
        <w:pStyle w:val="22"/>
        <w:numPr>
          <w:ilvl w:val="0"/>
          <w:numId w:val="15"/>
        </w:numPr>
        <w:adjustRightInd w:val="0"/>
        <w:snapToGrid w:val="0"/>
        <w:spacing w:line="420" w:lineRule="exact"/>
        <w:ind w:left="2112" w:leftChars="770" w:hanging="495" w:hangingChars="225"/>
        <w:rPr>
          <w:rFonts w:hAnsi="宋体"/>
          <w:color w:val="auto"/>
          <w:sz w:val="22"/>
          <w:szCs w:val="22"/>
          <w:highlight w:val="none"/>
        </w:rPr>
      </w:pPr>
      <w:r>
        <w:rPr>
          <w:rFonts w:hint="eastAsia" w:hAnsi="宋体"/>
          <w:color w:val="auto"/>
          <w:sz w:val="22"/>
          <w:szCs w:val="22"/>
          <w:highlight w:val="none"/>
        </w:rPr>
        <w:t>为合同工程合理施工和安全保障所必需的；</w:t>
      </w:r>
    </w:p>
    <w:p w14:paraId="32A6D084">
      <w:pPr>
        <w:pStyle w:val="22"/>
        <w:numPr>
          <w:ilvl w:val="0"/>
          <w:numId w:val="15"/>
        </w:numPr>
        <w:adjustRightInd w:val="0"/>
        <w:snapToGrid w:val="0"/>
        <w:spacing w:line="420" w:lineRule="exact"/>
        <w:ind w:left="1617" w:leftChars="770" w:firstLine="0"/>
        <w:rPr>
          <w:rFonts w:hAnsi="宋体"/>
          <w:color w:val="auto"/>
          <w:sz w:val="22"/>
          <w:szCs w:val="22"/>
          <w:highlight w:val="none"/>
        </w:rPr>
      </w:pPr>
      <w:r>
        <w:rPr>
          <w:rFonts w:hint="eastAsia" w:hAnsi="宋体"/>
          <w:color w:val="auto"/>
          <w:sz w:val="22"/>
          <w:szCs w:val="22"/>
          <w:highlight w:val="none"/>
        </w:rPr>
        <w:t>施工现场气候条件（除不可抗力停工外）导致的；</w:t>
      </w:r>
    </w:p>
    <w:p w14:paraId="27E72488">
      <w:pPr>
        <w:pStyle w:val="22"/>
        <w:numPr>
          <w:ilvl w:val="0"/>
          <w:numId w:val="15"/>
        </w:numPr>
        <w:adjustRightInd w:val="0"/>
        <w:snapToGrid w:val="0"/>
        <w:spacing w:line="420" w:lineRule="exact"/>
        <w:ind w:left="1617" w:leftChars="770" w:firstLine="0"/>
        <w:rPr>
          <w:rFonts w:hAnsi="宋体"/>
          <w:color w:val="auto"/>
          <w:sz w:val="22"/>
          <w:szCs w:val="22"/>
          <w:highlight w:val="none"/>
        </w:rPr>
      </w:pPr>
      <w:r>
        <w:rPr>
          <w:rFonts w:hint="eastAsia" w:hAnsi="宋体"/>
          <w:color w:val="auto"/>
          <w:sz w:val="22"/>
          <w:szCs w:val="22"/>
          <w:highlight w:val="none"/>
        </w:rPr>
        <w:t>擅自停工的；</w:t>
      </w:r>
    </w:p>
    <w:p w14:paraId="1189EC39">
      <w:pPr>
        <w:pStyle w:val="22"/>
        <w:numPr>
          <w:ilvl w:val="0"/>
          <w:numId w:val="15"/>
        </w:numPr>
        <w:adjustRightInd w:val="0"/>
        <w:snapToGrid w:val="0"/>
        <w:spacing w:line="420" w:lineRule="exact"/>
        <w:ind w:left="1617" w:leftChars="770" w:firstLine="0"/>
        <w:rPr>
          <w:rFonts w:hAnsi="宋体"/>
          <w:color w:val="auto"/>
          <w:sz w:val="22"/>
          <w:szCs w:val="22"/>
          <w:highlight w:val="none"/>
        </w:rPr>
      </w:pPr>
      <w:r>
        <w:rPr>
          <w:rFonts w:hint="eastAsia" w:hAnsi="宋体"/>
          <w:color w:val="auto"/>
          <w:sz w:val="22"/>
          <w:szCs w:val="22"/>
          <w:highlight w:val="none"/>
        </w:rPr>
        <w:t>专用条款约定的其他原因。</w:t>
      </w:r>
    </w:p>
    <w:p w14:paraId="6CD9A4DD">
      <w:pPr>
        <w:pStyle w:val="22"/>
        <w:tabs>
          <w:tab w:val="left" w:pos="1980"/>
        </w:tabs>
        <w:adjustRightInd w:val="0"/>
        <w:snapToGrid w:val="0"/>
        <w:spacing w:line="420" w:lineRule="exact"/>
        <w:ind w:left="1617" w:leftChars="770"/>
        <w:rPr>
          <w:rFonts w:hAnsi="宋体"/>
          <w:color w:val="auto"/>
          <w:sz w:val="22"/>
          <w:szCs w:val="22"/>
          <w:highlight w:val="none"/>
        </w:rPr>
      </w:pPr>
      <w:r>
        <w:rPr>
          <w:rFonts w:hint="eastAsia" w:hAnsi="宋体"/>
          <w:color w:val="auto"/>
          <w:sz w:val="22"/>
          <w:szCs w:val="22"/>
          <w:highlight w:val="none"/>
        </w:rPr>
        <w:t>因不可抗力因素造成暂停施工的，按照第31条规定处理。</w:t>
      </w:r>
    </w:p>
    <w:p w14:paraId="12204B3C">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35.5  </w:t>
      </w:r>
      <w:r>
        <w:rPr>
          <w:rFonts w:hint="eastAsia" w:hAnsi="宋体"/>
          <w:b/>
          <w:bCs/>
          <w:color w:val="auto"/>
          <w:sz w:val="22"/>
          <w:szCs w:val="22"/>
          <w:highlight w:val="none"/>
          <w:u w:val="dotted"/>
        </w:rPr>
        <w:t xml:space="preserve">                                                                                                        </w:t>
      </w:r>
    </w:p>
    <w:p w14:paraId="46F3079D">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137" name="文本框 138"/>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3BEEFB6F">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wrap="square" upright="1"/>
                    </wps:wsp>
                  </a:graphicData>
                </a:graphic>
              </wp:anchor>
            </w:drawing>
          </mc:Choice>
          <mc:Fallback>
            <w:pict>
              <v:shape id="文本框 138"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LVLN7UAAAACQEAAA8AAAAAAAAAAQAgAAAAIgAAAGRycy9kb3ducmV2LnhtbFBLAQIU&#10;ABQAAAAIAIdO4kDRDTwvvgEAAG0DAAAOAAAAAAAAAAEAIAAAACMBAABkcnMvZTJvRG9jLnhtbFBL&#10;BQYAAAAABgAGAFkBAABTBQAAAAA=&#10;">
                <v:fill on="f" focussize="0,0"/>
                <v:stroke on="f"/>
                <v:imagedata o:title=""/>
                <o:lock v:ext="edit" aspectratio="f"/>
                <v:textbox>
                  <w:txbxContent>
                    <w:p w14:paraId="3BEEFB6F">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hAnsi="宋体"/>
          <w:color w:val="auto"/>
          <w:sz w:val="22"/>
          <w:szCs w:val="22"/>
          <w:highlight w:val="none"/>
        </w:rPr>
        <w:t>如果发包人未按照合同约定支付工程进度款，经催告后在28天内仍未支付的，承包人可以暂停施工，直至收到包括第78.2款规定的应付利息在内的所欠全部款项。由此造成的暂停施工，视为是因发包人的原因引起的，并按照第35.4款规定处理。</w:t>
      </w:r>
    </w:p>
    <w:p w14:paraId="01D3DE2F">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35.6  </w:t>
      </w:r>
      <w:r>
        <w:rPr>
          <w:rFonts w:hint="eastAsia" w:hAnsi="宋体"/>
          <w:b/>
          <w:bCs/>
          <w:color w:val="auto"/>
          <w:sz w:val="22"/>
          <w:szCs w:val="22"/>
          <w:highlight w:val="none"/>
          <w:u w:val="dotted"/>
        </w:rPr>
        <w:t xml:space="preserve">                                                                                                        </w:t>
      </w:r>
    </w:p>
    <w:p w14:paraId="47B1D72D">
      <w:pPr>
        <w:pStyle w:val="22"/>
        <w:adjustRightInd w:val="0"/>
        <w:snapToGrid w:val="0"/>
        <w:spacing w:line="420" w:lineRule="exact"/>
        <w:ind w:left="1619" w:leftChars="771"/>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138" name="文本框 13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634183F6">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wrap="square" upright="1"/>
                    </wps:wsp>
                  </a:graphicData>
                </a:graphic>
              </wp:anchor>
            </w:drawing>
          </mc:Choice>
          <mc:Fallback>
            <w:pict>
              <v:shape id="文本框 139"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fwb0t0wAAAAcBAAAPAAAAAAAAAAEAIAAAACIAAABkcnMvZG93bnJldi54bWxQSwECFAAU&#10;AAAACACHTuJA5KBwZb0BAABtAwAADgAAAAAAAAABACAAAAAiAQAAZHJzL2Uyb0RvYy54bWxQSwUG&#10;AAAAAAYABgBZAQAAUQUAAAAA&#10;">
                <v:fill on="f" focussize="0,0"/>
                <v:stroke on="f"/>
                <v:imagedata o:title=""/>
                <o:lock v:ext="edit" aspectratio="f"/>
                <v:textbox>
                  <w:txbxContent>
                    <w:p w14:paraId="634183F6">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hAnsi="宋体"/>
          <w:color w:val="auto"/>
          <w:sz w:val="22"/>
          <w:szCs w:val="22"/>
          <w:highlight w:val="none"/>
        </w:rPr>
        <w:t>暂停施工结束后，承包人和监理工程师应对受暂停施工影响的工程、材料和工程设备进行检查。承包人负责修复在暂停期间发生的任何变质、缺陷或损坏，因而发生的费用和造成的损失按照第35.4款规定处理。</w:t>
      </w:r>
    </w:p>
    <w:p w14:paraId="43C97881">
      <w:pPr>
        <w:pStyle w:val="22"/>
        <w:adjustRightInd w:val="0"/>
        <w:snapToGrid w:val="0"/>
        <w:spacing w:line="420" w:lineRule="exact"/>
        <w:outlineLvl w:val="2"/>
        <w:rPr>
          <w:rFonts w:hAnsi="宋体"/>
          <w:b/>
          <w:bCs/>
          <w:color w:val="auto"/>
          <w:sz w:val="22"/>
          <w:szCs w:val="22"/>
          <w:highlight w:val="none"/>
        </w:rPr>
      </w:pPr>
      <w:bookmarkStart w:id="288" w:name="_Toc16872"/>
      <w:bookmarkStart w:id="289" w:name="_Toc469384018"/>
      <w:bookmarkStart w:id="290" w:name="_Toc3325"/>
      <w:r>
        <w:rPr>
          <w:rFonts w:hint="eastAsia" w:hAnsi="宋体"/>
          <w:b/>
          <w:bCs/>
          <w:color w:val="auto"/>
          <w:sz w:val="22"/>
          <w:szCs w:val="22"/>
          <w:highlight w:val="none"/>
        </w:rPr>
        <w:t>36  工期和工期延误</w:t>
      </w:r>
      <w:bookmarkEnd w:id="288"/>
      <w:bookmarkEnd w:id="289"/>
      <w:bookmarkEnd w:id="290"/>
    </w:p>
    <w:p w14:paraId="0776D10D">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36.1     </w:t>
      </w:r>
    </w:p>
    <w:p w14:paraId="05D8182C">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合同工程的工期，由合同双方当事人根据广东省建设工程工期定额等有关规定，结合合同工程拟实施的施工组织设计或施工方案等情况，科学合理地编制工期，并在合同中约定。</w:t>
      </w:r>
      <w:r>
        <w:rPr>
          <w:rFonts w:hint="eastAsia" w:ascii="宋体" w:hAnsi="宋体" w:cs="宋体"/>
          <w:color w:val="auto"/>
          <w:sz w:val="22"/>
          <w:szCs w:val="22"/>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139" name="文本框 140"/>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a:effectLst/>
                      </wps:spPr>
                      <wps:txbx>
                        <w:txbxContent>
                          <w:p w14:paraId="62524CA3">
                            <w:pPr>
                              <w:rPr>
                                <w:rFonts w:cs="Times New Roman"/>
                              </w:rPr>
                            </w:pPr>
                          </w:p>
                        </w:txbxContent>
                      </wps:txbx>
                      <wps:bodyPr wrap="square" upright="1"/>
                    </wps:wsp>
                  </a:graphicData>
                </a:graphic>
              </wp:anchor>
            </w:drawing>
          </mc:Choice>
          <mc:Fallback>
            <w:pict>
              <v:shape id="文本框 140"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X/eiNcAAAAKAQAADwAAAAAAAAABACAAAAAiAAAAZHJzL2Rvd25yZXYueG1sUEsB&#10;AhQAFAAAAAgAh07iQFby0pK9AQAAbQMAAA4AAAAAAAAAAQAgAAAAJgEAAGRycy9lMm9Eb2MueG1s&#10;UEsFBgAAAAAGAAYAWQEAAFUFAAAAAA==&#10;">
                <v:fill on="f" focussize="0,0"/>
                <v:stroke on="f"/>
                <v:imagedata o:title=""/>
                <o:lock v:ext="edit" aspectratio="f"/>
                <v:textbox>
                  <w:txbxContent>
                    <w:p w14:paraId="62524CA3">
                      <w:pPr>
                        <w:rPr>
                          <w:rFonts w:cs="Times New Roman"/>
                        </w:rPr>
                      </w:pPr>
                    </w:p>
                  </w:txbxContent>
                </v:textbox>
              </v:shape>
            </w:pict>
          </mc:Fallback>
        </mc:AlternateContent>
      </w:r>
      <w:r>
        <w:rPr>
          <w:rFonts w:hint="eastAsia" w:ascii="宋体" w:hAnsi="宋体" w:cs="宋体"/>
          <w:color w:val="auto"/>
          <w:sz w:val="22"/>
          <w:szCs w:val="22"/>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0" name="文本框 141"/>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a:effectLst/>
                      </wps:spPr>
                      <wps:txbx>
                        <w:txbxContent>
                          <w:p w14:paraId="296368E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141"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yCmINUAAAAIAQAADwAAAAAAAAABACAAAAAiAAAAZHJzL2Rvd25yZXYueG1sUEsBAhQA&#10;FAAAAAgAh07iQCMBkm68AQAAbQMAAA4AAAAAAAAAAQAgAAAAJAEAAGRycy9lMm9Eb2MueG1sUEsF&#10;BgAAAAAGAAYAWQEAAFIFAAAAAA==&#10;">
                <v:fill on="f" focussize="0,0"/>
                <v:stroke on="f"/>
                <v:imagedata o:title=""/>
                <o:lock v:ext="edit" aspectratio="f"/>
                <v:textbox>
                  <w:txbxContent>
                    <w:p w14:paraId="296368E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宋体" w:hAnsi="宋体" w:cs="宋体"/>
          <w:color w:val="auto"/>
          <w:sz w:val="22"/>
          <w:szCs w:val="22"/>
          <w:highlight w:val="none"/>
        </w:rPr>
        <w:t>如合同工期与广东省建设工程工期定额规定不一致的，需说明与省工期定额规定不一致的原因，并制定保障措施，确保质量、施工安全。</w:t>
      </w:r>
    </w:p>
    <w:p w14:paraId="222A11C1">
      <w:pPr>
        <w:pStyle w:val="22"/>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 xml:space="preserve">36.2 </w:t>
      </w:r>
      <w:r>
        <w:rPr>
          <w:rFonts w:hint="eastAsia" w:hAnsi="宋体"/>
          <w:color w:val="auto"/>
          <w:sz w:val="22"/>
          <w:szCs w:val="22"/>
          <w:highlight w:val="none"/>
          <w:u w:val="dotted"/>
        </w:rPr>
        <w:t xml:space="preserve">                                                                          </w:t>
      </w:r>
    </w:p>
    <w:p w14:paraId="24DB2E36">
      <w:pPr>
        <w:pStyle w:val="22"/>
        <w:adjustRightInd w:val="0"/>
        <w:snapToGrid w:val="0"/>
        <w:spacing w:line="420" w:lineRule="exact"/>
        <w:ind w:left="1674" w:leftChars="771" w:hanging="55" w:hangingChars="25"/>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1" name="文本框 142"/>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a:effectLst/>
                      </wps:spPr>
                      <wps:txbx>
                        <w:txbxContent>
                          <w:p w14:paraId="32DF1DF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142"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cgpiDVAAAACAEAAA8AAAAAAAAAAQAgAAAAIgAAAGRycy9kb3ducmV2LnhtbFBLAQIU&#10;ABQAAAAIAIdO4kA8rhWyvQEAAG0DAAAOAAAAAAAAAAEAIAAAACQBAABkcnMvZTJvRG9jLnhtbFBL&#10;BQYAAAAABgAGAFkBAABTBQAAAAA=&#10;">
                <v:fill on="f" focussize="0,0"/>
                <v:stroke on="f"/>
                <v:imagedata o:title=""/>
                <o:lock v:ext="edit" aspectratio="f"/>
                <v:textbox>
                  <w:txbxContent>
                    <w:p w14:paraId="32DF1DF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hAnsi="宋体"/>
          <w:color w:val="auto"/>
          <w:sz w:val="22"/>
          <w:szCs w:val="22"/>
          <w:highlight w:val="none"/>
        </w:rPr>
        <w:t>合同双方当事人应在专用条款中约定合同工程的工期，工期从开工日期开始计算。合同中包括有多个单位工程的，应在专用条款中约定各单位工程的工期。</w:t>
      </w:r>
    </w:p>
    <w:p w14:paraId="6B89B452">
      <w:pPr>
        <w:pStyle w:val="22"/>
        <w:adjustRightInd w:val="0"/>
        <w:snapToGrid w:val="0"/>
        <w:spacing w:line="420" w:lineRule="exact"/>
        <w:ind w:right="-2"/>
        <w:rPr>
          <w:rFonts w:hAnsi="宋体"/>
          <w:b/>
          <w:bCs/>
          <w:color w:val="auto"/>
          <w:sz w:val="22"/>
          <w:szCs w:val="22"/>
          <w:highlight w:val="none"/>
        </w:rPr>
      </w:pPr>
      <w:r>
        <w:rPr>
          <w:rFonts w:hint="eastAsia" w:hAnsi="宋体"/>
          <w:b/>
          <w:bCs/>
          <w:color w:val="auto"/>
          <w:sz w:val="22"/>
          <w:szCs w:val="22"/>
          <w:highlight w:val="none"/>
        </w:rPr>
        <w:t xml:space="preserve">36.3  </w:t>
      </w:r>
      <w:r>
        <w:rPr>
          <w:rFonts w:hint="eastAsia" w:hAnsi="宋体"/>
          <w:b/>
          <w:bCs/>
          <w:color w:val="auto"/>
          <w:sz w:val="22"/>
          <w:szCs w:val="22"/>
          <w:highlight w:val="none"/>
          <w:u w:val="dotted"/>
        </w:rPr>
        <w:t xml:space="preserve">                                                                                                       </w:t>
      </w:r>
    </w:p>
    <w:p w14:paraId="407DB902">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142" name="文本框 143"/>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a:effectLst/>
                      </wps:spPr>
                      <wps:txbx>
                        <w:txbxContent>
                          <w:p w14:paraId="56F3F67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143"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nHbgjVAAAACAEAAA8AAAAAAAAAAQAgAAAAIgAAAGRycy9kb3ducmV2LnhtbFBLAQIU&#10;ABQAAAAIAIdO4kD+EHCpvQEAAG0DAAAOAAAAAAAAAAEAIAAAACQBAABkcnMvZTJvRG9jLnhtbFBL&#10;BQYAAAAABgAGAFkBAABTBQAAAAA=&#10;">
                <v:fill on="f" focussize="0,0"/>
                <v:stroke on="f"/>
                <v:imagedata o:title=""/>
                <o:lock v:ext="edit" aspectratio="f"/>
                <v:textbox>
                  <w:txbxContent>
                    <w:p w14:paraId="56F3F67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宋体" w:hAnsi="宋体" w:cs="宋体"/>
          <w:color w:val="auto"/>
          <w:sz w:val="22"/>
          <w:szCs w:val="22"/>
          <w:highlight w:val="none"/>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14:paraId="177CBF0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（1） 发包人未能按照专用条款的约定提供施工设计图纸及其它开工条件；</w:t>
      </w:r>
    </w:p>
    <w:p w14:paraId="39A54C7C">
      <w:pPr>
        <w:pStyle w:val="22"/>
        <w:adjustRightInd w:val="0"/>
        <w:snapToGrid w:val="0"/>
        <w:spacing w:line="420" w:lineRule="exact"/>
        <w:ind w:left="1680" w:leftChars="800"/>
        <w:rPr>
          <w:rFonts w:hAnsi="宋体"/>
          <w:color w:val="auto"/>
          <w:sz w:val="22"/>
          <w:szCs w:val="22"/>
          <w:highlight w:val="none"/>
        </w:rPr>
      </w:pPr>
      <w:r>
        <w:rPr>
          <w:rFonts w:hint="eastAsia" w:hAnsi="宋体"/>
          <w:color w:val="auto"/>
          <w:sz w:val="22"/>
          <w:szCs w:val="22"/>
          <w:highlight w:val="none"/>
        </w:rPr>
        <w:t>（2）发包人未能按照专用条款约定的时间支付工程预付款、绿色施工安全防护费和进度款；</w:t>
      </w:r>
    </w:p>
    <w:p w14:paraId="5EE76E1B">
      <w:pPr>
        <w:pStyle w:val="22"/>
        <w:adjustRightInd w:val="0"/>
        <w:snapToGrid w:val="0"/>
        <w:spacing w:line="420" w:lineRule="exact"/>
        <w:ind w:left="2279" w:leftChars="771" w:hanging="660" w:hangingChars="300"/>
        <w:rPr>
          <w:rFonts w:hAnsi="宋体"/>
          <w:color w:val="auto"/>
          <w:sz w:val="22"/>
          <w:szCs w:val="22"/>
          <w:highlight w:val="none"/>
        </w:rPr>
      </w:pPr>
      <w:r>
        <w:rPr>
          <w:rFonts w:hint="eastAsia" w:hAnsi="宋体"/>
          <w:color w:val="auto"/>
          <w:sz w:val="22"/>
          <w:szCs w:val="22"/>
          <w:highlight w:val="none"/>
        </w:rPr>
        <w:t>（3） 发包人代表或施工现场发包人雇用的其他人员造成的人为因素；</w:t>
      </w:r>
    </w:p>
    <w:p w14:paraId="35C539C8">
      <w:pPr>
        <w:pStyle w:val="22"/>
        <w:adjustRightInd w:val="0"/>
        <w:snapToGrid w:val="0"/>
        <w:spacing w:line="420" w:lineRule="exact"/>
        <w:ind w:left="2279" w:leftChars="771" w:hanging="660" w:hangingChars="300"/>
        <w:rPr>
          <w:rFonts w:hAnsi="宋体"/>
          <w:color w:val="auto"/>
          <w:sz w:val="22"/>
          <w:szCs w:val="22"/>
          <w:highlight w:val="none"/>
        </w:rPr>
      </w:pPr>
      <w:r>
        <w:rPr>
          <w:rFonts w:hint="eastAsia" w:hAnsi="宋体"/>
          <w:color w:val="auto"/>
          <w:sz w:val="22"/>
          <w:szCs w:val="22"/>
          <w:highlight w:val="none"/>
        </w:rPr>
        <w:t>（4） 监理工程师未按照合同约定及时提供所需指令、回复等；</w:t>
      </w:r>
    </w:p>
    <w:p w14:paraId="233B25F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（5） 工程变更（含增加合同工作内容、改变合同的任何一项工作等）；</w:t>
      </w:r>
    </w:p>
    <w:p w14:paraId="01CFDB1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（6） 工程量增加；</w:t>
      </w:r>
    </w:p>
    <w:p w14:paraId="17257F8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（7） 一周内非承包人原因停水、停电、停气造成停工累计超过8小时；</w:t>
      </w:r>
    </w:p>
    <w:p w14:paraId="63498EB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（8） 不可抗力；</w:t>
      </w:r>
    </w:p>
    <w:p w14:paraId="11B2472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（9） 发包人风险事件；</w:t>
      </w:r>
    </w:p>
    <w:p w14:paraId="1EA9A1D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（10）因发包人的原因导致的暂停施工；</w:t>
      </w:r>
    </w:p>
    <w:p w14:paraId="4C683E9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（11）非承包人失误、违约，以及监理工程师同意的工期顺延。</w:t>
      </w:r>
    </w:p>
    <w:p w14:paraId="0531EC1D">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（12）发包人造成工期延误的其他原因。</w:t>
      </w:r>
    </w:p>
    <w:p w14:paraId="0DDC6AC4">
      <w:pPr>
        <w:pStyle w:val="22"/>
        <w:adjustRightInd w:val="0"/>
        <w:snapToGrid w:val="0"/>
        <w:spacing w:line="420" w:lineRule="exact"/>
        <w:ind w:right="-2"/>
        <w:rPr>
          <w:rFonts w:hAnsi="宋体"/>
          <w:color w:val="auto"/>
          <w:sz w:val="22"/>
          <w:szCs w:val="22"/>
          <w:highlight w:val="none"/>
        </w:rPr>
      </w:pPr>
      <w:r>
        <w:rPr>
          <w:rFonts w:hint="eastAsia" w:hAnsi="宋体"/>
          <w:b/>
          <w:bCs/>
          <w:color w:val="auto"/>
          <w:sz w:val="22"/>
          <w:szCs w:val="22"/>
          <w:highlight w:val="none"/>
        </w:rPr>
        <w:t xml:space="preserve">36.4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5C170F1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143" name="文本框 14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2F43F4B9">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144"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rluZrVAAAACAEAAA8AAAAAAAAAAQAgAAAAIgAAAGRycy9kb3ducmV2LnhtbFBLAQIU&#10;ABQAAAAIAIdO4kA8AsczvQEAAG0DAAAOAAAAAAAAAAEAIAAAACQBAABkcnMvZTJvRG9jLnhtbFBL&#10;BQYAAAAABgAGAFkBAABTBQAAAAA=&#10;">
                <v:fill on="f" focussize="0,0"/>
                <v:stroke on="f"/>
                <v:imagedata o:title=""/>
                <o:lock v:ext="edit" aspectratio="f"/>
                <v:textbox>
                  <w:txbxContent>
                    <w:p w14:paraId="2F43F4B9">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hAnsi="宋体"/>
          <w:color w:val="auto"/>
          <w:sz w:val="22"/>
          <w:szCs w:val="22"/>
          <w:highlight w:val="none"/>
        </w:rPr>
        <w:t>当第36.3款所述事件首次发生后，承包人应在14天内向监理工程师发出工期顺延意向书，并抄送发包人。承包人应在发出工期顺延意向书后的14天内，向监理工程师提交工期顺延报告和有关详细资料。</w:t>
      </w:r>
    </w:p>
    <w:p w14:paraId="4CCD4E6D">
      <w:pPr>
        <w:pStyle w:val="22"/>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36.5 </w:t>
      </w:r>
      <w:r>
        <w:rPr>
          <w:rFonts w:hint="eastAsia" w:hAnsi="宋体"/>
          <w:b/>
          <w:bCs/>
          <w:color w:val="auto"/>
          <w:sz w:val="22"/>
          <w:szCs w:val="22"/>
          <w:highlight w:val="none"/>
          <w:u w:val="dotted"/>
        </w:rPr>
        <w:t xml:space="preserve">                                                                                                        </w:t>
      </w:r>
    </w:p>
    <w:p w14:paraId="40558748">
      <w:pPr>
        <w:pStyle w:val="22"/>
        <w:adjustRightInd w:val="0"/>
        <w:snapToGrid w:val="0"/>
        <w:spacing w:line="420" w:lineRule="exact"/>
        <w:ind w:left="1619" w:leftChars="771"/>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144" name="文本框 1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83FBD3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wrap="square" upright="1"/>
                    </wps:wsp>
                  </a:graphicData>
                </a:graphic>
              </wp:anchor>
            </w:drawing>
          </mc:Choice>
          <mc:Fallback>
            <w:pict>
              <v:shape id="文本框 145"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3JBq1QAAAAgBAAAPAAAAAAAAAAEAIAAAACIAAABkcnMvZG93bnJldi54bWxQSwEC&#10;FAAUAAAACACHTuJAFgbXyL4BAABtAwAADgAAAAAAAAABACAAAAAkAQAAZHJzL2Uyb0RvYy54bWxQ&#10;SwUGAAAAAAYABgBZAQAAVAUAAAAA&#10;">
                <v:fill on="f" focussize="0,0"/>
                <v:stroke on="f"/>
                <v:imagedata o:title=""/>
                <o:lock v:ext="edit" aspectratio="f"/>
                <v:textbox>
                  <w:txbxContent>
                    <w:p w14:paraId="483FBD3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hAnsi="宋体"/>
          <w:color w:val="auto"/>
          <w:sz w:val="22"/>
          <w:szCs w:val="22"/>
          <w:highlight w:val="none"/>
        </w:rPr>
        <w:t>如果工期顺延事件持续发生时，承包人应每隔7天向监理工程师发出工期顺延意向书，并在工期顺延事件终结后的14天内，向监理工程师提交最终工期顺延报告和详细资料。</w:t>
      </w:r>
    </w:p>
    <w:p w14:paraId="4487A231">
      <w:pPr>
        <w:pStyle w:val="22"/>
        <w:adjustRightInd w:val="0"/>
        <w:snapToGrid w:val="0"/>
        <w:spacing w:line="420" w:lineRule="exact"/>
        <w:ind w:right="-2"/>
        <w:rPr>
          <w:rFonts w:hAnsi="宋体"/>
          <w:b/>
          <w:bCs/>
          <w:color w:val="auto"/>
          <w:sz w:val="22"/>
          <w:szCs w:val="22"/>
          <w:highlight w:val="none"/>
          <w:u w:val="dotted"/>
        </w:rPr>
      </w:pPr>
      <w:r>
        <w:rPr>
          <w:rFonts w:hint="eastAsia" w:hAnsi="宋体"/>
          <w:b/>
          <w:bCs/>
          <w:color w:val="auto"/>
          <w:sz w:val="22"/>
          <w:szCs w:val="22"/>
          <w:highlight w:val="none"/>
        </w:rPr>
        <w:t xml:space="preserve">36.6  </w:t>
      </w:r>
      <w:r>
        <w:rPr>
          <w:rFonts w:hint="eastAsia" w:hAnsi="宋体"/>
          <w:b/>
          <w:bCs/>
          <w:color w:val="auto"/>
          <w:sz w:val="22"/>
          <w:szCs w:val="22"/>
          <w:highlight w:val="none"/>
          <w:u w:val="dotted"/>
        </w:rPr>
        <w:t xml:space="preserve">                                                                                                        </w:t>
      </w:r>
    </w:p>
    <w:p w14:paraId="21D2C56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5" name="文本框 14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a:effectLst/>
                      </wps:spPr>
                      <wps:txbx>
                        <w:txbxContent>
                          <w:p w14:paraId="3A9CEA8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146"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qXQ8fWAAAACAEAAA8AAAAAAAAAAQAgAAAAIgAAAGRycy9kb3ducmV2LnhtbFBL&#10;AQIUABQAAAAIAIdO4kCvrAbcvwEAAG0DAAAOAAAAAAAAAAEAIAAAACUBAABkcnMvZTJvRG9jLnht&#10;bFBLBQYAAAAABgAGAFkBAABWBQAAAAA=&#10;">
                <v:fill on="f" focussize="0,0"/>
                <v:stroke on="f"/>
                <v:imagedata o:title=""/>
                <o:lock v:ext="edit" aspectratio="f"/>
                <v:textbox>
                  <w:txbxContent>
                    <w:p w14:paraId="3A9CEA8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hAnsi="宋体"/>
          <w:color w:val="auto"/>
          <w:sz w:val="22"/>
          <w:szCs w:val="22"/>
          <w:highlight w:val="none"/>
        </w:rPr>
        <w:t xml:space="preserve">如果承包人未能在第36.4款和第36.5款（发生时）规定的时间内提交（最终）工期顺延报告和详细资料，则视为该事件不影响施工进度或承包人放弃顺延工期的权利。 </w:t>
      </w:r>
    </w:p>
    <w:p w14:paraId="07BF7B8F">
      <w:pPr>
        <w:pStyle w:val="22"/>
        <w:adjustRightInd w:val="0"/>
        <w:snapToGrid w:val="0"/>
        <w:spacing w:line="420" w:lineRule="exact"/>
        <w:ind w:right="-2"/>
        <w:rPr>
          <w:rFonts w:hAnsi="宋体"/>
          <w:b/>
          <w:bCs/>
          <w:color w:val="auto"/>
          <w:sz w:val="22"/>
          <w:szCs w:val="22"/>
          <w:highlight w:val="none"/>
          <w:u w:val="dotted"/>
        </w:rPr>
      </w:pPr>
      <w:r>
        <w:rPr>
          <w:rFonts w:hint="eastAsia" w:hAnsi="宋体"/>
          <w:b/>
          <w:bCs/>
          <w:color w:val="auto"/>
          <w:sz w:val="22"/>
          <w:szCs w:val="22"/>
          <w:highlight w:val="none"/>
        </w:rPr>
        <w:t xml:space="preserve">36.7  </w:t>
      </w:r>
      <w:r>
        <w:rPr>
          <w:rFonts w:hint="eastAsia" w:hAnsi="宋体"/>
          <w:b/>
          <w:bCs/>
          <w:color w:val="auto"/>
          <w:sz w:val="22"/>
          <w:szCs w:val="22"/>
          <w:highlight w:val="none"/>
          <w:u w:val="dotted"/>
        </w:rPr>
        <w:t xml:space="preserve">                                                                                                        </w:t>
      </w:r>
    </w:p>
    <w:p w14:paraId="357D383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6" name="文本框 147"/>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a:effectLst/>
                      </wps:spPr>
                      <wps:txbx>
                        <w:txbxContent>
                          <w:p w14:paraId="527ACD0D">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147"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qXQ8fWAAAACAEAAA8AAAAAAAAAAQAgAAAAIgAAAGRycy9kb3ducmV2LnhtbFBL&#10;AQIUABQAAAAIAIdO4kAV+nUivwEAAG0DAAAOAAAAAAAAAAEAIAAAACUBAABkcnMvZTJvRG9jLnht&#10;bFBLBQYAAAAABgAGAFkBAABWBQAAAAA=&#10;">
                <v:fill on="f" focussize="0,0"/>
                <v:stroke on="f"/>
                <v:imagedata o:title=""/>
                <o:lock v:ext="edit" aspectratio="f"/>
                <v:textbox>
                  <w:txbxContent>
                    <w:p w14:paraId="527ACD0D">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hAnsi="宋体"/>
          <w:color w:val="auto"/>
          <w:sz w:val="22"/>
          <w:szCs w:val="22"/>
          <w:highlight w:val="none"/>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14:paraId="71761F80">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如果监理工程师在收到上述报告和资料后的28天内未予核实也未对承包人作出进一步要求，则视为监理工程师已认可承包人上述报告中提出的顺延工期天数。</w:t>
      </w:r>
    </w:p>
    <w:p w14:paraId="16C7AE90">
      <w:pPr>
        <w:pStyle w:val="22"/>
        <w:adjustRightInd w:val="0"/>
        <w:snapToGrid w:val="0"/>
        <w:spacing w:line="420" w:lineRule="exact"/>
        <w:ind w:left="1491" w:leftChars="1" w:hanging="1489" w:hangingChars="674"/>
        <w:rPr>
          <w:rFonts w:hAnsi="宋体"/>
          <w:b/>
          <w:bCs/>
          <w:color w:val="auto"/>
          <w:sz w:val="22"/>
          <w:szCs w:val="22"/>
          <w:highlight w:val="none"/>
          <w:u w:val="dotted"/>
        </w:rPr>
      </w:pPr>
      <w:r>
        <w:rPr>
          <w:rFonts w:hint="eastAsia" w:hAnsi="宋体"/>
          <w:b/>
          <w:bCs/>
          <w:color w:val="auto"/>
          <w:sz w:val="22"/>
          <w:szCs w:val="22"/>
          <w:highlight w:val="none"/>
        </w:rPr>
        <w:t xml:space="preserve">36.8  </w:t>
      </w:r>
      <w:r>
        <w:rPr>
          <w:rFonts w:hint="eastAsia" w:hAnsi="宋体"/>
          <w:b/>
          <w:bCs/>
          <w:color w:val="auto"/>
          <w:sz w:val="22"/>
          <w:szCs w:val="22"/>
          <w:highlight w:val="none"/>
          <w:u w:val="dotted"/>
        </w:rPr>
        <w:t xml:space="preserve">                                                                                                        </w:t>
      </w:r>
    </w:p>
    <w:p w14:paraId="6D579A0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147" name="文本框 148"/>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a:effectLst/>
                      </wps:spPr>
                      <wps:txbx>
                        <w:txbxContent>
                          <w:p w14:paraId="3C93090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wrap="square" upright="1"/>
                    </wps:wsp>
                  </a:graphicData>
                </a:graphic>
              </wp:anchor>
            </w:drawing>
          </mc:Choice>
          <mc:Fallback>
            <w:pict>
              <v:shape id="文本框 148"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io4r9YAAAAJAQAADwAAAAAAAAABACAAAAAiAAAAZHJzL2Rvd25yZXYueG1sUEsB&#10;AhQAFAAAAAgAh07iQO5VDnC+AQAAbQMAAA4AAAAAAAAAAQAgAAAAJQEAAGRycy9lMm9Eb2MueG1s&#10;UEsFBgAAAAAGAAYAWQEAAFUFAAAAAA==&#10;">
                <v:fill on="f" focussize="0,0"/>
                <v:stroke on="f"/>
                <v:imagedata o:title=""/>
                <o:lock v:ext="edit" aspectratio="f"/>
                <v:textbox>
                  <w:txbxContent>
                    <w:p w14:paraId="3C93090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hAnsi="宋体"/>
          <w:color w:val="auto"/>
          <w:sz w:val="22"/>
          <w:szCs w:val="22"/>
          <w:highlight w:val="none"/>
        </w:rPr>
        <w:t>承包人未能按照合同进度计划完成工作，或因承包人的原因造成工期延误，发包人可按照本条规定的时限和第66.2款规定要求承包人支付该支付期的误期赔偿费。</w:t>
      </w:r>
    </w:p>
    <w:p w14:paraId="6B512A55">
      <w:pPr>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36.9  </w:t>
      </w:r>
      <w:r>
        <w:rPr>
          <w:rFonts w:hint="eastAsia" w:ascii="宋体" w:hAnsi="宋体" w:cs="宋体"/>
          <w:b/>
          <w:bCs/>
          <w:color w:val="auto"/>
          <w:sz w:val="22"/>
          <w:szCs w:val="22"/>
          <w:highlight w:val="none"/>
          <w:u w:val="dotted"/>
        </w:rPr>
        <w:t xml:space="preserve">                                                                                </w:t>
      </w:r>
    </w:p>
    <w:p w14:paraId="6470538B">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09792"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407" name="文本框 149"/>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a:effectLst/>
                      </wps:spPr>
                      <wps:txbx>
                        <w:txbxContent>
                          <w:p w14:paraId="0A70CDD4">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49" o:spid="_x0000_s1026" o:spt="202" type="#_x0000_t202" style="position:absolute;left:0pt;margin-left:-5.1pt;margin-top:5.15pt;height:35.75pt;width:72.7pt;z-index:251809792;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rYro9UAAAAJAQAADwAAAAAAAAABACAAAAAiAAAAZHJzL2Rvd25yZXYueG1sUEsB&#10;AhQAFAAAAAgAh07iQGCIp+u/AQAAbQMAAA4AAAAAAAAAAQAgAAAAJAEAAGRycy9lMm9Eb2MueG1s&#10;UEsFBgAAAAAGAAYAWQEAAFUFAAAAAA==&#10;">
                <v:fill on="f" focussize="0,0"/>
                <v:stroke on="f"/>
                <v:imagedata o:title=""/>
                <o:lock v:ext="edit" aspectratio="f"/>
                <v:textbox>
                  <w:txbxContent>
                    <w:p w14:paraId="0A70CDD4">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hAnsi="宋体"/>
          <w:color w:val="auto"/>
          <w:sz w:val="22"/>
          <w:szCs w:val="22"/>
          <w:highlight w:val="none"/>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14:paraId="375B428F">
      <w:pPr>
        <w:pStyle w:val="22"/>
        <w:tabs>
          <w:tab w:val="left" w:pos="540"/>
        </w:tabs>
        <w:adjustRightInd w:val="0"/>
        <w:snapToGrid w:val="0"/>
        <w:spacing w:before="240" w:beforeLines="100"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2E894C0B">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291" w:name="_Toc24285"/>
      <w:bookmarkStart w:id="292" w:name="_Toc469384019"/>
      <w:bookmarkStart w:id="293" w:name="_Toc15177"/>
      <w:r>
        <w:rPr>
          <w:rFonts w:hint="eastAsia" w:hAnsi="宋体"/>
          <w:b/>
          <w:bCs/>
          <w:color w:val="auto"/>
          <w:sz w:val="22"/>
          <w:szCs w:val="22"/>
          <w:highlight w:val="none"/>
        </w:rPr>
        <w:t>37  加快进度</w:t>
      </w:r>
      <w:bookmarkEnd w:id="291"/>
      <w:bookmarkEnd w:id="292"/>
      <w:bookmarkEnd w:id="293"/>
    </w:p>
    <w:p w14:paraId="7DD82B38">
      <w:pPr>
        <w:pStyle w:val="22"/>
        <w:tabs>
          <w:tab w:val="left" w:pos="1320"/>
        </w:tabs>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148" name="文本框 150"/>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a:effectLst/>
                      </wps:spPr>
                      <wps:txbx>
                        <w:txbxContent>
                          <w:p w14:paraId="0DE08C3E">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wps:txbx>
                      <wps:bodyPr wrap="square" upright="1"/>
                    </wps:wsp>
                  </a:graphicData>
                </a:graphic>
              </wp:anchor>
            </w:drawing>
          </mc:Choice>
          <mc:Fallback>
            <w:pict>
              <v:shape id="文本框 150" o:spid="_x0000_s1026" o:spt="202" type="#_x0000_t202" style="position:absolute;left:0pt;margin-left:-9pt;margin-top:12.65pt;height:42.55pt;width:72pt;z-index:251810816;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DRRg1wAAAAoBAAAPAAAAAAAAAAEAIAAAACIAAABkcnMvZG93bnJldi54bWxQSwEC&#10;FAAUAAAACACHTuJAQhYvkrwBAABtAwAADgAAAAAAAAABACAAAAAmAQAAZHJzL2Uyb0RvYy54bWxQ&#10;SwUGAAAAAAYABgBZAQAAVAUAAAAA&#10;">
                <v:fill on="f" focussize="0,0"/>
                <v:stroke on="f"/>
                <v:imagedata o:title=""/>
                <o:lock v:ext="edit" aspectratio="f"/>
                <v:textbox>
                  <w:txbxContent>
                    <w:p w14:paraId="0DE08C3E">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int="eastAsia" w:hAnsi="宋体"/>
          <w:b/>
          <w:bCs/>
          <w:color w:val="auto"/>
          <w:sz w:val="22"/>
          <w:szCs w:val="22"/>
          <w:highlight w:val="none"/>
        </w:rPr>
        <w:t xml:space="preserve">37.1     </w:t>
      </w:r>
    </w:p>
    <w:p w14:paraId="77EAD18E">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在非发包人延误工期的情况下，如果监理工程师书面指出承包人实施合同工程或其任何部分的进度过慢，迟于进度计划或不能按期竣工，则承包人应按照第33.4款规定采取改进措施，加快工程进度。</w:t>
      </w:r>
      <w:r>
        <w:rPr>
          <w:rFonts w:hint="eastAsia" w:hAnsi="宋体"/>
          <w:color w:val="auto"/>
          <w:sz w:val="22"/>
          <w:szCs w:val="22"/>
          <w:highlight w:val="none"/>
        </w:rPr>
        <w:br w:type="textWrapping"/>
      </w:r>
      <w:r>
        <w:rPr>
          <w:rFonts w:hint="eastAsia" w:hAnsi="宋体"/>
          <w:color w:val="auto"/>
          <w:sz w:val="22"/>
          <w:szCs w:val="22"/>
          <w:highlight w:val="none"/>
        </w:rPr>
        <w:t xml:space="preserve">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 </w:t>
      </w:r>
    </w:p>
    <w:p w14:paraId="5ADC5C74">
      <w:pPr>
        <w:pStyle w:val="22"/>
        <w:tabs>
          <w:tab w:val="left" w:pos="1320"/>
        </w:tabs>
        <w:adjustRightInd w:val="0"/>
        <w:snapToGrid w:val="0"/>
        <w:spacing w:line="420" w:lineRule="exact"/>
        <w:rPr>
          <w:rFonts w:hAnsi="宋体"/>
          <w:b/>
          <w:bCs/>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149" name="文本框 151"/>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a:effectLst/>
                      </wps:spPr>
                      <wps:txbx>
                        <w:txbxContent>
                          <w:p w14:paraId="0750F9F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wrap="square" upright="1"/>
                    </wps:wsp>
                  </a:graphicData>
                </a:graphic>
              </wp:anchor>
            </w:drawing>
          </mc:Choice>
          <mc:Fallback>
            <w:pict>
              <v:shape id="文本框 151" o:spid="_x0000_s1026" o:spt="202" type="#_x0000_t202" style="position:absolute;left:0pt;margin-left:-9pt;margin-top:21.9pt;height:38.95pt;width:72pt;z-index:251811840;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Z9rvNcAAAAKAQAADwAAAAAAAAABACAAAAAiAAAAZHJzL2Rvd25yZXYueG1sUEsB&#10;AhQAFAAAAAgAh07iQCyRscK9AQAAbQMAAA4AAAAAAAAAAQAgAAAAJgEAAGRycy9lMm9Eb2MueG1s&#10;UEsFBgAAAAAGAAYAWQEAAFUFAAAAAA==&#10;">
                <v:fill on="f" focussize="0,0"/>
                <v:stroke on="f"/>
                <v:imagedata o:title=""/>
                <o:lock v:ext="edit" aspectratio="f"/>
                <v:textbox>
                  <w:txbxContent>
                    <w:p w14:paraId="0750F9F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hint="eastAsia" w:hAnsi="宋体"/>
          <w:b/>
          <w:bCs/>
          <w:color w:val="auto"/>
          <w:sz w:val="22"/>
          <w:szCs w:val="22"/>
          <w:highlight w:val="none"/>
        </w:rPr>
        <w:t xml:space="preserve">37.2  </w:t>
      </w:r>
      <w:r>
        <w:rPr>
          <w:rFonts w:hint="eastAsia" w:hAnsi="宋体"/>
          <w:b/>
          <w:bCs/>
          <w:color w:val="auto"/>
          <w:sz w:val="22"/>
          <w:szCs w:val="22"/>
          <w:highlight w:val="none"/>
          <w:u w:val="dotted"/>
        </w:rPr>
        <w:t xml:space="preserve">                                                                                                        </w:t>
      </w:r>
    </w:p>
    <w:p w14:paraId="17EB62D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14:paraId="1BC760A1">
      <w:pPr>
        <w:pStyle w:val="22"/>
        <w:numPr>
          <w:ilvl w:val="0"/>
          <w:numId w:val="16"/>
        </w:numPr>
        <w:tabs>
          <w:tab w:val="left" w:pos="1980"/>
        </w:tabs>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加快进度拟采取的措施；</w:t>
      </w:r>
    </w:p>
    <w:p w14:paraId="277D39DE">
      <w:pPr>
        <w:pStyle w:val="22"/>
        <w:numPr>
          <w:ilvl w:val="0"/>
          <w:numId w:val="16"/>
        </w:numPr>
        <w:tabs>
          <w:tab w:val="left" w:pos="1980"/>
        </w:tabs>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加快进度后的进度计划,以及与原计划的对比；</w:t>
      </w:r>
    </w:p>
    <w:p w14:paraId="6269FF63">
      <w:pPr>
        <w:pStyle w:val="22"/>
        <w:numPr>
          <w:ilvl w:val="0"/>
          <w:numId w:val="16"/>
        </w:numPr>
        <w:tabs>
          <w:tab w:val="left" w:pos="1980"/>
        </w:tabs>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加快进度所需的合同价款增加额（含第66.1款规定的提前竣工奖）。该增加额按照第72.2款、第72.3款和第72.5款规定计算。</w:t>
      </w:r>
    </w:p>
    <w:p w14:paraId="7F2A0B3B">
      <w:pPr>
        <w:pStyle w:val="22"/>
        <w:adjustRightInd w:val="0"/>
        <w:snapToGrid w:val="0"/>
        <w:spacing w:line="420" w:lineRule="exact"/>
        <w:ind w:left="1617" w:leftChars="770" w:firstLine="1"/>
        <w:rPr>
          <w:rFonts w:hAnsi="宋体"/>
          <w:color w:val="auto"/>
          <w:sz w:val="22"/>
          <w:szCs w:val="22"/>
          <w:highlight w:val="none"/>
        </w:rPr>
      </w:pPr>
      <w:r>
        <w:rPr>
          <w:rFonts w:hint="eastAsia" w:hAnsi="宋体"/>
          <w:color w:val="auto"/>
          <w:sz w:val="22"/>
          <w:szCs w:val="22"/>
          <w:highlight w:val="none"/>
        </w:rPr>
        <w:t>发包人应在接到建议书后的7天内予以答复。如果发包人接受了该建议书，则监理工程师应以书面形式发出变更指令，相应调整工期；造价工程师应核实并相应调整合同价款。</w:t>
      </w:r>
    </w:p>
    <w:p w14:paraId="11D407AA">
      <w:pPr>
        <w:pStyle w:val="22"/>
        <w:adjustRightInd w:val="0"/>
        <w:snapToGrid w:val="0"/>
        <w:spacing w:line="420" w:lineRule="exact"/>
        <w:ind w:right="-240"/>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0419DF32">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294" w:name="_Toc469384020"/>
      <w:bookmarkStart w:id="295" w:name="_Toc13246"/>
      <w:bookmarkStart w:id="296" w:name="_Toc2304"/>
      <w:r>
        <w:rPr>
          <w:rFonts w:hint="eastAsia" w:hAnsi="宋体"/>
          <w:b/>
          <w:bCs/>
          <w:color w:val="auto"/>
          <w:sz w:val="22"/>
          <w:szCs w:val="22"/>
          <w:highlight w:val="none"/>
        </w:rPr>
        <w:t>38  竣工日期</w:t>
      </w:r>
      <w:bookmarkEnd w:id="294"/>
      <w:bookmarkEnd w:id="295"/>
      <w:bookmarkEnd w:id="296"/>
    </w:p>
    <w:p w14:paraId="6D99CB42">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12864"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150" name="文本框 152"/>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14:paraId="5DD36EE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152" o:spid="_x0000_s1026" o:spt="202" type="#_x0000_t202" style="position:absolute;left:0pt;margin-left:-10.5pt;margin-top:10.7pt;height:31.2pt;width:77pt;z-index:251812864;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o4dVfXAAAACQEAAA8AAAAAAAAAAQAgAAAAIgAAAGRycy9kb3ducmV2LnhtbFBL&#10;AQIUABQAAAAIAIdO4kDNjeRCvgEAAG0DAAAOAAAAAAAAAAEAIAAAACYBAABkcnMvZTJvRG9jLnht&#10;bFBLBQYAAAAABgAGAFkBAABWBQAAAAA=&#10;">
                <v:fill on="f" focussize="0,0"/>
                <v:stroke on="f"/>
                <v:imagedata o:title=""/>
                <o:lock v:ext="edit" aspectratio="f"/>
                <v:textbox>
                  <w:txbxContent>
                    <w:p w14:paraId="5DD36EE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hAnsi="宋体"/>
          <w:b/>
          <w:bCs/>
          <w:color w:val="auto"/>
          <w:sz w:val="22"/>
          <w:szCs w:val="22"/>
          <w:highlight w:val="none"/>
        </w:rPr>
        <w:t xml:space="preserve">38.1   </w:t>
      </w:r>
    </w:p>
    <w:p w14:paraId="48AB00C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合同双方当事人应在协议书和专用条款中约定合同工程的计划竣工日期。</w:t>
      </w:r>
    </w:p>
    <w:p w14:paraId="7425786A">
      <w:pPr>
        <w:pStyle w:val="22"/>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38.2  </w:t>
      </w:r>
      <w:r>
        <w:rPr>
          <w:rFonts w:hint="eastAsia" w:hAnsi="宋体"/>
          <w:b/>
          <w:bCs/>
          <w:color w:val="auto"/>
          <w:sz w:val="22"/>
          <w:szCs w:val="22"/>
          <w:highlight w:val="none"/>
          <w:u w:val="dotted"/>
        </w:rPr>
        <w:t xml:space="preserve">                                                                                                        </w:t>
      </w:r>
    </w:p>
    <w:p w14:paraId="79A9F8AF">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1" name="文本框 153"/>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14:paraId="3B38BDF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153" o:spid="_x0000_s1026" o:spt="202" type="#_x0000_t202" style="position:absolute;left:0pt;margin-left:-9pt;margin-top:0.45pt;height:31.2pt;width:77pt;z-index:251813888;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mhxtUAAAAHAQAADwAAAAAAAAABACAAAAAiAAAAZHJzL2Rvd25yZXYueG1sUEsB&#10;AhQAFAAAAAgAh07iQD9yJr6/AQAAbQMAAA4AAAAAAAAAAQAgAAAAJAEAAGRycy9lMm9Eb2MueG1s&#10;UEsFBgAAAAAGAAYAWQEAAFUFAAAAAA==&#10;">
                <v:fill on="f" focussize="0,0"/>
                <v:stroke on="f"/>
                <v:imagedata o:title=""/>
                <o:lock v:ext="edit" aspectratio="f"/>
                <v:textbox>
                  <w:txbxContent>
                    <w:p w14:paraId="3B38BDF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hAnsi="宋体"/>
          <w:color w:val="auto"/>
          <w:sz w:val="22"/>
          <w:szCs w:val="22"/>
          <w:highlight w:val="none"/>
        </w:rPr>
        <w:t>除发生不可抗力事件致使发包人不能按时竣工验收外，实际竣工日期按照下列情况分别确定：</w:t>
      </w:r>
    </w:p>
    <w:p w14:paraId="74D76BA6">
      <w:pPr>
        <w:pStyle w:val="22"/>
        <w:numPr>
          <w:ilvl w:val="0"/>
          <w:numId w:val="17"/>
        </w:numPr>
        <w:tabs>
          <w:tab w:val="left" w:pos="1980"/>
          <w:tab w:val="left" w:pos="2160"/>
        </w:tabs>
        <w:adjustRightInd w:val="0"/>
        <w:snapToGrid w:val="0"/>
        <w:spacing w:line="420" w:lineRule="exact"/>
        <w:ind w:left="1619" w:leftChars="771" w:firstLine="0"/>
        <w:rPr>
          <w:rFonts w:hAnsi="宋体"/>
          <w:color w:val="auto"/>
          <w:sz w:val="22"/>
          <w:szCs w:val="22"/>
          <w:highlight w:val="none"/>
        </w:rPr>
      </w:pPr>
      <w:r>
        <w:rPr>
          <w:rFonts w:hint="eastAsia" w:hAnsi="宋体"/>
          <w:color w:val="auto"/>
          <w:sz w:val="22"/>
          <w:szCs w:val="22"/>
          <w:highlight w:val="none"/>
        </w:rPr>
        <w:t>工程经竣工验收合格的，以承包人提交竣工验收申请报告之日为实际竣工日期；</w:t>
      </w:r>
    </w:p>
    <w:p w14:paraId="21673C9A">
      <w:pPr>
        <w:pStyle w:val="22"/>
        <w:tabs>
          <w:tab w:val="left" w:pos="1980"/>
          <w:tab w:val="left" w:pos="2160"/>
        </w:tabs>
        <w:adjustRightInd w:val="0"/>
        <w:snapToGrid w:val="0"/>
        <w:spacing w:line="420" w:lineRule="exact"/>
        <w:ind w:left="1613"/>
        <w:rPr>
          <w:rFonts w:hAnsi="宋体"/>
          <w:color w:val="auto"/>
          <w:sz w:val="22"/>
          <w:szCs w:val="22"/>
          <w:highlight w:val="none"/>
        </w:rPr>
      </w:pPr>
      <w:r>
        <w:rPr>
          <w:rFonts w:hint="eastAsia" w:hAnsi="宋体"/>
          <w:color w:val="auto"/>
          <w:sz w:val="22"/>
          <w:szCs w:val="22"/>
          <w:highlight w:val="none"/>
        </w:rPr>
        <w:t>(2)承包人已按照第57.2款规定提交竣工验收申请报告，但发包人未按照第58.3款规定完成合同工程验收的，以承包人提交竣工验收申请报告之日为实际竣工日期；</w:t>
      </w:r>
    </w:p>
    <w:p w14:paraId="23A9BEDA">
      <w:pPr>
        <w:pStyle w:val="22"/>
        <w:tabs>
          <w:tab w:val="left" w:pos="1980"/>
          <w:tab w:val="left" w:pos="2160"/>
        </w:tabs>
        <w:adjustRightInd w:val="0"/>
        <w:snapToGrid w:val="0"/>
        <w:spacing w:line="420" w:lineRule="exact"/>
        <w:ind w:left="1617"/>
        <w:rPr>
          <w:rFonts w:hAnsi="宋体"/>
          <w:color w:val="auto"/>
          <w:sz w:val="22"/>
          <w:szCs w:val="22"/>
          <w:highlight w:val="none"/>
        </w:rPr>
      </w:pPr>
      <w:r>
        <w:rPr>
          <w:rFonts w:hint="eastAsia" w:hAnsi="宋体"/>
          <w:color w:val="auto"/>
          <w:sz w:val="22"/>
          <w:szCs w:val="22"/>
          <w:highlight w:val="none"/>
        </w:rPr>
        <w:t>(3)工程未经竣工验收，发包人擅自使用的，以转移占有工程之日为实际竣工日期。</w:t>
      </w:r>
    </w:p>
    <w:p w14:paraId="2E515990">
      <w:pPr>
        <w:pStyle w:val="22"/>
        <w:adjustRightInd w:val="0"/>
        <w:snapToGrid w:val="0"/>
        <w:spacing w:line="420" w:lineRule="exact"/>
        <w:ind w:left="1491" w:leftChars="1" w:hanging="1489" w:hangingChars="674"/>
        <w:rPr>
          <w:rFonts w:hAnsi="宋体"/>
          <w:b/>
          <w:bCs/>
          <w:color w:val="auto"/>
          <w:sz w:val="22"/>
          <w:szCs w:val="22"/>
          <w:highlight w:val="none"/>
          <w:u w:val="dotted"/>
        </w:rPr>
      </w:pPr>
      <w:r>
        <w:rPr>
          <w:rFonts w:hint="eastAsia" w:hAnsi="宋体"/>
          <w:b/>
          <w:bCs/>
          <w:color w:val="auto"/>
          <w:sz w:val="22"/>
          <w:szCs w:val="22"/>
          <w:highlight w:val="none"/>
        </w:rPr>
        <w:t xml:space="preserve">38.3  </w:t>
      </w:r>
      <w:r>
        <w:rPr>
          <w:rFonts w:hint="eastAsia" w:hAnsi="宋体"/>
          <w:b/>
          <w:bCs/>
          <w:color w:val="auto"/>
          <w:sz w:val="22"/>
          <w:szCs w:val="22"/>
          <w:highlight w:val="none"/>
          <w:u w:val="dotted"/>
        </w:rPr>
        <w:t xml:space="preserve">                                                                                                        </w:t>
      </w:r>
    </w:p>
    <w:p w14:paraId="5C7589C5">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152" name="文本框 154"/>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a:effectLst/>
                      </wps:spPr>
                      <wps:txbx>
                        <w:txbxContent>
                          <w:p w14:paraId="70AF178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154" o:spid="_x0000_s1026" o:spt="202" type="#_x0000_t202" style="position:absolute;left:0pt;margin-left:-9pt;margin-top:3.75pt;height:35.9pt;width:72pt;z-index:251814912;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EM3K1QAAAAgBAAAPAAAAAAAAAAEAIAAAACIAAABkcnMvZG93bnJldi54bWxQSwEC&#10;FAAUAAAACACHTuJA5CG5974BAABtAwAADgAAAAAAAAABACAAAAAkAQAAZHJzL2Uyb0RvYy54bWxQ&#10;SwUGAAAAAAYABgBZAQAAVAUAAAAA&#10;">
                <v:fill on="f" focussize="0,0"/>
                <v:stroke on="f"/>
                <v:imagedata o:title=""/>
                <o:lock v:ext="edit" aspectratio="f"/>
                <v:textbox>
                  <w:txbxContent>
                    <w:p w14:paraId="70AF178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宋体" w:hAnsi="宋体" w:cs="宋体"/>
          <w:color w:val="auto"/>
          <w:sz w:val="22"/>
          <w:szCs w:val="22"/>
          <w:highlight w:val="none"/>
        </w:rPr>
        <w:t>因发包人的原因导致实际竣工日期迟于计划竣工日期的，发包人应承担由此增加的费用和（或）延误的工期，并向承包人支付合理利润。</w:t>
      </w:r>
    </w:p>
    <w:p w14:paraId="5BB097C5">
      <w:pPr>
        <w:spacing w:line="420" w:lineRule="exact"/>
        <w:ind w:left="1619" w:leftChars="771" w:firstLine="55" w:firstLineChars="25"/>
        <w:rPr>
          <w:rFonts w:ascii="宋体" w:hAnsi="宋体" w:cs="宋体"/>
          <w:caps/>
          <w:color w:val="auto"/>
          <w:sz w:val="22"/>
          <w:szCs w:val="22"/>
          <w:highlight w:val="none"/>
        </w:rPr>
      </w:pPr>
      <w:r>
        <w:rPr>
          <w:rFonts w:hint="eastAsia" w:ascii="宋体" w:hAnsi="宋体" w:cs="宋体"/>
          <w:color w:val="auto"/>
          <w:sz w:val="22"/>
          <w:szCs w:val="22"/>
          <w:highlight w:val="none"/>
        </w:rPr>
        <w:t>因承包人的原因导致实际竣工日期迟于计划竣工日期的，承包人应按照第40条规定</w:t>
      </w:r>
      <w:r>
        <w:rPr>
          <w:rFonts w:hint="eastAsia" w:ascii="宋体" w:hAnsi="宋体" w:cs="宋体"/>
          <w:caps/>
          <w:color w:val="auto"/>
          <w:sz w:val="22"/>
          <w:szCs w:val="22"/>
          <w:highlight w:val="none"/>
        </w:rPr>
        <w:t>赔偿发包人由此造成的损失，并向发包人支付误期赔偿费。</w:t>
      </w:r>
    </w:p>
    <w:p w14:paraId="2D663124">
      <w:pPr>
        <w:spacing w:line="420" w:lineRule="exact"/>
        <w:rPr>
          <w:rFonts w:ascii="宋体" w:hAnsi="宋体" w:cs="宋体"/>
          <w:caps/>
          <w:color w:val="auto"/>
          <w:sz w:val="22"/>
          <w:szCs w:val="22"/>
          <w:highlight w:val="none"/>
          <w:u w:val="single"/>
        </w:rPr>
      </w:pPr>
      <w:r>
        <w:rPr>
          <w:rFonts w:hint="eastAsia" w:ascii="宋体" w:hAnsi="宋体" w:cs="宋体"/>
          <w:b/>
          <w:bCs/>
          <w:caps/>
          <w:color w:val="auto"/>
          <w:sz w:val="22"/>
          <w:szCs w:val="22"/>
          <w:highlight w:val="none"/>
          <w:u w:val="single"/>
        </w:rPr>
        <w:t xml:space="preserve">                                                                                    </w:t>
      </w:r>
      <w:r>
        <w:rPr>
          <w:rFonts w:hint="eastAsia" w:ascii="宋体" w:hAnsi="宋体" w:cs="宋体"/>
          <w:caps/>
          <w:color w:val="auto"/>
          <w:sz w:val="22"/>
          <w:szCs w:val="22"/>
          <w:highlight w:val="none"/>
          <w:u w:val="single"/>
        </w:rPr>
        <w:t xml:space="preserve">                     </w:t>
      </w:r>
    </w:p>
    <w:p w14:paraId="14D8876F">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297" w:name="_Toc469384021"/>
      <w:bookmarkStart w:id="298" w:name="_Toc13636"/>
      <w:bookmarkStart w:id="299" w:name="_Toc24708"/>
      <w:r>
        <w:rPr>
          <w:rFonts w:hint="eastAsia" w:hAnsi="宋体"/>
          <w:b/>
          <w:bCs/>
          <w:color w:val="auto"/>
          <w:sz w:val="22"/>
          <w:szCs w:val="22"/>
          <w:highlight w:val="none"/>
        </w:rPr>
        <w:t>39  提前竣工</w:t>
      </w:r>
      <w:bookmarkEnd w:id="297"/>
      <w:bookmarkEnd w:id="298"/>
      <w:bookmarkEnd w:id="299"/>
    </w:p>
    <w:p w14:paraId="13727C21">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39.1   </w:t>
      </w:r>
    </w:p>
    <w:p w14:paraId="1DEB5DF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153" name="文本框 15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14:paraId="3431CF2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155" o:spid="_x0000_s1026" o:spt="202" type="#_x0000_t202" style="position:absolute;left:0pt;margin-left:-5.25pt;margin-top:2.4pt;height:31.2pt;width:77pt;z-index:251815936;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h0/j9UAAAAIAQAADwAAAAAAAAABACAAAAAiAAAAZHJzL2Rvd25yZXYueG1sUEsB&#10;AhQAFAAAAAgAh07iQEAqWNy/AQAAbQMAAA4AAAAAAAAAAQAgAAAAJAEAAGRycy9lMm9Eb2MueG1s&#10;UEsFBgAAAAAGAAYAWQEAAFUFAAAAAA==&#10;">
                <v:fill on="f" focussize="0,0"/>
                <v:stroke on="f"/>
                <v:imagedata o:title=""/>
                <o:lock v:ext="edit" aspectratio="f"/>
                <v:textbox>
                  <w:txbxContent>
                    <w:p w14:paraId="3431CF2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hAnsi="宋体"/>
          <w:color w:val="auto"/>
          <w:sz w:val="22"/>
          <w:szCs w:val="22"/>
          <w:highlight w:val="none"/>
        </w:rPr>
        <w:t>发包人要求承包人提前竣工，或承包人按照第37.2款规定提交提前竣工建议书为发包人接受的，监理工程师应与承包人商定采取加快工程进度的措施，并修订合同工程进度计划。</w:t>
      </w:r>
    </w:p>
    <w:p w14:paraId="15A374D0">
      <w:pPr>
        <w:pStyle w:val="22"/>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39.2  </w:t>
      </w:r>
      <w:r>
        <w:rPr>
          <w:rFonts w:hint="eastAsia" w:hAnsi="宋体"/>
          <w:b/>
          <w:bCs/>
          <w:color w:val="auto"/>
          <w:sz w:val="22"/>
          <w:szCs w:val="22"/>
          <w:highlight w:val="none"/>
          <w:u w:val="dotted"/>
        </w:rPr>
        <w:t xml:space="preserve">                                                                                                        </w:t>
      </w:r>
    </w:p>
    <w:p w14:paraId="40104357">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4" name="文本框 15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14:paraId="3B0C6A9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156" o:spid="_x0000_s1026" o:spt="202" type="#_x0000_t202" style="position:absolute;left:0pt;margin-left:-9pt;margin-top:0.45pt;height:31.2pt;width:77pt;z-index:251816960;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mhxtUAAAAHAQAADwAAAAAAAAABACAAAAAiAAAAZHJzL2Rvd25yZXYueG1sUEsB&#10;AhQAFAAAAAgAh07iQId+DQe/AQAAbQMAAA4AAAAAAAAAAQAgAAAAJAEAAGRycy9lMm9Eb2MueG1s&#10;UEsFBgAAAAAGAAYAWQEAAFUFAAAAAA==&#10;">
                <v:fill on="f" focussize="0,0"/>
                <v:stroke on="f"/>
                <v:imagedata o:title=""/>
                <o:lock v:ext="edit" aspectratio="f"/>
                <v:textbox>
                  <w:txbxContent>
                    <w:p w14:paraId="3B0C6A9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hAnsi="宋体"/>
          <w:color w:val="auto"/>
          <w:sz w:val="22"/>
          <w:szCs w:val="22"/>
          <w:highlight w:val="none"/>
        </w:rPr>
        <w:t>提前竣工天数按照第38.2款规定确定的计划竣工天数减去实际竣工天数计算，其公式为：</w:t>
      </w:r>
    </w:p>
    <w:p w14:paraId="6D95D4B6">
      <w:pPr>
        <w:pStyle w:val="22"/>
        <w:adjustRightInd w:val="0"/>
        <w:snapToGrid w:val="0"/>
        <w:spacing w:line="420" w:lineRule="exact"/>
        <w:ind w:firstLine="1980" w:firstLineChars="900"/>
        <w:rPr>
          <w:rFonts w:hAnsi="宋体"/>
          <w:color w:val="auto"/>
          <w:sz w:val="22"/>
          <w:szCs w:val="22"/>
          <w:highlight w:val="none"/>
        </w:rPr>
      </w:pPr>
      <w:r>
        <w:rPr>
          <w:rFonts w:hint="eastAsia" w:hAnsi="宋体"/>
          <w:color w:val="auto"/>
          <w:sz w:val="22"/>
          <w:szCs w:val="22"/>
          <w:highlight w:val="none"/>
        </w:rPr>
        <w:t>提前竣工天数=计划竣工天数 — 实际竣工天数</w:t>
      </w:r>
    </w:p>
    <w:p w14:paraId="6DFC4410">
      <w:pPr>
        <w:pStyle w:val="22"/>
        <w:tabs>
          <w:tab w:val="left" w:pos="1980"/>
          <w:tab w:val="left" w:pos="2160"/>
        </w:tabs>
        <w:adjustRightInd w:val="0"/>
        <w:snapToGrid w:val="0"/>
        <w:spacing w:line="420" w:lineRule="exact"/>
        <w:ind w:left="1616"/>
        <w:rPr>
          <w:rFonts w:hAnsi="宋体"/>
          <w:color w:val="auto"/>
          <w:sz w:val="22"/>
          <w:szCs w:val="22"/>
          <w:highlight w:val="none"/>
        </w:rPr>
      </w:pPr>
      <w:r>
        <w:rPr>
          <w:rFonts w:hint="eastAsia" w:hAnsi="宋体"/>
          <w:color w:val="auto"/>
          <w:sz w:val="22"/>
          <w:szCs w:val="22"/>
          <w:highlight w:val="none"/>
        </w:rPr>
        <w:t>合同工程提前竣工，发包人应承担承包人由此增加的费用，并按照第66.1款规定向承包人支付提前竣工奖。</w:t>
      </w:r>
    </w:p>
    <w:p w14:paraId="749397BC">
      <w:pPr>
        <w:pStyle w:val="22"/>
        <w:tabs>
          <w:tab w:val="left" w:pos="540"/>
        </w:tabs>
        <w:adjustRightInd w:val="0"/>
        <w:snapToGrid w:val="0"/>
        <w:spacing w:before="240" w:beforeLines="100" w:line="420" w:lineRule="exact"/>
        <w:rPr>
          <w:rFonts w:hAnsi="宋体"/>
          <w:b/>
          <w:bCs/>
          <w:caps/>
          <w:color w:val="auto"/>
          <w:sz w:val="22"/>
          <w:szCs w:val="22"/>
          <w:highlight w:val="none"/>
          <w:u w:val="single"/>
        </w:rPr>
      </w:pPr>
      <w:r>
        <w:rPr>
          <w:rFonts w:hint="eastAsia" w:hAnsi="宋体"/>
          <w:b/>
          <w:bCs/>
          <w:caps/>
          <w:color w:val="auto"/>
          <w:sz w:val="22"/>
          <w:szCs w:val="22"/>
          <w:highlight w:val="none"/>
          <w:u w:val="single"/>
        </w:rPr>
        <w:t xml:space="preserve">                                                                                </w:t>
      </w:r>
    </w:p>
    <w:p w14:paraId="59B77E35">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00" w:name="_Toc20783"/>
      <w:bookmarkStart w:id="301" w:name="_Toc3429"/>
      <w:bookmarkStart w:id="302" w:name="_Toc469384022"/>
      <w:r>
        <w:rPr>
          <w:rFonts w:hint="eastAsia" w:hAnsi="宋体"/>
          <w:b/>
          <w:bCs/>
          <w:color w:val="auto"/>
          <w:sz w:val="22"/>
          <w:szCs w:val="22"/>
          <w:highlight w:val="none"/>
        </w:rPr>
        <w:t>40  误期赔偿</w:t>
      </w:r>
      <w:bookmarkEnd w:id="300"/>
      <w:bookmarkEnd w:id="301"/>
      <w:bookmarkEnd w:id="302"/>
    </w:p>
    <w:p w14:paraId="2B3DD980">
      <w:pPr>
        <w:spacing w:line="420" w:lineRule="exact"/>
        <w:rPr>
          <w:rFonts w:ascii="宋体" w:hAnsi="宋体" w:cs="宋体"/>
          <w:b/>
          <w:bCs/>
          <w:caps/>
          <w:color w:val="auto"/>
          <w:sz w:val="22"/>
          <w:szCs w:val="22"/>
          <w:highlight w:val="none"/>
        </w:rPr>
      </w:pPr>
      <w:r>
        <w:rPr>
          <w:rFonts w:hint="eastAsia" w:ascii="宋体" w:hAnsi="宋体" w:cs="宋体"/>
          <w:b/>
          <w:bCs/>
          <w:color w:val="auto"/>
          <w:sz w:val="22"/>
          <w:szCs w:val="22"/>
          <w:highlight w:val="none"/>
        </w:rPr>
        <w:t>40.1</w:t>
      </w:r>
    </w:p>
    <w:p w14:paraId="2FA5D229">
      <w:pPr>
        <w:spacing w:line="420" w:lineRule="exact"/>
        <w:ind w:left="1619" w:leftChars="771"/>
        <w:rPr>
          <w:rFonts w:ascii="宋体" w:hAnsi="宋体" w:cs="宋体"/>
          <w:cap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17984"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155" name="文本框 157"/>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a:effectLst/>
                      </wps:spPr>
                      <wps:txbx>
                        <w:txbxContent>
                          <w:p w14:paraId="137262B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157" o:spid="_x0000_s1026" o:spt="202" type="#_x0000_t202" style="position:absolute;left:0pt;margin-left:-10.5pt;margin-top:8.2pt;height:25.85pt;width:77pt;z-index:251817984;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HW1ER1gAAAAkBAAAPAAAAAAAAAAEAIAAAACIAAABkcnMvZG93bnJldi54bWxQSwEC&#10;FAAUAAAACACHTuJAqzrAF70BAABtAwAADgAAAAAAAAABACAAAAAlAQAAZHJzL2Uyb0RvYy54bWxQ&#10;SwUGAAAAAAYABgBZAQAAVAUAAAAA&#10;">
                <v:fill on="f" focussize="0,0"/>
                <v:stroke on="f"/>
                <v:imagedata o:title=""/>
                <o:lock v:ext="edit" aspectratio="f"/>
                <v:textbox>
                  <w:txbxContent>
                    <w:p w14:paraId="137262B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宋体" w:hAnsi="宋体" w:cs="宋体"/>
          <w:caps/>
          <w:color w:val="auto"/>
          <w:sz w:val="22"/>
          <w:szCs w:val="22"/>
          <w:highlight w:val="none"/>
        </w:rPr>
        <w:t>如果承包人未按照第33.4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14:paraId="0C3A3659">
      <w:pPr>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40.2  </w:t>
      </w:r>
      <w:r>
        <w:rPr>
          <w:rFonts w:hint="eastAsia" w:ascii="宋体" w:hAnsi="宋体" w:cs="宋体"/>
          <w:b/>
          <w:bCs/>
          <w:color w:val="auto"/>
          <w:sz w:val="22"/>
          <w:szCs w:val="22"/>
          <w:highlight w:val="none"/>
          <w:u w:val="dotted"/>
        </w:rPr>
        <w:t xml:space="preserve">                                                                                                        </w:t>
      </w:r>
    </w:p>
    <w:p w14:paraId="5EA7E590">
      <w:pPr>
        <w:spacing w:line="420" w:lineRule="exact"/>
        <w:ind w:left="1619" w:leftChars="771" w:firstLine="74" w:firstLineChars="34"/>
        <w:rPr>
          <w:rFonts w:ascii="宋体" w:hAnsi="宋体" w:cs="宋体"/>
          <w:cap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156" name="文本框 158"/>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a:effectLst/>
                      </wps:spPr>
                      <wps:txbx>
                        <w:txbxContent>
                          <w:p w14:paraId="69DE18C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49D3CE0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wps:txbx>
                      <wps:bodyPr wrap="square" upright="1"/>
                    </wps:wsp>
                  </a:graphicData>
                </a:graphic>
              </wp:anchor>
            </w:drawing>
          </mc:Choice>
          <mc:Fallback>
            <w:pict>
              <v:shape id="文本框 158" o:spid="_x0000_s1026" o:spt="202" type="#_x0000_t202" style="position:absolute;left:0pt;margin-left:-9pt;margin-top:2.5pt;height:62.35pt;width:84.35pt;z-index:251819008;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5n7idYAAAAJAQAADwAAAAAAAAABACAAAAAiAAAAZHJzL2Rvd25yZXYueG1sUEsB&#10;AhQAFAAAAAgAh07iQByl5Ay+AQAAbgMAAA4AAAAAAAAAAQAgAAAAJQEAAGRycy9lMm9Eb2MueG1s&#10;UEsFBgAAAAAGAAYAWQEAAFUFAAAAAA==&#10;">
                <v:fill on="f" focussize="0,0"/>
                <v:stroke on="f"/>
                <v:imagedata o:title=""/>
                <o:lock v:ext="edit" aspectratio="f"/>
                <v:textbox>
                  <w:txbxContent>
                    <w:p w14:paraId="69DE18C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49D3CE0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宋体" w:hAnsi="宋体" w:cs="宋体"/>
          <w:caps/>
          <w:color w:val="auto"/>
          <w:sz w:val="22"/>
          <w:szCs w:val="22"/>
          <w:highlight w:val="none"/>
        </w:rPr>
        <w:t>误期（实际延误天数）按照实际施工天数减去计划施工天数计算，其公式为：</w:t>
      </w:r>
    </w:p>
    <w:p w14:paraId="65676611">
      <w:pPr>
        <w:spacing w:line="420" w:lineRule="exact"/>
        <w:ind w:firstLine="1540" w:firstLineChars="700"/>
        <w:rPr>
          <w:rFonts w:ascii="宋体" w:hAnsi="宋体" w:cs="宋体"/>
          <w:caps/>
          <w:color w:val="auto"/>
          <w:sz w:val="22"/>
          <w:szCs w:val="22"/>
          <w:highlight w:val="none"/>
        </w:rPr>
      </w:pPr>
      <w:r>
        <w:rPr>
          <w:rFonts w:hint="eastAsia" w:ascii="宋体" w:hAnsi="宋体" w:cs="宋体"/>
          <w:caps/>
          <w:color w:val="auto"/>
          <w:sz w:val="22"/>
          <w:szCs w:val="22"/>
          <w:highlight w:val="none"/>
        </w:rPr>
        <w:t>实际延误天数＝实际施工天数 － 计划施工天数</w:t>
      </w:r>
    </w:p>
    <w:p w14:paraId="410585F6">
      <w:pPr>
        <w:spacing w:line="420" w:lineRule="exact"/>
        <w:ind w:left="1680" w:leftChars="800"/>
        <w:rPr>
          <w:rFonts w:ascii="宋体" w:hAnsi="宋体" w:cs="宋体"/>
          <w:caps/>
          <w:color w:val="auto"/>
          <w:sz w:val="22"/>
          <w:szCs w:val="22"/>
          <w:highlight w:val="none"/>
        </w:rPr>
      </w:pPr>
      <w:r>
        <w:rPr>
          <w:rFonts w:hint="eastAsia" w:ascii="宋体" w:hAnsi="宋体" w:cs="宋体"/>
          <w:caps/>
          <w:color w:val="auto"/>
          <w:sz w:val="22"/>
          <w:szCs w:val="22"/>
          <w:highlight w:val="none"/>
        </w:rPr>
        <w:t>合同工程发生误期，承包人应赔偿发包人由此造成的损失，并按照第66.2款规定向发包人支付误期赔偿费。</w:t>
      </w:r>
    </w:p>
    <w:p w14:paraId="3ABDD32E">
      <w:pPr>
        <w:pStyle w:val="22"/>
        <w:adjustRightInd w:val="0"/>
        <w:snapToGrid w:val="0"/>
        <w:spacing w:line="420" w:lineRule="exact"/>
        <w:ind w:right="-238"/>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10B6C8D7">
      <w:pPr>
        <w:spacing w:line="420" w:lineRule="exact"/>
        <w:jc w:val="center"/>
        <w:outlineLvl w:val="1"/>
        <w:rPr>
          <w:rFonts w:ascii="方正小标宋_GBK" w:hAnsi="方正小标宋_GBK" w:eastAsia="方正小标宋_GBK" w:cs="方正小标宋_GBK"/>
          <w:b/>
          <w:bCs/>
          <w:color w:val="auto"/>
          <w:sz w:val="24"/>
          <w:szCs w:val="24"/>
          <w:highlight w:val="none"/>
        </w:rPr>
      </w:pPr>
      <w:bookmarkStart w:id="303" w:name="_Toc3304"/>
      <w:bookmarkStart w:id="304" w:name="_Toc469384023"/>
      <w:bookmarkStart w:id="305" w:name="_Toc20581"/>
      <w:bookmarkStart w:id="306" w:name="_Toc14441"/>
      <w:bookmarkStart w:id="307" w:name="_Toc155166148"/>
      <w:bookmarkStart w:id="308" w:name="_Toc23672"/>
      <w:r>
        <w:rPr>
          <w:rFonts w:hint="eastAsia" w:ascii="方正小标宋_GBK" w:hAnsi="方正小标宋_GBK" w:eastAsia="方正小标宋_GBK" w:cs="方正小标宋_GBK"/>
          <w:b/>
          <w:bCs/>
          <w:color w:val="auto"/>
          <w:sz w:val="24"/>
          <w:szCs w:val="24"/>
          <w:highlight w:val="none"/>
        </w:rPr>
        <w:t>五、质量与安全</w:t>
      </w:r>
      <w:bookmarkEnd w:id="303"/>
      <w:bookmarkEnd w:id="304"/>
      <w:bookmarkEnd w:id="305"/>
      <w:bookmarkEnd w:id="306"/>
      <w:bookmarkEnd w:id="307"/>
      <w:bookmarkEnd w:id="308"/>
    </w:p>
    <w:p w14:paraId="54FF483C">
      <w:pPr>
        <w:pStyle w:val="22"/>
        <w:adjustRightInd w:val="0"/>
        <w:snapToGrid w:val="0"/>
        <w:spacing w:line="420" w:lineRule="exact"/>
        <w:outlineLvl w:val="2"/>
        <w:rPr>
          <w:rFonts w:hAnsi="宋体"/>
          <w:b/>
          <w:bCs/>
          <w:color w:val="auto"/>
          <w:sz w:val="22"/>
          <w:szCs w:val="22"/>
          <w:highlight w:val="none"/>
        </w:rPr>
      </w:pPr>
      <w:bookmarkStart w:id="309" w:name="_Toc15481"/>
      <w:bookmarkStart w:id="310" w:name="_Toc23192"/>
      <w:bookmarkStart w:id="311" w:name="_Toc469384024"/>
      <w:r>
        <w:rPr>
          <w:rFonts w:hint="eastAsia" w:hAnsi="宋体"/>
          <w:b/>
          <w:bCs/>
          <w:color w:val="auto"/>
          <w:sz w:val="22"/>
          <w:szCs w:val="22"/>
          <w:highlight w:val="none"/>
        </w:rPr>
        <w:t>★41  质量与安全管理</w:t>
      </w:r>
      <w:bookmarkEnd w:id="309"/>
      <w:bookmarkEnd w:id="310"/>
      <w:bookmarkEnd w:id="311"/>
    </w:p>
    <w:p w14:paraId="2E5DD4CD">
      <w:pPr>
        <w:tabs>
          <w:tab w:val="left" w:pos="78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41.1 </w:t>
      </w:r>
      <w:r>
        <w:rPr>
          <w:rFonts w:hint="eastAsia" w:ascii="宋体" w:hAnsi="宋体" w:cs="宋体"/>
          <w:b/>
          <w:bCs/>
          <w:color w:val="auto"/>
          <w:sz w:val="22"/>
          <w:szCs w:val="22"/>
          <w:highlight w:val="none"/>
        </w:rPr>
        <w:tab/>
      </w:r>
    </w:p>
    <w:p w14:paraId="142DC44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157" name="文本框 159"/>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a:effectLst/>
                      </wps:spPr>
                      <wps:txbx>
                        <w:txbxContent>
                          <w:p w14:paraId="4790762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159" o:spid="_x0000_s1026" o:spt="202" type="#_x0000_t202" style="position:absolute;left:0pt;margin-left:-9pt;margin-top:-0.5pt;height:41.45pt;width:72pt;z-index:251820032;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Z8091QAAAAkBAAAPAAAAAAAAAAEAIAAAACIAAABkcnMvZG93bnJldi54bWxQSwEC&#10;FAAUAAAACACHTuJALN2Bbr4BAABtAwAADgAAAAAAAAABACAAAAAkAQAAZHJzL2Uyb0RvYy54bWxQ&#10;SwUGAAAAAAYABgBZAQAAVAUAAAAA&#10;">
                <v:fill on="f" focussize="0,0"/>
                <v:stroke on="f"/>
                <v:imagedata o:title=""/>
                <o:lock v:ext="edit" aspectratio="f"/>
                <v:textbox>
                  <w:txbxContent>
                    <w:p w14:paraId="4790762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hAnsi="宋体"/>
          <w:color w:val="auto"/>
          <w:sz w:val="22"/>
          <w:szCs w:val="22"/>
          <w:highlight w:val="none"/>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0F4FC39F">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41.2  </w:t>
      </w:r>
      <w:r>
        <w:rPr>
          <w:rFonts w:hint="eastAsia" w:ascii="宋体" w:hAnsi="宋体" w:cs="宋体"/>
          <w:b/>
          <w:bCs/>
          <w:color w:val="auto"/>
          <w:sz w:val="22"/>
          <w:szCs w:val="22"/>
          <w:highlight w:val="none"/>
          <w:u w:val="dotted"/>
        </w:rPr>
        <w:t xml:space="preserve">                                                                               </w:t>
      </w:r>
    </w:p>
    <w:p w14:paraId="4BF1462C">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158" name="文本框 160"/>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a:effectLst/>
                      </wps:spPr>
                      <wps:txbx>
                        <w:txbxContent>
                          <w:p w14:paraId="24C0603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160" o:spid="_x0000_s1026" o:spt="202" type="#_x0000_t202" style="position:absolute;left:0pt;margin-left:-9pt;margin-top:2.8pt;height:32.3pt;width:72pt;z-index:251821056;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S7iW9UAAAAIAQAADwAAAAAAAAABACAAAAAiAAAAZHJzL2Rvd25yZXYueG1sUEsBAhQA&#10;FAAAAAgAh07iQHkGeNq8AQAAbQMAAA4AAAAAAAAAAQAgAAAAJAEAAGRycy9lMm9Eb2MueG1sUEsF&#10;BgAAAAAGAAYAWQEAAFIFAAAAAA==&#10;">
                <v:fill on="f" focussize="0,0"/>
                <v:stroke on="f"/>
                <v:imagedata o:title=""/>
                <o:lock v:ext="edit" aspectratio="f"/>
                <v:textbox>
                  <w:txbxContent>
                    <w:p w14:paraId="24C0603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宋体" w:hAnsi="宋体" w:cs="宋体"/>
          <w:color w:val="auto"/>
          <w:sz w:val="22"/>
          <w:szCs w:val="22"/>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14:paraId="4AE269EF">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159" name="文本框 16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wps:spPr>
                      <wps:txbx>
                        <w:txbxContent>
                          <w:p w14:paraId="44D7776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161" o:spid="_x0000_s1026" o:spt="202" type="#_x0000_t202" style="position:absolute;left:0pt;margin-left:-9pt;margin-top:21.85pt;height:27pt;width:72pt;z-index:251822080;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5Azu9cAAAAJAQAADwAAAAAAAAABACAAAAAiAAAAZHJzL2Rvd25yZXYueG1sUEsB&#10;AhQAFAAAAAgAh07iQBBaxR+9AQAAbQMAAA4AAAAAAAAAAQAgAAAAJgEAAGRycy9lMm9Eb2MueG1s&#10;UEsFBgAAAAAGAAYAWQEAAFUFAAAAAA==&#10;">
                <v:fill on="f" focussize="0,0"/>
                <v:stroke on="f"/>
                <v:imagedata o:title=""/>
                <o:lock v:ext="edit" aspectratio="f"/>
                <v:textbox>
                  <w:txbxContent>
                    <w:p w14:paraId="44D7776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hint="eastAsia" w:ascii="宋体" w:hAnsi="宋体" w:cs="宋体"/>
          <w:b/>
          <w:bCs/>
          <w:color w:val="auto"/>
          <w:sz w:val="22"/>
          <w:szCs w:val="22"/>
          <w:highlight w:val="none"/>
        </w:rPr>
        <w:t xml:space="preserve">41.3  </w:t>
      </w:r>
      <w:r>
        <w:rPr>
          <w:rFonts w:hint="eastAsia" w:ascii="宋体" w:hAnsi="宋体" w:cs="宋体"/>
          <w:b/>
          <w:bCs/>
          <w:color w:val="auto"/>
          <w:sz w:val="22"/>
          <w:szCs w:val="22"/>
          <w:highlight w:val="none"/>
          <w:u w:val="dotted"/>
        </w:rPr>
        <w:t xml:space="preserve">                                                                                                       </w:t>
      </w:r>
    </w:p>
    <w:p w14:paraId="70F4E310">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3D7C71AA">
      <w:pPr>
        <w:pStyle w:val="12"/>
        <w:adjustRightInd w:val="0"/>
        <w:snapToGrid w:val="0"/>
        <w:spacing w:line="420" w:lineRule="exact"/>
        <w:ind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3104"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160" name="文本框 162"/>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a:effectLst/>
                      </wps:spPr>
                      <wps:txbx>
                        <w:txbxContent>
                          <w:p w14:paraId="604B9A50">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wrap="square" upright="1"/>
                    </wps:wsp>
                  </a:graphicData>
                </a:graphic>
              </wp:anchor>
            </w:drawing>
          </mc:Choice>
          <mc:Fallback>
            <w:pict>
              <v:shape id="文本框 162" o:spid="_x0000_s1026" o:spt="202" type="#_x0000_t202" style="position:absolute;left:0pt;margin-left:-9.1pt;margin-top:22pt;height:30.7pt;width:72pt;z-index:251823104;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3dhBL1gAAAAoBAAAPAAAAAAAAAAEAIAAAACIAAABkcnMvZG93bnJldi54bWxQSwEC&#10;FAAUAAAACACHTuJAhWsKYL0BAABtAwAADgAAAAAAAAABACAAAAAlAQAAZHJzL2Uyb0RvYy54bWxQ&#10;SwUGAAAAAAYABgBZAQAAVAUAAAAA&#10;">
                <v:fill on="f" focussize="0,0"/>
                <v:stroke on="f"/>
                <v:imagedata o:title=""/>
                <o:lock v:ext="edit" aspectratio="f"/>
                <v:textbox>
                  <w:txbxContent>
                    <w:p w14:paraId="604B9A50">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hint="eastAsia" w:ascii="宋体" w:hAnsi="宋体" w:cs="宋体"/>
          <w:b/>
          <w:bCs/>
          <w:color w:val="auto"/>
          <w:sz w:val="22"/>
          <w:szCs w:val="22"/>
          <w:highlight w:val="none"/>
        </w:rPr>
        <w:t xml:space="preserve">41.4  </w:t>
      </w:r>
      <w:r>
        <w:rPr>
          <w:rFonts w:hint="eastAsia" w:ascii="宋体" w:hAnsi="宋体" w:cs="宋体"/>
          <w:b/>
          <w:bCs/>
          <w:color w:val="auto"/>
          <w:sz w:val="22"/>
          <w:szCs w:val="22"/>
          <w:highlight w:val="none"/>
          <w:u w:val="dotted"/>
        </w:rPr>
        <w:t xml:space="preserve"> </w:t>
      </w:r>
      <w:r>
        <w:rPr>
          <w:rFonts w:hint="eastAsia" w:ascii="宋体" w:hAnsi="宋体" w:cs="宋体"/>
          <w:color w:val="auto"/>
          <w:sz w:val="22"/>
          <w:szCs w:val="22"/>
          <w:highlight w:val="none"/>
          <w:u w:val="dotted"/>
        </w:rPr>
        <w:t xml:space="preserve">                                                                                                       </w:t>
      </w:r>
    </w:p>
    <w:p w14:paraId="45CCA580">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14:paraId="4E1131C9">
      <w:pPr>
        <w:pStyle w:val="12"/>
        <w:adjustRightInd w:val="0"/>
        <w:snapToGrid w:val="0"/>
        <w:spacing w:line="420" w:lineRule="exact"/>
        <w:ind w:left="1619" w:leftChars="771" w:firstLine="0"/>
        <w:rPr>
          <w:rFonts w:ascii="宋体" w:hAnsi="宋体" w:cs="宋体"/>
          <w:color w:val="auto"/>
          <w:kern w:val="0"/>
          <w:sz w:val="22"/>
          <w:szCs w:val="22"/>
          <w:highlight w:val="none"/>
        </w:rPr>
      </w:pPr>
      <w:r>
        <w:rPr>
          <w:rFonts w:hint="eastAsia" w:ascii="宋体" w:hAnsi="宋体" w:cs="宋体"/>
          <w:color w:val="auto"/>
          <w:kern w:val="0"/>
          <w:sz w:val="22"/>
          <w:szCs w:val="22"/>
          <w:highlight w:val="none"/>
        </w:rPr>
        <w:t>因承包人原因造成工程质量未达到合同约定标准的，发包人有权要求承包人返工直至工程质量达到合同约定的标准为止，并由承包人承担由此增加的费用和延误工期的责任。</w:t>
      </w:r>
    </w:p>
    <w:p w14:paraId="0FD5622F">
      <w:pPr>
        <w:pStyle w:val="12"/>
        <w:adjustRightInd w:val="0"/>
        <w:snapToGrid w:val="0"/>
        <w:spacing w:line="420" w:lineRule="exact"/>
        <w:ind w:firstLine="0"/>
        <w:rPr>
          <w:rFonts w:ascii="宋体" w:hAnsi="宋体" w:cs="宋体"/>
          <w:color w:val="auto"/>
          <w:sz w:val="22"/>
          <w:szCs w:val="22"/>
          <w:highlight w:val="none"/>
        </w:rPr>
      </w:pPr>
      <w:r>
        <w:rPr>
          <w:rFonts w:hint="eastAsia" w:ascii="宋体" w:hAnsi="宋体" w:cs="宋体"/>
          <w:b/>
          <w:bCs/>
          <w:color w:val="auto"/>
          <w:sz w:val="22"/>
          <w:szCs w:val="22"/>
          <w:highlight w:val="none"/>
        </w:rPr>
        <w:t xml:space="preserve">41.5  </w:t>
      </w:r>
      <w:r>
        <w:rPr>
          <w:rFonts w:hint="eastAsia" w:ascii="宋体" w:hAnsi="宋体" w:cs="宋体"/>
          <w:b/>
          <w:bCs/>
          <w:color w:val="auto"/>
          <w:sz w:val="22"/>
          <w:szCs w:val="22"/>
          <w:highlight w:val="none"/>
          <w:u w:val="dotted"/>
        </w:rPr>
        <w:t xml:space="preserve"> </w:t>
      </w:r>
      <w:r>
        <w:rPr>
          <w:rFonts w:hint="eastAsia" w:ascii="宋体" w:hAnsi="宋体" w:cs="宋体"/>
          <w:color w:val="auto"/>
          <w:sz w:val="22"/>
          <w:szCs w:val="22"/>
          <w:highlight w:val="none"/>
          <w:u w:val="dotted"/>
        </w:rPr>
        <w:t xml:space="preserve">                                                                                </w:t>
      </w:r>
    </w:p>
    <w:p w14:paraId="2E280AA4">
      <w:pPr>
        <w:autoSpaceDE w:val="0"/>
        <w:autoSpaceDN w:val="0"/>
        <w:adjustRightInd w:val="0"/>
        <w:spacing w:line="420" w:lineRule="exact"/>
        <w:ind w:left="1495" w:leftChars="712"/>
        <w:jc w:val="left"/>
        <w:rPr>
          <w:rFonts w:ascii="宋体" w:hAnsi="宋体" w:cs="宋体"/>
          <w:color w:val="auto"/>
          <w:kern w:val="0"/>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161" name="文本框 16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013FDAD2">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wps:txbx>
                      <wps:bodyPr wrap="square" upright="1"/>
                    </wps:wsp>
                  </a:graphicData>
                </a:graphic>
              </wp:anchor>
            </w:drawing>
          </mc:Choice>
          <mc:Fallback>
            <w:pict>
              <v:shape id="文本框 163" o:spid="_x0000_s1026" o:spt="202" type="#_x0000_t202" style="position:absolute;left:0pt;margin-left:-9pt;margin-top:1.1pt;height:46.8pt;width:72pt;z-index:251824128;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tjQ0tUAAAAIAQAADwAAAAAAAAABACAAAAAiAAAAZHJzL2Rvd25yZXYueG1sUEsB&#10;AhQAFAAAAAgAh07iQB7ksTm/AQAAbQMAAA4AAAAAAAAAAQAgAAAAJAEAAGRycy9lMm9Eb2MueG1s&#10;UEsFBgAAAAAGAAYAWQEAAFUFAAAAAA==&#10;">
                <v:fill on="f" focussize="0,0"/>
                <v:stroke on="f"/>
                <v:imagedata o:title=""/>
                <o:lock v:ext="edit" aspectratio="f"/>
                <v:textbox>
                  <w:txbxContent>
                    <w:p w14:paraId="013FDAD2">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宋体" w:hAnsi="宋体" w:cs="宋体"/>
          <w:color w:val="auto"/>
          <w:kern w:val="0"/>
          <w:sz w:val="22"/>
          <w:szCs w:val="22"/>
          <w:highlight w:val="none"/>
        </w:rPr>
        <w:t>因发包人原因造成工程质量未达到合同约定标准的，由发包人承担由此增加的费用和延误工期的责任，增加的费用按本合同相关条款以及投标报价或预算的计价原则计算。</w:t>
      </w:r>
    </w:p>
    <w:p w14:paraId="01B664E3">
      <w:pPr>
        <w:autoSpaceDE w:val="0"/>
        <w:autoSpaceDN w:val="0"/>
        <w:adjustRightInd w:val="0"/>
        <w:spacing w:line="420" w:lineRule="exact"/>
        <w:jc w:val="lef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41.6 </w:t>
      </w:r>
      <w:r>
        <w:rPr>
          <w:rFonts w:hint="eastAsia" w:ascii="宋体" w:hAnsi="宋体" w:cs="宋体"/>
          <w:b/>
          <w:bCs/>
          <w:color w:val="auto"/>
          <w:sz w:val="22"/>
          <w:szCs w:val="22"/>
          <w:highlight w:val="none"/>
          <w:u w:val="dotted"/>
        </w:rPr>
        <w:t xml:space="preserve"> </w:t>
      </w:r>
      <w:r>
        <w:rPr>
          <w:rFonts w:hint="eastAsia" w:ascii="宋体" w:hAnsi="宋体" w:cs="宋体"/>
          <w:color w:val="auto"/>
          <w:sz w:val="22"/>
          <w:szCs w:val="22"/>
          <w:highlight w:val="none"/>
          <w:u w:val="dotted"/>
        </w:rPr>
        <w:t xml:space="preserve">                                                                               </w:t>
      </w:r>
    </w:p>
    <w:p w14:paraId="7E5E9A2C">
      <w:pPr>
        <w:autoSpaceDE w:val="0"/>
        <w:autoSpaceDN w:val="0"/>
        <w:adjustRightInd w:val="0"/>
        <w:spacing w:line="420" w:lineRule="exact"/>
        <w:ind w:left="1346" w:leftChars="641"/>
        <w:jc w:val="left"/>
        <w:rPr>
          <w:rFonts w:ascii="宋体" w:hAnsi="宋体" w:cs="宋体"/>
          <w:color w:val="auto"/>
          <w:kern w:val="0"/>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162" name="文本框 16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265AE9D1">
                            <w:pPr>
                              <w:rPr>
                                <w:rFonts w:cs="Times New Roman"/>
                                <w:color w:val="FF0000"/>
                              </w:rPr>
                            </w:pPr>
                            <w:r>
                              <w:rPr>
                                <w:rFonts w:hint="eastAsia" w:ascii="楷体_GB2312" w:hAnsi="宋体" w:eastAsia="楷体_GB2312" w:cs="楷体_GB2312"/>
                                <w:b/>
                                <w:bCs/>
                                <w:sz w:val="18"/>
                                <w:szCs w:val="18"/>
                              </w:rPr>
                              <w:t>监理人的质量检查和检验</w:t>
                            </w:r>
                          </w:p>
                        </w:txbxContent>
                      </wps:txbx>
                      <wps:bodyPr wrap="square" upright="1"/>
                    </wps:wsp>
                  </a:graphicData>
                </a:graphic>
              </wp:anchor>
            </w:drawing>
          </mc:Choice>
          <mc:Fallback>
            <w:pict>
              <v:shape id="文本框 164" o:spid="_x0000_s1026" o:spt="202" type="#_x0000_t202" style="position:absolute;left:0pt;margin-left:-9pt;margin-top:1.3pt;height:39pt;width:63pt;z-index:251825152;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4kbEE1AAAAAgBAAAPAAAAAAAAAAEAIAAAACIAAABkcnMvZG93bnJldi54bWxQSwECFAAU&#10;AAAACACHTuJAPU5ex7wBAABtAwAADgAAAAAAAAABACAAAAAjAQAAZHJzL2Uyb0RvYy54bWxQSwUG&#10;AAAAAAYABgBZAQAAUQUAAAAA&#10;">
                <v:fill on="f" focussize="0,0"/>
                <v:stroke on="f"/>
                <v:imagedata o:title=""/>
                <o:lock v:ext="edit" aspectratio="f"/>
                <v:textbox>
                  <w:txbxContent>
                    <w:p w14:paraId="265AE9D1">
                      <w:pPr>
                        <w:rPr>
                          <w:rFonts w:cs="Times New Roman"/>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宋体" w:hAnsi="宋体" w:cs="宋体"/>
          <w:color w:val="auto"/>
          <w:kern w:val="0"/>
          <w:sz w:val="22"/>
          <w:szCs w:val="22"/>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304929F2">
      <w:pPr>
        <w:pStyle w:val="12"/>
        <w:adjustRightInd w:val="0"/>
        <w:snapToGrid w:val="0"/>
        <w:spacing w:line="420" w:lineRule="exact"/>
        <w:ind w:firstLine="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0FC71297">
      <w:pPr>
        <w:pStyle w:val="12"/>
        <w:adjustRightInd w:val="0"/>
        <w:snapToGrid w:val="0"/>
        <w:spacing w:line="420" w:lineRule="exact"/>
        <w:ind w:firstLine="0"/>
        <w:outlineLvl w:val="2"/>
        <w:rPr>
          <w:rFonts w:ascii="宋体" w:hAnsi="宋体" w:cs="宋体"/>
          <w:b/>
          <w:bCs/>
          <w:color w:val="auto"/>
          <w:sz w:val="22"/>
          <w:szCs w:val="22"/>
          <w:highlight w:val="none"/>
        </w:rPr>
      </w:pPr>
      <w:bookmarkStart w:id="312" w:name="_Toc469384025"/>
      <w:bookmarkStart w:id="313" w:name="_Toc765"/>
      <w:bookmarkStart w:id="314" w:name="_Toc12496"/>
      <w:r>
        <w:rPr>
          <w:rFonts w:hint="eastAsia" w:ascii="宋体" w:hAnsi="宋体" w:cs="宋体"/>
          <w:b/>
          <w:bCs/>
          <w:color w:val="auto"/>
          <w:sz w:val="22"/>
          <w:szCs w:val="22"/>
          <w:highlight w:val="none"/>
        </w:rPr>
        <w:t>★42  质量标准</w:t>
      </w:r>
      <w:bookmarkEnd w:id="312"/>
      <w:bookmarkEnd w:id="313"/>
      <w:bookmarkEnd w:id="314"/>
    </w:p>
    <w:p w14:paraId="18D2A646">
      <w:pPr>
        <w:adjustRightInd w:val="0"/>
        <w:snapToGrid w:val="0"/>
        <w:spacing w:line="420" w:lineRule="exact"/>
        <w:jc w:val="lef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42.1 </w:t>
      </w:r>
    </w:p>
    <w:p w14:paraId="3969868E">
      <w:pPr>
        <w:adjustRightInd w:val="0"/>
        <w:snapToGrid w:val="0"/>
        <w:spacing w:line="420" w:lineRule="exact"/>
        <w:ind w:left="1619" w:leftChars="771"/>
        <w:jc w:val="lef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163" name="文本框 16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a:effectLst/>
                      </wps:spPr>
                      <wps:txbx>
                        <w:txbxContent>
                          <w:p w14:paraId="0B67DBC0">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wrap="square" upright="1"/>
                    </wps:wsp>
                  </a:graphicData>
                </a:graphic>
              </wp:anchor>
            </w:drawing>
          </mc:Choice>
          <mc:Fallback>
            <w:pict>
              <v:shape id="文本框 165" o:spid="_x0000_s1026" o:spt="202" type="#_x0000_t202" style="position:absolute;left:0pt;margin-left:-9pt;margin-top:0.65pt;height:30.7pt;width:72pt;z-index:251826176;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QjA/z1QAAAAgBAAAPAAAAAAAAAAEAIAAAACIAAABkcnMvZG93bnJldi54bWxQSwEC&#10;FAAUAAAACACHTuJACMy2/r4BAABtAwAADgAAAAAAAAABACAAAAAkAQAAZHJzL2Uyb0RvYy54bWxQ&#10;SwUGAAAAAAYABgBZAQAAVAUAAAAA&#10;">
                <v:fill on="f" focussize="0,0"/>
                <v:stroke on="f"/>
                <v:imagedata o:title=""/>
                <o:lock v:ext="edit" aspectratio="f"/>
                <v:textbox>
                  <w:txbxContent>
                    <w:p w14:paraId="0B67DBC0">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宋体" w:hAnsi="宋体" w:cs="宋体"/>
          <w:color w:val="auto"/>
          <w:sz w:val="22"/>
          <w:szCs w:val="22"/>
          <w:highlight w:val="none"/>
        </w:rPr>
        <w:t>合同双方当事人应在专用条款中约定工程质量标准，但不得低于国家或行业的强制性标准。工程质量应当达到专用条款约定的质量标准。</w:t>
      </w:r>
    </w:p>
    <w:p w14:paraId="7D98E36D">
      <w:pPr>
        <w:adjustRightInd w:val="0"/>
        <w:snapToGrid w:val="0"/>
        <w:spacing w:line="420" w:lineRule="exact"/>
        <w:ind w:left="1619" w:leftChars="771"/>
        <w:jc w:val="left"/>
        <w:rPr>
          <w:rFonts w:ascii="宋体" w:hAnsi="宋体" w:cs="宋体"/>
          <w:color w:val="auto"/>
          <w:sz w:val="22"/>
          <w:szCs w:val="22"/>
          <w:highlight w:val="none"/>
        </w:rPr>
      </w:pPr>
      <w:r>
        <w:rPr>
          <w:rFonts w:hint="eastAsia" w:ascii="宋体" w:hAnsi="宋体" w:cs="宋体"/>
          <w:color w:val="auto"/>
          <w:sz w:val="22"/>
          <w:szCs w:val="22"/>
          <w:highlight w:val="none"/>
        </w:rPr>
        <w:t>工程质量验收，按照合同约定的标准执行；合同没有约定的，按照国家或行业的质量验收标准执行。</w:t>
      </w:r>
    </w:p>
    <w:p w14:paraId="527C13D3">
      <w:pPr>
        <w:adjustRightInd w:val="0"/>
        <w:snapToGrid w:val="0"/>
        <w:spacing w:line="42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164" name="文本框 166"/>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a:effectLst/>
                      </wps:spPr>
                      <wps:txbx>
                        <w:txbxContent>
                          <w:p w14:paraId="088C76E8">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wrap="square" upright="1"/>
                    </wps:wsp>
                  </a:graphicData>
                </a:graphic>
              </wp:anchor>
            </w:drawing>
          </mc:Choice>
          <mc:Fallback>
            <w:pict>
              <v:shape id="文本框 166" o:spid="_x0000_s1026" o:spt="202" type="#_x0000_t202" style="position:absolute;left:0pt;margin-left:-9pt;margin-top:20.2pt;height:37.15pt;width:77pt;z-index:251827200;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9WCL9cAAAAKAQAADwAAAAAAAAABACAAAAAiAAAAZHJzL2Rvd25yZXYueG1sUEsB&#10;AhQAFAAAAAgAh07iQMQkroW9AQAAbQMAAA4AAAAAAAAAAQAgAAAAJgEAAGRycy9lMm9Eb2MueG1s&#10;UEsFBgAAAAAGAAYAWQEAAFUFAAAAAA==&#10;">
                <v:fill on="f" focussize="0,0"/>
                <v:stroke on="f"/>
                <v:imagedata o:title=""/>
                <o:lock v:ext="edit" aspectratio="f"/>
                <v:textbox>
                  <w:txbxContent>
                    <w:p w14:paraId="088C76E8">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hint="eastAsia" w:ascii="宋体" w:hAnsi="宋体" w:cs="宋体"/>
          <w:b/>
          <w:bCs/>
          <w:color w:val="auto"/>
          <w:sz w:val="22"/>
          <w:szCs w:val="22"/>
          <w:highlight w:val="none"/>
        </w:rPr>
        <w:t>42.2</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66B71C6D">
      <w:pPr>
        <w:adjustRightInd w:val="0"/>
        <w:snapToGrid w:val="0"/>
        <w:spacing w:line="420" w:lineRule="exact"/>
        <w:ind w:left="1620"/>
        <w:jc w:val="left"/>
        <w:rPr>
          <w:rFonts w:ascii="宋体" w:hAnsi="宋体" w:cs="宋体"/>
          <w:color w:val="auto"/>
          <w:sz w:val="22"/>
          <w:szCs w:val="22"/>
          <w:highlight w:val="none"/>
        </w:rPr>
      </w:pPr>
      <w:r>
        <w:rPr>
          <w:rFonts w:hint="eastAsia" w:ascii="宋体" w:hAnsi="宋体" w:cs="宋体"/>
          <w:color w:val="auto"/>
          <w:sz w:val="22"/>
          <w:szCs w:val="22"/>
          <w:highlight w:val="none"/>
        </w:rPr>
        <w:t>承包人对合同工程的质量向发包人负责，其职责包括但不限于下列内容：</w:t>
      </w:r>
    </w:p>
    <w:p w14:paraId="1F6BE87A">
      <w:pPr>
        <w:adjustRightInd w:val="0"/>
        <w:snapToGrid w:val="0"/>
        <w:spacing w:line="420" w:lineRule="exact"/>
        <w:ind w:left="1620"/>
        <w:jc w:val="left"/>
        <w:rPr>
          <w:rFonts w:ascii="宋体" w:hAnsi="宋体" w:cs="宋体"/>
          <w:color w:val="auto"/>
          <w:sz w:val="22"/>
          <w:szCs w:val="22"/>
          <w:highlight w:val="none"/>
        </w:rPr>
      </w:pPr>
      <w:r>
        <w:rPr>
          <w:rFonts w:hint="eastAsia" w:ascii="宋体" w:hAnsi="宋体" w:cs="宋体"/>
          <w:color w:val="auto"/>
          <w:sz w:val="22"/>
          <w:szCs w:val="22"/>
          <w:highlight w:val="none"/>
        </w:rPr>
        <w:t>(1) 编制施工技术方案，确定施工技术措施；</w:t>
      </w:r>
    </w:p>
    <w:p w14:paraId="59988730">
      <w:pPr>
        <w:adjustRightInd w:val="0"/>
        <w:snapToGrid w:val="0"/>
        <w:spacing w:line="420" w:lineRule="exact"/>
        <w:ind w:left="1620"/>
        <w:jc w:val="left"/>
        <w:rPr>
          <w:rFonts w:ascii="宋体" w:hAnsi="宋体" w:cs="宋体"/>
          <w:color w:val="auto"/>
          <w:sz w:val="22"/>
          <w:szCs w:val="22"/>
          <w:highlight w:val="none"/>
        </w:rPr>
      </w:pPr>
      <w:r>
        <w:rPr>
          <w:rFonts w:hint="eastAsia" w:ascii="宋体" w:hAnsi="宋体" w:cs="宋体"/>
          <w:color w:val="auto"/>
          <w:sz w:val="22"/>
          <w:szCs w:val="22"/>
          <w:highlight w:val="none"/>
        </w:rPr>
        <w:t>(2) 提供和组织足够的工程技术人员，检查和控制工程施工质量；</w:t>
      </w:r>
    </w:p>
    <w:p w14:paraId="37786215">
      <w:pPr>
        <w:adjustRightInd w:val="0"/>
        <w:snapToGrid w:val="0"/>
        <w:spacing w:line="420" w:lineRule="exact"/>
        <w:ind w:left="1621"/>
        <w:jc w:val="left"/>
        <w:rPr>
          <w:rFonts w:ascii="宋体" w:hAnsi="宋体" w:cs="宋体"/>
          <w:color w:val="auto"/>
          <w:sz w:val="22"/>
          <w:szCs w:val="22"/>
          <w:highlight w:val="none"/>
        </w:rPr>
      </w:pPr>
      <w:r>
        <w:rPr>
          <w:rFonts w:hint="eastAsia" w:ascii="宋体" w:hAnsi="宋体" w:cs="宋体"/>
          <w:color w:val="auto"/>
          <w:sz w:val="22"/>
          <w:szCs w:val="22"/>
          <w:highlight w:val="none"/>
        </w:rPr>
        <w:t>(3) 控制施工所用的材料和工程设备，使其符合标准与规范、设计要求及合同约定的标准；</w:t>
      </w:r>
    </w:p>
    <w:p w14:paraId="20BD3C1E">
      <w:pPr>
        <w:tabs>
          <w:tab w:val="right" w:pos="9864"/>
        </w:tabs>
        <w:adjustRightInd w:val="0"/>
        <w:snapToGrid w:val="0"/>
        <w:spacing w:line="420" w:lineRule="exact"/>
        <w:ind w:firstLine="1485" w:firstLineChars="675"/>
        <w:jc w:val="left"/>
        <w:rPr>
          <w:rFonts w:ascii="宋体" w:hAnsi="宋体" w:cs="宋体"/>
          <w:color w:val="auto"/>
          <w:sz w:val="22"/>
          <w:szCs w:val="22"/>
          <w:highlight w:val="none"/>
        </w:rPr>
      </w:pPr>
      <w:r>
        <w:rPr>
          <w:rFonts w:hint="eastAsia" w:ascii="宋体" w:hAnsi="宋体" w:cs="宋体"/>
          <w:color w:val="auto"/>
          <w:sz w:val="22"/>
          <w:szCs w:val="22"/>
          <w:highlight w:val="none"/>
        </w:rPr>
        <w:t>(4) 负责合同工程施工中出现质量问题或竣工验收不合格的返修工作；</w:t>
      </w:r>
    </w:p>
    <w:p w14:paraId="1879E355">
      <w:pPr>
        <w:adjustRightInd w:val="0"/>
        <w:snapToGrid w:val="0"/>
        <w:spacing w:line="420" w:lineRule="exact"/>
        <w:ind w:left="1617"/>
        <w:jc w:val="left"/>
        <w:rPr>
          <w:rFonts w:ascii="宋体" w:hAnsi="宋体" w:cs="宋体"/>
          <w:color w:val="auto"/>
          <w:sz w:val="22"/>
          <w:szCs w:val="22"/>
          <w:highlight w:val="none"/>
        </w:rPr>
      </w:pPr>
      <w:r>
        <w:rPr>
          <w:rFonts w:hint="eastAsia" w:ascii="宋体" w:hAnsi="宋体" w:cs="宋体"/>
          <w:color w:val="auto"/>
          <w:sz w:val="22"/>
          <w:szCs w:val="22"/>
          <w:highlight w:val="none"/>
        </w:rPr>
        <w:t>(5) 参加合同工程的所有验收工作，包括隐蔽验收、中间验收；参加竣工验收，组织分包人参加工程验收工作；</w:t>
      </w:r>
    </w:p>
    <w:p w14:paraId="6ECCA008">
      <w:pPr>
        <w:adjustRightInd w:val="0"/>
        <w:snapToGrid w:val="0"/>
        <w:spacing w:line="420" w:lineRule="exact"/>
        <w:ind w:left="1620"/>
        <w:jc w:val="left"/>
        <w:rPr>
          <w:rFonts w:ascii="宋体" w:hAnsi="宋体" w:cs="宋体"/>
          <w:color w:val="auto"/>
          <w:sz w:val="22"/>
          <w:szCs w:val="22"/>
          <w:highlight w:val="none"/>
        </w:rPr>
      </w:pPr>
      <w:r>
        <w:rPr>
          <w:rFonts w:hint="eastAsia" w:ascii="宋体" w:hAnsi="宋体" w:cs="宋体"/>
          <w:color w:val="auto"/>
          <w:sz w:val="22"/>
          <w:szCs w:val="22"/>
          <w:highlight w:val="none"/>
        </w:rPr>
        <w:t>(6) 承担质量保修期的工程保修责任；</w:t>
      </w:r>
    </w:p>
    <w:p w14:paraId="1FD6E2FA">
      <w:pPr>
        <w:adjustRightInd w:val="0"/>
        <w:snapToGrid w:val="0"/>
        <w:spacing w:line="420" w:lineRule="exact"/>
        <w:ind w:left="1620"/>
        <w:jc w:val="left"/>
        <w:rPr>
          <w:rFonts w:ascii="宋体" w:hAnsi="宋体" w:cs="宋体"/>
          <w:color w:val="auto"/>
          <w:sz w:val="22"/>
          <w:szCs w:val="22"/>
          <w:highlight w:val="none"/>
        </w:rPr>
      </w:pPr>
      <w:r>
        <w:rPr>
          <w:rFonts w:hint="eastAsia" w:ascii="宋体" w:hAnsi="宋体" w:cs="宋体"/>
          <w:color w:val="auto"/>
          <w:sz w:val="22"/>
          <w:szCs w:val="22"/>
          <w:highlight w:val="none"/>
        </w:rPr>
        <w:t>(7) 承担其他工程质量责任。</w:t>
      </w:r>
    </w:p>
    <w:p w14:paraId="4AE87E6E">
      <w:pPr>
        <w:adjustRightInd w:val="0"/>
        <w:snapToGrid w:val="0"/>
        <w:spacing w:line="420" w:lineRule="exact"/>
        <w:jc w:val="lef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165" name="文本框 167"/>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a:effectLst/>
                      </wps:spPr>
                      <wps:txbx>
                        <w:txbxContent>
                          <w:p w14:paraId="5A2CAED1">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167" o:spid="_x0000_s1026" o:spt="202" type="#_x0000_t202" style="position:absolute;left:0pt;margin-left:-9pt;margin-top:22.95pt;height:19.35pt;width:81pt;z-index:251828224;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zArD1gAAAAkBAAAPAAAAAAAAAAEAIAAAACIAAABkcnMvZG93bnJldi54bWxQSwEC&#10;FAAUAAAACACHTuJAXS8O/L0BAABuAwAADgAAAAAAAAABACAAAAAlAQAAZHJzL2Uyb0RvYy54bWxQ&#10;SwUGAAAAAAYABgBZAQAAVAUAAAAA&#10;">
                <v:fill on="f" focussize="0,0"/>
                <v:stroke on="f"/>
                <v:imagedata o:title=""/>
                <o:lock v:ext="edit" aspectratio="f"/>
                <v:textbox>
                  <w:txbxContent>
                    <w:p w14:paraId="5A2CAED1">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宋体" w:hAnsi="宋体" w:cs="宋体"/>
          <w:b/>
          <w:bCs/>
          <w:color w:val="auto"/>
          <w:sz w:val="22"/>
          <w:szCs w:val="22"/>
          <w:highlight w:val="none"/>
        </w:rPr>
        <w:t xml:space="preserve">42.3 </w:t>
      </w:r>
      <w:r>
        <w:rPr>
          <w:rFonts w:hint="eastAsia" w:ascii="宋体" w:hAnsi="宋体" w:cs="宋体"/>
          <w:b/>
          <w:bCs/>
          <w:color w:val="auto"/>
          <w:sz w:val="22"/>
          <w:szCs w:val="22"/>
          <w:highlight w:val="none"/>
          <w:u w:val="dotted"/>
        </w:rPr>
        <w:t xml:space="preserve">                                                                                                        </w:t>
      </w:r>
    </w:p>
    <w:p w14:paraId="21AB4399">
      <w:pPr>
        <w:pStyle w:val="34"/>
        <w:adjustRightInd w:val="0"/>
        <w:snapToGrid w:val="0"/>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w:t>承包人应建立健全完善的质量保证体系。</w:t>
      </w:r>
    </w:p>
    <w:p w14:paraId="7DEAD241">
      <w:pPr>
        <w:autoSpaceDE w:val="0"/>
        <w:autoSpaceDN w:val="0"/>
        <w:adjustRightInd w:val="0"/>
        <w:spacing w:line="420" w:lineRule="exact"/>
        <w:ind w:left="1556" w:leftChars="74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（1）承包人应向发包人和监理人提交工程质量保证体系及措施文件，建立完善的质量检查制度，并提交相应的工程质量文件。对于发包人和监理人违反法律规定和合同约定的错误指示，承包人有权拒绝实施。</w:t>
      </w:r>
    </w:p>
    <w:p w14:paraId="3FD656D9">
      <w:pPr>
        <w:pStyle w:val="34"/>
        <w:adjustRightInd w:val="0"/>
        <w:snapToGrid w:val="0"/>
        <w:spacing w:line="420" w:lineRule="exact"/>
        <w:ind w:left="1418" w:leftChars="675"/>
        <w:rPr>
          <w:rFonts w:ascii="宋体" w:cs="宋体"/>
          <w:color w:val="auto"/>
          <w:kern w:val="0"/>
          <w:sz w:val="22"/>
          <w:szCs w:val="22"/>
          <w:highlight w:val="none"/>
        </w:rPr>
      </w:pPr>
      <w:r>
        <w:rPr>
          <w:rFonts w:hint="eastAsia" w:ascii="宋体" w:cs="宋体"/>
          <w:color w:val="auto"/>
          <w:kern w:val="0"/>
          <w:sz w:val="22"/>
          <w:szCs w:val="22"/>
          <w:highlight w:val="none"/>
        </w:rPr>
        <w:t>（2）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14:paraId="61A22D77">
      <w:pPr>
        <w:adjustRightInd w:val="0"/>
        <w:snapToGrid w:val="0"/>
        <w:spacing w:line="420" w:lineRule="exact"/>
        <w:jc w:val="lef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166" name="文本框 168"/>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a:effectLst/>
                      </wps:spPr>
                      <wps:txbx>
                        <w:txbxContent>
                          <w:p w14:paraId="2DAF1473">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168" o:spid="_x0000_s1026" o:spt="202" type="#_x0000_t202" style="position:absolute;left:0pt;margin-left:-9pt;margin-top:21.75pt;height:35.4pt;width:76.2pt;z-index:251829248;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BiSrL2AAAAAoBAAAPAAAAAAAAAAEAIAAAACIAAABkcnMvZG93bnJldi54bWxQ&#10;SwECFAAUAAAACACHTuJAdZ9ak74BAABtAwAADgAAAAAAAAABACAAAAAnAQAAZHJzL2Uyb0RvYy54&#10;bWxQSwUGAAAAAAYABgBZAQAAVwUAAAAA&#10;">
                <v:fill on="f" focussize="0,0"/>
                <v:stroke on="f"/>
                <v:imagedata o:title=""/>
                <o:lock v:ext="edit" aspectratio="f"/>
                <v:textbox>
                  <w:txbxContent>
                    <w:p w14:paraId="2DAF1473">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宋体" w:hAnsi="宋体" w:cs="宋体"/>
          <w:b/>
          <w:bCs/>
          <w:color w:val="auto"/>
          <w:sz w:val="22"/>
          <w:szCs w:val="22"/>
          <w:highlight w:val="none"/>
        </w:rPr>
        <w:t xml:space="preserve">42.4 </w:t>
      </w:r>
      <w:r>
        <w:rPr>
          <w:rFonts w:hint="eastAsia" w:ascii="宋体" w:hAnsi="宋体" w:cs="宋体"/>
          <w:b/>
          <w:bCs/>
          <w:color w:val="auto"/>
          <w:sz w:val="22"/>
          <w:szCs w:val="22"/>
          <w:highlight w:val="none"/>
          <w:u w:val="dotted"/>
        </w:rPr>
        <w:t xml:space="preserve">                                                                                                        </w:t>
      </w:r>
    </w:p>
    <w:p w14:paraId="67D53180">
      <w:pPr>
        <w:adjustRightInd w:val="0"/>
        <w:snapToGrid w:val="0"/>
        <w:spacing w:line="420" w:lineRule="exact"/>
        <w:ind w:left="1619" w:leftChars="771"/>
        <w:jc w:val="left"/>
        <w:rPr>
          <w:rFonts w:ascii="宋体" w:hAnsi="宋体" w:cs="宋体"/>
          <w:color w:val="auto"/>
          <w:sz w:val="22"/>
          <w:szCs w:val="22"/>
          <w:highlight w:val="none"/>
        </w:rPr>
      </w:pPr>
      <w:r>
        <w:rPr>
          <w:rFonts w:hint="eastAsia" w:ascii="宋体" w:hAnsi="宋体" w:cs="宋体"/>
          <w:color w:val="auto"/>
          <w:sz w:val="22"/>
          <w:szCs w:val="22"/>
          <w:highlight w:val="none"/>
        </w:rPr>
        <w:t>合同双方当事人对工程质量有争议的，按照第86.4款规定调解或认定，所需的费用及由此造成的损失，由责任方承担。双方均有责任的，由双方根据其责任划分分别承担。</w:t>
      </w:r>
    </w:p>
    <w:p w14:paraId="74592C58">
      <w:pPr>
        <w:adjustRightInd w:val="0"/>
        <w:snapToGrid w:val="0"/>
        <w:spacing w:line="420" w:lineRule="exact"/>
        <w:ind w:left="1619" w:leftChars="771"/>
        <w:jc w:val="left"/>
        <w:rPr>
          <w:rFonts w:ascii="宋体" w:hAnsi="宋体" w:cs="宋体"/>
          <w:color w:val="auto"/>
          <w:sz w:val="22"/>
          <w:szCs w:val="22"/>
          <w:highlight w:val="none"/>
        </w:rPr>
      </w:pPr>
    </w:p>
    <w:p w14:paraId="264D6014">
      <w:pPr>
        <w:tabs>
          <w:tab w:val="left" w:pos="1620"/>
        </w:tabs>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76E1FE14">
      <w:pPr>
        <w:pStyle w:val="4"/>
        <w:tabs>
          <w:tab w:val="left" w:pos="360"/>
          <w:tab w:val="left" w:pos="420"/>
        </w:tabs>
        <w:spacing w:line="420" w:lineRule="exact"/>
        <w:rPr>
          <w:rFonts w:ascii="宋体" w:hAnsi="宋体" w:cs="宋体"/>
          <w:color w:val="auto"/>
          <w:sz w:val="22"/>
          <w:szCs w:val="22"/>
          <w:highlight w:val="none"/>
        </w:rPr>
      </w:pPr>
      <w:bookmarkStart w:id="315" w:name="_Toc469384026"/>
      <w:bookmarkStart w:id="316" w:name="_Toc17537"/>
      <w:bookmarkStart w:id="317" w:name="_Toc30603"/>
      <w:r>
        <w:rPr>
          <w:rFonts w:hint="eastAsia" w:ascii="宋体" w:hAnsi="宋体" w:cs="宋体"/>
          <w:color w:val="auto"/>
          <w:sz w:val="22"/>
          <w:szCs w:val="22"/>
          <w:highlight w:val="none"/>
        </w:rPr>
        <w:t>★43  工程质量创优</w:t>
      </w:r>
      <w:bookmarkEnd w:id="315"/>
      <w:bookmarkEnd w:id="316"/>
      <w:bookmarkEnd w:id="317"/>
    </w:p>
    <w:p w14:paraId="2B203368">
      <w:pPr>
        <w:spacing w:line="420" w:lineRule="exact"/>
        <w:rPr>
          <w:rFonts w:ascii="宋体" w:hAnsi="宋体" w:cs="宋体"/>
          <w:b/>
          <w:bCs/>
          <w:caps/>
          <w:color w:val="auto"/>
          <w:sz w:val="22"/>
          <w:szCs w:val="22"/>
          <w:highlight w:val="none"/>
        </w:rPr>
      </w:pPr>
      <w:r>
        <w:rPr>
          <w:rFonts w:hint="eastAsia" w:ascii="宋体" w:hAnsi="宋体" w:cs="宋体"/>
          <w:b/>
          <w:bCs/>
          <w:caps/>
          <w:color w:val="auto"/>
          <w:sz w:val="22"/>
          <w:szCs w:val="22"/>
          <w:highlight w:val="none"/>
        </w:rPr>
        <w:t>43.1</w:t>
      </w:r>
    </w:p>
    <w:p w14:paraId="5DFEF85C">
      <w:pPr>
        <w:spacing w:line="420" w:lineRule="exact"/>
        <w:ind w:left="1619" w:leftChars="771"/>
        <w:rPr>
          <w:rFonts w:ascii="宋体" w:hAnsi="宋体" w:cs="宋体"/>
          <w:cap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167" name="文本框 16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2F3D08E5">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169" o:spid="_x0000_s1026" o:spt="202" type="#_x0000_t202" style="position:absolute;left:0pt;margin-left:-9pt;margin-top:3pt;height:39pt;width:72pt;z-index:251830272;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ED77VAAAACAEAAA8AAAAAAAAAAQAgAAAAIgAAAGRycy9kb3ducmV2LnhtbFBLAQIU&#10;ABQAAAAIAIdO4kA/gEYZvQEAAG0DAAAOAAAAAAAAAAEAIAAAACQBAABkcnMvZTJvRG9jLnhtbFBL&#10;BQYAAAAABgAGAFkBAABTBQAAAAA=&#10;">
                <v:fill on="f" focussize="0,0"/>
                <v:stroke on="f"/>
                <v:imagedata o:title=""/>
                <o:lock v:ext="edit" aspectratio="f"/>
                <v:textbox>
                  <w:txbxContent>
                    <w:p w14:paraId="2F3D08E5">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宋体" w:hAnsi="宋体" w:cs="宋体"/>
          <w:caps/>
          <w:color w:val="auto"/>
          <w:sz w:val="22"/>
          <w:szCs w:val="22"/>
          <w:highlight w:val="none"/>
        </w:rPr>
        <w:t>发包人应配合承包人加强合同工程质量与施工安全管理，鼓励承包人实施合同工程质量创优。对于合同工程质量标准高于国家规定或合同约定的质量验收合格标准的，应按照第67条规定向承包人支付工程优质费。</w:t>
      </w:r>
    </w:p>
    <w:p w14:paraId="382E7E8E">
      <w:pPr>
        <w:spacing w:line="420" w:lineRule="exact"/>
        <w:rPr>
          <w:rFonts w:ascii="宋体" w:hAnsi="宋体" w:cs="宋体"/>
          <w:b/>
          <w:bCs/>
          <w:caps/>
          <w:color w:val="auto"/>
          <w:sz w:val="22"/>
          <w:szCs w:val="22"/>
          <w:highlight w:val="none"/>
        </w:rPr>
      </w:pPr>
      <w:r>
        <w:rPr>
          <w:rFonts w:hint="eastAsia" w:ascii="宋体" w:hAnsi="宋体" w:cs="宋体"/>
          <w:b/>
          <w:bCs/>
          <w:color w:val="auto"/>
          <w:sz w:val="22"/>
          <w:szCs w:val="22"/>
          <w:highlight w:val="none"/>
        </w:rPr>
        <w:t xml:space="preserve">43.2 </w:t>
      </w:r>
      <w:r>
        <w:rPr>
          <w:rFonts w:hint="eastAsia" w:ascii="宋体" w:hAnsi="宋体" w:cs="宋体"/>
          <w:b/>
          <w:bCs/>
          <w:color w:val="auto"/>
          <w:sz w:val="22"/>
          <w:szCs w:val="22"/>
          <w:highlight w:val="none"/>
          <w:u w:val="dotted"/>
        </w:rPr>
        <w:t xml:space="preserve">                                                                              </w:t>
      </w:r>
    </w:p>
    <w:p w14:paraId="571427A5">
      <w:pPr>
        <w:spacing w:line="420" w:lineRule="exact"/>
        <w:ind w:left="1619" w:leftChars="771"/>
        <w:rPr>
          <w:rFonts w:ascii="宋体" w:hAnsi="宋体" w:cs="宋体"/>
          <w:cap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168" name="文本框 17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2FCE91B4">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170" o:spid="_x0000_s1026" o:spt="202" type="#_x0000_t202" style="position:absolute;left:0pt;margin-left:-9pt;margin-top:13.45pt;height:39pt;width:72pt;z-index:251831296;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cNfN1wAAAAoBAAAPAAAAAAAAAAEAIAAAACIAAABkcnMvZG93bnJldi54bWxQSwEC&#10;FAAUAAAACACHTuJAawxw67wBAABtAwAADgAAAAAAAAABACAAAAAmAQAAZHJzL2Uyb0RvYy54bWxQ&#10;SwUGAAAAAAYABgBZAQAAVAUAAAAA&#10;">
                <v:fill on="f" focussize="0,0"/>
                <v:stroke on="f"/>
                <v:imagedata o:title=""/>
                <o:lock v:ext="edit" aspectratio="f"/>
                <v:textbox>
                  <w:txbxContent>
                    <w:p w14:paraId="2FCE91B4">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宋体" w:hAnsi="宋体" w:cs="宋体"/>
          <w:caps/>
          <w:color w:val="auto"/>
          <w:sz w:val="22"/>
          <w:szCs w:val="22"/>
          <w:highlight w:val="none"/>
        </w:rPr>
        <w:t>承包人应采取有效措施确保合同工程质量与施工安全，在保证工程质量、施工安全达到国家或行业的强制性标准的前提下，提高工程质量与施工安全管理水平，争取合同工程质量创优。</w:t>
      </w:r>
    </w:p>
    <w:p w14:paraId="1450FF60">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aps/>
          <w:color w:val="auto"/>
          <w:sz w:val="22"/>
          <w:szCs w:val="22"/>
          <w:highlight w:val="none"/>
          <w:u w:val="single"/>
        </w:rPr>
        <w:t xml:space="preserve">                                                                                             </w:t>
      </w:r>
    </w:p>
    <w:p w14:paraId="7D11FD31">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18" w:name="_Toc2511"/>
      <w:bookmarkStart w:id="319" w:name="_Toc16645"/>
      <w:bookmarkStart w:id="320" w:name="_Toc469384027"/>
      <w:r>
        <w:rPr>
          <w:rFonts w:hint="eastAsia" w:hAnsi="宋体"/>
          <w:b/>
          <w:bCs/>
          <w:color w:val="auto"/>
          <w:sz w:val="22"/>
          <w:szCs w:val="22"/>
          <w:highlight w:val="none"/>
        </w:rPr>
        <w:t>44  工程的照管</w:t>
      </w:r>
      <w:bookmarkEnd w:id="318"/>
      <w:bookmarkEnd w:id="319"/>
      <w:bookmarkEnd w:id="320"/>
    </w:p>
    <w:p w14:paraId="39CBD1F2">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169" name="文本框 171"/>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a:effectLst/>
                      </wps:spPr>
                      <wps:txbx>
                        <w:txbxContent>
                          <w:p w14:paraId="2D3C6929">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171" o:spid="_x0000_s1026" o:spt="202" type="#_x0000_t202" style="position:absolute;left:0pt;margin-left:-9pt;margin-top:20.8pt;height:20.2pt;width:63pt;z-index:251832320;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4KDE1QAAAAkBAAAPAAAAAAAAAAEAIAAAACIAAABkcnMvZG93bnJldi54bWxQSwEC&#10;FAAUAAAACACHTuJAoITLwL4BAABtAwAADgAAAAAAAAABACAAAAAkAQAAZHJzL2Uyb0RvYy54bWxQ&#10;SwUGAAAAAAYABgBZAQAAVAUAAAAA&#10;">
                <v:fill on="f" focussize="0,0"/>
                <v:stroke on="f"/>
                <v:imagedata o:title=""/>
                <o:lock v:ext="edit" aspectratio="f"/>
                <v:textbox>
                  <w:txbxContent>
                    <w:p w14:paraId="2D3C6929">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宋体" w:hAnsi="宋体" w:cs="宋体"/>
          <w:b/>
          <w:bCs/>
          <w:color w:val="auto"/>
          <w:sz w:val="22"/>
          <w:szCs w:val="22"/>
          <w:highlight w:val="none"/>
        </w:rPr>
        <w:t xml:space="preserve">44.1  </w:t>
      </w:r>
    </w:p>
    <w:p w14:paraId="4539C3B7">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从开工之日起，承包人应全面负责照管合同工程及运至现场将用于和安装在合同工程中的材料和工程设备，直到合同双方当事人确认工程移交之日止。此后，工程的照管即转由发包人负责。</w:t>
      </w:r>
    </w:p>
    <w:p w14:paraId="6A95983E">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14:paraId="4F485647">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170" name="文本框 172"/>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a:effectLst/>
                      </wps:spPr>
                      <wps:txbx>
                        <w:txbxContent>
                          <w:p w14:paraId="6918AC2D">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wrap="square" upright="1"/>
                    </wps:wsp>
                  </a:graphicData>
                </a:graphic>
              </wp:anchor>
            </w:drawing>
          </mc:Choice>
          <mc:Fallback>
            <w:pict>
              <v:shape id="文本框 172" o:spid="_x0000_s1026" o:spt="202" type="#_x0000_t202" style="position:absolute;left:0pt;margin-left:-9pt;margin-top:21.8pt;height:56.55pt;width:72pt;z-index:251833344;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BsrFzYAAAACgEAAA8AAAAAAAAAAQAgAAAAIgAAAGRycy9kb3ducmV2LnhtbFBL&#10;AQIUABQAAAAIAIdO4kCkkZyCvQEAAG0DAAAOAAAAAAAAAAEAIAAAACcBAABkcnMvZTJvRG9jLnht&#10;bFBLBQYAAAAABgAGAFkBAABWBQAAAAA=&#10;">
                <v:fill on="f" focussize="0,0"/>
                <v:stroke on="f"/>
                <v:imagedata o:title=""/>
                <o:lock v:ext="edit" aspectratio="f"/>
                <v:textbox>
                  <w:txbxContent>
                    <w:p w14:paraId="6918AC2D">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hint="eastAsia" w:ascii="宋体" w:hAnsi="宋体" w:cs="宋体"/>
          <w:b/>
          <w:bCs/>
          <w:color w:val="auto"/>
          <w:sz w:val="22"/>
          <w:szCs w:val="22"/>
          <w:highlight w:val="none"/>
        </w:rPr>
        <w:t>44.2</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3DF4B347">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承包人在负责工程照管期间，如因自身原因造成合同工程或其任何部分，以及材料和工程设备或临时工程的损坏，承包人应自费修复上述损坏，保证合同工程质量达到合同约定的标准。</w:t>
      </w:r>
    </w:p>
    <w:p w14:paraId="729DF708">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20A1457F">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21" w:name="_Toc469384028"/>
      <w:bookmarkStart w:id="322" w:name="_Toc12505"/>
      <w:bookmarkStart w:id="323" w:name="_Toc11890"/>
      <w:r>
        <w:rPr>
          <w:rFonts w:hint="eastAsia" w:hAnsi="宋体"/>
          <w:b/>
          <w:bCs/>
          <w:color w:val="auto"/>
          <w:sz w:val="22"/>
          <w:szCs w:val="22"/>
          <w:highlight w:val="none"/>
        </w:rPr>
        <w:t xml:space="preserve">★45  </w:t>
      </w:r>
      <w:bookmarkEnd w:id="321"/>
      <w:r>
        <w:rPr>
          <w:rFonts w:hint="eastAsia" w:hAnsi="宋体"/>
          <w:b/>
          <w:bCs/>
          <w:color w:val="auto"/>
          <w:sz w:val="22"/>
          <w:szCs w:val="22"/>
          <w:highlight w:val="none"/>
        </w:rPr>
        <w:t>绿色施工安全防护</w:t>
      </w:r>
      <w:bookmarkEnd w:id="322"/>
      <w:bookmarkEnd w:id="323"/>
    </w:p>
    <w:p w14:paraId="19E48DC8">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171" name="文本框 173"/>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a:effectLst/>
                      </wps:spPr>
                      <wps:txbx>
                        <w:txbxContent>
                          <w:p w14:paraId="537E447A">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wps:txbx>
                      <wps:bodyPr wrap="square" upright="1"/>
                    </wps:wsp>
                  </a:graphicData>
                </a:graphic>
              </wp:anchor>
            </w:drawing>
          </mc:Choice>
          <mc:Fallback>
            <w:pict>
              <v:shape id="文本框 173" o:spid="_x0000_s1026" o:spt="202" type="#_x0000_t202" style="position:absolute;left:0pt;margin-left:-9pt;margin-top:17.6pt;height:54.25pt;width:77pt;z-index:251834368;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a+0RPYAAAACgEAAA8AAAAAAAAAAQAgAAAAIgAAAGRycy9kb3ducmV2LnhtbFBL&#10;AQIUABQAAAAIAIdO4kDUvDYWvQEAAG0DAAAOAAAAAAAAAAEAIAAAACcBAABkcnMvZTJvRG9jLnht&#10;bFBLBQYAAAAABgAGAFkBAABWBQAAAAA=&#10;">
                <v:fill on="f" focussize="0,0"/>
                <v:stroke on="f"/>
                <v:imagedata o:title=""/>
                <o:lock v:ext="edit" aspectratio="f"/>
                <v:textbox>
                  <w:txbxContent>
                    <w:p w14:paraId="537E447A">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hint="eastAsia" w:ascii="宋体" w:hAnsi="宋体" w:cs="宋体"/>
          <w:b/>
          <w:bCs/>
          <w:color w:val="auto"/>
          <w:sz w:val="22"/>
          <w:szCs w:val="22"/>
          <w:highlight w:val="none"/>
        </w:rPr>
        <w:t xml:space="preserve">45.1 </w:t>
      </w:r>
      <w:r>
        <w:rPr>
          <w:rFonts w:hint="eastAsia" w:ascii="宋体" w:hAnsi="宋体" w:cs="宋体"/>
          <w:b/>
          <w:bCs/>
          <w:color w:val="auto"/>
          <w:sz w:val="22"/>
          <w:szCs w:val="22"/>
          <w:highlight w:val="none"/>
        </w:rPr>
        <w:tab/>
      </w:r>
    </w:p>
    <w:p w14:paraId="1813EF64">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033999D0">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1456CEE5">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发包人应组织承包人和有关单位进行安全检查，授权监理工程师按合同约定的绿色施工安全防护内容监督、检查承包人实施绿色施工安全防护，并按照第 80 条规定及时向承包人支付绿色施工安全防护费。</w:t>
      </w:r>
    </w:p>
    <w:p w14:paraId="1A796C5F">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24AC0B9C">
      <w:pPr>
        <w:adjustRightInd w:val="0"/>
        <w:snapToGrid w:val="0"/>
        <w:spacing w:line="420" w:lineRule="exact"/>
        <w:ind w:left="1539" w:hanging="1539" w:hangingChars="697"/>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45.2  </w:t>
      </w:r>
      <w:r>
        <w:rPr>
          <w:rFonts w:hint="eastAsia" w:ascii="宋体" w:hAnsi="宋体" w:cs="宋体"/>
          <w:b/>
          <w:bCs/>
          <w:color w:val="auto"/>
          <w:sz w:val="22"/>
          <w:szCs w:val="22"/>
          <w:highlight w:val="none"/>
          <w:u w:val="dotted"/>
        </w:rPr>
        <w:t xml:space="preserve">                                                                               </w:t>
      </w:r>
    </w:p>
    <w:p w14:paraId="417510D1">
      <w:pPr>
        <w:adjustRightInd w:val="0"/>
        <w:snapToGrid w:val="0"/>
        <w:spacing w:line="420" w:lineRule="exact"/>
        <w:ind w:left="1539" w:hanging="1539" w:hangingChars="697"/>
        <w:rPr>
          <w:rFonts w:ascii="宋体" w:hAnsi="宋体" w:cs="宋体"/>
          <w:b/>
          <w:bCs/>
          <w:color w:val="auto"/>
          <w:sz w:val="22"/>
          <w:szCs w:val="22"/>
          <w:highlight w:val="none"/>
        </w:rPr>
      </w:pPr>
    </w:p>
    <w:p w14:paraId="68074B12">
      <w:pPr>
        <w:adjustRightInd w:val="0"/>
        <w:snapToGrid w:val="0"/>
        <w:spacing w:line="420" w:lineRule="exact"/>
        <w:ind w:left="1739" w:leftChars="828"/>
        <w:jc w:val="left"/>
        <w:rPr>
          <w:rFonts w:ascii="宋体" w:hAnsi="宋体" w:cs="宋体"/>
          <w:color w:val="auto"/>
          <w:sz w:val="22"/>
          <w:szCs w:val="22"/>
          <w:highlight w:val="none"/>
        </w:rPr>
      </w:pPr>
      <w:r>
        <w:rPr>
          <w:rFonts w:hint="eastAsia" w:ascii="宋体" w:hAnsi="宋体" w:cs="宋体"/>
          <w:color w:val="auto"/>
          <w:sz w:val="22"/>
          <w:szCs w:val="22"/>
          <w:highlight w:val="none"/>
        </w:rPr>
        <w:t>房屋建筑和市政基础设施工程应按国家、省、市住房城乡建设主管部门发布的有关用工实名制、工人工资支付分账管理办法、规定等文件要求实施用工实名制、工人工资支付分账。</w:t>
      </w:r>
      <w:r>
        <w:rPr>
          <w:rFonts w:hint="eastAsia" w:ascii="宋体" w:hAnsi="宋体" w:cs="宋体"/>
          <w:b/>
          <w:bCs/>
          <w:color w:val="auto"/>
          <w:sz w:val="22"/>
          <w:szCs w:val="22"/>
          <w:highlight w:val="none"/>
        </w:rPr>
        <w:t xml:space="preserve">                                                                            </w:t>
      </w:r>
      <w:r>
        <w:rPr>
          <w:rFonts w:hint="eastAsia" w:ascii="宋体" w:hAnsi="宋体" w:cs="宋体"/>
          <w:color w:val="auto"/>
          <w:sz w:val="22"/>
          <w:szCs w:val="22"/>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414" name="文本框 174"/>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a:effectLst/>
                      </wps:spPr>
                      <wps:txbx>
                        <w:txbxContent>
                          <w:p w14:paraId="4C514C0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wrap="square" upright="1"/>
                    </wps:wsp>
                  </a:graphicData>
                </a:graphic>
              </wp:anchor>
            </w:drawing>
          </mc:Choice>
          <mc:Fallback>
            <w:pict>
              <v:shape id="文本框 174" o:spid="_x0000_s1026" o:spt="202" type="#_x0000_t202" style="position:absolute;left:0pt;margin-left:-9pt;margin-top:0.1pt;height:47.8pt;width:77pt;z-index:251835392;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9ogsNUAAAAHAQAADwAAAAAAAAABACAAAAAiAAAAZHJzL2Rvd25yZXYueG1sUEsB&#10;AhQAFAAAAAgAh07iQJ2xjDG/AQAAbQMAAA4AAAAAAAAAAQAgAAAAJAEAAGRycy9lMm9Eb2MueG1s&#10;UEsFBgAAAAAGAAYAWQEAAFUFAAAAAA==&#10;">
                <v:fill on="f" focussize="0,0"/>
                <v:stroke on="f"/>
                <v:imagedata o:title=""/>
                <o:lock v:ext="edit" aspectratio="f"/>
                <v:textbox>
                  <w:txbxContent>
                    <w:p w14:paraId="4C514C0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14:paraId="02FEFF9F">
      <w:pPr>
        <w:adjustRightInd w:val="0"/>
        <w:snapToGrid w:val="0"/>
        <w:spacing w:line="420" w:lineRule="exact"/>
        <w:ind w:left="1739" w:leftChars="828"/>
        <w:jc w:val="left"/>
        <w:rPr>
          <w:rFonts w:ascii="宋体" w:hAnsi="宋体" w:cs="宋体"/>
          <w:color w:val="auto"/>
          <w:sz w:val="22"/>
          <w:szCs w:val="22"/>
          <w:highlight w:val="none"/>
        </w:rPr>
      </w:pPr>
      <w:r>
        <w:rPr>
          <w:rFonts w:hint="eastAsia" w:ascii="宋体" w:hAnsi="宋体" w:cs="宋体"/>
          <w:color w:val="auto"/>
          <w:sz w:val="22"/>
          <w:szCs w:val="22"/>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14:paraId="4547EBC1">
      <w:pPr>
        <w:adjustRightInd w:val="0"/>
        <w:snapToGrid w:val="0"/>
        <w:spacing w:line="420" w:lineRule="exact"/>
        <w:ind w:left="1739" w:leftChars="828"/>
        <w:jc w:val="left"/>
        <w:rPr>
          <w:rFonts w:ascii="宋体" w:hAnsi="宋体" w:cs="宋体"/>
          <w:color w:val="auto"/>
          <w:sz w:val="22"/>
          <w:szCs w:val="22"/>
          <w:highlight w:val="none"/>
        </w:rPr>
      </w:pPr>
      <w:r>
        <w:rPr>
          <w:rFonts w:hint="eastAsia" w:ascii="宋体" w:hAnsi="宋体" w:cs="宋体"/>
          <w:color w:val="auto"/>
          <w:sz w:val="22"/>
          <w:szCs w:val="22"/>
          <w:highlight w:val="none"/>
        </w:rPr>
        <w:t>建筑施工实名制以建设项目为管理单位。施工总承包企业对实名制管理负总责；专业承包企业和劳务分包企业按照合同约定，对本企业施工范围的实名制管理负责。</w:t>
      </w:r>
    </w:p>
    <w:p w14:paraId="7A58C041">
      <w:pPr>
        <w:adjustRightInd w:val="0"/>
        <w:snapToGrid w:val="0"/>
        <w:spacing w:line="420" w:lineRule="exact"/>
        <w:ind w:left="1637" w:leftChars="570" w:hanging="440" w:hangingChars="200"/>
        <w:rPr>
          <w:rFonts w:ascii="宋体" w:hAnsi="宋体" w:cs="宋体"/>
          <w:b/>
          <w:bCs/>
          <w:color w:val="auto"/>
          <w:sz w:val="22"/>
          <w:szCs w:val="22"/>
          <w:highlight w:val="none"/>
          <w:u w:val="dotted"/>
        </w:rPr>
      </w:pPr>
      <w:r>
        <w:rPr>
          <w:rFonts w:hint="eastAsia" w:ascii="宋体" w:hAnsi="宋体" w:cs="宋体"/>
          <w:color w:val="auto"/>
          <w:sz w:val="22"/>
          <w:szCs w:val="22"/>
          <w:highlight w:val="none"/>
        </w:rPr>
        <w:t xml:space="preserve">    建设单位、施工总承包企业、专业承包企业和劳务分包企业存在违反有关文件规定情形的，需承担相应的责任。</w:t>
      </w:r>
    </w:p>
    <w:p w14:paraId="4EAF1640">
      <w:pPr>
        <w:adjustRightInd w:val="0"/>
        <w:snapToGrid w:val="0"/>
        <w:spacing w:line="420" w:lineRule="exact"/>
        <w:rPr>
          <w:rFonts w:ascii="宋体" w:hAnsi="宋体" w:cs="宋体"/>
          <w:color w:val="auto"/>
          <w:sz w:val="22"/>
          <w:szCs w:val="22"/>
          <w:highlight w:val="none"/>
        </w:rPr>
      </w:pPr>
    </w:p>
    <w:p w14:paraId="77D2E22B">
      <w:pPr>
        <w:adjustRightInd w:val="0"/>
        <w:snapToGrid w:val="0"/>
        <w:spacing w:line="420" w:lineRule="exact"/>
        <w:ind w:left="1539" w:hanging="1539" w:hangingChars="697"/>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45.3  </w:t>
      </w:r>
      <w:r>
        <w:rPr>
          <w:rFonts w:hint="eastAsia" w:ascii="宋体" w:hAnsi="宋体" w:cs="宋体"/>
          <w:b/>
          <w:bCs/>
          <w:color w:val="auto"/>
          <w:sz w:val="22"/>
          <w:szCs w:val="22"/>
          <w:highlight w:val="none"/>
          <w:u w:val="dotted"/>
        </w:rPr>
        <w:t xml:space="preserve">                                                                               </w:t>
      </w:r>
    </w:p>
    <w:p w14:paraId="482083AC">
      <w:pPr>
        <w:adjustRightInd w:val="0"/>
        <w:snapToGrid w:val="0"/>
        <w:spacing w:line="420" w:lineRule="exact"/>
        <w:ind w:left="1539" w:hanging="1539" w:hangingChars="697"/>
        <w:rPr>
          <w:rFonts w:ascii="宋体" w:hAnsi="宋体" w:cs="宋体"/>
          <w:b/>
          <w:bCs/>
          <w:color w:val="auto"/>
          <w:sz w:val="22"/>
          <w:szCs w:val="22"/>
          <w:highlight w:val="none"/>
        </w:rPr>
      </w:pPr>
    </w:p>
    <w:p w14:paraId="0DCAC98D">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172" name="文本框 17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14:paraId="2DAD925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文本框 175" o:spid="_x0000_s1026" o:spt="202" type="#_x0000_t202" style="position:absolute;left:0pt;margin-left:-9pt;margin-top:0.1pt;height:31.2pt;width:77pt;z-index:251836416;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lDInUAAAABwEAAA8AAAAAAAAAAQAgAAAAIgAAAGRycy9kb3ducmV2LnhtbFBLAQIU&#10;ABQAAAAIAIdO4kB6XZ57vgEAAG0DAAAOAAAAAAAAAAEAIAAAACMBAABkcnMvZTJvRG9jLnhtbFBL&#10;BQYAAAAABgAGAFkBAABTBQAAAAA=&#10;">
                <v:fill on="f" focussize="0,0"/>
                <v:stroke on="f"/>
                <v:imagedata o:title=""/>
                <o:lock v:ext="edit" aspectratio="f"/>
                <v:textbox>
                  <w:txbxContent>
                    <w:p w14:paraId="2DAD925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宋体" w:hAnsi="宋体" w:cs="宋体"/>
          <w:color w:val="auto"/>
          <w:sz w:val="22"/>
          <w:szCs w:val="22"/>
          <w:highlight w:val="none"/>
        </w:rPr>
        <w:t>在合同工程实施、完成及保修期间，发包人承担下列责任：</w:t>
      </w:r>
    </w:p>
    <w:p w14:paraId="75AE8A75">
      <w:pPr>
        <w:adjustRightInd w:val="0"/>
        <w:snapToGrid w:val="0"/>
        <w:spacing w:line="420" w:lineRule="exact"/>
        <w:ind w:left="1619" w:leftChars="771" w:firstLine="55" w:firstLineChars="25"/>
        <w:rPr>
          <w:rFonts w:ascii="宋体" w:hAnsi="宋体" w:cs="宋体"/>
          <w:color w:val="auto"/>
          <w:sz w:val="22"/>
          <w:szCs w:val="22"/>
          <w:highlight w:val="none"/>
        </w:rPr>
      </w:pPr>
      <w:r>
        <w:rPr>
          <w:rFonts w:hint="eastAsia" w:ascii="宋体" w:hAnsi="宋体" w:cs="宋体"/>
          <w:color w:val="auto"/>
          <w:sz w:val="22"/>
          <w:szCs w:val="22"/>
          <w:highlight w:val="none"/>
        </w:rPr>
        <w:t>（1）发包人应配合承包人做好绿色施工安全防护工作，定期对其现场机构雇佣的全部人员进行绿色施工安全防护教育和培训。</w:t>
      </w:r>
    </w:p>
    <w:p w14:paraId="2C69E48D">
      <w:pPr>
        <w:adjustRightInd w:val="0"/>
        <w:snapToGrid w:val="0"/>
        <w:spacing w:line="420" w:lineRule="exact"/>
        <w:ind w:left="1575" w:leftChars="750"/>
        <w:rPr>
          <w:rFonts w:ascii="宋体" w:hAnsi="宋体" w:cs="宋体"/>
          <w:color w:val="auto"/>
          <w:sz w:val="22"/>
          <w:szCs w:val="22"/>
          <w:highlight w:val="none"/>
        </w:rPr>
      </w:pPr>
      <w:r>
        <w:rPr>
          <w:rFonts w:hint="eastAsia" w:ascii="宋体" w:hAnsi="宋体" w:cs="宋体"/>
          <w:color w:val="auto"/>
          <w:sz w:val="22"/>
          <w:szCs w:val="22"/>
          <w:highlight w:val="none"/>
        </w:rPr>
        <w:t>（2）发包人应对其现场机构雇佣的全部人员的安全事故承担责任，但由于承包人原因造成发包人人员安全事故的，应由承包人承担责任。</w:t>
      </w:r>
    </w:p>
    <w:p w14:paraId="4B504CE2">
      <w:pPr>
        <w:adjustRightInd w:val="0"/>
        <w:snapToGrid w:val="0"/>
        <w:spacing w:line="420" w:lineRule="exact"/>
        <w:ind w:left="1573" w:leftChars="743" w:hanging="13" w:hangingChars="6"/>
        <w:rPr>
          <w:rFonts w:ascii="宋体" w:hAnsi="宋体" w:cs="宋体"/>
          <w:color w:val="auto"/>
          <w:sz w:val="22"/>
          <w:szCs w:val="22"/>
          <w:highlight w:val="none"/>
        </w:rPr>
      </w:pPr>
      <w:r>
        <w:rPr>
          <w:rFonts w:hint="eastAsia" w:ascii="宋体" w:hAnsi="宋体" w:cs="宋体"/>
          <w:color w:val="auto"/>
          <w:sz w:val="22"/>
          <w:szCs w:val="22"/>
          <w:highlight w:val="none"/>
        </w:rPr>
        <w:t>（3）发包人有下列行为之一或由于发包人原因造成安全事故的，由发包人承担责任，由此增加的费用和延误的工期由发包人承担。</w:t>
      </w:r>
    </w:p>
    <w:p w14:paraId="1AAC0DD1">
      <w:pPr>
        <w:tabs>
          <w:tab w:val="left" w:pos="1980"/>
        </w:tabs>
        <w:adjustRightInd w:val="0"/>
        <w:snapToGrid w:val="0"/>
        <w:spacing w:line="420" w:lineRule="exact"/>
        <w:ind w:firstLine="1540" w:firstLineChars="700"/>
        <w:rPr>
          <w:rFonts w:ascii="宋体" w:hAnsi="宋体" w:cs="宋体"/>
          <w:color w:val="auto"/>
          <w:sz w:val="22"/>
          <w:szCs w:val="22"/>
          <w:highlight w:val="none"/>
        </w:rPr>
      </w:pPr>
      <w:r>
        <w:rPr>
          <w:rFonts w:hint="eastAsia" w:ascii="宋体" w:hAnsi="宋体" w:cs="宋体"/>
          <w:color w:val="auto"/>
          <w:sz w:val="22"/>
          <w:szCs w:val="22"/>
          <w:highlight w:val="none"/>
        </w:rPr>
        <w:t>1）要求承包人违反绿色施工安全防护操作规程施工的；</w:t>
      </w:r>
    </w:p>
    <w:p w14:paraId="2B1D1165">
      <w:pPr>
        <w:tabs>
          <w:tab w:val="left" w:pos="1980"/>
        </w:tabs>
        <w:adjustRightInd w:val="0"/>
        <w:snapToGrid w:val="0"/>
        <w:spacing w:line="420" w:lineRule="exact"/>
        <w:ind w:left="1619" w:leftChars="771" w:firstLine="55" w:firstLineChars="25"/>
        <w:rPr>
          <w:rFonts w:ascii="宋体" w:hAnsi="宋体" w:cs="宋体"/>
          <w:color w:val="auto"/>
          <w:sz w:val="22"/>
          <w:szCs w:val="22"/>
          <w:highlight w:val="none"/>
        </w:rPr>
      </w:pPr>
      <w:r>
        <w:rPr>
          <w:rFonts w:hint="eastAsia" w:ascii="宋体" w:hAnsi="宋体" w:cs="宋体"/>
          <w:color w:val="auto"/>
          <w:sz w:val="22"/>
          <w:szCs w:val="22"/>
          <w:highlight w:val="none"/>
        </w:rPr>
        <w:t>2）对承包人提出不符合国家、省有关安绿色施工安全防护全文明施工法律和强制性标准规定要求的；</w:t>
      </w:r>
    </w:p>
    <w:p w14:paraId="429F1A16">
      <w:pPr>
        <w:tabs>
          <w:tab w:val="left" w:pos="1980"/>
        </w:tabs>
        <w:adjustRightInd w:val="0"/>
        <w:snapToGrid w:val="0"/>
        <w:spacing w:line="420" w:lineRule="exact"/>
        <w:ind w:left="1676" w:leftChars="798"/>
        <w:rPr>
          <w:rFonts w:ascii="宋体" w:hAnsi="宋体" w:cs="宋体"/>
          <w:color w:val="auto"/>
          <w:sz w:val="22"/>
          <w:szCs w:val="22"/>
          <w:highlight w:val="none"/>
        </w:rPr>
      </w:pPr>
      <w:r>
        <w:rPr>
          <w:rFonts w:hint="eastAsia" w:ascii="宋体" w:hAnsi="宋体" w:cs="宋体"/>
          <w:color w:val="auto"/>
          <w:sz w:val="22"/>
          <w:szCs w:val="22"/>
          <w:highlight w:val="none"/>
        </w:rPr>
        <w:t>3）明示或暗示承包人购买、租赁、使用不符合安全施工要求的安全防护用具、机械设备、施工机具及配件、消防设施和器材的。</w:t>
      </w:r>
    </w:p>
    <w:p w14:paraId="075E7E93">
      <w:pPr>
        <w:adjustRightInd w:val="0"/>
        <w:snapToGrid w:val="0"/>
        <w:spacing w:line="420" w:lineRule="exact"/>
        <w:ind w:firstLine="1430" w:firstLineChars="650"/>
        <w:rPr>
          <w:rFonts w:ascii="宋体" w:hAnsi="宋体" w:cs="宋体"/>
          <w:color w:val="auto"/>
          <w:sz w:val="22"/>
          <w:szCs w:val="22"/>
          <w:highlight w:val="none"/>
        </w:rPr>
      </w:pPr>
      <w:r>
        <w:rPr>
          <w:rFonts w:hint="eastAsia" w:ascii="宋体" w:hAnsi="宋体" w:cs="宋体"/>
          <w:color w:val="auto"/>
          <w:sz w:val="22"/>
          <w:szCs w:val="22"/>
          <w:highlight w:val="none"/>
        </w:rPr>
        <w:t>（4）发包人应负责赔偿下列情形造成的第三者人身伤亡和财产损失。</w:t>
      </w:r>
    </w:p>
    <w:p w14:paraId="6382FA5E">
      <w:pPr>
        <w:adjustRightInd w:val="0"/>
        <w:snapToGrid w:val="0"/>
        <w:spacing w:line="420" w:lineRule="exact"/>
        <w:ind w:firstLine="1540" w:firstLineChars="700"/>
        <w:rPr>
          <w:rFonts w:ascii="宋体" w:hAnsi="宋体" w:cs="宋体"/>
          <w:color w:val="auto"/>
          <w:sz w:val="22"/>
          <w:szCs w:val="22"/>
          <w:highlight w:val="none"/>
        </w:rPr>
      </w:pPr>
      <w:r>
        <w:rPr>
          <w:rFonts w:hint="eastAsia" w:ascii="宋体" w:hAnsi="宋体" w:cs="宋体"/>
          <w:color w:val="auto"/>
          <w:sz w:val="22"/>
          <w:szCs w:val="22"/>
          <w:highlight w:val="none"/>
        </w:rPr>
        <w:t>1）工程或工程的任何部分对土地的占用所造成的第三者财产损失；</w:t>
      </w:r>
    </w:p>
    <w:p w14:paraId="57687387">
      <w:pPr>
        <w:adjustRightInd w:val="0"/>
        <w:snapToGrid w:val="0"/>
        <w:spacing w:line="420" w:lineRule="exact"/>
        <w:ind w:left="1786" w:leftChars="798" w:hanging="110" w:hangingChars="50"/>
        <w:rPr>
          <w:rFonts w:ascii="宋体" w:hAnsi="宋体" w:cs="宋体"/>
          <w:color w:val="auto"/>
          <w:sz w:val="22"/>
          <w:szCs w:val="22"/>
          <w:highlight w:val="none"/>
        </w:rPr>
      </w:pPr>
      <w:r>
        <w:rPr>
          <w:rFonts w:hint="eastAsia" w:ascii="宋体" w:hAnsi="宋体" w:cs="宋体"/>
          <w:color w:val="auto"/>
          <w:sz w:val="22"/>
          <w:szCs w:val="22"/>
          <w:highlight w:val="none"/>
        </w:rPr>
        <w:t>2）由于发包人原因在施工场地及其毗邻造成的第三者人身伤亡和财产损失。</w:t>
      </w:r>
    </w:p>
    <w:p w14:paraId="69424761">
      <w:pPr>
        <w:adjustRightInd w:val="0"/>
        <w:snapToGrid w:val="0"/>
        <w:spacing w:line="420" w:lineRule="exac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45.4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7FB1B643">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173" name="文本框 176"/>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a:effectLst/>
                      </wps:spPr>
                      <wps:txbx>
                        <w:txbxContent>
                          <w:p w14:paraId="7144418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176" o:spid="_x0000_s1026" o:spt="202" type="#_x0000_t202" style="position:absolute;left:0pt;margin-left:-9pt;margin-top:15.6pt;height:44.65pt;width:81pt;z-index:251837440;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AWbBbYAAAACgEAAA8AAAAAAAAAAQAgAAAAIgAAAGRycy9kb3ducmV2LnhtbFBL&#10;AQIUABQAAAAIAIdO4kA3Oq+/vQEAAG4DAAAOAAAAAAAAAAEAIAAAACcBAABkcnMvZTJvRG9jLnht&#10;bFBLBQYAAAAABgAGAFkBAABWBQAAAAA=&#10;">
                <v:fill on="f" focussize="0,0"/>
                <v:stroke on="f"/>
                <v:imagedata o:title=""/>
                <o:lock v:ext="edit" aspectratio="f"/>
                <v:textbox>
                  <w:txbxContent>
                    <w:p w14:paraId="7144418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14:paraId="1773B208">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在合同工程实施、完成及保修期间，承包人承担下列责任：</w:t>
      </w:r>
    </w:p>
    <w:p w14:paraId="52B4360A">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（1）承包人应严格按照国家、省、市有关绿色施工安全防护的标准、内容与规范制定绿色施工安全防护操作规程，配备必要的安全生产和劳动保护设施，加强对承包人人员的施工安全教育和培训。</w:t>
      </w:r>
    </w:p>
    <w:p w14:paraId="0FB6DE47">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（2）承包人应对合同工程的绿色施工安全防护负责，采取有效的安全措施消除安全事故隐患，并接受和配合依法实施的监督检查。</w:t>
      </w:r>
    </w:p>
    <w:p w14:paraId="0C0DF953">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3）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3C88BC31">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（4）承包人应按监理工程师的指令制定应对灾害的紧急预案，并按预案做好安全检查，配置必要的救助物资和器材，切实保护好有关人员的人身和财产安全。</w:t>
      </w:r>
    </w:p>
    <w:p w14:paraId="14F59728">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（5）承包人违反本条规定或由于承包人原因造成安全事故的，由承包人承担责任，由此增加的费用和延误的工期由承包人承担。</w:t>
      </w:r>
    </w:p>
    <w:p w14:paraId="5C52DD86">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（6）承包人应对其履行合同所雇佣的全部人员，包括分包人人员的安全事故承担责任，但由于发包人原因造成承包人人员安全事故的，应由发包人承担责任。</w:t>
      </w:r>
    </w:p>
    <w:p w14:paraId="16E4DF5B">
      <w:pPr>
        <w:adjustRightInd w:val="0"/>
        <w:snapToGrid w:val="0"/>
        <w:spacing w:line="420" w:lineRule="exact"/>
        <w:ind w:left="1619" w:leftChars="771" w:firstLine="55" w:firstLineChars="25"/>
        <w:rPr>
          <w:rFonts w:ascii="宋体" w:hAnsi="宋体" w:cs="宋体"/>
          <w:color w:val="auto"/>
          <w:sz w:val="22"/>
          <w:szCs w:val="22"/>
          <w:highlight w:val="none"/>
        </w:rPr>
      </w:pPr>
      <w:r>
        <w:rPr>
          <w:rFonts w:hint="eastAsia" w:ascii="宋体" w:hAnsi="宋体" w:cs="宋体"/>
          <w:color w:val="auto"/>
          <w:sz w:val="22"/>
          <w:szCs w:val="22"/>
          <w:highlight w:val="none"/>
        </w:rPr>
        <w:t>（7）由于承包人原因在施工场地内及其毗邻造成的第三者人身伤亡和财产损失，由承包人负责赔偿。</w:t>
      </w:r>
    </w:p>
    <w:p w14:paraId="1ABEA3CC">
      <w:pPr>
        <w:adjustRightInd w:val="0"/>
        <w:snapToGrid w:val="0"/>
        <w:spacing w:line="420" w:lineRule="exac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45.5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417C8B2F">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174" name="文本框 177"/>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a:effectLst/>
                      </wps:spPr>
                      <wps:txbx>
                        <w:txbxContent>
                          <w:p w14:paraId="02E3672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177" o:spid="_x0000_s1026" o:spt="202" type="#_x0000_t202" style="position:absolute;left:0pt;margin-left:-9pt;margin-top:17.3pt;height:37.75pt;width:75.15pt;z-index:251838464;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Gx7BrXAAAACgEAAA8AAAAAAAAAAQAgAAAAIgAAAGRycy9kb3ducmV2LnhtbFBL&#10;AQIUABQAAAAIAIdO4kC5OasuvgEAAG0DAAAOAAAAAAAAAAEAIAAAACYBAABkcnMvZTJvRG9jLnht&#10;bFBLBQYAAAAABgAGAFkBAABWBQAAAAA=&#10;">
                <v:fill on="f" focussize="0,0"/>
                <v:stroke on="f"/>
                <v:imagedata o:title=""/>
                <o:lock v:ext="edit" aspectratio="f"/>
                <v:textbox>
                  <w:txbxContent>
                    <w:p w14:paraId="02E3672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14:paraId="216A72B1">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14:paraId="2494C935">
      <w:pPr>
        <w:adjustRightInd w:val="0"/>
        <w:snapToGrid w:val="0"/>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45.6</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r>
        <w:rPr>
          <w:rFonts w:hint="eastAsia" w:ascii="宋体" w:hAnsi="宋体" w:cs="宋体"/>
          <w:color w:val="auto"/>
          <w:sz w:val="22"/>
          <w:szCs w:val="22"/>
          <w:highlight w:val="none"/>
        </w:rPr>
        <w:t xml:space="preserve"> </w:t>
      </w:r>
    </w:p>
    <w:p w14:paraId="1CA58381">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9488"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175" name="文本框 178"/>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a:effectLst/>
                      </wps:spPr>
                      <wps:txbx>
                        <w:txbxContent>
                          <w:p w14:paraId="29CE759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178" o:spid="_x0000_s1026" o:spt="202" type="#_x0000_t202" style="position:absolute;left:0pt;margin-left:-6.6pt;margin-top:0.9pt;height:56.7pt;width:63pt;z-index:251839488;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NgRjR1AAAAAkBAAAPAAAAAAAAAAEAIAAAACIAAABkcnMvZG93bnJldi54bWxQSwECFAAU&#10;AAAACACHTuJAexk8AbwBAABtAwAADgAAAAAAAAABACAAAAAjAQAAZHJzL2Uyb0RvYy54bWxQSwUG&#10;AAAAAAYABgBZAQAAUQUAAAAA&#10;">
                <v:fill on="f" focussize="0,0"/>
                <v:stroke on="f"/>
                <v:imagedata o:title=""/>
                <o:lock v:ext="edit" aspectratio="f"/>
                <v:textbox>
                  <w:txbxContent>
                    <w:p w14:paraId="29CE759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宋体" w:hAnsi="宋体" w:cs="宋体"/>
          <w:color w:val="auto"/>
          <w:sz w:val="22"/>
          <w:szCs w:val="22"/>
          <w:highlight w:val="none"/>
        </w:rPr>
        <w:t>合同双方当事人不仅应协助现场治安管理机构或联防组织维护施工场地的社会治安，而且应做好包括有关人员现场生活、居住场所在内的施工场地内的治安保卫工作。</w:t>
      </w:r>
    </w:p>
    <w:p w14:paraId="485548A4">
      <w:pPr>
        <w:adjustRightInd w:val="0"/>
        <w:snapToGrid w:val="0"/>
        <w:spacing w:line="420" w:lineRule="exact"/>
        <w:ind w:left="1575" w:leftChars="750"/>
        <w:rPr>
          <w:rFonts w:ascii="宋体" w:hAnsi="宋体" w:cs="宋体"/>
          <w:color w:val="auto"/>
          <w:sz w:val="22"/>
          <w:szCs w:val="22"/>
          <w:highlight w:val="none"/>
        </w:rPr>
      </w:pPr>
      <w:r>
        <w:rPr>
          <w:rFonts w:hint="eastAsia" w:ascii="宋体" w:hAnsi="宋体" w:cs="宋体"/>
          <w:color w:val="auto"/>
          <w:sz w:val="22"/>
          <w:szCs w:val="22"/>
          <w:highlight w:val="none"/>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28F5A65C">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45.7  </w:t>
      </w:r>
      <w:r>
        <w:rPr>
          <w:rFonts w:hint="eastAsia" w:ascii="宋体" w:hAnsi="宋体" w:cs="宋体"/>
          <w:b/>
          <w:bCs/>
          <w:color w:val="auto"/>
          <w:sz w:val="22"/>
          <w:szCs w:val="22"/>
          <w:highlight w:val="none"/>
          <w:u w:val="dotted"/>
        </w:rPr>
        <w:t xml:space="preserve">                                                                                                        </w:t>
      </w:r>
      <w:r>
        <w:rPr>
          <w:rFonts w:hint="eastAsia" w:ascii="宋体" w:hAnsi="宋体" w:cs="宋体"/>
          <w:b/>
          <w:bCs/>
          <w:color w:val="auto"/>
          <w:sz w:val="22"/>
          <w:szCs w:val="22"/>
          <w:highlight w:val="none"/>
        </w:rPr>
        <w:t xml:space="preserve"> </w:t>
      </w:r>
    </w:p>
    <w:p w14:paraId="7DC8C346">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40512"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176" name="文本框 179"/>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a:effectLst/>
                      </wps:spPr>
                      <wps:txbx>
                        <w:txbxContent>
                          <w:p w14:paraId="2FDD9BF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wrap="square" upright="1"/>
                    </wps:wsp>
                  </a:graphicData>
                </a:graphic>
              </wp:anchor>
            </w:drawing>
          </mc:Choice>
          <mc:Fallback>
            <w:pict>
              <v:shape id="文本框 179" o:spid="_x0000_s1026" o:spt="202" type="#_x0000_t202" style="position:absolute;left:0pt;margin-left:-5.8pt;margin-top:1.25pt;height:51.25pt;width:68.8pt;z-index:251840512;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AGb9YAAAAJAQAADwAAAAAAAAABACAAAAAiAAAAZHJzL2Rvd25yZXYueG1sUEsB&#10;AhQAFAAAAAgAh07iQNSFyHe+AQAAbQMAAA4AAAAAAAAAAQAgAAAAJQEAAGRycy9lMm9Eb2MueG1s&#10;UEsFBgAAAAAGAAYAWQEAAFUFAAAAAA==&#10;">
                <v:fill on="f" focussize="0,0"/>
                <v:stroke on="f"/>
                <v:imagedata o:title=""/>
                <o:lock v:ext="edit" aspectratio="f"/>
                <v:textbox>
                  <w:txbxContent>
                    <w:p w14:paraId="2FDD9BF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宋体" w:hAnsi="宋体" w:cs="宋体"/>
          <w:color w:val="auto"/>
          <w:sz w:val="22"/>
          <w:szCs w:val="22"/>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14:paraId="5868C747">
      <w:pPr>
        <w:adjustRightInd w:val="0"/>
        <w:snapToGrid w:val="0"/>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 xml:space="preserve">45.8  </w:t>
      </w:r>
      <w:r>
        <w:rPr>
          <w:rFonts w:hint="eastAsia" w:ascii="宋体" w:hAnsi="宋体" w:cs="宋体"/>
          <w:b/>
          <w:bCs/>
          <w:color w:val="auto"/>
          <w:sz w:val="22"/>
          <w:szCs w:val="22"/>
          <w:highlight w:val="none"/>
          <w:u w:val="dotted"/>
        </w:rPr>
        <w:t xml:space="preserve">                                                                                 </w:t>
      </w:r>
    </w:p>
    <w:p w14:paraId="6B16FDF6">
      <w:pPr>
        <w:adjustRightInd w:val="0"/>
        <w:snapToGrid w:val="0"/>
        <w:spacing w:line="420" w:lineRule="exact"/>
        <w:ind w:left="1619" w:leftChars="771"/>
        <w:rPr>
          <w:rFonts w:ascii="宋体" w:hAnsi="宋体" w:cs="宋体"/>
          <w:cap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177" name="文本框 180"/>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a:effectLst/>
                      </wps:spPr>
                      <wps:txbx>
                        <w:txbxContent>
                          <w:p w14:paraId="38CDE8A3">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wps:txbx>
                      <wps:bodyPr wrap="square" upright="1"/>
                    </wps:wsp>
                  </a:graphicData>
                </a:graphic>
              </wp:anchor>
            </w:drawing>
          </mc:Choice>
          <mc:Fallback>
            <w:pict>
              <v:shape id="文本框 180" o:spid="_x0000_s1026" o:spt="202" type="#_x0000_t202" style="position:absolute;left:0pt;margin-left:0pt;margin-top:1.35pt;height:46.8pt;width:68.8pt;z-index:251841536;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t6dMNQAAAAFAQAADwAAAAAAAAABACAAAAAiAAAAZHJzL2Rvd25yZXYueG1sUEsBAhQA&#10;FAAAAAgAh07iQBHEeBK9AQAAbQMAAA4AAAAAAAAAAQAgAAAAIwEAAGRycy9lMm9Eb2MueG1sUEsF&#10;BgAAAAAGAAYAWQEAAFIFAAAAAA==&#10;">
                <v:fill on="f" focussize="0,0"/>
                <v:stroke on="f"/>
                <v:imagedata o:title=""/>
                <o:lock v:ext="edit" aspectratio="f"/>
                <v:textbox>
                  <w:txbxContent>
                    <w:p w14:paraId="38CDE8A3">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宋体" w:hAnsi="宋体" w:cs="宋体"/>
          <w:caps/>
          <w:color w:val="auto"/>
          <w:sz w:val="22"/>
          <w:szCs w:val="22"/>
          <w:highlight w:val="none"/>
        </w:rPr>
        <w:t>发包人应配合承包人加强</w:t>
      </w:r>
      <w:r>
        <w:rPr>
          <w:rFonts w:hint="eastAsia" w:ascii="宋体" w:hAnsi="宋体" w:cs="宋体"/>
          <w:color w:val="auto"/>
          <w:sz w:val="22"/>
          <w:szCs w:val="22"/>
          <w:highlight w:val="none"/>
        </w:rPr>
        <w:t>绿色施工安全防护</w:t>
      </w:r>
      <w:r>
        <w:rPr>
          <w:rFonts w:hint="eastAsia" w:ascii="宋体" w:hAnsi="宋体" w:cs="宋体"/>
          <w:caps/>
          <w:color w:val="auto"/>
          <w:sz w:val="22"/>
          <w:szCs w:val="22"/>
          <w:highlight w:val="none"/>
        </w:rPr>
        <w:t>管理，鼓励承包人实施省、市级或其它级别文明工地。对于工程获得省、市级或其它级别文明工地的，应按照第80条规定向承包人支付文明工地增加费。</w:t>
      </w:r>
    </w:p>
    <w:p w14:paraId="58C01C9B">
      <w:pPr>
        <w:adjustRightInd w:val="0"/>
        <w:snapToGrid w:val="0"/>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 xml:space="preserve">45.9 </w:t>
      </w:r>
      <w:r>
        <w:rPr>
          <w:rFonts w:hint="eastAsia" w:ascii="宋体" w:hAnsi="宋体" w:cs="宋体"/>
          <w:b/>
          <w:bCs/>
          <w:color w:val="auto"/>
          <w:sz w:val="22"/>
          <w:szCs w:val="22"/>
          <w:highlight w:val="none"/>
          <w:u w:val="dotted"/>
        </w:rPr>
        <w:t xml:space="preserve">                                                                                 </w:t>
      </w:r>
    </w:p>
    <w:p w14:paraId="589B758A">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08" name="文本框 181"/>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a:effectLst/>
                      </wps:spPr>
                      <wps:txbx>
                        <w:txbxContent>
                          <w:p w14:paraId="5B3BE854">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181" o:spid="_x0000_s1026" o:spt="202" type="#_x0000_t202" style="position:absolute;left:0pt;margin-left:0pt;margin-top:1.35pt;height:46.8pt;width:68.8pt;z-index:251842560;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t6dMNQAAAAFAQAADwAAAAAAAAABACAAAAAiAAAAZHJzL2Rvd25yZXYueG1sUEsBAhQA&#10;FAAAAAgAh07iQPoD6gW9AQAAbQMAAA4AAAAAAAAAAQAgAAAAIwEAAGRycy9lMm9Eb2MueG1sUEsF&#10;BgAAAAAGAAYAWQEAAFIFAAAAAA==&#10;">
                <v:fill on="f" focussize="0,0"/>
                <v:stroke on="f"/>
                <v:imagedata o:title=""/>
                <o:lock v:ext="edit" aspectratio="f"/>
                <v:textbox>
                  <w:txbxContent>
                    <w:p w14:paraId="5B3BE854">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宋体" w:hAnsi="宋体" w:cs="宋体"/>
          <w:color w:val="auto"/>
          <w:sz w:val="22"/>
          <w:szCs w:val="22"/>
          <w:highlight w:val="none"/>
        </w:rPr>
        <w:t xml:space="preserve">          承包人应按照法律规定进行施工，开工前做好安全技术交底工作，施工过程中做好</w:t>
      </w:r>
    </w:p>
    <w:p w14:paraId="1A442D66">
      <w:pPr>
        <w:spacing w:line="420" w:lineRule="exact"/>
        <w:ind w:left="1556" w:leftChars="741"/>
        <w:rPr>
          <w:rFonts w:ascii="宋体" w:hAnsi="宋体" w:cs="宋体"/>
          <w:color w:val="auto"/>
          <w:sz w:val="22"/>
          <w:szCs w:val="22"/>
          <w:highlight w:val="none"/>
        </w:rPr>
      </w:pPr>
      <w:r>
        <w:rPr>
          <w:rFonts w:hint="eastAsia" w:ascii="宋体" w:hAnsi="宋体" w:cs="宋体"/>
          <w:color w:val="auto"/>
          <w:sz w:val="22"/>
          <w:szCs w:val="22"/>
          <w:highlight w:val="none"/>
        </w:rPr>
        <w:t>各项安全防护措施。承包人为实施合同而雇用的特殊工种的人员应受过专门的培训并已取得政府有关管理机构颁发的上岗证书。</w:t>
      </w:r>
    </w:p>
    <w:p w14:paraId="01EE48C4">
      <w:pPr>
        <w:spacing w:line="420" w:lineRule="exact"/>
        <w:ind w:left="1556" w:leftChars="741"/>
        <w:rPr>
          <w:rFonts w:ascii="宋体" w:hAnsi="宋体" w:cs="宋体"/>
          <w:color w:val="auto"/>
          <w:sz w:val="22"/>
          <w:szCs w:val="22"/>
          <w:highlight w:val="none"/>
        </w:rPr>
      </w:pPr>
      <w:r>
        <w:rPr>
          <w:rFonts w:hint="eastAsia" w:ascii="宋体" w:hAnsi="宋体" w:cs="宋体"/>
          <w:color w:val="auto"/>
          <w:sz w:val="22"/>
          <w:szCs w:val="22"/>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6665D67D">
      <w:pPr>
        <w:spacing w:line="420" w:lineRule="exact"/>
        <w:ind w:left="1556" w:leftChars="741"/>
        <w:rPr>
          <w:rFonts w:ascii="宋体" w:hAnsi="宋体" w:cs="宋体"/>
          <w:color w:val="auto"/>
          <w:sz w:val="22"/>
          <w:szCs w:val="22"/>
          <w:highlight w:val="none"/>
        </w:rPr>
      </w:pPr>
      <w:r>
        <w:rPr>
          <w:rFonts w:hint="eastAsia" w:ascii="宋体" w:hAnsi="宋体" w:cs="宋体"/>
          <w:color w:val="auto"/>
          <w:sz w:val="22"/>
          <w:szCs w:val="22"/>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6A4C6D98">
      <w:pPr>
        <w:adjustRightInd w:val="0"/>
        <w:snapToGrid w:val="0"/>
        <w:spacing w:line="420" w:lineRule="exact"/>
        <w:ind w:left="1556" w:leftChars="741"/>
        <w:rPr>
          <w:rFonts w:ascii="宋体" w:hAnsi="宋体" w:cs="宋体"/>
          <w:color w:val="auto"/>
          <w:sz w:val="22"/>
          <w:szCs w:val="22"/>
          <w:highlight w:val="none"/>
        </w:rPr>
      </w:pPr>
      <w:r>
        <w:rPr>
          <w:rFonts w:hint="eastAsia" w:ascii="宋体" w:hAnsi="宋体" w:cs="宋体"/>
          <w:color w:val="auto"/>
          <w:sz w:val="22"/>
          <w:szCs w:val="22"/>
          <w:highlight w:val="none"/>
        </w:rPr>
        <w:t>需单独编制危险性较大分部分项专项工程施工方案的，及要求进行专家论证的超过一定规模的危险性较大的分部分项工程，承包人应及时编制和组织论证。</w:t>
      </w:r>
    </w:p>
    <w:p w14:paraId="54409E8D">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20B7EB44">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24" w:name="_Toc16856"/>
      <w:bookmarkStart w:id="325" w:name="_Toc30598"/>
      <w:bookmarkStart w:id="326" w:name="_Toc469384029"/>
      <w:r>
        <w:rPr>
          <w:rFonts w:hint="eastAsia" w:hAnsi="宋体"/>
          <w:b/>
          <w:bCs/>
          <w:color w:val="auto"/>
          <w:sz w:val="22"/>
          <w:szCs w:val="22"/>
          <w:highlight w:val="none"/>
        </w:rPr>
        <w:t>46  测量放线</w:t>
      </w:r>
      <w:bookmarkEnd w:id="324"/>
      <w:bookmarkEnd w:id="325"/>
      <w:bookmarkEnd w:id="326"/>
    </w:p>
    <w:p w14:paraId="38DC5FCB">
      <w:pPr>
        <w:pStyle w:val="12"/>
        <w:tabs>
          <w:tab w:val="left" w:pos="1202"/>
        </w:tabs>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178" name="文本框 182"/>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a:effectLst/>
                      </wps:spPr>
                      <wps:txbx>
                        <w:txbxContent>
                          <w:p w14:paraId="6B2EA9C8">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182" o:spid="_x0000_s1026" o:spt="202" type="#_x0000_t202" style="position:absolute;left:0pt;margin-left:-9pt;margin-top:22.55pt;height:43pt;width:72pt;z-index:251843584;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ret51wAAAAoBAAAPAAAAAAAAAAEAIAAAACIAAABkcnMvZG93bnJldi54bWxQSwEC&#10;FAAUAAAACACHTuJAl36CKrwBAABtAwAADgAAAAAAAAABACAAAAAmAQAAZHJzL2Uyb0RvYy54bWxQ&#10;SwUGAAAAAAYABgBZAQAAVAUAAAAA&#10;">
                <v:fill on="f" focussize="0,0"/>
                <v:stroke on="f"/>
                <v:imagedata o:title=""/>
                <o:lock v:ext="edit" aspectratio="f"/>
                <v:textbox>
                  <w:txbxContent>
                    <w:p w14:paraId="6B2EA9C8">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宋体" w:hAnsi="宋体" w:cs="宋体"/>
          <w:b/>
          <w:bCs/>
          <w:color w:val="auto"/>
          <w:sz w:val="22"/>
          <w:szCs w:val="22"/>
          <w:highlight w:val="none"/>
        </w:rPr>
        <w:t>46.1</w:t>
      </w:r>
    </w:p>
    <w:p w14:paraId="0E6F55C1">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249795FA">
      <w:pPr>
        <w:adjustRightInd w:val="0"/>
        <w:snapToGrid w:val="0"/>
        <w:spacing w:line="420" w:lineRule="exact"/>
        <w:ind w:left="1619" w:leftChars="771"/>
        <w:rPr>
          <w:rFonts w:ascii="宋体" w:hAnsi="宋体" w:cs="宋体"/>
          <w:color w:val="auto"/>
          <w:sz w:val="22"/>
          <w:szCs w:val="22"/>
          <w:highlight w:val="none"/>
        </w:rPr>
      </w:pPr>
    </w:p>
    <w:p w14:paraId="3FCA2976">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46.2  </w:t>
      </w:r>
      <w:r>
        <w:rPr>
          <w:rFonts w:hint="eastAsia" w:ascii="宋体" w:hAnsi="宋体" w:cs="宋体"/>
          <w:b/>
          <w:bCs/>
          <w:color w:val="auto"/>
          <w:sz w:val="22"/>
          <w:szCs w:val="22"/>
          <w:highlight w:val="none"/>
          <w:u w:val="dotted"/>
        </w:rPr>
        <w:t xml:space="preserve">                                                                              </w:t>
      </w:r>
    </w:p>
    <w:p w14:paraId="7278956C">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179" name="文本框 183"/>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a:effectLst/>
                      </wps:spPr>
                      <wps:txbx>
                        <w:txbxContent>
                          <w:p w14:paraId="5E546B34">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wrap="square" upright="1"/>
                    </wps:wsp>
                  </a:graphicData>
                </a:graphic>
              </wp:anchor>
            </w:drawing>
          </mc:Choice>
          <mc:Fallback>
            <w:pict>
              <v:shape id="文本框 183" o:spid="_x0000_s1026" o:spt="202" type="#_x0000_t202" style="position:absolute;left:0pt;margin-left:-9pt;margin-top:16.9pt;height:53.35pt;width:72pt;z-index:251844608;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qTS2nXAAAACgEAAA8AAAAAAAAAAQAgAAAAIgAAAGRycy9kb3ducmV2LnhtbFBL&#10;AQIUABQAAAAIAIdO4kCmffCuvgEAAG0DAAAOAAAAAAAAAAEAIAAAACYBAABkcnMvZTJvRG9jLnht&#10;bFBLBQYAAAAABgAGAFkBAABWBQAAAAA=&#10;">
                <v:fill on="f" focussize="0,0"/>
                <v:stroke on="f"/>
                <v:imagedata o:title=""/>
                <o:lock v:ext="edit" aspectratio="f"/>
                <v:textbox>
                  <w:txbxContent>
                    <w:p w14:paraId="5E546B34">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14:paraId="12BBD827">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承包人应负责施工控制网点的管理。施工控制网点丢失或损坏的，承包人应及时修复。承包人应承担施工控制网点的管理与修复费用，并在工程竣工后将施工控制网点移交发包人。</w:t>
      </w:r>
    </w:p>
    <w:p w14:paraId="2ADCBE76">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监理工程师需要使用施工控制网的，承包人应提供必要的协助，发包人无需为此支付任何费用。</w:t>
      </w:r>
    </w:p>
    <w:p w14:paraId="1A58A9D4">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46.3  </w:t>
      </w:r>
      <w:r>
        <w:rPr>
          <w:rFonts w:hint="eastAsia" w:ascii="宋体" w:hAnsi="宋体" w:cs="宋体"/>
          <w:b/>
          <w:bCs/>
          <w:color w:val="auto"/>
          <w:sz w:val="22"/>
          <w:szCs w:val="22"/>
          <w:highlight w:val="none"/>
          <w:u w:val="dotted"/>
        </w:rPr>
        <w:t xml:space="preserve">                                                                              </w:t>
      </w:r>
    </w:p>
    <w:p w14:paraId="1CE06070">
      <w:pPr>
        <w:adjustRightInd w:val="0"/>
        <w:snapToGrid w:val="0"/>
        <w:spacing w:line="420" w:lineRule="exact"/>
        <w:rPr>
          <w:rFonts w:ascii="宋体" w:hAnsi="宋体" w:cs="宋体"/>
          <w:color w:val="auto"/>
          <w:sz w:val="22"/>
          <w:szCs w:val="22"/>
          <w:highlight w:val="none"/>
        </w:rPr>
      </w:pPr>
    </w:p>
    <w:p w14:paraId="063679B9">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180" name="文本框 184"/>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a:effectLst/>
                      </wps:spPr>
                      <wps:txbx>
                        <w:txbxContent>
                          <w:p w14:paraId="1958C14A">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184" o:spid="_x0000_s1026" o:spt="202" type="#_x0000_t202" style="position:absolute;left:0pt;margin-left:-9pt;margin-top:-0.5pt;height:42.6pt;width:72pt;z-index:251845632;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iywvNUAAAAJAQAADwAAAAAAAAABACAAAAAiAAAAZHJzL2Rvd25yZXYueG1sUEsBAhQA&#10;FAAAAAgAh07iQJjyeou8AQAAbQMAAA4AAAAAAAAAAQAgAAAAJAEAAGRycy9lMm9Eb2MueG1sUEsF&#10;BgAAAAAGAAYAWQEAAFIFAAAAAA==&#10;">
                <v:fill on="f" focussize="0,0"/>
                <v:stroke on="f"/>
                <v:imagedata o:title=""/>
                <o:lock v:ext="edit" aspectratio="f"/>
                <v:textbox>
                  <w:txbxContent>
                    <w:p w14:paraId="1958C14A">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宋体" w:hAnsi="宋体" w:cs="宋体"/>
          <w:color w:val="auto"/>
          <w:sz w:val="22"/>
          <w:szCs w:val="22"/>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5917EAEC">
      <w:pPr>
        <w:pStyle w:val="12"/>
        <w:tabs>
          <w:tab w:val="left" w:pos="720"/>
          <w:tab w:val="left" w:pos="1080"/>
        </w:tabs>
        <w:adjustRightInd w:val="0"/>
        <w:snapToGrid w:val="0"/>
        <w:spacing w:line="420" w:lineRule="exact"/>
        <w:ind w:firstLine="0"/>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46.4 </w:t>
      </w:r>
      <w:r>
        <w:rPr>
          <w:rFonts w:hint="eastAsia" w:ascii="宋体" w:hAnsi="宋体" w:cs="宋体"/>
          <w:b/>
          <w:bCs/>
          <w:color w:val="auto"/>
          <w:sz w:val="22"/>
          <w:szCs w:val="22"/>
          <w:highlight w:val="none"/>
          <w:u w:val="dotted"/>
        </w:rPr>
        <w:t xml:space="preserve">                                                                               </w:t>
      </w:r>
    </w:p>
    <w:p w14:paraId="7CC4C19D">
      <w:pPr>
        <w:spacing w:line="420" w:lineRule="exact"/>
        <w:rPr>
          <w:rFonts w:ascii="宋体" w:hAnsi="宋体" w:cs="宋体"/>
          <w:color w:val="auto"/>
          <w:sz w:val="22"/>
          <w:szCs w:val="22"/>
          <w:highlight w:val="none"/>
        </w:rPr>
      </w:pPr>
    </w:p>
    <w:p w14:paraId="44111B8F">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46656"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181" name="文本框 185"/>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a:effectLst/>
                      </wps:spPr>
                      <wps:txbx>
                        <w:txbxContent>
                          <w:p w14:paraId="5AEFCA9A">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185" o:spid="_x0000_s1026" o:spt="202" type="#_x0000_t202" style="position:absolute;left:0pt;margin-left:-5.25pt;margin-top:0.65pt;height:29.6pt;width:72pt;z-index:251846656;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OywCzTAAAACAEAAA8AAAAAAAAAAQAgAAAAIgAAAGRycy9kb3ducmV2LnhtbFBLAQIU&#10;ABQAAAAIAIdO4kAiErRHvwEAAG0DAAAOAAAAAAAAAAEAIAAAACIBAABkcnMvZTJvRG9jLnhtbFBL&#10;BQYAAAAABgAGAFkBAABTBQAAAAA=&#10;">
                <v:fill on="f" focussize="0,0"/>
                <v:stroke on="f"/>
                <v:imagedata o:title=""/>
                <o:lock v:ext="edit" aspectratio="f"/>
                <v:textbox>
                  <w:txbxContent>
                    <w:p w14:paraId="5AEFCA9A">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宋体" w:hAnsi="宋体" w:cs="宋体"/>
          <w:color w:val="auto"/>
          <w:sz w:val="22"/>
          <w:szCs w:val="22"/>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6B2F0621">
      <w:pPr>
        <w:pStyle w:val="12"/>
        <w:tabs>
          <w:tab w:val="left" w:pos="720"/>
          <w:tab w:val="left" w:pos="1080"/>
        </w:tabs>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46.5 </w:t>
      </w:r>
      <w:r>
        <w:rPr>
          <w:rFonts w:hint="eastAsia" w:ascii="宋体" w:hAnsi="宋体" w:cs="宋体"/>
          <w:b/>
          <w:bCs/>
          <w:color w:val="auto"/>
          <w:sz w:val="22"/>
          <w:szCs w:val="22"/>
          <w:highlight w:val="none"/>
          <w:u w:val="dotted"/>
        </w:rPr>
        <w:t xml:space="preserve">                                                                         </w:t>
      </w:r>
      <w:r>
        <w:rPr>
          <w:rFonts w:hint="eastAsia" w:ascii="宋体" w:hAnsi="宋体" w:cs="宋体"/>
          <w:color w:val="auto"/>
          <w:sz w:val="22"/>
          <w:szCs w:val="22"/>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182" name="文本框 18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a:effectLst/>
                      </wps:spPr>
                      <wps:txbx>
                        <w:txbxContent>
                          <w:p w14:paraId="0CE80225">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186" o:spid="_x0000_s1026" o:spt="202" type="#_x0000_t202" style="position:absolute;left:0pt;margin-left:-9pt;margin-top:21.9pt;height:35.3pt;width:72pt;z-index:251847680;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BLqU/XAAAACgEAAA8AAAAAAAAAAQAgAAAAIgAAAGRycy9kb3ducmV2LnhtbFBL&#10;AQIUABQAAAAIAIdO4kARRBa/vgEAAG0DAAAOAAAAAAAAAAEAIAAAACYBAABkcnMvZTJvRG9jLnht&#10;bFBLBQYAAAAABgAGAFkBAABWBQAAAAA=&#10;">
                <v:fill on="f" focussize="0,0"/>
                <v:stroke on="f"/>
                <v:imagedata o:title=""/>
                <o:lock v:ext="edit" aspectratio="f"/>
                <v:textbox>
                  <w:txbxContent>
                    <w:p w14:paraId="0CE80225">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hint="eastAsia" w:ascii="宋体" w:hAnsi="宋体" w:cs="宋体"/>
          <w:b/>
          <w:bCs/>
          <w:color w:val="auto"/>
          <w:sz w:val="22"/>
          <w:szCs w:val="22"/>
          <w:highlight w:val="none"/>
          <w:u w:val="dotted"/>
        </w:rPr>
        <w:t xml:space="preserve">      </w:t>
      </w:r>
    </w:p>
    <w:p w14:paraId="79A08A21">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66791978">
      <w:pPr>
        <w:pStyle w:val="12"/>
        <w:tabs>
          <w:tab w:val="left" w:pos="2070"/>
        </w:tabs>
        <w:adjustRightInd w:val="0"/>
        <w:snapToGrid w:val="0"/>
        <w:spacing w:line="420" w:lineRule="exact"/>
        <w:ind w:firstLine="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0C833D48">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27" w:name="_Toc12338"/>
      <w:bookmarkStart w:id="328" w:name="_Toc9961"/>
      <w:bookmarkStart w:id="329" w:name="_Toc469384030"/>
      <w:r>
        <w:rPr>
          <w:rFonts w:hint="eastAsia" w:hAnsi="宋体"/>
          <w:b/>
          <w:bCs/>
          <w:color w:val="auto"/>
          <w:sz w:val="22"/>
          <w:szCs w:val="22"/>
          <w:highlight w:val="none"/>
        </w:rPr>
        <w:t>47  钻孔与勘探性开挖</w:t>
      </w:r>
      <w:bookmarkEnd w:id="327"/>
      <w:bookmarkEnd w:id="328"/>
      <w:bookmarkEnd w:id="329"/>
    </w:p>
    <w:p w14:paraId="797E6688">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48704"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183" name="文本框 187"/>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a:effectLst/>
                      </wps:spPr>
                      <wps:txbx>
                        <w:txbxContent>
                          <w:p w14:paraId="58E0DCB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wrap="square" upright="1"/>
                    </wps:wsp>
                  </a:graphicData>
                </a:graphic>
              </wp:anchor>
            </w:drawing>
          </mc:Choice>
          <mc:Fallback>
            <w:pict>
              <v:shape id="文本框 187" o:spid="_x0000_s1026" o:spt="202" type="#_x0000_t202" style="position:absolute;left:0pt;margin-left:-10.5pt;margin-top:22.45pt;height:51.05pt;width:72pt;z-index:251848704;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YtmqtcAAAAKAQAADwAAAAAAAAABACAAAAAiAAAAZHJzL2Rvd25yZXYueG1sUEsB&#10;AhQAFAAAAAgAh07iQDr5iY+9AQAAbQMAAA4AAAAAAAAAAQAgAAAAJgEAAGRycy9lMm9Eb2MueG1s&#10;UEsFBgAAAAAGAAYAWQEAAFUFAAAAAA==&#10;">
                <v:fill on="f" focussize="0,0"/>
                <v:stroke on="f"/>
                <v:imagedata o:title=""/>
                <o:lock v:ext="edit" aspectratio="f"/>
                <v:textbox>
                  <w:txbxContent>
                    <w:p w14:paraId="58E0DCB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hint="eastAsia" w:ascii="宋体" w:hAnsi="宋体" w:cs="宋体"/>
          <w:b/>
          <w:bCs/>
          <w:color w:val="auto"/>
          <w:sz w:val="22"/>
          <w:szCs w:val="22"/>
          <w:highlight w:val="none"/>
        </w:rPr>
        <w:t>47.1</w:t>
      </w:r>
    </w:p>
    <w:p w14:paraId="1ED1FCA6">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在施工过程中，如果需要承包人进行钻孔或勘探性开挖（含疏浚工作在内）工作的，监理工程师应就此项工作按照第56条规定书面发出专项指令。承包人在接到监理工程师指令后，应及时实施相关工作。</w:t>
      </w:r>
    </w:p>
    <w:p w14:paraId="26BE4D78">
      <w:pPr>
        <w:pStyle w:val="12"/>
        <w:tabs>
          <w:tab w:val="left" w:pos="720"/>
          <w:tab w:val="left" w:pos="1080"/>
        </w:tabs>
        <w:adjustRightInd w:val="0"/>
        <w:snapToGrid w:val="0"/>
        <w:spacing w:line="420" w:lineRule="exact"/>
        <w:ind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49728"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184" name="文本框 188"/>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a:effectLst/>
                      </wps:spPr>
                      <wps:txbx>
                        <w:txbxContent>
                          <w:p w14:paraId="55C995E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7AA47B05">
                            <w:pPr>
                              <w:spacing w:line="200" w:lineRule="exact"/>
                              <w:rPr>
                                <w:rFonts w:ascii="Times New Roman" w:hAnsi="Times New Roman" w:cs="Times New Roman"/>
                                <w:sz w:val="18"/>
                                <w:szCs w:val="18"/>
                              </w:rPr>
                            </w:pPr>
                          </w:p>
                        </w:txbxContent>
                      </wps:txbx>
                      <wps:bodyPr wrap="square" upright="1"/>
                    </wps:wsp>
                  </a:graphicData>
                </a:graphic>
              </wp:anchor>
            </w:drawing>
          </mc:Choice>
          <mc:Fallback>
            <w:pict>
              <v:shape id="文本框 188" o:spid="_x0000_s1026" o:spt="202" type="#_x0000_t202" style="position:absolute;left:0pt;margin-left:-10.5pt;margin-top:15.7pt;height:55.05pt;width:72pt;z-index:251849728;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0M8xtcAAAAKAQAADwAAAAAAAAABACAAAAAiAAAAZHJzL2Rvd25yZXYueG1sUEsB&#10;AhQAFAAAAAgAh07iQG+bkQG9AQAAbQMAAA4AAAAAAAAAAQAgAAAAJgEAAGRycy9lMm9Eb2MueG1s&#10;UEsFBgAAAAAGAAYAWQEAAFUFAAAAAA==&#10;">
                <v:fill on="f" focussize="0,0"/>
                <v:stroke on="f"/>
                <v:imagedata o:title=""/>
                <o:lock v:ext="edit" aspectratio="f"/>
                <v:textbox>
                  <w:txbxContent>
                    <w:p w14:paraId="55C995E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7AA47B05">
                      <w:pPr>
                        <w:spacing w:line="200" w:lineRule="exact"/>
                        <w:rPr>
                          <w:rFonts w:ascii="Times New Roman" w:hAnsi="Times New Roman" w:cs="Times New Roman"/>
                          <w:sz w:val="18"/>
                          <w:szCs w:val="18"/>
                        </w:rPr>
                      </w:pPr>
                    </w:p>
                  </w:txbxContent>
                </v:textbox>
              </v:shape>
            </w:pict>
          </mc:Fallback>
        </mc:AlternateContent>
      </w:r>
      <w:r>
        <w:rPr>
          <w:rFonts w:hint="eastAsia" w:ascii="宋体" w:hAnsi="宋体" w:cs="宋体"/>
          <w:b/>
          <w:bCs/>
          <w:color w:val="auto"/>
          <w:sz w:val="22"/>
          <w:szCs w:val="22"/>
          <w:highlight w:val="none"/>
        </w:rPr>
        <w:t xml:space="preserve">47.2 </w:t>
      </w:r>
      <w:r>
        <w:rPr>
          <w:rFonts w:hint="eastAsia" w:ascii="宋体" w:hAnsi="宋体" w:cs="宋体"/>
          <w:b/>
          <w:bCs/>
          <w:color w:val="auto"/>
          <w:sz w:val="22"/>
          <w:szCs w:val="22"/>
          <w:highlight w:val="none"/>
          <w:u w:val="dotted"/>
        </w:rPr>
        <w:t xml:space="preserve">                                                                               </w:t>
      </w:r>
    </w:p>
    <w:p w14:paraId="2C728031">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除工程量清单中已列有此类工作的支付项目和额度外，此项工作所发生的一切费用，经造价工程师核实后，由合同双方当事人按照第72条规定办理。</w:t>
      </w:r>
    </w:p>
    <w:p w14:paraId="5DCE3E28">
      <w:pPr>
        <w:pStyle w:val="22"/>
        <w:tabs>
          <w:tab w:val="left" w:pos="540"/>
        </w:tabs>
        <w:adjustRightInd w:val="0"/>
        <w:snapToGrid w:val="0"/>
        <w:spacing w:before="240" w:beforeLines="100" w:line="420" w:lineRule="exact"/>
        <w:rPr>
          <w:rFonts w:hAnsi="宋体"/>
          <w:b/>
          <w:bCs/>
          <w:color w:val="auto"/>
          <w:sz w:val="22"/>
          <w:szCs w:val="22"/>
          <w:highlight w:val="none"/>
        </w:rPr>
      </w:pPr>
      <w:r>
        <w:rPr>
          <w:rFonts w:hint="eastAsia" w:hAnsi="宋体"/>
          <w:b/>
          <w:bCs/>
          <w:color w:val="auto"/>
          <w:sz w:val="22"/>
          <w:szCs w:val="22"/>
          <w:highlight w:val="none"/>
          <w:u w:val="single"/>
        </w:rPr>
        <w:t xml:space="preserve">                                                                                                              </w:t>
      </w:r>
    </w:p>
    <w:p w14:paraId="0D696454">
      <w:pPr>
        <w:pStyle w:val="12"/>
        <w:adjustRightInd w:val="0"/>
        <w:snapToGrid w:val="0"/>
        <w:spacing w:line="420" w:lineRule="exact"/>
        <w:ind w:firstLine="0"/>
        <w:outlineLvl w:val="2"/>
        <w:rPr>
          <w:rFonts w:ascii="宋体" w:hAnsi="宋体" w:cs="宋体"/>
          <w:b/>
          <w:bCs/>
          <w:color w:val="auto"/>
          <w:sz w:val="22"/>
          <w:szCs w:val="22"/>
          <w:highlight w:val="none"/>
        </w:rPr>
      </w:pPr>
      <w:bookmarkStart w:id="330" w:name="_Toc28765"/>
      <w:bookmarkStart w:id="331" w:name="_Toc469384031"/>
      <w:bookmarkStart w:id="332" w:name="_Toc12935"/>
      <w:r>
        <w:rPr>
          <w:rFonts w:hint="eastAsia" w:ascii="宋体" w:hAnsi="宋体" w:cs="宋体"/>
          <w:b/>
          <w:bCs/>
          <w:color w:val="auto"/>
          <w:sz w:val="22"/>
          <w:szCs w:val="22"/>
          <w:highlight w:val="none"/>
        </w:rPr>
        <w:t>48  发包人供应材料和工程设备</w:t>
      </w:r>
      <w:bookmarkEnd w:id="330"/>
      <w:bookmarkEnd w:id="331"/>
      <w:bookmarkEnd w:id="332"/>
    </w:p>
    <w:p w14:paraId="2AAD461B">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185" name="文本框 189"/>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a:effectLst/>
                      </wps:spPr>
                      <wps:txbx>
                        <w:txbxContent>
                          <w:p w14:paraId="30D0894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wrap="square" upright="1"/>
                    </wps:wsp>
                  </a:graphicData>
                </a:graphic>
              </wp:anchor>
            </w:drawing>
          </mc:Choice>
          <mc:Fallback>
            <w:pict>
              <v:shape id="文本框 189" o:spid="_x0000_s1026" o:spt="202" type="#_x0000_t202" style="position:absolute;left:0pt;margin-left:-9pt;margin-top:21.95pt;height:40.55pt;width:72pt;z-index:251850752;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joSDjXAAAACgEAAA8AAAAAAAAAAQAgAAAAIgAAAGRycy9kb3ducmV2LnhtbFBL&#10;AQIUABQAAAAIAIdO4kDaWRc5vgEAAG0DAAAOAAAAAAAAAAEAIAAAACYBAABkcnMvZTJvRG9jLnht&#10;bFBLBQYAAAAABgAGAFkBAABWBQAAAAA=&#10;">
                <v:fill on="f" focussize="0,0"/>
                <v:stroke on="f"/>
                <v:imagedata o:title=""/>
                <o:lock v:ext="edit" aspectratio="f"/>
                <v:textbox>
                  <w:txbxContent>
                    <w:p w14:paraId="30D0894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hint="eastAsia" w:ascii="宋体" w:hAnsi="宋体" w:cs="宋体"/>
          <w:b/>
          <w:bCs/>
          <w:color w:val="auto"/>
          <w:sz w:val="22"/>
          <w:szCs w:val="22"/>
          <w:highlight w:val="none"/>
        </w:rPr>
        <w:t>48.1</w:t>
      </w:r>
    </w:p>
    <w:p w14:paraId="5E5E0927">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14:paraId="40C5F1C9">
      <w:pPr>
        <w:pStyle w:val="12"/>
        <w:adjustRightInd w:val="0"/>
        <w:snapToGrid w:val="0"/>
        <w:spacing w:line="420" w:lineRule="exact"/>
        <w:ind w:firstLine="0"/>
        <w:rPr>
          <w:rFonts w:ascii="宋体" w:hAnsi="宋体" w:cs="宋体"/>
          <w:color w:val="auto"/>
          <w:sz w:val="22"/>
          <w:szCs w:val="22"/>
          <w:highlight w:val="none"/>
        </w:rPr>
      </w:pPr>
      <w:r>
        <w:rPr>
          <w:rFonts w:hint="eastAsia" w:ascii="宋体" w:hAnsi="宋体" w:cs="宋体"/>
          <w:b/>
          <w:bCs/>
          <w:color w:val="auto"/>
          <w:sz w:val="22"/>
          <w:szCs w:val="22"/>
          <w:highlight w:val="none"/>
        </w:rPr>
        <w:t xml:space="preserve">48.2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2C5E37CB">
      <w:pPr>
        <w:pStyle w:val="12"/>
        <w:adjustRightInd w:val="0"/>
        <w:snapToGrid w:val="0"/>
        <w:spacing w:line="420" w:lineRule="exact"/>
        <w:ind w:left="1575" w:leftChars="750" w:firstLine="0"/>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51776"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186" name="文本框 190"/>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a:effectLst/>
                      </wps:spPr>
                      <wps:txbx>
                        <w:txbxContent>
                          <w:p w14:paraId="4513572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190" o:spid="_x0000_s1026" o:spt="202" type="#_x0000_t202" style="position:absolute;left:0pt;margin-left:-5.25pt;margin-top:3.75pt;height:40.55pt;width:72pt;z-index:251851776;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GeAvNUAAAAIAQAADwAAAAAAAAABACAAAAAiAAAAZHJzL2Rvd25yZXYueG1sUEsBAhQA&#10;FAAAAAgAh07iQD4ihMS8AQAAbQMAAA4AAAAAAAAAAQAgAAAAJAEAAGRycy9lMm9Eb2MueG1sUEsF&#10;BgAAAAAGAAYAWQEAAFIFAAAAAA==&#10;">
                <v:fill on="f" focussize="0,0"/>
                <v:stroke on="f"/>
                <v:imagedata o:title=""/>
                <o:lock v:ext="edit" aspectratio="f"/>
                <v:textbox>
                  <w:txbxContent>
                    <w:p w14:paraId="4513572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宋体" w:hAnsi="宋体" w:cs="宋体"/>
          <w:color w:val="auto"/>
          <w:sz w:val="22"/>
          <w:szCs w:val="22"/>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14:paraId="62A9356C">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48.3  </w:t>
      </w:r>
      <w:r>
        <w:rPr>
          <w:rFonts w:hint="eastAsia" w:ascii="宋体" w:hAnsi="宋体" w:cs="宋体"/>
          <w:b/>
          <w:bCs/>
          <w:color w:val="auto"/>
          <w:sz w:val="22"/>
          <w:szCs w:val="22"/>
          <w:highlight w:val="none"/>
          <w:u w:val="dotted"/>
        </w:rPr>
        <w:t xml:space="preserve">                                                                                                        </w:t>
      </w:r>
    </w:p>
    <w:p w14:paraId="7CDE3886">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187" name="文本框 191"/>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a:effectLst/>
                      </wps:spPr>
                      <wps:txbx>
                        <w:txbxContent>
                          <w:p w14:paraId="5F606F1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wrap="square" upright="1"/>
                    </wps:wsp>
                  </a:graphicData>
                </a:graphic>
              </wp:anchor>
            </w:drawing>
          </mc:Choice>
          <mc:Fallback>
            <w:pict>
              <v:shape id="文本框 191" o:spid="_x0000_s1026" o:spt="202" type="#_x0000_t202" style="position:absolute;left:0pt;margin-left:-9pt;margin-top:0.2pt;height:35.65pt;width:76.2pt;z-index:251852800;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zXfF1QAAAAcBAAAPAAAAAAAAAAEAIAAAACIAAABkcnMvZG93bnJldi54bWxQSwEC&#10;FAAUAAAACACHTuJAitby0L4BAABtAwAADgAAAAAAAAABACAAAAAkAQAAZHJzL2Uyb0RvYy54bWxQ&#10;SwUGAAAAAAYABgBZAQAAVAUAAAAA&#10;">
                <v:fill on="f" focussize="0,0"/>
                <v:stroke on="f"/>
                <v:imagedata o:title=""/>
                <o:lock v:ext="edit" aspectratio="f"/>
                <v:textbox>
                  <w:txbxContent>
                    <w:p w14:paraId="5F606F1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宋体" w:hAnsi="宋体" w:cs="宋体"/>
          <w:color w:val="auto"/>
          <w:sz w:val="22"/>
          <w:szCs w:val="22"/>
          <w:highlight w:val="none"/>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14:paraId="3D632786">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48.4  </w:t>
      </w:r>
      <w:r>
        <w:rPr>
          <w:rFonts w:hint="eastAsia" w:ascii="宋体" w:hAnsi="宋体" w:cs="宋体"/>
          <w:b/>
          <w:bCs/>
          <w:color w:val="auto"/>
          <w:sz w:val="22"/>
          <w:szCs w:val="22"/>
          <w:highlight w:val="none"/>
          <w:u w:val="dotted"/>
        </w:rPr>
        <w:t xml:space="preserve">                                                                                                        </w:t>
      </w:r>
    </w:p>
    <w:p w14:paraId="1D502525">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188" name="文本框 192"/>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a:effectLst/>
                      </wps:spPr>
                      <wps:txbx>
                        <w:txbxContent>
                          <w:p w14:paraId="532930A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wrap="square" upright="1"/>
                    </wps:wsp>
                  </a:graphicData>
                </a:graphic>
              </wp:anchor>
            </w:drawing>
          </mc:Choice>
          <mc:Fallback>
            <w:pict>
              <v:shape id="文本框 192" o:spid="_x0000_s1026" o:spt="202" type="#_x0000_t202" style="position:absolute;left:0pt;margin-left:-9pt;margin-top:0.7pt;height:80.25pt;width:72pt;z-index:251853824;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Z8DYfVAAAACQEAAA8AAAAAAAAAAQAgAAAAIgAAAGRycy9kb3ducmV2LnhtbFBLAQIU&#10;ABQAAAAIAIdO4kDhHCLOvQEAAG4DAAAOAAAAAAAAAAEAIAAAACQBAABkcnMvZTJvRG9jLnhtbFBL&#10;BQYAAAAABgAGAFkBAABTBQAAAAA=&#10;">
                <v:fill on="f" focussize="0,0"/>
                <v:stroke on="f"/>
                <v:imagedata o:title=""/>
                <o:lock v:ext="edit" aspectratio="f"/>
                <v:textbox>
                  <w:txbxContent>
                    <w:p w14:paraId="532930A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宋体" w:hAnsi="宋体" w:cs="宋体"/>
          <w:color w:val="auto"/>
          <w:sz w:val="22"/>
          <w:szCs w:val="22"/>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55D6015D">
      <w:pPr>
        <w:pStyle w:val="12"/>
        <w:adjustRightInd w:val="0"/>
        <w:snapToGrid w:val="0"/>
        <w:spacing w:line="420" w:lineRule="exact"/>
        <w:ind w:firstLine="0"/>
        <w:rPr>
          <w:rFonts w:ascii="宋体" w:hAnsi="宋体" w:cs="宋体"/>
          <w:color w:val="auto"/>
          <w:sz w:val="22"/>
          <w:szCs w:val="22"/>
          <w:highlight w:val="none"/>
        </w:rPr>
      </w:pPr>
      <w:r>
        <w:rPr>
          <w:rFonts w:hint="eastAsia" w:ascii="宋体" w:hAnsi="宋体" w:cs="宋体"/>
          <w:b/>
          <w:bCs/>
          <w:color w:val="auto"/>
          <w:sz w:val="22"/>
          <w:szCs w:val="22"/>
          <w:highlight w:val="none"/>
        </w:rPr>
        <w:t xml:space="preserve">48.5  </w:t>
      </w:r>
      <w:r>
        <w:rPr>
          <w:rFonts w:hint="eastAsia" w:ascii="宋体" w:hAnsi="宋体" w:cs="宋体"/>
          <w:color w:val="auto"/>
          <w:sz w:val="22"/>
          <w:szCs w:val="22"/>
          <w:highlight w:val="none"/>
          <w:u w:val="dotted"/>
        </w:rPr>
        <w:t xml:space="preserve">                                                                                                        </w:t>
      </w:r>
    </w:p>
    <w:p w14:paraId="1BE4490F">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189" name="文本框 19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40F9977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wrap="square" upright="1"/>
                    </wps:wsp>
                  </a:graphicData>
                </a:graphic>
              </wp:anchor>
            </w:drawing>
          </mc:Choice>
          <mc:Fallback>
            <w:pict>
              <v:shape id="文本框 193" o:spid="_x0000_s1026" o:spt="202" type="#_x0000_t202" style="position:absolute;left:0pt;margin-left:-9pt;margin-top:0.7pt;height:46.8pt;width:72pt;z-index:251854848;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DdBI1AAAAAgBAAAPAAAAAAAAAAEAIAAAACIAAABkcnMvZG93bnJldi54bWxQSwEC&#10;FAAUAAAACACHTuJAjEm5dr8BAABtAwAADgAAAAAAAAABACAAAAAjAQAAZHJzL2Uyb0RvYy54bWxQ&#10;SwUGAAAAAAYABgBZAQAAVAUAAAAA&#10;">
                <v:fill on="f" focussize="0,0"/>
                <v:stroke on="f"/>
                <v:imagedata o:title=""/>
                <o:lock v:ext="edit" aspectratio="f"/>
                <v:textbox>
                  <w:txbxContent>
                    <w:p w14:paraId="40F9977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宋体" w:hAnsi="宋体" w:cs="宋体"/>
          <w:color w:val="auto"/>
          <w:sz w:val="22"/>
          <w:szCs w:val="22"/>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14:paraId="0375FB54">
      <w:pPr>
        <w:pStyle w:val="12"/>
        <w:adjustRightInd w:val="0"/>
        <w:snapToGrid w:val="0"/>
        <w:spacing w:line="420" w:lineRule="exact"/>
        <w:ind w:firstLine="0"/>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48.6  </w:t>
      </w:r>
      <w:r>
        <w:rPr>
          <w:rFonts w:hint="eastAsia" w:ascii="宋体" w:hAnsi="宋体" w:cs="宋体"/>
          <w:b/>
          <w:bCs/>
          <w:color w:val="auto"/>
          <w:sz w:val="22"/>
          <w:szCs w:val="22"/>
          <w:highlight w:val="none"/>
          <w:u w:val="dotted"/>
        </w:rPr>
        <w:t xml:space="preserve">                                                                                                        </w:t>
      </w:r>
    </w:p>
    <w:p w14:paraId="1B84B1AD">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190" name="文本框 194"/>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a:effectLst/>
                      </wps:spPr>
                      <wps:txbx>
                        <w:txbxContent>
                          <w:p w14:paraId="7A5C965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wrap="square" upright="1"/>
                    </wps:wsp>
                  </a:graphicData>
                </a:graphic>
              </wp:anchor>
            </w:drawing>
          </mc:Choice>
          <mc:Fallback>
            <w:pict>
              <v:shape id="文本框 194" o:spid="_x0000_s1026" o:spt="202" type="#_x0000_t202" style="position:absolute;left:0pt;margin-left:-9pt;margin-top:1.45pt;height:71.55pt;width:72pt;z-index:251855872;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yqIyPVAAAACQEAAA8AAAAAAAAAAQAgAAAAIgAAAGRycy9kb3ducmV2LnhtbFBLAQIU&#10;ABQAAAAIAIdO4kAtW1XlvQEAAG0DAAAOAAAAAAAAAAEAIAAAACQBAABkcnMvZTJvRG9jLnhtbFBL&#10;BQYAAAAABgAGAFkBAABTBQAAAAA=&#10;">
                <v:fill on="f" focussize="0,0"/>
                <v:stroke on="f"/>
                <v:imagedata o:title=""/>
                <o:lock v:ext="edit" aspectratio="f"/>
                <v:textbox>
                  <w:txbxContent>
                    <w:p w14:paraId="7A5C965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宋体" w:hAnsi="宋体" w:cs="宋体"/>
          <w:color w:val="auto"/>
          <w:sz w:val="22"/>
          <w:szCs w:val="22"/>
          <w:highlight w:val="none"/>
        </w:rPr>
        <w:t>发包人供应的材料和工程设备与一览表不符时，发包人应按照下列规定承担相应责任：</w:t>
      </w:r>
    </w:p>
    <w:p w14:paraId="5084CE0F">
      <w:pPr>
        <w:pStyle w:val="12"/>
        <w:numPr>
          <w:ilvl w:val="0"/>
          <w:numId w:val="18"/>
        </w:numPr>
        <w:tabs>
          <w:tab w:val="left" w:pos="1080"/>
          <w:tab w:val="left" w:pos="2160"/>
        </w:tabs>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材料和工程设备的单价与一览表不符，由发包人承担所有价差；</w:t>
      </w:r>
    </w:p>
    <w:p w14:paraId="700BCCC6">
      <w:pPr>
        <w:pStyle w:val="12"/>
        <w:numPr>
          <w:ilvl w:val="0"/>
          <w:numId w:val="18"/>
        </w:numPr>
        <w:tabs>
          <w:tab w:val="left" w:pos="1080"/>
          <w:tab w:val="left" w:pos="1620"/>
        </w:tabs>
        <w:adjustRightInd w:val="0"/>
        <w:snapToGrid w:val="0"/>
        <w:spacing w:line="420" w:lineRule="exact"/>
        <w:ind w:left="1617" w:leftChars="769" w:hanging="2" w:hangingChars="1"/>
        <w:rPr>
          <w:rFonts w:ascii="宋体" w:hAnsi="宋体" w:cs="宋体"/>
          <w:color w:val="auto"/>
          <w:sz w:val="22"/>
          <w:szCs w:val="22"/>
          <w:highlight w:val="none"/>
        </w:rPr>
      </w:pPr>
      <w:r>
        <w:rPr>
          <w:rFonts w:hint="eastAsia" w:ascii="宋体" w:hAnsi="宋体" w:cs="宋体"/>
          <w:color w:val="auto"/>
          <w:sz w:val="22"/>
          <w:szCs w:val="22"/>
          <w:highlight w:val="none"/>
        </w:rPr>
        <w:t>材料和工程设备的品种、规格、型号、质量标准与一览表不符，承包人可以拒绝接受保管，由发包人运出施工场地并重新采购；</w:t>
      </w:r>
    </w:p>
    <w:p w14:paraId="505305D4">
      <w:pPr>
        <w:pStyle w:val="12"/>
        <w:numPr>
          <w:ilvl w:val="0"/>
          <w:numId w:val="18"/>
        </w:numPr>
        <w:tabs>
          <w:tab w:val="left" w:pos="1080"/>
          <w:tab w:val="left" w:pos="1620"/>
        </w:tabs>
        <w:adjustRightInd w:val="0"/>
        <w:snapToGrid w:val="0"/>
        <w:spacing w:line="420" w:lineRule="exact"/>
        <w:ind w:left="1617" w:leftChars="769" w:hanging="2" w:hangingChars="1"/>
        <w:rPr>
          <w:rFonts w:ascii="宋体" w:hAnsi="宋体" w:cs="宋体"/>
          <w:color w:val="auto"/>
          <w:sz w:val="22"/>
          <w:szCs w:val="22"/>
          <w:highlight w:val="none"/>
        </w:rPr>
      </w:pPr>
      <w:r>
        <w:rPr>
          <w:rFonts w:hint="eastAsia" w:ascii="宋体" w:hAnsi="宋体" w:cs="宋体"/>
          <w:color w:val="auto"/>
          <w:sz w:val="22"/>
          <w:szCs w:val="22"/>
          <w:highlight w:val="none"/>
        </w:rPr>
        <w:t>材料和工程设备的品种、规格、型号、质量标准与一览表不符，经发包人同意，承包人可代为调剂替换，由发包人承担相应费用；</w:t>
      </w:r>
    </w:p>
    <w:p w14:paraId="3A751F9A">
      <w:pPr>
        <w:pStyle w:val="12"/>
        <w:numPr>
          <w:ilvl w:val="0"/>
          <w:numId w:val="18"/>
        </w:numPr>
        <w:tabs>
          <w:tab w:val="left" w:pos="1620"/>
          <w:tab w:val="clear" w:pos="1560"/>
        </w:tabs>
        <w:adjustRightInd w:val="0"/>
        <w:snapToGrid w:val="0"/>
        <w:spacing w:line="420" w:lineRule="exact"/>
        <w:ind w:left="1618" w:leftChars="770" w:hanging="1"/>
        <w:rPr>
          <w:rFonts w:ascii="宋体" w:hAnsi="宋体" w:cs="宋体"/>
          <w:color w:val="auto"/>
          <w:sz w:val="22"/>
          <w:szCs w:val="22"/>
          <w:highlight w:val="none"/>
        </w:rPr>
      </w:pPr>
      <w:r>
        <w:rPr>
          <w:rFonts w:hint="eastAsia" w:ascii="宋体" w:hAnsi="宋体" w:cs="宋体"/>
          <w:color w:val="auto"/>
          <w:sz w:val="22"/>
          <w:szCs w:val="22"/>
          <w:highlight w:val="none"/>
        </w:rPr>
        <w:t>交货地点与一览表不符，除合同双方当事人协商确定外，由发包人重新运至一览表指定地点，并承担由此增加的费用和（或）延误的工期；</w:t>
      </w:r>
    </w:p>
    <w:p w14:paraId="685E2239">
      <w:pPr>
        <w:pStyle w:val="12"/>
        <w:tabs>
          <w:tab w:val="left" w:pos="2160"/>
        </w:tabs>
        <w:adjustRightInd w:val="0"/>
        <w:snapToGrid w:val="0"/>
        <w:spacing w:line="420" w:lineRule="exact"/>
        <w:ind w:left="1669" w:leftChars="750" w:hanging="94" w:hangingChars="43"/>
        <w:rPr>
          <w:rFonts w:ascii="宋体" w:hAnsi="宋体" w:cs="宋体"/>
          <w:color w:val="auto"/>
          <w:sz w:val="22"/>
          <w:szCs w:val="22"/>
          <w:highlight w:val="none"/>
        </w:rPr>
      </w:pPr>
      <w:r>
        <w:rPr>
          <w:rFonts w:hint="eastAsia" w:ascii="宋体" w:hAnsi="宋体" w:cs="宋体"/>
          <w:color w:val="auto"/>
          <w:sz w:val="22"/>
          <w:szCs w:val="22"/>
          <w:highlight w:val="none"/>
        </w:rPr>
        <w:t>(5)供应数量少于一览表约定的数量时，由发包人补齐；多于一览表约定的数量时，发包人应将多出的部分运出施工场地；</w:t>
      </w:r>
    </w:p>
    <w:p w14:paraId="01A3B8F7">
      <w:pPr>
        <w:pStyle w:val="12"/>
        <w:tabs>
          <w:tab w:val="left" w:pos="1980"/>
        </w:tabs>
        <w:adjustRightInd w:val="0"/>
        <w:snapToGrid w:val="0"/>
        <w:spacing w:line="420" w:lineRule="exact"/>
        <w:ind w:left="1680" w:leftChars="800" w:firstLine="0"/>
        <w:rPr>
          <w:rFonts w:ascii="宋体" w:hAnsi="宋体" w:cs="宋体"/>
          <w:color w:val="auto"/>
          <w:sz w:val="22"/>
          <w:szCs w:val="22"/>
          <w:highlight w:val="none"/>
        </w:rPr>
      </w:pPr>
      <w:r>
        <w:rPr>
          <w:rFonts w:hint="eastAsia" w:ascii="宋体" w:hAnsi="宋体" w:cs="宋体"/>
          <w:color w:val="auto"/>
          <w:sz w:val="22"/>
          <w:szCs w:val="22"/>
          <w:highlight w:val="none"/>
        </w:rPr>
        <w:t>(6)交货时间早于一览表约定计划和第48.2款交货日期，由发包人承担由此发生的保管费；交货时间迟于一览表约定计划和第48.2款交货日期，由发包人承担由此增加的费用和（或）延误的工期。</w:t>
      </w:r>
    </w:p>
    <w:p w14:paraId="38CDB250">
      <w:pPr>
        <w:pStyle w:val="12"/>
        <w:tabs>
          <w:tab w:val="left" w:pos="2160"/>
        </w:tabs>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48.7 </w:t>
      </w:r>
      <w:r>
        <w:rPr>
          <w:rFonts w:hint="eastAsia" w:ascii="宋体" w:hAnsi="宋体" w:cs="宋体"/>
          <w:b/>
          <w:bCs/>
          <w:color w:val="auto"/>
          <w:sz w:val="22"/>
          <w:szCs w:val="22"/>
          <w:highlight w:val="none"/>
          <w:u w:val="dotted"/>
        </w:rPr>
        <w:t xml:space="preserve">                                                                                 </w:t>
      </w:r>
    </w:p>
    <w:p w14:paraId="41AACE6D">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191" name="文本框 195"/>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a:effectLst/>
                      </wps:spPr>
                      <wps:txbx>
                        <w:txbxContent>
                          <w:p w14:paraId="278C8465">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wrap="square" upright="1"/>
                    </wps:wsp>
                  </a:graphicData>
                </a:graphic>
              </wp:anchor>
            </w:drawing>
          </mc:Choice>
          <mc:Fallback>
            <w:pict>
              <v:shape id="文本框 195" o:spid="_x0000_s1026" o:spt="202" type="#_x0000_t202" style="position:absolute;left:0pt;margin-left:-9pt;margin-top:1.35pt;height:48.15pt;width:72pt;z-index:251856896;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p0Z6XVAAAACAEAAA8AAAAAAAAAAQAgAAAAIgAAAGRycy9kb3ducmV2LnhtbFBLAQIU&#10;ABQAAAAIAIdO4kAtMNPOvQEAAG0DAAAOAAAAAAAAAAEAIAAAACQBAABkcnMvZTJvRG9jLnhtbFBL&#10;BQYAAAAABgAGAFkBAABTBQAAAAA=&#10;">
                <v:fill on="f" focussize="0,0"/>
                <v:stroke on="f"/>
                <v:imagedata o:title=""/>
                <o:lock v:ext="edit" aspectratio="f"/>
                <v:textbox>
                  <w:txbxContent>
                    <w:p w14:paraId="278C8465">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宋体" w:hAnsi="宋体" w:cs="宋体"/>
          <w:color w:val="auto"/>
          <w:sz w:val="22"/>
          <w:szCs w:val="22"/>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40956E72">
      <w:pPr>
        <w:pStyle w:val="12"/>
        <w:adjustRightInd w:val="0"/>
        <w:snapToGrid w:val="0"/>
        <w:spacing w:before="120" w:beforeLines="50"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48.8  </w:t>
      </w:r>
      <w:r>
        <w:rPr>
          <w:rFonts w:hint="eastAsia" w:ascii="宋体" w:hAnsi="宋体" w:cs="宋体"/>
          <w:b/>
          <w:bCs/>
          <w:color w:val="auto"/>
          <w:sz w:val="22"/>
          <w:szCs w:val="22"/>
          <w:highlight w:val="none"/>
          <w:u w:val="dotted"/>
        </w:rPr>
        <w:t xml:space="preserve">                                                                                                        </w:t>
      </w:r>
    </w:p>
    <w:p w14:paraId="5486465A">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192" name="文本框 19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14:paraId="718DEA4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196" o:spid="_x0000_s1026" o:spt="202" type="#_x0000_t202" style="position:absolute;left:0pt;margin-left:-9pt;margin-top:0.6pt;height:23.4pt;width:81pt;z-index:251857920;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5Ymg3UAAAACAEAAA8AAAAAAAAAAQAgAAAAIgAAAGRycy9kb3ducmV2LnhtbFBLAQIU&#10;ABQAAAAIAIdO4kD8AO80vgEAAG4DAAAOAAAAAAAAAAEAIAAAACMBAABkcnMvZTJvRG9jLnhtbFBL&#10;BQYAAAAABgAGAFkBAABTBQAAAAA=&#10;">
                <v:fill on="f" focussize="0,0"/>
                <v:stroke on="f"/>
                <v:imagedata o:title=""/>
                <o:lock v:ext="edit" aspectratio="f"/>
                <v:textbox>
                  <w:txbxContent>
                    <w:p w14:paraId="718DEA4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宋体" w:hAnsi="宋体" w:cs="宋体"/>
          <w:color w:val="auto"/>
          <w:sz w:val="22"/>
          <w:szCs w:val="22"/>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14:paraId="004026F2">
      <w:pPr>
        <w:pStyle w:val="12"/>
        <w:adjustRightInd w:val="0"/>
        <w:snapToGrid w:val="0"/>
        <w:spacing w:line="420" w:lineRule="exact"/>
        <w:ind w:firstLine="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28BBF29A">
      <w:pPr>
        <w:pStyle w:val="12"/>
        <w:adjustRightInd w:val="0"/>
        <w:snapToGrid w:val="0"/>
        <w:spacing w:line="420" w:lineRule="exact"/>
        <w:ind w:firstLine="0"/>
        <w:outlineLvl w:val="2"/>
        <w:rPr>
          <w:rFonts w:ascii="宋体" w:hAnsi="宋体" w:cs="宋体"/>
          <w:b/>
          <w:bCs/>
          <w:color w:val="auto"/>
          <w:sz w:val="22"/>
          <w:szCs w:val="22"/>
          <w:highlight w:val="none"/>
        </w:rPr>
      </w:pPr>
      <w:bookmarkStart w:id="333" w:name="_Toc26300"/>
      <w:bookmarkStart w:id="334" w:name="_Toc469384032"/>
      <w:bookmarkStart w:id="335" w:name="_Toc28458"/>
      <w:r>
        <w:rPr>
          <w:rFonts w:hint="eastAsia" w:ascii="宋体" w:hAnsi="宋体" w:cs="宋体"/>
          <w:b/>
          <w:bCs/>
          <w:color w:val="auto"/>
          <w:sz w:val="22"/>
          <w:szCs w:val="22"/>
          <w:highlight w:val="none"/>
        </w:rPr>
        <w:t>49  承包人采购材料和工程设备</w:t>
      </w:r>
      <w:bookmarkEnd w:id="333"/>
      <w:bookmarkEnd w:id="334"/>
      <w:bookmarkEnd w:id="335"/>
    </w:p>
    <w:p w14:paraId="04085843">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49.1 </w:t>
      </w:r>
    </w:p>
    <w:p w14:paraId="43BCD005">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3" name="文本框 197"/>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a:effectLst/>
                      </wps:spPr>
                      <wps:txbx>
                        <w:txbxContent>
                          <w:p w14:paraId="02BFA64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wrap="square" upright="1"/>
                    </wps:wsp>
                  </a:graphicData>
                </a:graphic>
              </wp:anchor>
            </w:drawing>
          </mc:Choice>
          <mc:Fallback>
            <w:pict>
              <v:shape id="文本框 197" o:spid="_x0000_s1026" o:spt="202" type="#_x0000_t202" style="position:absolute;left:0pt;margin-left:-9pt;margin-top:1.35pt;height:38.3pt;width:72pt;z-index:251858944;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7+1dYAAAAIAQAADwAAAAAAAAABACAAAAAiAAAAZHJzL2Rvd25yZXYueG1sUEsB&#10;AhQAFAAAAAgAh07iQGOqYmW+AQAAbQMAAA4AAAAAAAAAAQAgAAAAJQEAAGRycy9lMm9Eb2MueG1s&#10;UEsFBgAAAAAGAAYAWQEAAFUFAAAAAA==&#10;">
                <v:fill on="f" focussize="0,0"/>
                <v:stroke on="f"/>
                <v:imagedata o:title=""/>
                <o:lock v:ext="edit" aspectratio="f"/>
                <v:textbox>
                  <w:txbxContent>
                    <w:p w14:paraId="02BFA64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宋体" w:hAnsi="宋体" w:cs="宋体"/>
          <w:color w:val="auto"/>
          <w:sz w:val="22"/>
          <w:szCs w:val="22"/>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1FDAD384">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49.2 </w:t>
      </w:r>
      <w:r>
        <w:rPr>
          <w:rFonts w:hint="eastAsia" w:ascii="宋体" w:hAnsi="宋体" w:cs="宋体"/>
          <w:b/>
          <w:bCs/>
          <w:color w:val="auto"/>
          <w:sz w:val="22"/>
          <w:szCs w:val="22"/>
          <w:highlight w:val="none"/>
          <w:u w:val="dotted"/>
        </w:rPr>
        <w:t xml:space="preserve">                                                                               </w:t>
      </w:r>
    </w:p>
    <w:p w14:paraId="35F59A29">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4" name="文本框 198"/>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a:effectLst/>
                      </wps:spPr>
                      <wps:txbx>
                        <w:txbxContent>
                          <w:p w14:paraId="65AFC90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198" o:spid="_x0000_s1026" o:spt="202" type="#_x0000_t202" style="position:absolute;left:0pt;margin-left:-9pt;margin-top:1.35pt;height:38.3pt;width:72pt;z-index:251859968;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7+1dYAAAAIAQAADwAAAAAAAAABACAAAAAiAAAAZHJzL2Rvd25yZXYueG1sUEsB&#10;AhQAFAAAAAgAh07iQMocqH++AQAAbQMAAA4AAAAAAAAAAQAgAAAAJQEAAGRycy9lMm9Eb2MueG1s&#10;UEsFBgAAAAAGAAYAWQEAAFUFAAAAAA==&#10;">
                <v:fill on="f" focussize="0,0"/>
                <v:stroke on="f"/>
                <v:imagedata o:title=""/>
                <o:lock v:ext="edit" aspectratio="f"/>
                <v:textbox>
                  <w:txbxContent>
                    <w:p w14:paraId="65AFC90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宋体" w:hAnsi="宋体" w:cs="宋体"/>
          <w:color w:val="auto"/>
          <w:sz w:val="22"/>
          <w:szCs w:val="22"/>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14:paraId="71108279">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49.3  </w:t>
      </w:r>
      <w:r>
        <w:rPr>
          <w:rFonts w:hint="eastAsia" w:ascii="宋体" w:hAnsi="宋体" w:cs="宋体"/>
          <w:b/>
          <w:bCs/>
          <w:color w:val="auto"/>
          <w:sz w:val="22"/>
          <w:szCs w:val="22"/>
          <w:highlight w:val="none"/>
          <w:u w:val="dotted"/>
        </w:rPr>
        <w:t xml:space="preserve">                                                                                                        </w:t>
      </w:r>
    </w:p>
    <w:p w14:paraId="6304B93C">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195" name="文本框 199"/>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387CA93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wrap="square" upright="1"/>
                    </wps:wsp>
                  </a:graphicData>
                </a:graphic>
              </wp:anchor>
            </w:drawing>
          </mc:Choice>
          <mc:Fallback>
            <w:pict>
              <v:shape id="文本框 199" o:spid="_x0000_s1026" o:spt="202" type="#_x0000_t202" style="position:absolute;left:0pt;margin-left:-9pt;margin-top:0.1pt;height:62.4pt;width:72pt;z-index:251860992;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WQ8Kq1AAAAAgBAAAPAAAAAAAAAAEAIAAAACIAAABkcnMvZG93bnJldi54bWxQSwEC&#10;FAAUAAAACACHTuJA3DcQyL8BAABtAwAADgAAAAAAAAABACAAAAAjAQAAZHJzL2Uyb0RvYy54bWxQ&#10;SwUGAAAAAAYABgBZAQAAVAUAAAAA&#10;">
                <v:fill on="f" focussize="0,0"/>
                <v:stroke on="f"/>
                <v:imagedata o:title=""/>
                <o:lock v:ext="edit" aspectratio="f"/>
                <v:textbox>
                  <w:txbxContent>
                    <w:p w14:paraId="387CA93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宋体" w:hAnsi="宋体" w:cs="宋体"/>
          <w:color w:val="auto"/>
          <w:sz w:val="22"/>
          <w:szCs w:val="22"/>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4EC6BE85">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49.4  </w:t>
      </w:r>
      <w:r>
        <w:rPr>
          <w:rFonts w:hint="eastAsia" w:ascii="宋体" w:hAnsi="宋体" w:cs="宋体"/>
          <w:b/>
          <w:bCs/>
          <w:color w:val="auto"/>
          <w:sz w:val="22"/>
          <w:szCs w:val="22"/>
          <w:highlight w:val="none"/>
          <w:u w:val="dotted"/>
        </w:rPr>
        <w:t xml:space="preserve">                                                                                                        </w:t>
      </w:r>
    </w:p>
    <w:p w14:paraId="5B2BB3E5">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196" name="文本框 20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14371C4E">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wrap="square" upright="1"/>
                    </wps:wsp>
                  </a:graphicData>
                </a:graphic>
              </wp:anchor>
            </w:drawing>
          </mc:Choice>
          <mc:Fallback>
            <w:pict>
              <v:shape id="文本框 200" o:spid="_x0000_s1026" o:spt="202" type="#_x0000_t202" style="position:absolute;left:0pt;margin-left:-9pt;margin-top:-0.4pt;height:62.4pt;width:72pt;z-index:251862016;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qri9QAAAAJAQAADwAAAAAAAAABACAAAAAiAAAAZHJzL2Rvd25yZXYueG1sUEsBAhQA&#10;FAAAAAgAh07iQPYs6Dm9AQAAbQMAAA4AAAAAAAAAAQAgAAAAIwEAAGRycy9lMm9Eb2MueG1sUEsF&#10;BgAAAAAGAAYAWQEAAFIFAAAAAA==&#10;">
                <v:fill on="f" focussize="0,0"/>
                <v:stroke on="f"/>
                <v:imagedata o:title=""/>
                <o:lock v:ext="edit" aspectratio="f"/>
                <v:textbox>
                  <w:txbxContent>
                    <w:p w14:paraId="14371C4E">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宋体" w:hAnsi="宋体" w:cs="宋体"/>
          <w:color w:val="auto"/>
          <w:sz w:val="22"/>
          <w:szCs w:val="22"/>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565FE9B5">
      <w:pPr>
        <w:pStyle w:val="12"/>
        <w:adjustRightInd w:val="0"/>
        <w:snapToGrid w:val="0"/>
        <w:spacing w:line="420" w:lineRule="exact"/>
        <w:ind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197" name="文本框 201"/>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a:effectLst/>
                      </wps:spPr>
                      <wps:txbx>
                        <w:txbxContent>
                          <w:p w14:paraId="4B43AA4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wrap="square" upright="1"/>
                    </wps:wsp>
                  </a:graphicData>
                </a:graphic>
              </wp:anchor>
            </w:drawing>
          </mc:Choice>
          <mc:Fallback>
            <w:pict>
              <v:shape id="文本框 201" o:spid="_x0000_s1026" o:spt="202" type="#_x0000_t202" style="position:absolute;left:0pt;margin-left:-9pt;margin-top:19.1pt;height:34.8pt;width:72pt;z-index:251863040;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d5jUdcAAAAKAQAADwAAAAAAAAABACAAAAAiAAAAZHJzL2Rvd25yZXYueG1sUEsB&#10;AhQAFAAAAAgAh07iQFGCM2+9AQAAbQMAAA4AAAAAAAAAAQAgAAAAJgEAAGRycy9lMm9Eb2MueG1s&#10;UEsFBgAAAAAGAAYAWQEAAFUFAAAAAA==&#10;">
                <v:fill on="f" focussize="0,0"/>
                <v:stroke on="f"/>
                <v:imagedata o:title=""/>
                <o:lock v:ext="edit" aspectratio="f"/>
                <v:textbox>
                  <w:txbxContent>
                    <w:p w14:paraId="4B43AA4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hint="eastAsia" w:ascii="宋体" w:hAnsi="宋体" w:cs="宋体"/>
          <w:b/>
          <w:bCs/>
          <w:color w:val="auto"/>
          <w:sz w:val="22"/>
          <w:szCs w:val="22"/>
          <w:highlight w:val="none"/>
        </w:rPr>
        <w:t xml:space="preserve">49.5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1A5DC023">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如果承包人不执行监理工程师依据第49.3款和第49.4款规定发出的指令,则发包人可自行或委托第三方执行该指令，由此发生的费用由承包人承担。该笔款项经造价工程师核实后，由发包人从应付或将付给或将付给承包人的工程款中扣除。</w:t>
      </w:r>
    </w:p>
    <w:p w14:paraId="05D52E6A">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49.6  </w:t>
      </w:r>
      <w:r>
        <w:rPr>
          <w:rFonts w:hint="eastAsia" w:ascii="宋体" w:hAnsi="宋体" w:cs="宋体"/>
          <w:b/>
          <w:bCs/>
          <w:color w:val="auto"/>
          <w:sz w:val="22"/>
          <w:szCs w:val="22"/>
          <w:highlight w:val="none"/>
          <w:u w:val="dotted"/>
        </w:rPr>
        <w:t xml:space="preserve">                                                                                                       </w:t>
      </w:r>
      <w:r>
        <w:rPr>
          <w:rFonts w:hint="eastAsia" w:ascii="宋体" w:hAnsi="宋体" w:cs="宋体"/>
          <w:b/>
          <w:bCs/>
          <w:color w:val="auto"/>
          <w:sz w:val="22"/>
          <w:szCs w:val="22"/>
          <w:highlight w:val="none"/>
        </w:rPr>
        <w:t xml:space="preserve"> </w:t>
      </w:r>
    </w:p>
    <w:p w14:paraId="6AC8334B">
      <w:pPr>
        <w:pStyle w:val="12"/>
        <w:tabs>
          <w:tab w:val="left" w:pos="1260"/>
        </w:tabs>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198" name="文本框 202"/>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a:effectLst/>
                      </wps:spPr>
                      <wps:txbx>
                        <w:txbxContent>
                          <w:p w14:paraId="17CADEF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wrap="square" upright="1"/>
                    </wps:wsp>
                  </a:graphicData>
                </a:graphic>
              </wp:anchor>
            </w:drawing>
          </mc:Choice>
          <mc:Fallback>
            <w:pict>
              <v:shape id="文本框 202" o:spid="_x0000_s1026" o:spt="202" type="#_x0000_t202" style="position:absolute;left:0pt;margin-left:-9pt;margin-top:3.6pt;height:32.35pt;width:72pt;z-index:251864064;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H/rN21AAAAAgBAAAPAAAAAAAAAAEAIAAAACIAAABkcnMvZG93bnJldi54bWxQSwECFAAU&#10;AAAACACHTuJAost7eLwBAABtAwAADgAAAAAAAAABACAAAAAjAQAAZHJzL2Uyb0RvYy54bWxQSwUG&#10;AAAAAAYABgBZAQAAUQUAAAAA&#10;">
                <v:fill on="f" focussize="0,0"/>
                <v:stroke on="f"/>
                <v:imagedata o:title=""/>
                <o:lock v:ext="edit" aspectratio="f"/>
                <v:textbox>
                  <w:txbxContent>
                    <w:p w14:paraId="17CADEF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宋体" w:hAnsi="宋体" w:cs="宋体"/>
          <w:color w:val="auto"/>
          <w:sz w:val="22"/>
          <w:szCs w:val="22"/>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56E40086">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49.7  </w:t>
      </w:r>
      <w:r>
        <w:rPr>
          <w:rFonts w:hint="eastAsia" w:ascii="宋体" w:hAnsi="宋体" w:cs="宋体"/>
          <w:b/>
          <w:bCs/>
          <w:color w:val="auto"/>
          <w:sz w:val="22"/>
          <w:szCs w:val="22"/>
          <w:highlight w:val="none"/>
          <w:u w:val="dotted"/>
        </w:rPr>
        <w:t xml:space="preserve">                                                                                                       </w:t>
      </w:r>
    </w:p>
    <w:p w14:paraId="4F80B6D7">
      <w:pPr>
        <w:pStyle w:val="12"/>
        <w:tabs>
          <w:tab w:val="left" w:pos="1800"/>
        </w:tabs>
        <w:adjustRightInd w:val="0"/>
        <w:snapToGrid w:val="0"/>
        <w:spacing w:before="120" w:beforeLines="50"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199" name="文本框 203"/>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a:effectLst/>
                      </wps:spPr>
                      <wps:txbx>
                        <w:txbxContent>
                          <w:p w14:paraId="70E08E7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wrap="square" upright="1"/>
                    </wps:wsp>
                  </a:graphicData>
                </a:graphic>
              </wp:anchor>
            </w:drawing>
          </mc:Choice>
          <mc:Fallback>
            <w:pict>
              <v:shape id="文本框 203" o:spid="_x0000_s1026" o:spt="202" type="#_x0000_t202" style="position:absolute;left:0pt;margin-left:-9pt;margin-top:2.4pt;height:64.5pt;width:72pt;z-index:251865088;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bPc9YAAAAJAQAADwAAAAAAAAABACAAAAAiAAAAZHJzL2Rvd25yZXYueG1sUEsB&#10;AhQAFAAAAAgAh07iQN64DPG+AQAAbQMAAA4AAAAAAAAAAQAgAAAAJQEAAGRycy9lMm9Eb2MueG1s&#10;UEsFBgAAAAAGAAYAWQEAAFUFAAAAAA==&#10;">
                <v:fill on="f" focussize="0,0"/>
                <v:stroke on="f"/>
                <v:imagedata o:title=""/>
                <o:lock v:ext="edit" aspectratio="f"/>
                <v:textbox>
                  <w:txbxContent>
                    <w:p w14:paraId="70E08E7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宋体" w:hAnsi="宋体" w:cs="宋体"/>
          <w:color w:val="auto"/>
          <w:sz w:val="22"/>
          <w:szCs w:val="22"/>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3F3B8407">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00" name="文本框 204"/>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a:effectLst/>
                      </wps:spPr>
                      <wps:txbx>
                        <w:txbxContent>
                          <w:p w14:paraId="33A0F28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wrap="square" upright="1"/>
                    </wps:wsp>
                  </a:graphicData>
                </a:graphic>
              </wp:anchor>
            </w:drawing>
          </mc:Choice>
          <mc:Fallback>
            <w:pict>
              <v:shape id="文本框 204" o:spid="_x0000_s1026" o:spt="202" type="#_x0000_t202" style="position:absolute;left:0pt;margin-left:-9pt;margin-top:16.3pt;height:56.05pt;width:72pt;z-index:251866112;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UP621wAAAAoBAAAPAAAAAAAAAAEAIAAAACIAAABkcnMvZG93bnJldi54bWxQSwEC&#10;FAAUAAAACACHTuJAv/oYLbwBAABtAwAADgAAAAAAAAABACAAAAAmAQAAZHJzL2Uyb0RvYy54bWxQ&#10;SwUGAAAAAAYABgBZAQAAVAUAAAAA&#10;">
                <v:fill on="f" focussize="0,0"/>
                <v:stroke on="f"/>
                <v:imagedata o:title=""/>
                <o:lock v:ext="edit" aspectratio="f"/>
                <v:textbox>
                  <w:txbxContent>
                    <w:p w14:paraId="33A0F28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hint="eastAsia" w:ascii="宋体" w:hAnsi="宋体" w:cs="宋体"/>
          <w:b/>
          <w:bCs/>
          <w:color w:val="auto"/>
          <w:sz w:val="22"/>
          <w:szCs w:val="22"/>
          <w:highlight w:val="none"/>
        </w:rPr>
        <w:t xml:space="preserve">49.8  </w:t>
      </w:r>
      <w:r>
        <w:rPr>
          <w:rFonts w:hint="eastAsia" w:ascii="宋体" w:hAnsi="宋体" w:cs="宋体"/>
          <w:b/>
          <w:bCs/>
          <w:color w:val="auto"/>
          <w:sz w:val="22"/>
          <w:szCs w:val="22"/>
          <w:highlight w:val="none"/>
          <w:u w:val="dotted"/>
        </w:rPr>
        <w:t xml:space="preserve">                                                                                                        </w:t>
      </w:r>
    </w:p>
    <w:p w14:paraId="13CD4FCA">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承包人采购材料和工程设备的，除专用条款另有约定外，发包人不得指定生产厂家或供应商。</w:t>
      </w:r>
    </w:p>
    <w:p w14:paraId="0E8AB2B9">
      <w:pPr>
        <w:pStyle w:val="12"/>
        <w:adjustRightInd w:val="0"/>
        <w:snapToGrid w:val="0"/>
        <w:spacing w:line="420" w:lineRule="exact"/>
        <w:ind w:firstLine="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05780459">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36" w:name="_Toc5473"/>
      <w:bookmarkStart w:id="337" w:name="_Toc469384033"/>
      <w:bookmarkStart w:id="338" w:name="_Toc21583"/>
      <w:r>
        <w:rPr>
          <w:rFonts w:hint="eastAsia" w:hAnsi="宋体"/>
          <w:b/>
          <w:bCs/>
          <w:color w:val="auto"/>
          <w:sz w:val="22"/>
          <w:szCs w:val="22"/>
          <w:highlight w:val="none"/>
        </w:rPr>
        <w:t>50  材料和工程设备的检验试验</w:t>
      </w:r>
      <w:bookmarkEnd w:id="336"/>
      <w:bookmarkEnd w:id="337"/>
      <w:bookmarkEnd w:id="338"/>
    </w:p>
    <w:p w14:paraId="034D03BC">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50.1</w:t>
      </w:r>
    </w:p>
    <w:p w14:paraId="44A37CAF">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01" name="文本框 205"/>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a:effectLst/>
                      </wps:spPr>
                      <wps:txbx>
                        <w:txbxContent>
                          <w:p w14:paraId="6D1C891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205" o:spid="_x0000_s1026" o:spt="202" type="#_x0000_t202" style="position:absolute;left:0pt;margin-left:-9pt;margin-top:0.05pt;height:39.85pt;width:72pt;z-index:251867136;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ZJPrfUAAAABwEAAA8AAAAAAAAAAQAgAAAAIgAAAGRycy9kb3ducmV2LnhtbFBLAQIU&#10;ABQAAAAIAIdO4kAF/RppvgEAAG0DAAAOAAAAAAAAAAEAIAAAACMBAABkcnMvZTJvRG9jLnhtbFBL&#10;BQYAAAAABgAGAFkBAABTBQAAAAA=&#10;">
                <v:fill on="f" focussize="0,0"/>
                <v:stroke on="f"/>
                <v:imagedata o:title=""/>
                <o:lock v:ext="edit" aspectratio="f"/>
                <v:textbox>
                  <w:txbxContent>
                    <w:p w14:paraId="6D1C891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宋体" w:hAnsi="宋体" w:cs="宋体"/>
          <w:color w:val="auto"/>
          <w:sz w:val="22"/>
          <w:szCs w:val="22"/>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14:paraId="5429B5D4">
      <w:pPr>
        <w:pStyle w:val="12"/>
        <w:tabs>
          <w:tab w:val="left" w:pos="360"/>
          <w:tab w:val="left" w:pos="720"/>
        </w:tabs>
        <w:adjustRightInd w:val="0"/>
        <w:snapToGrid w:val="0"/>
        <w:spacing w:line="420" w:lineRule="exact"/>
        <w:ind w:firstLine="0"/>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50.2  </w:t>
      </w:r>
      <w:r>
        <w:rPr>
          <w:rFonts w:hint="eastAsia" w:ascii="宋体" w:hAnsi="宋体" w:cs="宋体"/>
          <w:b/>
          <w:bCs/>
          <w:color w:val="auto"/>
          <w:sz w:val="22"/>
          <w:szCs w:val="22"/>
          <w:highlight w:val="none"/>
          <w:u w:val="dotted"/>
        </w:rPr>
        <w:t xml:space="preserve">                                                                              </w:t>
      </w:r>
    </w:p>
    <w:p w14:paraId="2D435517">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202" name="文本框 206"/>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a:effectLst/>
                      </wps:spPr>
                      <wps:txbx>
                        <w:txbxContent>
                          <w:p w14:paraId="0B94C7E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wrap="square" upright="1"/>
                    </wps:wsp>
                  </a:graphicData>
                </a:graphic>
              </wp:anchor>
            </w:drawing>
          </mc:Choice>
          <mc:Fallback>
            <w:pict>
              <v:shape id="文本框 206" o:spid="_x0000_s1026" o:spt="202" type="#_x0000_t202" style="position:absolute;left:0pt;margin-left:-9pt;margin-top:12.15pt;height:45.1pt;width:72pt;z-index:251868160;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9m5N02AAAAAoBAAAPAAAAAAAAAAEAIAAAACIAAABkcnMvZG93bnJldi54bWxQ&#10;SwECFAAUAAAACACHTuJAO6bAkb4BAABtAwAADgAAAAAAAAABACAAAAAnAQAAZHJzL2Uyb0RvYy54&#10;bWxQSwUGAAAAAAYABgBZAQAAVwUAAAAA&#10;">
                <v:fill on="f" focussize="0,0"/>
                <v:stroke on="f"/>
                <v:imagedata o:title=""/>
                <o:lock v:ext="edit" aspectratio="f"/>
                <v:textbox>
                  <w:txbxContent>
                    <w:p w14:paraId="0B94C7E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14:paraId="318B1A26">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材料和工程设备等产品的检验试验，包括见证取样和不见证取样两种情形：</w:t>
      </w:r>
    </w:p>
    <w:p w14:paraId="6257A566">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(1)标准与规范、涉及结构安全有要求或合同有约定进行见证取样检验试验的材料和工程设备等产品，承包人应在取样前至少提前24小时通知监理工程师参加，并在监理工程师的见证下现场取样，同时送至具有相应资质等级的质量检测机构进行检验试验。</w:t>
      </w:r>
    </w:p>
    <w:p w14:paraId="1747563A">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(2)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1C1ABC5C">
      <w:pPr>
        <w:pStyle w:val="12"/>
        <w:adjustRightInd w:val="0"/>
        <w:snapToGrid w:val="0"/>
        <w:spacing w:line="420" w:lineRule="exact"/>
        <w:ind w:left="1484" w:leftChars="1" w:hanging="1482" w:hangingChars="671"/>
        <w:rPr>
          <w:rFonts w:ascii="宋体" w:hAnsi="宋体" w:cs="宋体"/>
          <w:color w:val="auto"/>
          <w:sz w:val="22"/>
          <w:szCs w:val="22"/>
          <w:highlight w:val="none"/>
        </w:rPr>
      </w:pPr>
      <w:r>
        <w:rPr>
          <w:rFonts w:hint="eastAsia" w:ascii="宋体" w:hAnsi="宋体" w:cs="宋体"/>
          <w:b/>
          <w:bCs/>
          <w:color w:val="auto"/>
          <w:sz w:val="22"/>
          <w:szCs w:val="22"/>
          <w:highlight w:val="none"/>
        </w:rPr>
        <w:t xml:space="preserve">50.3 </w:t>
      </w:r>
      <w:r>
        <w:rPr>
          <w:rFonts w:hint="eastAsia" w:ascii="宋体" w:hAnsi="宋体" w:cs="宋体"/>
          <w:b/>
          <w:bCs/>
          <w:color w:val="auto"/>
          <w:sz w:val="22"/>
          <w:szCs w:val="22"/>
          <w:highlight w:val="none"/>
          <w:u w:val="dotted"/>
        </w:rPr>
        <w:t xml:space="preserve">                                                                               </w:t>
      </w:r>
    </w:p>
    <w:p w14:paraId="322D45D0">
      <w:pPr>
        <w:pStyle w:val="12"/>
        <w:adjustRightInd w:val="0"/>
        <w:snapToGrid w:val="0"/>
        <w:spacing w:line="420" w:lineRule="exact"/>
        <w:ind w:left="1575" w:leftChars="750"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69184"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03" name="文本框 207"/>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a:effectLst/>
                      </wps:spPr>
                      <wps:txbx>
                        <w:txbxContent>
                          <w:p w14:paraId="6A1C646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wrap="square" upright="1"/>
                    </wps:wsp>
                  </a:graphicData>
                </a:graphic>
              </wp:anchor>
            </w:drawing>
          </mc:Choice>
          <mc:Fallback>
            <w:pict>
              <v:shape id="文本框 207" o:spid="_x0000_s1026" o:spt="202" type="#_x0000_t202" style="position:absolute;left:0pt;margin-left:-5.25pt;margin-top:0.9pt;height:43.9pt;width:72pt;z-index:251869184;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H6Ww1AAAAAgBAAAPAAAAAAAAAAEAIAAAACIAAABkcnMvZG93bnJldi54bWxQSwEC&#10;FAAUAAAACACHTuJAsbJ9ub8BAABtAwAADgAAAAAAAAABACAAAAAjAQAAZHJzL2Uyb0RvYy54bWxQ&#10;SwUGAAAAAAYABgBZAQAAVAUAAAAA&#10;">
                <v:fill on="f" focussize="0,0"/>
                <v:stroke on="f"/>
                <v:imagedata o:title=""/>
                <o:lock v:ext="edit" aspectratio="f"/>
                <v:textbox>
                  <w:txbxContent>
                    <w:p w14:paraId="6A1C646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宋体" w:hAnsi="宋体" w:cs="宋体"/>
          <w:color w:val="auto"/>
          <w:sz w:val="22"/>
          <w:szCs w:val="22"/>
          <w:highlight w:val="none"/>
        </w:rPr>
        <w:t>材料和工程设备等产品检验试验合格的，可在合同工程中使用。材料和工程设备等产品检验试验不合格的，禁止在合同工程中使用，并及时清出施工场地。</w:t>
      </w:r>
    </w:p>
    <w:p w14:paraId="1D06DBB2">
      <w:pPr>
        <w:pStyle w:val="12"/>
        <w:tabs>
          <w:tab w:val="left" w:pos="540"/>
        </w:tabs>
        <w:adjustRightInd w:val="0"/>
        <w:snapToGrid w:val="0"/>
        <w:spacing w:line="420" w:lineRule="exact"/>
        <w:ind w:firstLine="0"/>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50.4  </w:t>
      </w:r>
      <w:r>
        <w:rPr>
          <w:rFonts w:hint="eastAsia" w:ascii="宋体" w:hAnsi="宋体" w:cs="宋体"/>
          <w:b/>
          <w:bCs/>
          <w:color w:val="auto"/>
          <w:sz w:val="22"/>
          <w:szCs w:val="22"/>
          <w:highlight w:val="none"/>
          <w:u w:val="dotted"/>
        </w:rPr>
        <w:t xml:space="preserve">                                                                              </w:t>
      </w:r>
    </w:p>
    <w:p w14:paraId="03956BA2">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04" name="文本框 208"/>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a:effectLst/>
                      </wps:spPr>
                      <wps:txbx>
                        <w:txbxContent>
                          <w:p w14:paraId="6F2908FE">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wrap="square" upright="1"/>
                    </wps:wsp>
                  </a:graphicData>
                </a:graphic>
              </wp:anchor>
            </w:drawing>
          </mc:Choice>
          <mc:Fallback>
            <w:pict>
              <v:shape id="文本框 208" o:spid="_x0000_s1026" o:spt="202" type="#_x0000_t202" style="position:absolute;left:0pt;margin-left:-9pt;margin-top:1.2pt;height:43.75pt;width:72pt;z-index:251870208;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HER6A1QAAAAgBAAAPAAAAAAAAAAEAIAAAACIAAABkcnMvZG93bnJldi54bWxQSwEC&#10;FAAUAAAACACHTuJAa8LcQr4BAABtAwAADgAAAAAAAAABACAAAAAkAQAAZHJzL2Uyb0RvYy54bWxQ&#10;SwUGAAAAAAYABgBZAQAAVAUAAAAA&#10;">
                <v:fill on="f" focussize="0,0"/>
                <v:stroke on="f"/>
                <v:imagedata o:title=""/>
                <o:lock v:ext="edit" aspectratio="f"/>
                <v:textbox>
                  <w:txbxContent>
                    <w:p w14:paraId="6F2908FE">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宋体" w:hAnsi="宋体" w:cs="宋体"/>
          <w:color w:val="auto"/>
          <w:sz w:val="22"/>
          <w:szCs w:val="22"/>
          <w:highlight w:val="none"/>
        </w:rPr>
        <w:t>除合同价款已包括外，材料和工程设备等产品的检验试验费，按照实际发生的费用计算。</w:t>
      </w:r>
    </w:p>
    <w:p w14:paraId="7867354A">
      <w:pPr>
        <w:pStyle w:val="12"/>
        <w:tabs>
          <w:tab w:val="left" w:pos="1620"/>
          <w:tab w:val="left" w:pos="1980"/>
          <w:tab w:val="left" w:pos="2160"/>
        </w:tabs>
        <w:adjustRightInd w:val="0"/>
        <w:snapToGrid w:val="0"/>
        <w:spacing w:line="420" w:lineRule="exact"/>
        <w:ind w:left="1617" w:firstLine="0"/>
        <w:rPr>
          <w:rFonts w:ascii="宋体" w:hAnsi="宋体" w:cs="宋体"/>
          <w:color w:val="auto"/>
          <w:sz w:val="22"/>
          <w:szCs w:val="22"/>
          <w:highlight w:val="none"/>
        </w:rPr>
      </w:pPr>
      <w:r>
        <w:rPr>
          <w:rFonts w:hint="eastAsia" w:ascii="宋体" w:hAnsi="宋体" w:cs="宋体"/>
          <w:color w:val="auto"/>
          <w:sz w:val="22"/>
          <w:szCs w:val="22"/>
          <w:highlight w:val="none"/>
        </w:rPr>
        <w:t>（1）现场使用前材料和工程设备等产品的检验试验，发包人供应的，检验试验费由发包人承担；承包人采购的，检验试验费由承包人承担。</w:t>
      </w:r>
    </w:p>
    <w:p w14:paraId="65B8CF85">
      <w:pPr>
        <w:pStyle w:val="12"/>
        <w:tabs>
          <w:tab w:val="left" w:pos="1620"/>
          <w:tab w:val="left" w:pos="2160"/>
          <w:tab w:val="left" w:pos="2520"/>
        </w:tabs>
        <w:adjustRightInd w:val="0"/>
        <w:snapToGrid w:val="0"/>
        <w:spacing w:line="420" w:lineRule="exact"/>
        <w:ind w:left="1619" w:firstLine="0"/>
        <w:rPr>
          <w:rFonts w:ascii="宋体" w:hAnsi="宋体" w:cs="宋体"/>
          <w:b/>
          <w:bCs/>
          <w:color w:val="auto"/>
          <w:sz w:val="22"/>
          <w:szCs w:val="22"/>
          <w:highlight w:val="none"/>
        </w:rPr>
      </w:pPr>
      <w:r>
        <w:rPr>
          <w:rFonts w:hint="eastAsia" w:ascii="宋体" w:hAnsi="宋体" w:cs="宋体"/>
          <w:color w:val="auto"/>
          <w:sz w:val="22"/>
          <w:szCs w:val="22"/>
          <w:highlight w:val="none"/>
        </w:rPr>
        <w:t>（2）施工过程中材料和工程设备等产品的检验试验，合格的，检验试验费由发包人承担。不合格的，发包人供应的，检验试验费由发包人承担；承包人采购的，检验试验费由承包人承担。</w:t>
      </w:r>
    </w:p>
    <w:p w14:paraId="398091A0">
      <w:pPr>
        <w:pStyle w:val="12"/>
        <w:tabs>
          <w:tab w:val="left" w:pos="1620"/>
          <w:tab w:val="left" w:pos="1980"/>
          <w:tab w:val="left" w:pos="2520"/>
          <w:tab w:val="left" w:pos="2700"/>
        </w:tabs>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50.5 </w:t>
      </w:r>
      <w:r>
        <w:rPr>
          <w:rFonts w:hint="eastAsia" w:ascii="宋体" w:hAnsi="宋体" w:cs="宋体"/>
          <w:b/>
          <w:bCs/>
          <w:color w:val="auto"/>
          <w:sz w:val="22"/>
          <w:szCs w:val="22"/>
          <w:highlight w:val="none"/>
          <w:u w:val="dotted"/>
        </w:rPr>
        <w:t xml:space="preserve">                                                                                                        </w:t>
      </w:r>
    </w:p>
    <w:p w14:paraId="29824590">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05" name="文本框 20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605E1F2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wrap="square" upright="1"/>
                    </wps:wsp>
                  </a:graphicData>
                </a:graphic>
              </wp:anchor>
            </w:drawing>
          </mc:Choice>
          <mc:Fallback>
            <w:pict>
              <v:shape id="文本框 209" o:spid="_x0000_s1026" o:spt="202" type="#_x0000_t202" style="position:absolute;left:0pt;margin-left:-9pt;margin-top:0.65pt;height:31.2pt;width:72pt;z-index:25187123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rdoltUAAAAIAQAADwAAAAAAAAABACAAAAAiAAAAZHJzL2Rvd25yZXYueG1sUEsB&#10;AhQAFAAAAAgAh07iQDHBxYK/AQAAbQMAAA4AAAAAAAAAAQAgAAAAJAEAAGRycy9lMm9Eb2MueG1s&#10;UEsFBgAAAAAGAAYAWQEAAFUFAAAAAA==&#10;">
                <v:fill on="f" focussize="0,0"/>
                <v:stroke on="f"/>
                <v:imagedata o:title=""/>
                <o:lock v:ext="edit" aspectratio="f"/>
                <v:textbox>
                  <w:txbxContent>
                    <w:p w14:paraId="605E1F2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宋体" w:hAnsi="宋体" w:cs="宋体"/>
          <w:color w:val="auto"/>
          <w:sz w:val="22"/>
          <w:szCs w:val="22"/>
          <w:highlight w:val="none"/>
        </w:rPr>
        <w:t>监理工程师对承包人自行检验试验结果有疑问的，或重新查验检验试验结果的，可要求承包人共同对材料和工程设备等产品再次检验试验。</w:t>
      </w:r>
    </w:p>
    <w:p w14:paraId="145D14A4">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（1）合格的，再次检验试验费和（或）延误的工期由发包人承担，并向承包人支付合理利润。</w:t>
      </w:r>
    </w:p>
    <w:p w14:paraId="72235D6A">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（2）不合格的，发包人供应的，再次检验试验费和（或）延误的工期由发包人承担，并向承包人支付合理利润；承包人采购的，再次检验试验费和（或）延误的工期由承包人承担。</w:t>
      </w:r>
    </w:p>
    <w:p w14:paraId="558A76EF">
      <w:pPr>
        <w:pStyle w:val="12"/>
        <w:tabs>
          <w:tab w:val="left" w:pos="540"/>
        </w:tabs>
        <w:adjustRightInd w:val="0"/>
        <w:snapToGrid w:val="0"/>
        <w:spacing w:line="420" w:lineRule="exact"/>
        <w:ind w:firstLine="0"/>
        <w:rPr>
          <w:rFonts w:ascii="宋体" w:hAnsi="宋体" w:cs="宋体"/>
          <w:color w:val="auto"/>
          <w:sz w:val="22"/>
          <w:szCs w:val="22"/>
          <w:highlight w:val="none"/>
        </w:rPr>
      </w:pPr>
      <w:r>
        <w:rPr>
          <w:rFonts w:hint="eastAsia" w:ascii="宋体" w:hAnsi="宋体" w:cs="宋体"/>
          <w:b/>
          <w:bCs/>
          <w:color w:val="auto"/>
          <w:sz w:val="22"/>
          <w:szCs w:val="22"/>
          <w:highlight w:val="none"/>
        </w:rPr>
        <w:t xml:space="preserve">50.6 </w:t>
      </w:r>
      <w:r>
        <w:rPr>
          <w:rFonts w:hint="eastAsia" w:ascii="宋体" w:hAnsi="宋体" w:cs="宋体"/>
          <w:b/>
          <w:bCs/>
          <w:color w:val="auto"/>
          <w:sz w:val="22"/>
          <w:szCs w:val="22"/>
          <w:highlight w:val="none"/>
          <w:u w:val="dotted"/>
        </w:rPr>
        <w:t xml:space="preserve">                                                                           </w:t>
      </w:r>
      <w:r>
        <w:rPr>
          <w:rFonts w:hint="eastAsia" w:ascii="宋体" w:hAnsi="宋体" w:cs="宋体"/>
          <w:color w:val="auto"/>
          <w:sz w:val="22"/>
          <w:szCs w:val="22"/>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06" name="文本框 210"/>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a:effectLst/>
                      </wps:spPr>
                      <wps:txbx>
                        <w:txbxContent>
                          <w:p w14:paraId="5BAB7EB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wrap="square" upright="1"/>
                    </wps:wsp>
                  </a:graphicData>
                </a:graphic>
              </wp:anchor>
            </w:drawing>
          </mc:Choice>
          <mc:Fallback>
            <w:pict>
              <v:shape id="文本框 210" o:spid="_x0000_s1026" o:spt="202" type="#_x0000_t202" style="position:absolute;left:0pt;margin-left:-9pt;margin-top:19.3pt;height:54.35pt;width:72pt;z-index:251872256;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Rc+h9gAAAAKAQAADwAAAAAAAAABACAAAAAiAAAAZHJzL2Rvd25yZXYueG1sUEsB&#10;AhQAFAAAAAgAh07iQIcLiIG8AQAAbQMAAA4AAAAAAAAAAQAgAAAAJwEAAGRycy9lMm9Eb2MueG1s&#10;UEsFBgAAAAAGAAYAWQEAAFUFAAAAAA==&#10;">
                <v:fill on="f" focussize="0,0"/>
                <v:stroke on="f"/>
                <v:imagedata o:title=""/>
                <o:lock v:ext="edit" aspectratio="f"/>
                <v:textbox>
                  <w:txbxContent>
                    <w:p w14:paraId="5BAB7EB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hint="eastAsia" w:ascii="宋体" w:hAnsi="宋体" w:cs="宋体"/>
          <w:b/>
          <w:bCs/>
          <w:color w:val="auto"/>
          <w:sz w:val="22"/>
          <w:szCs w:val="22"/>
          <w:highlight w:val="none"/>
          <w:u w:val="dotted"/>
        </w:rPr>
        <w:t xml:space="preserve">    </w:t>
      </w:r>
    </w:p>
    <w:p w14:paraId="65AFBA26">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合同双方当事人对材料和工程设备等产品质量有争议的，所需的检验试验费由责任方承担。双方均有责任的，由双方根据其责任划分分别承担。</w:t>
      </w:r>
    </w:p>
    <w:p w14:paraId="38132058">
      <w:pPr>
        <w:pStyle w:val="12"/>
        <w:adjustRightInd w:val="0"/>
        <w:snapToGrid w:val="0"/>
        <w:spacing w:line="420" w:lineRule="exact"/>
        <w:ind w:firstLine="0"/>
        <w:rPr>
          <w:rFonts w:ascii="宋体" w:hAnsi="宋体" w:cs="宋体"/>
          <w:color w:val="auto"/>
          <w:sz w:val="22"/>
          <w:szCs w:val="22"/>
          <w:highlight w:val="none"/>
          <w:u w:val="single"/>
        </w:rPr>
      </w:pPr>
      <w:r>
        <w:rPr>
          <w:rFonts w:hint="eastAsia" w:ascii="宋体" w:hAnsi="宋体" w:cs="宋体"/>
          <w:b/>
          <w:bCs/>
          <w:color w:val="auto"/>
          <w:sz w:val="22"/>
          <w:szCs w:val="22"/>
          <w:highlight w:val="none"/>
          <w:u w:val="single"/>
        </w:rPr>
        <w:t xml:space="preserve">                                                                                  </w:t>
      </w:r>
      <w:r>
        <w:rPr>
          <w:rFonts w:hint="eastAsia" w:ascii="宋体" w:hAnsi="宋体" w:cs="宋体"/>
          <w:color w:val="auto"/>
          <w:sz w:val="22"/>
          <w:szCs w:val="22"/>
          <w:highlight w:val="none"/>
          <w:u w:val="single"/>
        </w:rPr>
        <w:t xml:space="preserve">                            </w:t>
      </w:r>
    </w:p>
    <w:p w14:paraId="39221533">
      <w:pPr>
        <w:pStyle w:val="12"/>
        <w:adjustRightInd w:val="0"/>
        <w:snapToGrid w:val="0"/>
        <w:spacing w:line="420" w:lineRule="exact"/>
        <w:ind w:firstLine="0"/>
        <w:outlineLvl w:val="2"/>
        <w:rPr>
          <w:rFonts w:ascii="宋体" w:hAnsi="宋体" w:cs="宋体"/>
          <w:b/>
          <w:bCs/>
          <w:color w:val="auto"/>
          <w:sz w:val="22"/>
          <w:szCs w:val="22"/>
          <w:highlight w:val="none"/>
        </w:rPr>
      </w:pPr>
      <w:bookmarkStart w:id="339" w:name="_Toc25062"/>
      <w:bookmarkStart w:id="340" w:name="_Toc469384034"/>
      <w:bookmarkStart w:id="341" w:name="_Toc30296"/>
      <w:r>
        <w:rPr>
          <w:rFonts w:hint="eastAsia" w:ascii="宋体" w:hAnsi="宋体" w:cs="宋体"/>
          <w:b/>
          <w:bCs/>
          <w:color w:val="auto"/>
          <w:sz w:val="22"/>
          <w:szCs w:val="22"/>
          <w:highlight w:val="none"/>
        </w:rPr>
        <w:t>51  施工设备和临时设施</w:t>
      </w:r>
      <w:bookmarkEnd w:id="339"/>
      <w:bookmarkEnd w:id="340"/>
      <w:bookmarkEnd w:id="341"/>
    </w:p>
    <w:p w14:paraId="359FC40F">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51.1 </w:t>
      </w:r>
    </w:p>
    <w:p w14:paraId="5EFCEBBA">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73280"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207" name="文本框 211"/>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a:effectLst/>
                      </wps:spPr>
                      <wps:txbx>
                        <w:txbxContent>
                          <w:p w14:paraId="6C53667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wrap="square" upright="1"/>
                    </wps:wsp>
                  </a:graphicData>
                </a:graphic>
              </wp:anchor>
            </w:drawing>
          </mc:Choice>
          <mc:Fallback>
            <w:pict>
              <v:shape id="文本框 211" o:spid="_x0000_s1026" o:spt="202" type="#_x0000_t202" style="position:absolute;left:0pt;margin-left:-5.8pt;margin-top:0.45pt;height:59.3pt;width:77.8pt;z-index:251873280;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1usc1QAAAAgBAAAPAAAAAAAAAAEAIAAAACIAAABkcnMvZG93bnJldi54bWxQSwEC&#10;FAAUAAAACACHTuJA/Bes9b4BAABtAwAADgAAAAAAAAABACAAAAAkAQAAZHJzL2Uyb0RvYy54bWxQ&#10;SwUGAAAAAAYABgBZAQAAVAUAAAAA&#10;">
                <v:fill on="f" focussize="0,0"/>
                <v:stroke on="f"/>
                <v:imagedata o:title=""/>
                <o:lock v:ext="edit" aspectratio="f"/>
                <v:textbox>
                  <w:txbxContent>
                    <w:p w14:paraId="6C53667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宋体" w:hAnsi="宋体" w:cs="宋体"/>
          <w:color w:val="auto"/>
          <w:sz w:val="22"/>
          <w:szCs w:val="22"/>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14:paraId="0DF0D870">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进入施工场地的承包人施工设备，需经监理工程师核查后才能投入使用。承包人更换合同约定自身施工设备的，应经监理工程师同意并由其报发包人批准后方可实施。</w:t>
      </w:r>
    </w:p>
    <w:p w14:paraId="79E2C53D">
      <w:pPr>
        <w:pStyle w:val="12"/>
        <w:tabs>
          <w:tab w:val="left" w:pos="540"/>
        </w:tabs>
        <w:adjustRightInd w:val="0"/>
        <w:snapToGrid w:val="0"/>
        <w:spacing w:line="420" w:lineRule="exact"/>
        <w:ind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74304"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208" name="文本框 212"/>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a:effectLst/>
                      </wps:spPr>
                      <wps:txbx>
                        <w:txbxContent>
                          <w:p w14:paraId="57AEBCC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244FF56C">
                            <w:pPr>
                              <w:spacing w:line="240" w:lineRule="exact"/>
                              <w:rPr>
                                <w:rFonts w:ascii="Times New Roman" w:hAnsi="Times New Roman" w:cs="Times New Roman"/>
                                <w:sz w:val="18"/>
                                <w:szCs w:val="18"/>
                              </w:rPr>
                            </w:pPr>
                          </w:p>
                        </w:txbxContent>
                      </wps:txbx>
                      <wps:bodyPr wrap="square" upright="1"/>
                    </wps:wsp>
                  </a:graphicData>
                </a:graphic>
              </wp:anchor>
            </w:drawing>
          </mc:Choice>
          <mc:Fallback>
            <w:pict>
              <v:shape id="文本框 212" o:spid="_x0000_s1026" o:spt="202" type="#_x0000_t202" style="position:absolute;left:0pt;margin-left:-5.25pt;margin-top:17pt;height:54pt;width:68.8pt;z-index:251874304;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JPsD3XAAAACgEAAA8AAAAAAAAAAQAgAAAAIgAAAGRycy9kb3ducmV2LnhtbFBL&#10;AQIUABQAAAAIAIdO4kAlfymavgEAAG0DAAAOAAAAAAAAAAEAIAAAACYBAABkcnMvZTJvRG9jLnht&#10;bFBLBQYAAAAABgAGAFkBAABWBQAAAAA=&#10;">
                <v:fill on="f" focussize="0,0"/>
                <v:stroke on="f"/>
                <v:imagedata o:title=""/>
                <o:lock v:ext="edit" aspectratio="f"/>
                <v:textbox>
                  <w:txbxContent>
                    <w:p w14:paraId="57AEBCC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244FF56C">
                      <w:pPr>
                        <w:spacing w:line="240" w:lineRule="exact"/>
                        <w:rPr>
                          <w:rFonts w:ascii="Times New Roman" w:hAnsi="Times New Roman" w:cs="Times New Roman"/>
                          <w:sz w:val="18"/>
                          <w:szCs w:val="18"/>
                        </w:rPr>
                      </w:pPr>
                    </w:p>
                  </w:txbxContent>
                </v:textbox>
              </v:shape>
            </w:pict>
          </mc:Fallback>
        </mc:AlternateContent>
      </w:r>
      <w:r>
        <w:rPr>
          <w:rFonts w:hint="eastAsia" w:ascii="宋体" w:hAnsi="宋体" w:cs="宋体"/>
          <w:b/>
          <w:bCs/>
          <w:color w:val="auto"/>
          <w:sz w:val="22"/>
          <w:szCs w:val="22"/>
          <w:highlight w:val="none"/>
        </w:rPr>
        <w:t xml:space="preserve">51.2 </w:t>
      </w:r>
      <w:r>
        <w:rPr>
          <w:rFonts w:hint="eastAsia" w:ascii="宋体" w:hAnsi="宋体" w:cs="宋体"/>
          <w:color w:val="auto"/>
          <w:sz w:val="22"/>
          <w:szCs w:val="22"/>
          <w:highlight w:val="none"/>
          <w:u w:val="dotted"/>
        </w:rPr>
        <w:t xml:space="preserve">                                                                                                        </w:t>
      </w:r>
    </w:p>
    <w:p w14:paraId="2841B74D">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如果发包人提供施工设备或临时设施的，合同双方当事人应在专用条款中约定施工设备或临时设施的品种、规格、型号和提供的时间、地点等内容。</w:t>
      </w:r>
    </w:p>
    <w:p w14:paraId="6D48A17F">
      <w:pPr>
        <w:pStyle w:val="12"/>
        <w:tabs>
          <w:tab w:val="left" w:pos="540"/>
        </w:tabs>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51.3 </w:t>
      </w:r>
      <w:r>
        <w:rPr>
          <w:rFonts w:hint="eastAsia" w:ascii="宋体" w:hAnsi="宋体" w:cs="宋体"/>
          <w:b/>
          <w:bCs/>
          <w:color w:val="auto"/>
          <w:sz w:val="22"/>
          <w:szCs w:val="22"/>
          <w:highlight w:val="none"/>
          <w:u w:val="dotted"/>
        </w:rPr>
        <w:t xml:space="preserve">                                                                                                        </w:t>
      </w:r>
    </w:p>
    <w:p w14:paraId="25913462">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09" name="文本框 213"/>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a:effectLst/>
                      </wps:spPr>
                      <wps:txbx>
                        <w:txbxContent>
                          <w:p w14:paraId="295D3ED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wrap="square" upright="1"/>
                    </wps:wsp>
                  </a:graphicData>
                </a:graphic>
              </wp:anchor>
            </w:drawing>
          </mc:Choice>
          <mc:Fallback>
            <w:pict>
              <v:shape id="文本框 213" o:spid="_x0000_s1026" o:spt="202" type="#_x0000_t202" style="position:absolute;left:0pt;margin-left:-5.8pt;margin-top:0.7pt;height:51.95pt;width:68.8pt;z-index:251875328;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mFIAdUAAAAJAQAADwAAAAAAAAABACAAAAAiAAAAZHJzL2Rvd25yZXYueG1sUEsB&#10;AhQAFAAAAAgAh07iQPvrPDO/AQAAbQMAAA4AAAAAAAAAAQAgAAAAJAEAAGRycy9lMm9Eb2MueG1s&#10;UEsFBgAAAAAGAAYAWQEAAFUFAAAAAA==&#10;">
                <v:fill on="f" focussize="0,0"/>
                <v:stroke on="f"/>
                <v:imagedata o:title=""/>
                <o:lock v:ext="edit" aspectratio="f"/>
                <v:textbox>
                  <w:txbxContent>
                    <w:p w14:paraId="295D3ED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宋体" w:hAnsi="宋体" w:cs="宋体"/>
          <w:color w:val="auto"/>
          <w:sz w:val="22"/>
          <w:szCs w:val="22"/>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14:paraId="1E784770">
      <w:pPr>
        <w:pStyle w:val="12"/>
        <w:tabs>
          <w:tab w:val="left" w:pos="540"/>
        </w:tabs>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51.4  </w:t>
      </w:r>
      <w:r>
        <w:rPr>
          <w:rFonts w:hint="eastAsia" w:ascii="宋体" w:hAnsi="宋体" w:cs="宋体"/>
          <w:b/>
          <w:bCs/>
          <w:color w:val="auto"/>
          <w:sz w:val="22"/>
          <w:szCs w:val="22"/>
          <w:highlight w:val="none"/>
          <w:u w:val="dotted"/>
        </w:rPr>
        <w:t xml:space="preserve">                                                                                                        </w:t>
      </w:r>
    </w:p>
    <w:p w14:paraId="1848F3B3">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rFonts w:hint="eastAsia" w:ascii="宋体" w:hAnsi="宋体" w:cs="宋体"/>
          <w:color w:val="auto"/>
          <w:sz w:val="22"/>
          <w:szCs w:val="22"/>
          <w:highlight w:val="none"/>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10" name="文本框 214"/>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a:effectLst/>
                      </wps:spPr>
                      <wps:txbx>
                        <w:txbxContent>
                          <w:p w14:paraId="6E24D66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wrap="square" upright="1"/>
                    </wps:wsp>
                  </a:graphicData>
                </a:graphic>
              </wp:anchor>
            </w:drawing>
          </mc:Choice>
          <mc:Fallback>
            <w:pict>
              <v:shape id="文本框 214" o:spid="_x0000_s1026" o:spt="202" type="#_x0000_t202" style="position:absolute;left:0pt;margin-left:-9pt;margin-top:3.65pt;height:51.9pt;width:72pt;z-index:251876352;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6jqlI1QAAAAkBAAAPAAAAAAAAAAEAIAAAACIAAABkcnMvZG93bnJldi54bWxQSwEC&#10;FAAUAAAACACHTuJAkzjTCL4BAABtAwAADgAAAAAAAAABACAAAAAkAQAAZHJzL2Uyb0RvYy54bWxQ&#10;SwUGAAAAAAYABgBZAQAAVAUAAAAA&#10;">
                <v:fill on="f" focussize="0,0"/>
                <v:stroke on="f"/>
                <v:imagedata o:title=""/>
                <o:lock v:ext="edit" aspectratio="f"/>
                <v:textbox>
                  <w:txbxContent>
                    <w:p w14:paraId="6E24D66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宋体" w:hAnsi="宋体" w:cs="宋体"/>
          <w:color w:val="auto"/>
          <w:sz w:val="22"/>
          <w:szCs w:val="22"/>
          <w:highlight w:val="none"/>
        </w:rPr>
        <w:t>外，承包人不得将上述施工设备和临时设施中的任何部分运出施工场地或挪作他用。</w:t>
      </w:r>
    </w:p>
    <w:p w14:paraId="2F5A03CA">
      <w:pPr>
        <w:pStyle w:val="22"/>
        <w:tabs>
          <w:tab w:val="left" w:pos="540"/>
        </w:tabs>
        <w:adjustRightInd w:val="0"/>
        <w:snapToGrid w:val="0"/>
        <w:spacing w:before="240" w:beforeLines="100"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7EE96AC0">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42" w:name="_Toc469384035"/>
      <w:bookmarkStart w:id="343" w:name="_Toc26156"/>
      <w:bookmarkStart w:id="344" w:name="_Toc6012"/>
      <w:r>
        <w:rPr>
          <w:rFonts w:hint="eastAsia" w:hAnsi="宋体"/>
          <w:b/>
          <w:bCs/>
          <w:color w:val="auto"/>
          <w:sz w:val="22"/>
          <w:szCs w:val="22"/>
          <w:highlight w:val="none"/>
        </w:rPr>
        <w:t>★52  工程质量检查</w:t>
      </w:r>
      <w:bookmarkEnd w:id="342"/>
      <w:bookmarkEnd w:id="343"/>
      <w:bookmarkEnd w:id="344"/>
    </w:p>
    <w:p w14:paraId="3A9360AB">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52.1 </w:t>
      </w:r>
    </w:p>
    <w:p w14:paraId="5649BF63">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77376"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211" name="文本框 215"/>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a:effectLst/>
                      </wps:spPr>
                      <wps:txbx>
                        <w:txbxContent>
                          <w:p w14:paraId="6FDD529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73120DB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059153D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wps:txbx>
                      <wps:bodyPr wrap="square" upright="1"/>
                    </wps:wsp>
                  </a:graphicData>
                </a:graphic>
              </wp:anchor>
            </w:drawing>
          </mc:Choice>
          <mc:Fallback>
            <w:pict>
              <v:shape id="文本框 215" o:spid="_x0000_s1026" o:spt="202" type="#_x0000_t202" style="position:absolute;left:0pt;margin-left:-5.8pt;margin-top:0.45pt;height:41.15pt;width:77.8pt;z-index:251877376;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u+lR1QAAAAcBAAAPAAAAAAAAAAEAIAAAACIAAABkcnMvZG93bnJldi54bWxQSwEC&#10;FAAUAAAACACHTuJAKjyvnr4BAABtAwAADgAAAAAAAAABACAAAAAkAQAAZHJzL2Uyb0RvYy54bWxQ&#10;SwUGAAAAAAYABgBZAQAAVAUAAAAA&#10;">
                <v:fill on="f" focussize="0,0"/>
                <v:stroke on="f"/>
                <v:imagedata o:title=""/>
                <o:lock v:ext="edit" aspectratio="f"/>
                <v:textbox>
                  <w:txbxContent>
                    <w:p w14:paraId="6FDD529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73120DB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059153D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宋体" w:hAnsi="宋体" w:cs="宋体"/>
          <w:color w:val="auto"/>
          <w:sz w:val="22"/>
          <w:szCs w:val="22"/>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14:paraId="5105AB2A">
      <w:pPr>
        <w:pStyle w:val="12"/>
        <w:tabs>
          <w:tab w:val="left" w:pos="540"/>
        </w:tabs>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52.2 </w:t>
      </w:r>
      <w:r>
        <w:rPr>
          <w:rFonts w:hint="eastAsia" w:ascii="宋体" w:hAnsi="宋体" w:cs="宋体"/>
          <w:b/>
          <w:bCs/>
          <w:color w:val="auto"/>
          <w:sz w:val="22"/>
          <w:szCs w:val="22"/>
          <w:highlight w:val="none"/>
          <w:u w:val="dotted"/>
        </w:rPr>
        <w:t xml:space="preserve">                                                                                                        </w:t>
      </w:r>
    </w:p>
    <w:p w14:paraId="2C0B3CA0">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78400"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212" name="文本框 216"/>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a:effectLst/>
                      </wps:spPr>
                      <wps:txbx>
                        <w:txbxContent>
                          <w:p w14:paraId="71ADF3CC">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216" o:spid="_x0000_s1026" o:spt="202" type="#_x0000_t202" style="position:absolute;left:0pt;margin-left:-5.8pt;margin-top:0.7pt;height:35.3pt;width:68.8pt;z-index:251878400;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Gpak9UAAAAIAQAADwAAAAAAAAABACAAAAAiAAAAZHJzL2Rvd25yZXYueG1sUEsB&#10;AhQAFAAAAAgAh07iQJS2B1O/AQAAbQMAAA4AAAAAAAAAAQAgAAAAJAEAAGRycy9lMm9Eb2MueG1s&#10;UEsFBgAAAAAGAAYAWQEAAFUFAAAAAA==&#10;">
                <v:fill on="f" focussize="0,0"/>
                <v:stroke on="f"/>
                <v:imagedata o:title=""/>
                <o:lock v:ext="edit" aspectratio="f"/>
                <v:textbox>
                  <w:txbxContent>
                    <w:p w14:paraId="71ADF3CC">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宋体" w:hAnsi="宋体" w:cs="宋体"/>
          <w:color w:val="auto"/>
          <w:sz w:val="22"/>
          <w:szCs w:val="22"/>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7CE5B72B">
      <w:pPr>
        <w:adjustRightInd w:val="0"/>
        <w:snapToGrid w:val="0"/>
        <w:spacing w:line="420" w:lineRule="exact"/>
        <w:ind w:left="1619" w:leftChars="771"/>
        <w:rPr>
          <w:rFonts w:ascii="宋体" w:hAnsi="宋体" w:cs="宋体"/>
          <w:color w:val="auto"/>
          <w:sz w:val="22"/>
          <w:szCs w:val="22"/>
          <w:highlight w:val="none"/>
        </w:rPr>
      </w:pPr>
    </w:p>
    <w:p w14:paraId="7AAAB0D7">
      <w:pPr>
        <w:pStyle w:val="12"/>
        <w:tabs>
          <w:tab w:val="left" w:pos="540"/>
        </w:tabs>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52.3 </w:t>
      </w:r>
      <w:r>
        <w:rPr>
          <w:rFonts w:hint="eastAsia" w:ascii="宋体" w:hAnsi="宋体" w:cs="宋体"/>
          <w:b/>
          <w:bCs/>
          <w:color w:val="auto"/>
          <w:sz w:val="22"/>
          <w:szCs w:val="22"/>
          <w:highlight w:val="none"/>
          <w:u w:val="dotted"/>
        </w:rPr>
        <w:t xml:space="preserve">                                                                                                        </w:t>
      </w:r>
    </w:p>
    <w:p w14:paraId="17C2736C">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3" name="文本框 217"/>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a:effectLst/>
                      </wps:spPr>
                      <wps:txbx>
                        <w:txbxContent>
                          <w:p w14:paraId="1176EB9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wrap="square" upright="1"/>
                    </wps:wsp>
                  </a:graphicData>
                </a:graphic>
              </wp:anchor>
            </w:drawing>
          </mc:Choice>
          <mc:Fallback>
            <w:pict>
              <v:shape id="文本框 217" o:spid="_x0000_s1026" o:spt="202" type="#_x0000_t202" style="position:absolute;left:0pt;margin-left:-5.8pt;margin-top:0.7pt;height:51.95pt;width:68.8pt;z-index:251879424;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mFIAdUAAAAJAQAADwAAAAAAAAABACAAAAAiAAAAZHJzL2Rvd25yZXYueG1sUEsB&#10;AhQAFAAAAAgAh07iQGx5e6q/AQAAbQMAAA4AAAAAAAAAAQAgAAAAJAEAAGRycy9lMm9Eb2MueG1s&#10;UEsFBgAAAAAGAAYAWQEAAFUFAAAAAA==&#10;">
                <v:fill on="f" focussize="0,0"/>
                <v:stroke on="f"/>
                <v:imagedata o:title=""/>
                <o:lock v:ext="edit" aspectratio="f"/>
                <v:textbox>
                  <w:txbxContent>
                    <w:p w14:paraId="1176EB9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宋体" w:hAnsi="宋体" w:cs="宋体"/>
          <w:color w:val="auto"/>
          <w:sz w:val="22"/>
          <w:szCs w:val="22"/>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000FFB1E">
      <w:pPr>
        <w:pStyle w:val="12"/>
        <w:tabs>
          <w:tab w:val="left" w:pos="540"/>
        </w:tabs>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52.4  </w:t>
      </w:r>
      <w:r>
        <w:rPr>
          <w:rFonts w:hint="eastAsia" w:ascii="宋体" w:hAnsi="宋体" w:cs="宋体"/>
          <w:b/>
          <w:bCs/>
          <w:color w:val="auto"/>
          <w:sz w:val="22"/>
          <w:szCs w:val="22"/>
          <w:highlight w:val="none"/>
          <w:u w:val="dotted"/>
        </w:rPr>
        <w:t xml:space="preserve">                                                                                                        </w:t>
      </w:r>
    </w:p>
    <w:p w14:paraId="371AFEC7">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4" name="文本框 218"/>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a:effectLst/>
                      </wps:spPr>
                      <wps:txbx>
                        <w:txbxContent>
                          <w:p w14:paraId="3B37AB6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218" o:spid="_x0000_s1026" o:spt="202" type="#_x0000_t202" style="position:absolute;left:0pt;margin-left:-9pt;margin-top:3.65pt;height:34.65pt;width:72pt;z-index:251880448;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8aGEHUAAAACAEAAA8AAAAAAAAAAQAgAAAAIgAAAGRycy9kb3ducmV2LnhtbFBLAQIUABQA&#10;AAAIAIdO4kAXEX6muwEAAG0DAAAOAAAAAAAAAAEAIAAAACMBAABkcnMvZTJvRG9jLnhtbFBLBQYA&#10;AAAABgAGAFkBAABQBQAAAAA=&#10;">
                <v:fill on="f" focussize="0,0"/>
                <v:stroke on="f"/>
                <v:imagedata o:title=""/>
                <o:lock v:ext="edit" aspectratio="f"/>
                <v:textbox>
                  <w:txbxContent>
                    <w:p w14:paraId="3B37AB6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宋体" w:hAnsi="宋体" w:cs="宋体"/>
          <w:color w:val="auto"/>
          <w:sz w:val="22"/>
          <w:szCs w:val="22"/>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14:paraId="26220EF7">
      <w:pPr>
        <w:pStyle w:val="12"/>
        <w:tabs>
          <w:tab w:val="left" w:pos="540"/>
        </w:tabs>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52.5  </w:t>
      </w:r>
      <w:r>
        <w:rPr>
          <w:rFonts w:hint="eastAsia" w:ascii="宋体" w:hAnsi="宋体" w:cs="宋体"/>
          <w:b/>
          <w:bCs/>
          <w:color w:val="auto"/>
          <w:sz w:val="22"/>
          <w:szCs w:val="22"/>
          <w:highlight w:val="none"/>
          <w:u w:val="dotted"/>
        </w:rPr>
        <w:t xml:space="preserve">                                                                                                        </w:t>
      </w:r>
    </w:p>
    <w:p w14:paraId="0BDF930E">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5" name="文本框 21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a:effectLst/>
                      </wps:spPr>
                      <wps:txbx>
                        <w:txbxContent>
                          <w:p w14:paraId="216544D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219" o:spid="_x0000_s1026" o:spt="202" type="#_x0000_t202" style="position:absolute;left:0pt;margin-left:-9pt;margin-top:3.65pt;height:34.65pt;width:72pt;z-index:251881472;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8aGEHUAAAACAEAAA8AAAAAAAAAAQAgAAAAIgAAAGRycy9kb3ducmV2LnhtbFBLAQIUABQA&#10;AAAIAIdO4kDl7rxauwEAAG0DAAAOAAAAAAAAAAEAIAAAACMBAABkcnMvZTJvRG9jLnhtbFBLBQYA&#10;AAAABgAGAFkBAABQBQAAAAA=&#10;">
                <v:fill on="f" focussize="0,0"/>
                <v:stroke on="f"/>
                <v:imagedata o:title=""/>
                <o:lock v:ext="edit" aspectratio="f"/>
                <v:textbox>
                  <w:txbxContent>
                    <w:p w14:paraId="216544D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宋体" w:hAnsi="宋体" w:cs="宋体"/>
          <w:color w:val="auto"/>
          <w:sz w:val="22"/>
          <w:szCs w:val="22"/>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70497B48">
      <w:pPr>
        <w:pStyle w:val="12"/>
        <w:adjustRightInd w:val="0"/>
        <w:snapToGrid w:val="0"/>
        <w:spacing w:line="420" w:lineRule="exact"/>
        <w:ind w:firstLine="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36DA33AE">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45" w:name="_Toc23384"/>
      <w:bookmarkStart w:id="346" w:name="_Toc4661"/>
      <w:bookmarkStart w:id="347" w:name="_Toc469384036"/>
      <w:r>
        <w:rPr>
          <w:rFonts w:hint="eastAsia" w:hAnsi="宋体"/>
          <w:b/>
          <w:bCs/>
          <w:color w:val="auto"/>
          <w:sz w:val="22"/>
          <w:szCs w:val="22"/>
          <w:highlight w:val="none"/>
        </w:rPr>
        <w:t>★53  隐蔽工程和中间验收</w:t>
      </w:r>
      <w:bookmarkEnd w:id="345"/>
      <w:bookmarkEnd w:id="346"/>
      <w:bookmarkEnd w:id="347"/>
    </w:p>
    <w:p w14:paraId="582D2725">
      <w:pPr>
        <w:pStyle w:val="12"/>
        <w:tabs>
          <w:tab w:val="left" w:pos="1320"/>
        </w:tabs>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53.1</w:t>
      </w:r>
    </w:p>
    <w:p w14:paraId="2CA6A73F">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82496"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216" name="文本框 220"/>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a:effectLst/>
                      </wps:spPr>
                      <wps:txbx>
                        <w:txbxContent>
                          <w:p w14:paraId="584082C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wrap="square" upright="1"/>
                    </wps:wsp>
                  </a:graphicData>
                </a:graphic>
              </wp:anchor>
            </w:drawing>
          </mc:Choice>
          <mc:Fallback>
            <w:pict>
              <v:shape id="文本框 220" o:spid="_x0000_s1026" o:spt="202" type="#_x0000_t202" style="position:absolute;left:0pt;margin-left:-5.8pt;margin-top:1.4pt;height:35.8pt;width:68.8pt;z-index:251882496;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iyA7NQAAAAIAQAADwAAAAAAAAABACAAAAAiAAAAZHJzL2Rvd25yZXYueG1sUEsBAhQA&#10;FAAAAAgAh07iQBaqyRW9AQAAbQMAAA4AAAAAAAAAAQAgAAAAIwEAAGRycy9lMm9Eb2MueG1sUEsF&#10;BgAAAAAGAAYAWQEAAFIFAAAAAA==&#10;">
                <v:fill on="f" focussize="0,0"/>
                <v:stroke on="f"/>
                <v:imagedata o:title=""/>
                <o:lock v:ext="edit" aspectratio="f"/>
                <v:textbox>
                  <w:txbxContent>
                    <w:p w14:paraId="584082C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宋体" w:hAnsi="宋体" w:cs="宋体"/>
          <w:color w:val="auto"/>
          <w:sz w:val="22"/>
          <w:szCs w:val="22"/>
          <w:highlight w:val="none"/>
        </w:rPr>
        <w:t>没有经监理工程师验收同意，任何工程均不得覆盖或隐蔽。隐蔽工程覆盖前或中间验收部位具备专用条款约定的验收条件时，承包人应进行自检，并在隐蔽或中间验收前48小时向监理工程师提出隐蔽工程或中间验收申请，通知监理工程师验收。通知的内容包括工程隐蔽或中间验收的内容、时间、地点，以及自检记录和必要的验收资料。承包人应准备验收记录，并提供必要的资料和协助。</w:t>
      </w:r>
    </w:p>
    <w:p w14:paraId="51D0A3CA">
      <w:pPr>
        <w:pStyle w:val="12"/>
        <w:tabs>
          <w:tab w:val="left" w:pos="720"/>
        </w:tabs>
        <w:adjustRightInd w:val="0"/>
        <w:snapToGrid w:val="0"/>
        <w:spacing w:line="420" w:lineRule="exact"/>
        <w:ind w:firstLine="0"/>
        <w:rPr>
          <w:rFonts w:ascii="宋体" w:hAnsi="宋体" w:cs="宋体"/>
          <w:color w:val="auto"/>
          <w:sz w:val="22"/>
          <w:szCs w:val="22"/>
          <w:highlight w:val="none"/>
        </w:rPr>
      </w:pPr>
      <w:r>
        <w:rPr>
          <w:rFonts w:hint="eastAsia" w:ascii="宋体" w:hAnsi="宋体" w:cs="宋体"/>
          <w:b/>
          <w:bCs/>
          <w:color w:val="auto"/>
          <w:sz w:val="22"/>
          <w:szCs w:val="22"/>
          <w:highlight w:val="none"/>
        </w:rPr>
        <w:t xml:space="preserve">53.2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3AEF9820">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217" name="文本框 221"/>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a:effectLst/>
                      </wps:spPr>
                      <wps:txbx>
                        <w:txbxContent>
                          <w:p w14:paraId="4B20678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221" o:spid="_x0000_s1026" o:spt="202" type="#_x0000_t202" style="position:absolute;left:0pt;margin-left:-9pt;margin-top:4.1pt;height:36.75pt;width:72pt;z-index:251883520;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o09G1QAAAAgBAAAPAAAAAAAAAAEAIAAAACIAAABkcnMvZG93bnJldi54bWxQSwEC&#10;FAAUAAAACACHTuJA8+H8274BAABtAwAADgAAAAAAAAABACAAAAAkAQAAZHJzL2Uyb0RvYy54bWxQ&#10;SwUGAAAAAAYABgBZAQAAVAUAAAAA&#10;">
                <v:fill on="f" focussize="0,0"/>
                <v:stroke on="f"/>
                <v:imagedata o:title=""/>
                <o:lock v:ext="edit" aspectratio="f"/>
                <v:textbox>
                  <w:txbxContent>
                    <w:p w14:paraId="4B20678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宋体" w:hAnsi="宋体" w:cs="宋体"/>
          <w:color w:val="auto"/>
          <w:sz w:val="22"/>
          <w:szCs w:val="22"/>
          <w:highlight w:val="none"/>
        </w:rPr>
        <w:t>如果监理工程师不能按时参加验收，应至少提前24小时发出延期验收指令并书面说明理由，延期不得超过48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54.1款规定重新验收。</w:t>
      </w:r>
    </w:p>
    <w:p w14:paraId="58142EB4">
      <w:pPr>
        <w:pStyle w:val="12"/>
        <w:tabs>
          <w:tab w:val="left" w:pos="720"/>
        </w:tabs>
        <w:adjustRightInd w:val="0"/>
        <w:snapToGrid w:val="0"/>
        <w:spacing w:line="420" w:lineRule="exact"/>
        <w:ind w:firstLine="0"/>
        <w:rPr>
          <w:rFonts w:ascii="宋体" w:hAnsi="宋体" w:cs="宋体"/>
          <w:color w:val="auto"/>
          <w:sz w:val="22"/>
          <w:szCs w:val="22"/>
          <w:highlight w:val="none"/>
        </w:rPr>
      </w:pPr>
      <w:r>
        <w:rPr>
          <w:rFonts w:hint="eastAsia" w:ascii="宋体" w:hAnsi="宋体" w:cs="宋体"/>
          <w:b/>
          <w:bCs/>
          <w:color w:val="auto"/>
          <w:sz w:val="22"/>
          <w:szCs w:val="22"/>
          <w:highlight w:val="none"/>
        </w:rPr>
        <w:t xml:space="preserve">53.3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35122A92">
      <w:pPr>
        <w:pStyle w:val="12"/>
        <w:tabs>
          <w:tab w:val="left" w:pos="2160"/>
        </w:tabs>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218" name="文本框 222"/>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a:effectLst/>
                      </wps:spPr>
                      <wps:txbx>
                        <w:txbxContent>
                          <w:p w14:paraId="24BF4D1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222" o:spid="_x0000_s1026" o:spt="202" type="#_x0000_t202" style="position:absolute;left:0pt;margin-left:-9pt;margin-top:0.3pt;height:37.5pt;width:72pt;z-index:251884544;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kHFrNQAAAAHAQAADwAAAAAAAAABACAAAAAiAAAAZHJzL2Rvd25yZXYueG1sUEsBAhQA&#10;FAAAAAgAh07iQH++XEu9AQAAbQMAAA4AAAAAAAAAAQAgAAAAIwEAAGRycy9lMm9Eb2MueG1sUEsF&#10;BgAAAAAGAAYAWQEAAFIFAAAAAA==&#10;">
                <v:fill on="f" focussize="0,0"/>
                <v:stroke on="f"/>
                <v:imagedata o:title=""/>
                <o:lock v:ext="edit" aspectratio="f"/>
                <v:textbox>
                  <w:txbxContent>
                    <w:p w14:paraId="24BF4D1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宋体" w:hAnsi="宋体" w:cs="宋体"/>
          <w:color w:val="auto"/>
          <w:sz w:val="22"/>
          <w:szCs w:val="22"/>
          <w:highlight w:val="none"/>
        </w:rPr>
        <w:t>验收合格的，监理工程师应在验收记录上签字，并形成验收文件，承包人可进行隐蔽或继续施工。验收合格24小时后，监理工程师仍不在验收记录上签字，视为监理工程师已认可验收记录。</w:t>
      </w:r>
    </w:p>
    <w:p w14:paraId="16E00B36">
      <w:pPr>
        <w:pStyle w:val="12"/>
        <w:tabs>
          <w:tab w:val="left" w:pos="2160"/>
        </w:tabs>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验收不合格的，承包人应按照监理工程师的指令修改后重新验收，由此增加的费用和（或）延误的工期由承包人承担。</w:t>
      </w:r>
    </w:p>
    <w:p w14:paraId="42F12BAD">
      <w:pPr>
        <w:pStyle w:val="12"/>
        <w:tabs>
          <w:tab w:val="left" w:pos="540"/>
        </w:tabs>
        <w:adjustRightInd w:val="0"/>
        <w:snapToGrid w:val="0"/>
        <w:spacing w:line="420" w:lineRule="exact"/>
        <w:ind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19" name="文本框 22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62C80A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223" o:spid="_x0000_s1026" o:spt="202" type="#_x0000_t202" style="position:absolute;left:0pt;margin-left:-9pt;margin-top:19.3pt;height:31.2pt;width:72pt;z-index:251885568;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SCLKy1wAAAAoBAAAPAAAAAAAAAAEAIAAAACIAAABkcnMvZG93bnJldi54bWxQ&#10;SwECFAAUAAAACACHTuJAaMERI78BAABtAwAADgAAAAAAAAABACAAAAAmAQAAZHJzL2Uyb0RvYy54&#10;bWxQSwUGAAAAAAYABgBZAQAAVwUAAAAA&#10;">
                <v:fill on="f" focussize="0,0"/>
                <v:stroke on="f"/>
                <v:imagedata o:title=""/>
                <o:lock v:ext="edit" aspectratio="f"/>
                <v:textbox>
                  <w:txbxContent>
                    <w:p w14:paraId="462C80A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宋体" w:hAnsi="宋体" w:cs="宋体"/>
          <w:b/>
          <w:bCs/>
          <w:color w:val="auto"/>
          <w:sz w:val="22"/>
          <w:szCs w:val="22"/>
          <w:highlight w:val="none"/>
        </w:rPr>
        <w:t xml:space="preserve">53.4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62ACB093">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如监理工程师有指令，承包人应对隐蔽工程进行拍摄或照相，保证监理工程师能充分检查和测量隐蔽的工程。</w:t>
      </w:r>
    </w:p>
    <w:p w14:paraId="363F373E">
      <w:pPr>
        <w:pStyle w:val="12"/>
        <w:tabs>
          <w:tab w:val="left" w:pos="540"/>
        </w:tabs>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20" name="文本框 22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5DCC072D">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224" o:spid="_x0000_s1026" o:spt="202" type="#_x0000_t202" style="position:absolute;left:0pt;margin-left:-9pt;margin-top:19.3pt;height:31.2pt;width:72pt;z-index:251886592;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IIsrLXAAAACgEAAA8AAAAAAAAAAQAgAAAAIgAAAGRycy9kb3ducmV2LnhtbFBL&#10;AQIUABQAAAAIAIdO4kCjLWUcvgEAAG0DAAAOAAAAAAAAAAEAIAAAACYBAABkcnMvZTJvRG9jLnht&#10;bFBLBQYAAAAABgAGAFkBAABWBQAAAAA=&#10;">
                <v:fill on="f" focussize="0,0"/>
                <v:stroke on="f"/>
                <v:imagedata o:title=""/>
                <o:lock v:ext="edit" aspectratio="f"/>
                <v:textbox>
                  <w:txbxContent>
                    <w:p w14:paraId="5DCC072D">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宋体" w:hAnsi="宋体" w:cs="宋体"/>
          <w:b/>
          <w:bCs/>
          <w:color w:val="auto"/>
          <w:sz w:val="22"/>
          <w:szCs w:val="22"/>
          <w:highlight w:val="none"/>
        </w:rPr>
        <w:t xml:space="preserve">53.5  </w:t>
      </w:r>
      <w:r>
        <w:rPr>
          <w:rFonts w:hint="eastAsia" w:ascii="宋体" w:hAnsi="宋体" w:cs="宋体"/>
          <w:b/>
          <w:bCs/>
          <w:color w:val="auto"/>
          <w:sz w:val="22"/>
          <w:szCs w:val="22"/>
          <w:highlight w:val="none"/>
          <w:u w:val="dotted"/>
        </w:rPr>
        <w:t xml:space="preserve">                                                                                                       </w:t>
      </w:r>
    </w:p>
    <w:p w14:paraId="77FF470E">
      <w:pPr>
        <w:pStyle w:val="12"/>
        <w:adjustRightInd w:val="0"/>
        <w:snapToGrid w:val="0"/>
        <w:spacing w:line="420" w:lineRule="exact"/>
        <w:ind w:left="1619" w:leftChars="771" w:firstLine="0"/>
        <w:rPr>
          <w:rFonts w:ascii="宋体" w:hAnsi="宋体" w:cs="宋体"/>
          <w:color w:val="auto"/>
          <w:sz w:val="22"/>
          <w:szCs w:val="22"/>
          <w:highlight w:val="none"/>
          <w:u w:val="single"/>
        </w:rPr>
      </w:pPr>
      <w:r>
        <w:rPr>
          <w:rFonts w:hint="eastAsia" w:ascii="宋体" w:hAnsi="宋体" w:cs="宋体"/>
          <w:color w:val="auto"/>
          <w:sz w:val="22"/>
          <w:szCs w:val="22"/>
          <w:highlight w:val="none"/>
        </w:rPr>
        <w:t>承包人未通知监理工程师到场验收，私自将隐蔽工程覆盖的，监理工程师有权指令承包人进行钻孔探测或剥露验收，由此增加的费用和（或）延误的工期由承包人承担。</w:t>
      </w:r>
    </w:p>
    <w:p w14:paraId="0D1D3F62">
      <w:pPr>
        <w:pStyle w:val="12"/>
        <w:adjustRightInd w:val="0"/>
        <w:snapToGrid w:val="0"/>
        <w:spacing w:line="420" w:lineRule="exact"/>
        <w:ind w:firstLine="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7DB6BBC5">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48" w:name="_Toc469384037"/>
      <w:bookmarkStart w:id="349" w:name="_Toc16508"/>
      <w:bookmarkStart w:id="350" w:name="_Toc8929"/>
      <w:r>
        <w:rPr>
          <w:rFonts w:hint="eastAsia" w:hAnsi="宋体"/>
          <w:b/>
          <w:bCs/>
          <w:color w:val="auto"/>
          <w:sz w:val="22"/>
          <w:szCs w:val="22"/>
          <w:highlight w:val="none"/>
        </w:rPr>
        <w:t>★54  重新验收和额外检查检验</w:t>
      </w:r>
      <w:bookmarkEnd w:id="348"/>
      <w:bookmarkEnd w:id="349"/>
      <w:bookmarkEnd w:id="350"/>
    </w:p>
    <w:p w14:paraId="39296EF7">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221" name="文本框 225"/>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a:effectLst/>
                      </wps:spPr>
                      <wps:txbx>
                        <w:txbxContent>
                          <w:p w14:paraId="31AC3BE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225" o:spid="_x0000_s1026" o:spt="202" type="#_x0000_t202" style="position:absolute;left:0pt;margin-left:-9pt;margin-top:19.4pt;height:22.5pt;width:63pt;z-index:251887616;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ccIW9UAAAAJAQAADwAAAAAAAAABACAAAAAiAAAAZHJzL2Rvd25yZXYueG1sUEsBAhQA&#10;FAAAAAgAh07iQFxFVIG8AQAAbQMAAA4AAAAAAAAAAQAgAAAAJAEAAGRycy9lMm9Eb2MueG1sUEsF&#10;BgAAAAAGAAYAWQEAAFIFAAAAAA==&#10;">
                <v:fill on="f" focussize="0,0"/>
                <v:stroke on="f"/>
                <v:imagedata o:title=""/>
                <o:lock v:ext="edit" aspectratio="f"/>
                <v:textbox>
                  <w:txbxContent>
                    <w:p w14:paraId="31AC3BE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宋体" w:hAnsi="宋体" w:cs="宋体"/>
          <w:b/>
          <w:bCs/>
          <w:color w:val="auto"/>
          <w:sz w:val="22"/>
          <w:szCs w:val="22"/>
          <w:highlight w:val="none"/>
        </w:rPr>
        <w:t>54.1</w:t>
      </w:r>
    </w:p>
    <w:p w14:paraId="1EE24983">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73A7FC6B">
      <w:pPr>
        <w:pStyle w:val="12"/>
        <w:tabs>
          <w:tab w:val="left" w:pos="540"/>
          <w:tab w:val="left" w:pos="720"/>
        </w:tabs>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54.2 </w:t>
      </w:r>
      <w:r>
        <w:rPr>
          <w:rFonts w:hint="eastAsia" w:ascii="宋体" w:hAnsi="宋体" w:cs="宋体"/>
          <w:b/>
          <w:bCs/>
          <w:color w:val="auto"/>
          <w:sz w:val="22"/>
          <w:szCs w:val="22"/>
          <w:highlight w:val="none"/>
          <w:u w:val="dotted"/>
        </w:rPr>
        <w:t xml:space="preserve">                                                                                                       </w:t>
      </w:r>
    </w:p>
    <w:p w14:paraId="02BBB6A2">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222" name="文本框 226"/>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a:effectLst/>
                      </wps:spPr>
                      <wps:txbx>
                        <w:txbxContent>
                          <w:p w14:paraId="3075E0F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226" o:spid="_x0000_s1026" o:spt="202" type="#_x0000_t202" style="position:absolute;left:0pt;margin-left:-9pt;margin-top:0.6pt;height:49.4pt;width:76.4pt;z-index:251888640;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MYFonVAAAACQEAAA8AAAAAAAAAAQAgAAAAIgAAAGRycy9kb3ducmV2LnhtbFBLAQIU&#10;ABQAAAAIAIdO4kCITxcvvQEAAG0DAAAOAAAAAAAAAAEAIAAAACQBAABkcnMvZTJvRG9jLnhtbFBL&#10;BQYAAAAABgAGAFkBAABTBQAAAAA=&#10;">
                <v:fill on="f" focussize="0,0"/>
                <v:stroke on="f"/>
                <v:imagedata o:title=""/>
                <o:lock v:ext="edit" aspectratio="f"/>
                <v:textbox>
                  <w:txbxContent>
                    <w:p w14:paraId="3075E0F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宋体" w:hAnsi="宋体" w:cs="宋体"/>
          <w:color w:val="auto"/>
          <w:sz w:val="22"/>
          <w:szCs w:val="22"/>
          <w:highlight w:val="none"/>
        </w:rPr>
        <w:t>当监理工程师指令承包人进行合同中没有约定的检查检验，以核实合同工程某一部位或某种材料和工程设备等产品是否有缺陷时，承包人应按照要求进行检查检验。存在缺陷的，分别按照第50.5款、第52.3款规定处理；没有缺陷的，检查检验的费用和（或）延误的工期由发包人承担，并向承包人支付合理利润。</w:t>
      </w:r>
    </w:p>
    <w:p w14:paraId="3BCCD4A4">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6224795D">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51" w:name="_Toc4125"/>
      <w:bookmarkStart w:id="352" w:name="_Toc28592"/>
      <w:bookmarkStart w:id="353" w:name="_Toc469384038"/>
      <w:r>
        <w:rPr>
          <w:rFonts w:hint="eastAsia" w:hAnsi="宋体"/>
          <w:b/>
          <w:bCs/>
          <w:color w:val="auto"/>
          <w:sz w:val="22"/>
          <w:szCs w:val="22"/>
          <w:highlight w:val="none"/>
        </w:rPr>
        <w:t>55  工程试车</w:t>
      </w:r>
      <w:bookmarkEnd w:id="351"/>
      <w:bookmarkEnd w:id="352"/>
      <w:bookmarkEnd w:id="353"/>
    </w:p>
    <w:p w14:paraId="166A4159">
      <w:pPr>
        <w:adjustRightInd w:val="0"/>
        <w:snapToGrid w:val="0"/>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55.1 </w:t>
      </w:r>
    </w:p>
    <w:p w14:paraId="31317F7F">
      <w:pPr>
        <w:adjustRightInd w:val="0"/>
        <w:snapToGrid w:val="0"/>
        <w:spacing w:line="420" w:lineRule="exact"/>
        <w:ind w:left="162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223" name="文本框 227"/>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0F72C40B">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227" o:spid="_x0000_s1026" o:spt="202" type="#_x0000_t202" style="position:absolute;left:0pt;margin-left:-9pt;margin-top:1.3pt;height:23.4pt;width:63pt;z-index:251889664;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Heyv9QAAAAIAQAADwAAAAAAAAABACAAAAAiAAAAZHJzL2Rvd25yZXYueG1sUEsBAhQA&#10;FAAAAAgAh07iQP/zV+G9AQAAbQMAAA4AAAAAAAAAAQAgAAAAIwEAAGRycy9lMm9Eb2MueG1sUEsF&#10;BgAAAAAGAAYAWQEAAFIFAAAAAA==&#10;">
                <v:fill on="f" focussize="0,0"/>
                <v:stroke on="f"/>
                <v:imagedata o:title=""/>
                <o:lock v:ext="edit" aspectratio="f"/>
                <v:textbox>
                  <w:txbxContent>
                    <w:p w14:paraId="0F72C40B">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宋体" w:hAnsi="宋体" w:cs="宋体"/>
          <w:color w:val="auto"/>
          <w:sz w:val="22"/>
          <w:szCs w:val="22"/>
          <w:highlight w:val="none"/>
        </w:rPr>
        <w:t>按照合同约定需要试车的，试车的内容应与承包人承包的安装范围相一致。</w:t>
      </w:r>
    </w:p>
    <w:p w14:paraId="76EDC42D">
      <w:pPr>
        <w:tabs>
          <w:tab w:val="left" w:pos="540"/>
        </w:tabs>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55.2  </w:t>
      </w:r>
      <w:r>
        <w:rPr>
          <w:rFonts w:hint="eastAsia" w:ascii="宋体" w:hAnsi="宋体" w:cs="宋体"/>
          <w:b/>
          <w:bCs/>
          <w:color w:val="auto"/>
          <w:sz w:val="22"/>
          <w:szCs w:val="22"/>
          <w:highlight w:val="none"/>
          <w:u w:val="dotted"/>
        </w:rPr>
        <w:t xml:space="preserve">                                                                                                        </w:t>
      </w:r>
    </w:p>
    <w:p w14:paraId="5DA19580">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224" name="文本框 228"/>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a:effectLst/>
                      </wps:spPr>
                      <wps:txbx>
                        <w:txbxContent>
                          <w:p w14:paraId="6369A301">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228" o:spid="_x0000_s1026" o:spt="202" type="#_x0000_t202" style="position:absolute;left:0pt;margin-left:-9pt;margin-top:0.25pt;height:36.95pt;width:72pt;z-index:251890688;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sH9tnUAAAABwEAAA8AAAAAAAAAAQAgAAAAIgAAAGRycy9kb3ducmV2LnhtbFBLAQIU&#10;ABQAAAAIAIdO4kDxn98JvgEAAG0DAAAOAAAAAAAAAAEAIAAAACMBAABkcnMvZTJvRG9jLnhtbFBL&#10;BQYAAAAABgAGAFkBAABTBQAAAAA=&#10;">
                <v:fill on="f" focussize="0,0"/>
                <v:stroke on="f"/>
                <v:imagedata o:title=""/>
                <o:lock v:ext="edit" aspectratio="f"/>
                <v:textbox>
                  <w:txbxContent>
                    <w:p w14:paraId="6369A301">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宋体" w:hAnsi="宋体" w:cs="宋体"/>
          <w:color w:val="auto"/>
          <w:sz w:val="22"/>
          <w:szCs w:val="22"/>
          <w:highlight w:val="none"/>
        </w:rPr>
        <w:t>设备安装工程具备单机无负荷试车条件时，承包人应组织试车，并在试车前48小时以书面形式通知监理工程师。通知包括试车内容、时间和地点。承包人应自行准备试车记录，发包人应为承包人试车提供便利和协助。</w:t>
      </w:r>
    </w:p>
    <w:p w14:paraId="473FE908">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监理工程师不能按时参加试车的，应在开始试车前至少提前24小时发出延期试车指令并书面说明理由，延期不能超过48小时。监理工程师未发出延期试车指令也未能按时参加试车的，承包人可自行试车，并认为试车是经监理工程师同意下完成的。试车完成后，承包人应立即向监理工程师提交试车记录，监理工程师应予认可。</w:t>
      </w:r>
    </w:p>
    <w:p w14:paraId="45A990F1">
      <w:pPr>
        <w:adjustRightInd w:val="0"/>
        <w:snapToGrid w:val="0"/>
        <w:spacing w:line="420" w:lineRule="exac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55.3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7067CD64">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91712"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225" name="文本框 229"/>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a:effectLst/>
                      </wps:spPr>
                      <wps:txbx>
                        <w:txbxContent>
                          <w:p w14:paraId="0A71B5AF">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229" o:spid="_x0000_s1026" o:spt="202" type="#_x0000_t202" style="position:absolute;left:0pt;margin-left:-5.8pt;margin-top:0.05pt;height:37.15pt;width:68.8pt;z-index:251891712;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KAs6D1AAAAAcBAAAPAAAAAAAAAAEAIAAAACIAAABkcnMvZG93bnJldi54bWxQSwEC&#10;FAAUAAAACACHTuJA3F0HB78BAABtAwAADgAAAAAAAAABACAAAAAjAQAAZHJzL2Uyb0RvYy54bWxQ&#10;SwUGAAAAAAYABgBZAQAAVAUAAAAA&#10;">
                <v:fill on="f" focussize="0,0"/>
                <v:stroke on="f"/>
                <v:imagedata o:title=""/>
                <o:lock v:ext="edit" aspectratio="f"/>
                <v:textbox>
                  <w:txbxContent>
                    <w:p w14:paraId="0A71B5AF">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宋体" w:hAnsi="宋体" w:cs="宋体"/>
          <w:color w:val="auto"/>
          <w:sz w:val="22"/>
          <w:szCs w:val="22"/>
          <w:highlight w:val="none"/>
        </w:rPr>
        <w:t>单机试车合格，监理工程师应在试车记录上签字，承包人可继续施工或申请办理竣工验收手续。单机试车合格24小时后，监理工程师仍不在试车记录上签字的，视为监理工程师已认可试车记录。</w:t>
      </w:r>
    </w:p>
    <w:p w14:paraId="50C5F4C5">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55.4  </w:t>
      </w:r>
      <w:r>
        <w:rPr>
          <w:rFonts w:hint="eastAsia" w:ascii="宋体" w:hAnsi="宋体" w:cs="宋体"/>
          <w:b/>
          <w:bCs/>
          <w:color w:val="auto"/>
          <w:sz w:val="22"/>
          <w:szCs w:val="22"/>
          <w:highlight w:val="none"/>
          <w:u w:val="dotted"/>
        </w:rPr>
        <w:t xml:space="preserve">                                                                                                        </w:t>
      </w:r>
    </w:p>
    <w:p w14:paraId="6B2F53BC">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92736"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226" name="文本框 230"/>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a:effectLst/>
                      </wps:spPr>
                      <wps:txbx>
                        <w:txbxContent>
                          <w:p w14:paraId="257ADFF6">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wrap="square" upright="1"/>
                    </wps:wsp>
                  </a:graphicData>
                </a:graphic>
              </wp:anchor>
            </w:drawing>
          </mc:Choice>
          <mc:Fallback>
            <w:pict>
              <v:shape id="文本框 230" o:spid="_x0000_s1026" o:spt="202" type="#_x0000_t202" style="position:absolute;left:0pt;margin-left:-5.8pt;margin-top:0.9pt;height:38.8pt;width:68.8pt;z-index:251892736;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xWwANUAAAAIAQAADwAAAAAAAAABACAAAAAiAAAAZHJzL2Rvd25yZXYueG1sUEsBAhQA&#10;FAAAAAgAh07iQFaYbYW8AQAAbQMAAA4AAAAAAAAAAQAgAAAAJAEAAGRycy9lMm9Eb2MueG1sUEsF&#10;BgAAAAAGAAYAWQEAAFIFAAAAAA==&#10;">
                <v:fill on="f" focussize="0,0"/>
                <v:stroke on="f"/>
                <v:imagedata o:title=""/>
                <o:lock v:ext="edit" aspectratio="f"/>
                <v:textbox>
                  <w:txbxContent>
                    <w:p w14:paraId="257ADFF6">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宋体" w:hAnsi="宋体" w:cs="宋体"/>
          <w:color w:val="auto"/>
          <w:sz w:val="22"/>
          <w:szCs w:val="22"/>
          <w:highlight w:val="none"/>
        </w:rPr>
        <w:t>设备安装工程具备联动无负荷试车条件时，发包人应组织试车，并在试车前48小时以书面形式通知承包人。通知包括试车内容、时间、地点和对承包人的要求，承包人应按照要求做好准备工作。试车合格，合同双方当事人均应在试车记录上签字。</w:t>
      </w:r>
    </w:p>
    <w:p w14:paraId="37E22081">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55.5  </w:t>
      </w:r>
      <w:r>
        <w:rPr>
          <w:rFonts w:hint="eastAsia" w:ascii="宋体" w:hAnsi="宋体" w:cs="宋体"/>
          <w:b/>
          <w:bCs/>
          <w:color w:val="auto"/>
          <w:sz w:val="22"/>
          <w:szCs w:val="22"/>
          <w:highlight w:val="none"/>
          <w:u w:val="dotted"/>
        </w:rPr>
        <w:t xml:space="preserve">                                                                                                        </w:t>
      </w:r>
    </w:p>
    <w:p w14:paraId="15A50170">
      <w:pPr>
        <w:adjustRightInd w:val="0"/>
        <w:snapToGrid w:val="0"/>
        <w:spacing w:line="420" w:lineRule="exact"/>
        <w:ind w:left="162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227" name="文本框 231"/>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a:effectLst/>
                      </wps:spPr>
                      <wps:txbx>
                        <w:txbxContent>
                          <w:p w14:paraId="6063ECC2">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wps:txbx>
                      <wps:bodyPr wrap="square" upright="1"/>
                    </wps:wsp>
                  </a:graphicData>
                </a:graphic>
              </wp:anchor>
            </w:drawing>
          </mc:Choice>
          <mc:Fallback>
            <w:pict>
              <v:shape id="文本框 231" o:spid="_x0000_s1026" o:spt="202" type="#_x0000_t202" style="position:absolute;left:0pt;margin-left:-9pt;margin-top:-0.5pt;height:33.7pt;width:69.6pt;z-index:251893760;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CYfOHWAAAACQEAAA8AAAAAAAAAAQAgAAAAIgAAAGRycy9kb3ducmV2LnhtbFBL&#10;AQIUABQAAAAIAIdO4kBjk9BIvwEAAG0DAAAOAAAAAAAAAAEAIAAAACUBAABkcnMvZTJvRG9jLnht&#10;bFBLBQYAAAAABgAGAFkBAABWBQAAAAA=&#10;">
                <v:fill on="f" focussize="0,0"/>
                <v:stroke on="f"/>
                <v:imagedata o:title=""/>
                <o:lock v:ext="edit" aspectratio="f"/>
                <v:textbox>
                  <w:txbxContent>
                    <w:p w14:paraId="6063ECC2">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宋体" w:hAnsi="宋体" w:cs="宋体"/>
          <w:color w:val="auto"/>
          <w:sz w:val="22"/>
          <w:szCs w:val="22"/>
          <w:highlight w:val="none"/>
        </w:rPr>
        <w:t xml:space="preserve">试车费用，除已含在合同价款外，由发包人承担。试车达不到验收要求的，按照下列规定处理： </w:t>
      </w:r>
    </w:p>
    <w:p w14:paraId="275ACD9B">
      <w:pPr>
        <w:numPr>
          <w:ilvl w:val="0"/>
          <w:numId w:val="19"/>
        </w:numPr>
        <w:tabs>
          <w:tab w:val="left" w:pos="1080"/>
          <w:tab w:val="left" w:pos="1620"/>
        </w:tabs>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由于设计原因试车达不到验收要求，发包人应要求设计人修改设计，承包人按照修改后的设计重新安装。发包人承担修改设计、拆除及重新安装的全部费用和延误的工期。</w:t>
      </w:r>
    </w:p>
    <w:p w14:paraId="73E7A611">
      <w:pPr>
        <w:numPr>
          <w:ilvl w:val="0"/>
          <w:numId w:val="19"/>
        </w:numPr>
        <w:tabs>
          <w:tab w:val="left" w:pos="1080"/>
          <w:tab w:val="left" w:pos="1620"/>
        </w:tabs>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3480B006">
      <w:pPr>
        <w:numPr>
          <w:ilvl w:val="0"/>
          <w:numId w:val="19"/>
        </w:numPr>
        <w:tabs>
          <w:tab w:val="left" w:pos="1080"/>
          <w:tab w:val="left" w:pos="1980"/>
        </w:tabs>
        <w:adjustRightInd w:val="0"/>
        <w:snapToGrid w:val="0"/>
        <w:spacing w:line="420" w:lineRule="exact"/>
        <w:ind w:left="1617" w:leftChars="770" w:firstLine="0"/>
        <w:rPr>
          <w:rFonts w:ascii="宋体" w:hAnsi="宋体" w:cs="宋体"/>
          <w:color w:val="auto"/>
          <w:sz w:val="22"/>
          <w:szCs w:val="22"/>
          <w:highlight w:val="none"/>
        </w:rPr>
      </w:pPr>
      <w:r>
        <w:rPr>
          <w:rFonts w:hint="eastAsia" w:ascii="宋体" w:hAnsi="宋体" w:cs="宋体"/>
          <w:color w:val="auto"/>
          <w:sz w:val="22"/>
          <w:szCs w:val="22"/>
          <w:highlight w:val="none"/>
        </w:rPr>
        <w:t>由于承包人施工原因试车达不到验收要求，承包人应按照监理工程师要求重新安装和试车，并承担拆除、重新安装和重新试车的费用和延误的工期。</w:t>
      </w:r>
    </w:p>
    <w:p w14:paraId="695C6360">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55.6  </w:t>
      </w:r>
      <w:r>
        <w:rPr>
          <w:rFonts w:hint="eastAsia" w:ascii="宋体" w:hAnsi="宋体" w:cs="宋体"/>
          <w:b/>
          <w:bCs/>
          <w:color w:val="auto"/>
          <w:sz w:val="22"/>
          <w:szCs w:val="22"/>
          <w:highlight w:val="none"/>
          <w:u w:val="dotted"/>
        </w:rPr>
        <w:t xml:space="preserve">                                                                               </w:t>
      </w:r>
    </w:p>
    <w:p w14:paraId="168E72C6">
      <w:pPr>
        <w:adjustRightInd w:val="0"/>
        <w:snapToGrid w:val="0"/>
        <w:spacing w:line="420" w:lineRule="exact"/>
        <w:rPr>
          <w:rFonts w:ascii="宋体" w:hAnsi="宋体" w:cs="宋体"/>
          <w:b/>
          <w:bCs/>
          <w:color w:val="auto"/>
          <w:sz w:val="22"/>
          <w:szCs w:val="22"/>
          <w:highlight w:val="none"/>
          <w:u w:val="dotted"/>
        </w:rPr>
      </w:pPr>
    </w:p>
    <w:p w14:paraId="761639DA">
      <w:pPr>
        <w:pStyle w:val="34"/>
        <w:adjustRightInd w:val="0"/>
        <w:snapToGrid w:val="0"/>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228" name="文本框 23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647FCE3B">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232" o:spid="_x0000_s1026" o:spt="202" type="#_x0000_t202" style="position:absolute;left:0pt;margin-left:-9pt;margin-top:0.8pt;height:23.4pt;width:63pt;z-index:251894784;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nO0gNQAAAAIAQAADwAAAAAAAAABACAAAAAiAAAAZHJzL2Rvd25yZXYueG1sUEsBAhQA&#10;FAAAAAgAh07iQFXPnde9AQAAbQMAAA4AAAAAAAAAAQAgAAAAIwEAAGRycy9lMm9Eb2MueG1sUEsF&#10;BgAAAAAGAAYAWQEAAFIFAAAAAA==&#10;">
                <v:fill on="f" focussize="0,0"/>
                <v:stroke on="f"/>
                <v:imagedata o:title=""/>
                <o:lock v:ext="edit" aspectratio="f"/>
                <v:textbox>
                  <w:txbxContent>
                    <w:p w14:paraId="647FCE3B">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宋体" w:cs="宋体"/>
          <w:color w:val="auto"/>
          <w:sz w:val="22"/>
          <w:szCs w:val="22"/>
          <w:highlight w:val="none"/>
        </w:rPr>
        <w:t>投料试车应在永久工程竣工验收后，由发包人负责。如果发包人要求在永久工程竣工验收前进行试车或需要承包人配合时，应事先取得承包人同意，并另行签订补充协议。</w:t>
      </w:r>
    </w:p>
    <w:p w14:paraId="50C57673">
      <w:pPr>
        <w:pStyle w:val="12"/>
        <w:adjustRightInd w:val="0"/>
        <w:snapToGrid w:val="0"/>
        <w:spacing w:line="420" w:lineRule="exact"/>
        <w:ind w:firstLine="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7FAFE32D">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54" w:name="_Toc469384039"/>
      <w:bookmarkStart w:id="355" w:name="_Toc107"/>
      <w:bookmarkStart w:id="356" w:name="_Toc17746"/>
      <w:r>
        <w:rPr>
          <w:rFonts w:hint="eastAsia" w:hAnsi="宋体"/>
          <w:b/>
          <w:bCs/>
          <w:color w:val="auto"/>
          <w:sz w:val="22"/>
          <w:szCs w:val="22"/>
          <w:highlight w:val="none"/>
        </w:rPr>
        <w:t>★56  工程变更</w:t>
      </w:r>
      <w:bookmarkEnd w:id="354"/>
      <w:bookmarkEnd w:id="355"/>
      <w:bookmarkEnd w:id="356"/>
    </w:p>
    <w:p w14:paraId="66A3AEDA">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56.1</w:t>
      </w:r>
    </w:p>
    <w:p w14:paraId="79A6F3F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229" name="文本框 233"/>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14:paraId="29016CE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233" o:spid="_x0000_s1026" o:spt="202" type="#_x0000_t202" style="position:absolute;left:0pt;margin-left:-9pt;margin-top:0.1pt;height:23.4pt;width:81pt;z-index:251895808;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syTKtMAAAAHAQAADwAAAAAAAAABACAAAAAiAAAAZHJzL2Rvd25yZXYueG1sUEsBAhQA&#10;FAAAAAgAh07iQNK5FLK+AQAAbgMAAA4AAAAAAAAAAQAgAAAAIgEAAGRycy9lMm9Eb2MueG1sUEsF&#10;BgAAAAAGAAYAWQEAAFIFAAAAAA==&#10;">
                <v:fill on="f" focussize="0,0"/>
                <v:stroke on="f"/>
                <v:imagedata o:title=""/>
                <o:lock v:ext="edit" aspectratio="f"/>
                <v:textbox>
                  <w:txbxContent>
                    <w:p w14:paraId="29016CE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hAnsi="宋体"/>
          <w:color w:val="auto"/>
          <w:sz w:val="22"/>
          <w:szCs w:val="22"/>
          <w:highlight w:val="none"/>
        </w:rPr>
        <w:t>合同履行期间，经发包人批准，监理工程师可按照第56.3款约定的变更程序向承包人发出变更指令，承包人应按照合同约定实施变更工作。</w:t>
      </w:r>
    </w:p>
    <w:p w14:paraId="6113376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没有经发包人批准也没有监理工程师的工程变更指令，承包人应按照合同约定施工，无权对合同工程作出任何变更。</w:t>
      </w:r>
    </w:p>
    <w:p w14:paraId="35FD13F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工程量偏差不属于工程变更，该项工程量增减不需要任何指令。</w:t>
      </w:r>
    </w:p>
    <w:p w14:paraId="48284C8A">
      <w:pPr>
        <w:pStyle w:val="22"/>
        <w:adjustRightInd w:val="0"/>
        <w:snapToGrid w:val="0"/>
        <w:spacing w:line="420" w:lineRule="exact"/>
        <w:rPr>
          <w:rFonts w:hAnsi="宋体"/>
          <w:color w:val="auto"/>
          <w:sz w:val="22"/>
          <w:szCs w:val="22"/>
          <w:highlight w:val="none"/>
          <w:u w:val="dotted"/>
        </w:rPr>
      </w:pPr>
      <w:r>
        <w:rPr>
          <w:rFonts w:hint="eastAsia" w:hAnsi="宋体"/>
          <w:b/>
          <w:bCs/>
          <w:color w:val="auto"/>
          <w:sz w:val="22"/>
          <w:szCs w:val="22"/>
          <w:highlight w:val="none"/>
        </w:rPr>
        <w:t xml:space="preserve">56.2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12C0E0BF">
      <w:pPr>
        <w:pStyle w:val="22"/>
        <w:adjustRightInd w:val="0"/>
        <w:snapToGrid w:val="0"/>
        <w:spacing w:line="420" w:lineRule="exact"/>
        <w:rPr>
          <w:rFonts w:hAnsi="宋体"/>
          <w:color w:val="auto"/>
          <w:sz w:val="22"/>
          <w:szCs w:val="22"/>
          <w:highlight w:val="none"/>
        </w:rPr>
      </w:pPr>
    </w:p>
    <w:p w14:paraId="3134B59E">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230" name="文本框 23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E150C3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234" o:spid="_x0000_s1026" o:spt="202" type="#_x0000_t202" style="position:absolute;left:0pt;margin-left:-9pt;margin-top:5.5pt;height:31.2pt;width:72pt;z-index:251896832;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Ppe1dYAAAAJAQAADwAAAAAAAAABACAAAAAiAAAAZHJzL2Rvd25yZXYueG1sUEsB&#10;AhQAFAAAAAgAh07iQGx8Kk++AQAAbQMAAA4AAAAAAAAAAQAgAAAAJQEAAGRycy9lMm9Eb2MueG1s&#10;UEsFBgAAAAAGAAYAWQEAAFUFAAAAAA==&#10;">
                <v:fill on="f" focussize="0,0"/>
                <v:stroke on="f"/>
                <v:imagedata o:title=""/>
                <o:lock v:ext="edit" aspectratio="f"/>
                <v:textbox>
                  <w:txbxContent>
                    <w:p w14:paraId="4E150C3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hAnsi="宋体"/>
          <w:color w:val="auto"/>
          <w:sz w:val="22"/>
          <w:szCs w:val="22"/>
          <w:highlight w:val="none"/>
        </w:rPr>
        <w:t>合同履行期间，发包人可对合同工程或其任何部分的形式、质量或数量作出变更。发生下列情形之一，应按照本条规定进行变更。</w:t>
      </w:r>
    </w:p>
    <w:p w14:paraId="7BF8EC2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(1) 改变合同工程中任何工程数量（不含工程量的偏差）；</w:t>
      </w:r>
    </w:p>
    <w:p w14:paraId="3FD27D7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 xml:space="preserve">(2) 删减任何工作，但删减的工作不能转由发包人或其他人实施；   </w:t>
      </w:r>
    </w:p>
    <w:p w14:paraId="7555708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(3) 改变任何工作内容的性质、质量或其他特征；</w:t>
      </w:r>
    </w:p>
    <w:p w14:paraId="1B5F43FB">
      <w:pPr>
        <w:pStyle w:val="22"/>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w:t>(4) 改变工程任何部分的标高、基线、位置和(或)尺寸；</w:t>
      </w:r>
    </w:p>
    <w:p w14:paraId="04799848">
      <w:pPr>
        <w:pStyle w:val="22"/>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w:t>(5) 为完成永久工程所必须的任何额外工作；</w:t>
      </w:r>
    </w:p>
    <w:p w14:paraId="41A0B4D1">
      <w:pPr>
        <w:pStyle w:val="22"/>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w:t>但对合同工程工期、质量标准等实质性变更的，应在作出变更前，与承包人签订补充协议书，作为本合同的补充文件。</w:t>
      </w:r>
    </w:p>
    <w:p w14:paraId="7F65DACD">
      <w:pPr>
        <w:pStyle w:val="22"/>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56.3  </w:t>
      </w:r>
      <w:r>
        <w:rPr>
          <w:rFonts w:hint="eastAsia" w:hAnsi="宋体"/>
          <w:b/>
          <w:bCs/>
          <w:color w:val="auto"/>
          <w:sz w:val="22"/>
          <w:szCs w:val="22"/>
          <w:highlight w:val="none"/>
          <w:u w:val="dotted"/>
        </w:rPr>
        <w:t xml:space="preserve">                                                                               </w:t>
      </w:r>
    </w:p>
    <w:p w14:paraId="58FD1A4D">
      <w:pPr>
        <w:pStyle w:val="22"/>
        <w:adjustRightInd w:val="0"/>
        <w:snapToGrid w:val="0"/>
        <w:spacing w:line="420" w:lineRule="exact"/>
        <w:rPr>
          <w:rFonts w:hAnsi="宋体"/>
          <w:b/>
          <w:bCs/>
          <w:color w:val="auto"/>
          <w:sz w:val="22"/>
          <w:szCs w:val="22"/>
          <w:highlight w:val="none"/>
        </w:rPr>
      </w:pPr>
    </w:p>
    <w:p w14:paraId="3EFEB4F2">
      <w:pPr>
        <w:pStyle w:val="22"/>
        <w:adjustRightInd w:val="0"/>
        <w:snapToGrid w:val="0"/>
        <w:spacing w:line="420" w:lineRule="exact"/>
        <w:ind w:left="1619" w:leftChars="771"/>
        <w:rPr>
          <w:rFonts w:hAnsi="宋体"/>
          <w:color w:val="auto"/>
          <w:sz w:val="22"/>
          <w:szCs w:val="22"/>
          <w:highlight w:val="none"/>
        </w:rPr>
      </w:pPr>
      <w:bookmarkStart w:id="357" w:name="OLE_LINK1"/>
      <w:r>
        <w:rPr>
          <w:rFonts w:hint="eastAsia" w:hAnsi="宋体"/>
          <w:color w:val="auto"/>
          <w:sz w:val="22"/>
          <w:szCs w:val="22"/>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231" name="文本框 235"/>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a:effectLst/>
                      </wps:spPr>
                      <wps:txbx>
                        <w:txbxContent>
                          <w:p w14:paraId="6499766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235" o:spid="_x0000_s1026" o:spt="202" type="#_x0000_t202" style="position:absolute;left:0pt;margin-left:-9pt;margin-top:1.25pt;height:43.85pt;width:72pt;z-index:251897856;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DD/2NUAAAAIAQAADwAAAAAAAAABACAAAAAiAAAAZHJzL2Rvd25yZXYueG1sUEsB&#10;AhQAFAAAAAgAh07iQES2/cO/AQAAbQMAAA4AAAAAAAAAAQAgAAAAJAEAAGRycy9lMm9Eb2MueG1s&#10;UEsFBgAAAAAGAAYAWQEAAFUFAAAAAA==&#10;">
                <v:fill on="f" focussize="0,0"/>
                <v:stroke on="f"/>
                <v:imagedata o:title=""/>
                <o:lock v:ext="edit" aspectratio="f"/>
                <v:textbox>
                  <w:txbxContent>
                    <w:p w14:paraId="6499766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hAnsi="宋体"/>
          <w:color w:val="auto"/>
          <w:sz w:val="22"/>
          <w:szCs w:val="22"/>
          <w:highlight w:val="none"/>
        </w:rPr>
        <w:t>合同工程发生变更</w:t>
      </w:r>
      <w:bookmarkEnd w:id="357"/>
      <w:r>
        <w:rPr>
          <w:rFonts w:hint="eastAsia" w:hAnsi="宋体"/>
          <w:color w:val="auto"/>
          <w:sz w:val="22"/>
          <w:szCs w:val="22"/>
          <w:highlight w:val="none"/>
        </w:rPr>
        <w:t>，合同双方当事人以及监理工程师、造价工程师应遵循下列程序实施工程变更的相关工作。</w:t>
      </w:r>
    </w:p>
    <w:p w14:paraId="18C4605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(1)合同工程可能发生或发生工程变更时，监理工程师或承包人可依据下列情况及时提出。</w:t>
      </w:r>
    </w:p>
    <w:p w14:paraId="4B7733D9">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14:paraId="7FF3C250">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2）合同工程发生第56.2款所列情形的，监理工程师应至少提前14天以书面形式向承包人发出变更指令，并提供变更的施工设计图纸及其说明等资料。</w:t>
      </w:r>
    </w:p>
    <w:p w14:paraId="2372F061">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14:paraId="139CDD63">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4）若承包人收到监理工程师的变更意向书后认为难以实施此项变更的，应立即通知监理工程师，说明原因并附详细依据。监理工程师与合同双方当事人协商后确定撤销、改变或不改变原变更意向书。</w:t>
      </w:r>
    </w:p>
    <w:p w14:paraId="0B3F8E84">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14:paraId="2CFDC88E">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变更工作影响工期的，承包人应提出调整工期的要求。发包人认为有必要时，可要求承包人提交提前或者延长工期的施工进度计划或相应施工措施等资料。</w:t>
      </w:r>
    </w:p>
    <w:p w14:paraId="45E018FF">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14:paraId="0743074A">
      <w:pPr>
        <w:pStyle w:val="22"/>
        <w:adjustRightInd w:val="0"/>
        <w:snapToGrid w:val="0"/>
        <w:spacing w:line="420" w:lineRule="exact"/>
        <w:ind w:left="1575" w:leftChars="750"/>
        <w:rPr>
          <w:rFonts w:hAnsi="宋体"/>
          <w:b/>
          <w:bCs/>
          <w:color w:val="auto"/>
          <w:sz w:val="22"/>
          <w:szCs w:val="22"/>
          <w:highlight w:val="none"/>
        </w:rPr>
      </w:pPr>
      <w:r>
        <w:rPr>
          <w:rFonts w:hint="eastAsia" w:hAnsi="宋体"/>
          <w:color w:val="auto"/>
          <w:sz w:val="22"/>
          <w:szCs w:val="22"/>
          <w:highlight w:val="none"/>
        </w:rPr>
        <w:t>(4)承包人应在发包人确定工程变更报告后的7天内，按照监理工程师发出的变更指令及时组织实施变更工作。否则，由此引起的损失和（或）延误的工期由承包人承担。</w:t>
      </w:r>
    </w:p>
    <w:p w14:paraId="30B0D169">
      <w:pPr>
        <w:pStyle w:val="22"/>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56.4  </w:t>
      </w:r>
      <w:r>
        <w:rPr>
          <w:rFonts w:hint="eastAsia" w:hAnsi="宋体"/>
          <w:b/>
          <w:bCs/>
          <w:color w:val="auto"/>
          <w:sz w:val="22"/>
          <w:szCs w:val="22"/>
          <w:highlight w:val="none"/>
          <w:u w:val="dotted"/>
        </w:rPr>
        <w:t xml:space="preserve">                                                                               </w:t>
      </w:r>
    </w:p>
    <w:p w14:paraId="1661401D">
      <w:pPr>
        <w:pStyle w:val="22"/>
        <w:adjustRightInd w:val="0"/>
        <w:snapToGrid w:val="0"/>
        <w:spacing w:line="420" w:lineRule="exact"/>
        <w:rPr>
          <w:rFonts w:hAnsi="宋体"/>
          <w:b/>
          <w:bCs/>
          <w:color w:val="auto"/>
          <w:sz w:val="22"/>
          <w:szCs w:val="22"/>
          <w:highlight w:val="none"/>
        </w:rPr>
      </w:pPr>
    </w:p>
    <w:p w14:paraId="513A10BE">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232" name="文本框 236"/>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a:effectLst/>
                      </wps:spPr>
                      <wps:txbx>
                        <w:txbxContent>
                          <w:p w14:paraId="421FC44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wrap="square" upright="1"/>
                    </wps:wsp>
                  </a:graphicData>
                </a:graphic>
              </wp:anchor>
            </w:drawing>
          </mc:Choice>
          <mc:Fallback>
            <w:pict>
              <v:shape id="文本框 236" o:spid="_x0000_s1026" o:spt="202" type="#_x0000_t202" style="position:absolute;left:0pt;margin-left:-9pt;margin-top:0.6pt;height:32.45pt;width:72pt;z-index:251898880;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4TrXUAAAACAEAAA8AAAAAAAAAAQAgAAAAIgAAAGRycy9kb3ducmV2LnhtbFBLAQIU&#10;ABQAAAAIAIdO4kAaZ6ZpvgEAAG0DAAAOAAAAAAAAAAEAIAAAACMBAABkcnMvZTJvRG9jLnhtbFBL&#10;BQYAAAAABgAGAFkBAABTBQAAAAA=&#10;">
                <v:fill on="f" focussize="0,0"/>
                <v:stroke on="f"/>
                <v:imagedata o:title=""/>
                <o:lock v:ext="edit" aspectratio="f"/>
                <v:textbox>
                  <w:txbxContent>
                    <w:p w14:paraId="421FC44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hAnsi="宋体"/>
          <w:color w:val="auto"/>
          <w:sz w:val="22"/>
          <w:szCs w:val="22"/>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14:paraId="38146BD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发包人采纳承包人的建议，给发包人带来降低合同价款、缩短工期或提交工程经济效益等利益的，发包人应按照国家有关规定并在专用条款中约定的计算方法予以奖励。</w:t>
      </w:r>
    </w:p>
    <w:p w14:paraId="5D224513">
      <w:pPr>
        <w:pStyle w:val="22"/>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56.5  </w:t>
      </w:r>
      <w:r>
        <w:rPr>
          <w:rFonts w:hint="eastAsia" w:hAnsi="宋体"/>
          <w:b/>
          <w:bCs/>
          <w:color w:val="auto"/>
          <w:sz w:val="22"/>
          <w:szCs w:val="22"/>
          <w:highlight w:val="none"/>
          <w:u w:val="dotted"/>
        </w:rPr>
        <w:t xml:space="preserve">                                                                                </w:t>
      </w:r>
    </w:p>
    <w:p w14:paraId="6F46C561">
      <w:pPr>
        <w:pStyle w:val="22"/>
        <w:adjustRightInd w:val="0"/>
        <w:snapToGrid w:val="0"/>
        <w:spacing w:line="420" w:lineRule="exact"/>
        <w:rPr>
          <w:rFonts w:hAnsi="宋体"/>
          <w:b/>
          <w:bCs/>
          <w:color w:val="auto"/>
          <w:sz w:val="22"/>
          <w:szCs w:val="22"/>
          <w:highlight w:val="none"/>
        </w:rPr>
      </w:pPr>
    </w:p>
    <w:p w14:paraId="176DBFF0">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233" name="文本框 237"/>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a:effectLst/>
                      </wps:spPr>
                      <wps:txbx>
                        <w:txbxContent>
                          <w:p w14:paraId="5DC78FD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wrap="square" upright="1"/>
                    </wps:wsp>
                  </a:graphicData>
                </a:graphic>
              </wp:anchor>
            </w:drawing>
          </mc:Choice>
          <mc:Fallback>
            <w:pict>
              <v:shape id="文本框 237" o:spid="_x0000_s1026" o:spt="202" type="#_x0000_t202" style="position:absolute;left:0pt;margin-left:-9pt;margin-top:1.2pt;height:46.3pt;width:72pt;z-index:251899904;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8ysRLVAAAACAEAAA8AAAAAAAAAAQAgAAAAIgAAAGRycy9kb3ducmV2LnhtbFBLAQIU&#10;ABQAAAAIAIdO4kBF383RvQEAAG0DAAAOAAAAAAAAAAEAIAAAACQBAABkcnMvZTJvRG9jLnhtbFBL&#10;BQYAAAAABgAGAFkBAABTBQAAAAA=&#10;">
                <v:fill on="f" focussize="0,0"/>
                <v:stroke on="f"/>
                <v:imagedata o:title=""/>
                <o:lock v:ext="edit" aspectratio="f"/>
                <v:textbox>
                  <w:txbxContent>
                    <w:p w14:paraId="5DC78FD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hAnsi="宋体"/>
          <w:color w:val="auto"/>
          <w:sz w:val="22"/>
          <w:szCs w:val="22"/>
          <w:highlight w:val="none"/>
        </w:rPr>
        <w:t>工程变更不应使合同作废或无效。工程变更应按照第72条规定确定变更的工程款；影响工期的，工期应相应调整。但由于下列原因引起的变更，承包人无权要求任何额外或附加的费用，工期不予顺延：</w:t>
      </w:r>
    </w:p>
    <w:p w14:paraId="71B6E408">
      <w:pPr>
        <w:pStyle w:val="22"/>
        <w:numPr>
          <w:ilvl w:val="0"/>
          <w:numId w:val="20"/>
        </w:numPr>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为了便于组织施工而采取的技术措施变更或临时工程变更；</w:t>
      </w:r>
    </w:p>
    <w:p w14:paraId="0175839B">
      <w:pPr>
        <w:pStyle w:val="22"/>
        <w:adjustRightInd w:val="0"/>
        <w:snapToGrid w:val="0"/>
        <w:spacing w:line="420" w:lineRule="exact"/>
        <w:ind w:firstLine="1430" w:firstLineChars="650"/>
        <w:rPr>
          <w:rFonts w:hAnsi="宋体"/>
          <w:color w:val="auto"/>
          <w:sz w:val="22"/>
          <w:szCs w:val="22"/>
          <w:highlight w:val="none"/>
        </w:rPr>
      </w:pPr>
      <w:r>
        <w:rPr>
          <w:rFonts w:hint="eastAsia" w:hAnsi="宋体"/>
          <w:color w:val="auto"/>
          <w:sz w:val="22"/>
          <w:szCs w:val="22"/>
          <w:highlight w:val="none"/>
        </w:rPr>
        <w:t>（2）为了施工安全、避免干扰等原因而采取的技术措施变更或临时工程变</w:t>
      </w:r>
    </w:p>
    <w:p w14:paraId="65C9C9F1">
      <w:pPr>
        <w:pStyle w:val="22"/>
        <w:adjustRightInd w:val="0"/>
        <w:snapToGrid w:val="0"/>
        <w:spacing w:line="420" w:lineRule="exact"/>
        <w:ind w:left="1619" w:firstLine="1"/>
        <w:rPr>
          <w:rFonts w:hAnsi="宋体"/>
          <w:color w:val="auto"/>
          <w:sz w:val="22"/>
          <w:szCs w:val="22"/>
          <w:highlight w:val="none"/>
        </w:rPr>
      </w:pPr>
      <w:r>
        <w:rPr>
          <w:rFonts w:hint="eastAsia" w:hAnsi="宋体"/>
          <w:color w:val="auto"/>
          <w:sz w:val="22"/>
          <w:szCs w:val="22"/>
          <w:highlight w:val="none"/>
        </w:rPr>
        <w:t>更；</w:t>
      </w:r>
    </w:p>
    <w:p w14:paraId="74EC870C">
      <w:pPr>
        <w:pStyle w:val="22"/>
        <w:numPr>
          <w:ilvl w:val="0"/>
          <w:numId w:val="20"/>
        </w:numPr>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因承包人违约、过错或承包人引起的其他变更。</w:t>
      </w:r>
    </w:p>
    <w:p w14:paraId="2C848704">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6D229A40">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58" w:name="_Toc469384040"/>
      <w:bookmarkStart w:id="359" w:name="_Toc19941"/>
      <w:bookmarkStart w:id="360" w:name="_Toc5542"/>
      <w:r>
        <w:rPr>
          <w:rFonts w:hint="eastAsia" w:hAnsi="宋体"/>
          <w:b/>
          <w:bCs/>
          <w:color w:val="auto"/>
          <w:sz w:val="22"/>
          <w:szCs w:val="22"/>
          <w:highlight w:val="none"/>
        </w:rPr>
        <w:t>57  竣工验收条件</w:t>
      </w:r>
      <w:bookmarkEnd w:id="358"/>
      <w:bookmarkEnd w:id="359"/>
      <w:bookmarkEnd w:id="360"/>
    </w:p>
    <w:p w14:paraId="007DF6DA">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57.1</w:t>
      </w:r>
    </w:p>
    <w:p w14:paraId="1AFF9971">
      <w:pPr>
        <w:spacing w:line="420" w:lineRule="exact"/>
        <w:ind w:left="1618" w:hanging="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4" name="文本框 238"/>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a:effectLst/>
                      </wps:spPr>
                      <wps:txbx>
                        <w:txbxContent>
                          <w:p w14:paraId="4D3480C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238" o:spid="_x0000_s1026" o:spt="202" type="#_x0000_t202" style="position:absolute;left:0pt;margin-left:-9pt;margin-top:1pt;height:33.3pt;width:72pt;z-index:251900928;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6HlN1QAAAAgBAAAPAAAAAAAAAAEAIAAAACIAAABkcnMvZG93bnJldi54bWxQSwEC&#10;FAAUAAAACACHTuJA7ygPOb4BAABtAwAADgAAAAAAAAABACAAAAAkAQAAZHJzL2Uyb0RvYy54bWxQ&#10;SwUGAAAAAAYABgBZAQAAVAUAAAAA&#10;">
                <v:fill on="f" focussize="0,0"/>
                <v:stroke on="f"/>
                <v:imagedata o:title=""/>
                <o:lock v:ext="edit" aspectratio="f"/>
                <v:textbox>
                  <w:txbxContent>
                    <w:p w14:paraId="4D3480C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宋体" w:hAnsi="宋体" w:cs="宋体"/>
          <w:color w:val="auto"/>
          <w:sz w:val="22"/>
          <w:szCs w:val="22"/>
          <w:highlight w:val="none"/>
        </w:rPr>
        <w:t>承包人实施、完成合同工程的全部工作内容，经自检评定并符合下列条件的，则认为合同工程已具备竣工验收条件。</w:t>
      </w:r>
    </w:p>
    <w:p w14:paraId="69787A73">
      <w:pPr>
        <w:spacing w:line="420" w:lineRule="exact"/>
        <w:ind w:left="1618" w:hanging="1"/>
        <w:rPr>
          <w:rFonts w:ascii="宋体" w:hAnsi="宋体" w:cs="宋体"/>
          <w:color w:val="auto"/>
          <w:sz w:val="22"/>
          <w:szCs w:val="22"/>
          <w:highlight w:val="none"/>
        </w:rPr>
      </w:pPr>
      <w:r>
        <w:rPr>
          <w:rFonts w:hint="eastAsia" w:ascii="宋体" w:hAnsi="宋体" w:cs="宋体"/>
          <w:color w:val="auto"/>
          <w:sz w:val="22"/>
          <w:szCs w:val="22"/>
          <w:highlight w:val="none"/>
        </w:rPr>
        <w:t>(1）除监理工程师同意列入缺陷责任期内完成的尾工（甩项）工程和缺陷修补工作外，包括合同约定的试验、检验和验收等工作在内的合同范围内全部工作均已完成，并符合施工设计图纸和合同约定的要求；</w:t>
      </w:r>
    </w:p>
    <w:p w14:paraId="3727FD2E">
      <w:pPr>
        <w:spacing w:line="420" w:lineRule="exact"/>
        <w:ind w:left="1680" w:leftChars="800"/>
        <w:rPr>
          <w:rFonts w:ascii="宋体" w:hAnsi="宋体" w:cs="宋体"/>
          <w:color w:val="auto"/>
          <w:sz w:val="22"/>
          <w:szCs w:val="22"/>
          <w:highlight w:val="none"/>
        </w:rPr>
      </w:pPr>
      <w:r>
        <w:rPr>
          <w:rFonts w:hint="eastAsia" w:ascii="宋体" w:hAnsi="宋体" w:cs="宋体"/>
          <w:color w:val="auto"/>
          <w:sz w:val="22"/>
          <w:szCs w:val="22"/>
          <w:highlight w:val="none"/>
        </w:rPr>
        <w:t>(2）已按照合同约定的内容和份数备齐了符合国家或行业、省要求的竣工资料（质量控制资料、竣工结算文件等）；</w:t>
      </w:r>
    </w:p>
    <w:p w14:paraId="148404C1">
      <w:pPr>
        <w:spacing w:line="420" w:lineRule="exact"/>
        <w:ind w:left="1618" w:hanging="1"/>
        <w:rPr>
          <w:rFonts w:ascii="宋体" w:hAnsi="宋体" w:cs="宋体"/>
          <w:color w:val="auto"/>
          <w:sz w:val="22"/>
          <w:szCs w:val="22"/>
          <w:highlight w:val="none"/>
        </w:rPr>
      </w:pPr>
      <w:r>
        <w:rPr>
          <w:rFonts w:hint="eastAsia" w:ascii="宋体" w:hAnsi="宋体" w:cs="宋体"/>
          <w:color w:val="auto"/>
          <w:sz w:val="22"/>
          <w:szCs w:val="22"/>
          <w:highlight w:val="none"/>
        </w:rPr>
        <w:t>(3）已按照监理工程师的指令编制了在缺陷责任期内完成的尾工（甩项）工程和缺陷修补工作清单，以及相应的实施计划；</w:t>
      </w:r>
    </w:p>
    <w:p w14:paraId="1EC267FF">
      <w:pPr>
        <w:spacing w:line="420" w:lineRule="exact"/>
        <w:ind w:firstLine="1485" w:firstLineChars="675"/>
        <w:rPr>
          <w:rFonts w:ascii="宋体" w:hAnsi="宋体" w:cs="宋体"/>
          <w:color w:val="auto"/>
          <w:sz w:val="22"/>
          <w:szCs w:val="22"/>
          <w:highlight w:val="none"/>
        </w:rPr>
      </w:pPr>
      <w:r>
        <w:rPr>
          <w:rFonts w:hint="eastAsia" w:ascii="宋体" w:hAnsi="宋体" w:cs="宋体"/>
          <w:color w:val="auto"/>
          <w:sz w:val="22"/>
          <w:szCs w:val="22"/>
          <w:highlight w:val="none"/>
        </w:rPr>
        <w:t>(4）监理工程师要求在竣工验收前应完成的其他工作：</w:t>
      </w:r>
    </w:p>
    <w:p w14:paraId="01705BB7">
      <w:pPr>
        <w:spacing w:line="420" w:lineRule="exact"/>
        <w:ind w:firstLine="1485" w:firstLineChars="675"/>
        <w:rPr>
          <w:rFonts w:ascii="宋体" w:hAnsi="宋体" w:cs="宋体"/>
          <w:color w:val="auto"/>
          <w:sz w:val="22"/>
          <w:szCs w:val="22"/>
          <w:highlight w:val="none"/>
        </w:rPr>
      </w:pPr>
      <w:r>
        <w:rPr>
          <w:rFonts w:hint="eastAsia" w:ascii="宋体" w:hAnsi="宋体" w:cs="宋体"/>
          <w:color w:val="auto"/>
          <w:sz w:val="22"/>
          <w:szCs w:val="22"/>
          <w:highlight w:val="none"/>
        </w:rPr>
        <w:t>(5）监理工程师要求提交的竣工验收资料清单。</w:t>
      </w:r>
    </w:p>
    <w:p w14:paraId="2CB72D3A">
      <w:pPr>
        <w:pStyle w:val="12"/>
        <w:adjustRightInd w:val="0"/>
        <w:snapToGrid w:val="0"/>
        <w:spacing w:line="420" w:lineRule="exact"/>
        <w:ind w:firstLine="0"/>
        <w:rPr>
          <w:rFonts w:ascii="宋体" w:hAnsi="宋体" w:cs="宋体"/>
          <w:color w:val="auto"/>
          <w:sz w:val="22"/>
          <w:szCs w:val="22"/>
          <w:highlight w:val="none"/>
        </w:rPr>
      </w:pPr>
      <w:r>
        <w:rPr>
          <w:rFonts w:hint="eastAsia" w:ascii="宋体" w:hAnsi="宋体" w:cs="宋体"/>
          <w:b/>
          <w:bCs/>
          <w:color w:val="auto"/>
          <w:sz w:val="22"/>
          <w:szCs w:val="22"/>
          <w:highlight w:val="none"/>
        </w:rPr>
        <w:t xml:space="preserve">57.2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43AE3527">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w:t>承包人</w:t>
      </w:r>
      <w:r>
        <w:rPr>
          <w:rFonts w:hint="eastAsia" w:ascii="宋体" w:hAnsi="宋体" w:cs="宋体"/>
          <w:color w:val="auto"/>
          <w:sz w:val="22"/>
          <w:szCs w:val="22"/>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5" name="文本框 23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a:effectLst/>
                      </wps:spPr>
                      <wps:txbx>
                        <w:txbxContent>
                          <w:p w14:paraId="0C893B55">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239" o:spid="_x0000_s1026" o:spt="202" type="#_x0000_t202" style="position:absolute;left:0pt;margin-left:-9pt;margin-top:1pt;height:33.3pt;width:72pt;z-index:251901952;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Oh5TdUAAAAIAQAADwAAAAAAAAABACAAAAAiAAAAZHJzL2Rvd25yZXYueG1sUEsB&#10;AhQAFAAAAAgAh07iQB3XzcW/AQAAbQMAAA4AAAAAAAAAAQAgAAAAJAEAAGRycy9lMm9Eb2MueG1s&#10;UEsFBgAAAAAGAAYAWQEAAFUFAAAAAA==&#10;">
                <v:fill on="f" focussize="0,0"/>
                <v:stroke on="f"/>
                <v:imagedata o:title=""/>
                <o:lock v:ext="edit" aspectratio="f"/>
                <v:textbox>
                  <w:txbxContent>
                    <w:p w14:paraId="0C893B55">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宋体" w:hAnsi="宋体" w:cs="宋体"/>
          <w:color w:val="auto"/>
          <w:sz w:val="22"/>
          <w:szCs w:val="22"/>
          <w:highlight w:val="none"/>
        </w:rPr>
        <w:t>认为合同工程具备竣工验收条件的，应按照国家或行业、省规定的工程竣工验收技术资料格式和要求，及时向发包人提交竣工验收申请报告和符合要求的完整竣工资料，合同双方当事人应按照第58条规定进行验收。</w:t>
      </w:r>
    </w:p>
    <w:p w14:paraId="4FA11BE3">
      <w:pPr>
        <w:pStyle w:val="12"/>
        <w:adjustRightInd w:val="0"/>
        <w:snapToGrid w:val="0"/>
        <w:spacing w:line="420" w:lineRule="exact"/>
        <w:ind w:firstLine="0"/>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57.3  </w:t>
      </w:r>
      <w:r>
        <w:rPr>
          <w:rFonts w:hint="eastAsia" w:ascii="宋体" w:hAnsi="宋体" w:cs="宋体"/>
          <w:b/>
          <w:bCs/>
          <w:color w:val="auto"/>
          <w:sz w:val="22"/>
          <w:szCs w:val="22"/>
          <w:highlight w:val="none"/>
          <w:u w:val="dotted"/>
        </w:rPr>
        <w:t xml:space="preserve">                                                                                                        </w:t>
      </w:r>
    </w:p>
    <w:p w14:paraId="18FC2F0D">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236" name="文本框 240"/>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a:effectLst/>
                      </wps:spPr>
                      <wps:txbx>
                        <w:txbxContent>
                          <w:p w14:paraId="23A4F7B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240" o:spid="_x0000_s1026" o:spt="202" type="#_x0000_t202" style="position:absolute;left:0pt;margin-left:-9pt;margin-top:3.05pt;height:32.05pt;width:68.8pt;z-index:251902976;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wfxE3VAAAACAEAAA8AAAAAAAAAAQAgAAAAIgAAAGRycy9kb3ducmV2LnhtbFBLAQIU&#10;ABQAAAAIAIdO4kDnpicAvQEAAG0DAAAOAAAAAAAAAAEAIAAAACQBAABkcnMvZTJvRG9jLnhtbFBL&#10;BQYAAAAABgAGAFkBAABTBQAAAAA=&#10;">
                <v:fill on="f" focussize="0,0"/>
                <v:stroke on="f"/>
                <v:imagedata o:title=""/>
                <o:lock v:ext="edit" aspectratio="f"/>
                <v:textbox>
                  <w:txbxContent>
                    <w:p w14:paraId="23A4F7B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宋体" w:hAnsi="宋体" w:cs="宋体"/>
          <w:color w:val="auto"/>
          <w:sz w:val="22"/>
          <w:szCs w:val="22"/>
          <w:highlight w:val="none"/>
        </w:rPr>
        <w:t>如果承包人不按照规定提交竣工资料或提交的资料不符合要求，则认为合同工程尚未具备竣工验收条件。</w:t>
      </w:r>
    </w:p>
    <w:p w14:paraId="5D595DE1">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67A204EA">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61" w:name="_Toc5734"/>
      <w:bookmarkStart w:id="362" w:name="_Toc469384041"/>
      <w:bookmarkStart w:id="363" w:name="_Toc24770"/>
      <w:r>
        <w:rPr>
          <w:rFonts w:hint="eastAsia" w:hAnsi="宋体"/>
          <w:b/>
          <w:bCs/>
          <w:color w:val="auto"/>
          <w:sz w:val="22"/>
          <w:szCs w:val="22"/>
          <w:highlight w:val="none"/>
        </w:rPr>
        <w:t>58  竣工验收</w:t>
      </w:r>
      <w:bookmarkEnd w:id="361"/>
      <w:bookmarkEnd w:id="362"/>
      <w:bookmarkEnd w:id="363"/>
    </w:p>
    <w:p w14:paraId="2579055C">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w:t>
      </w:r>
      <w:r>
        <w:rPr>
          <w:rFonts w:hint="eastAsia" w:ascii="宋体" w:hAnsi="宋体" w:cs="宋体"/>
          <w:color w:val="auto"/>
          <w:sz w:val="22"/>
          <w:szCs w:val="22"/>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7" name="文本框 241"/>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a:effectLst/>
                      </wps:spPr>
                      <wps:txbx>
                        <w:txbxContent>
                          <w:p w14:paraId="3DF835F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241" o:spid="_x0000_s1026" o:spt="202" type="#_x0000_t202" style="position:absolute;left:0pt;margin-left:-9pt;margin-top:20.3pt;height:32.1pt;width:68.8pt;z-index:25190400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nskQjWAAAACgEAAA8AAAAAAAAAAQAgAAAAIgAAAGRycy9kb3ducmV2LnhtbFBL&#10;AQIUABQAAAAIAIdO4kCfNH2evwEAAG0DAAAOAAAAAAAAAAEAIAAAACUBAABkcnMvZTJvRG9jLnht&#10;bFBLBQYAAAAABgAGAFkBAABWBQAAAAA=&#10;">
                <v:fill on="f" focussize="0,0"/>
                <v:stroke on="f"/>
                <v:imagedata o:title=""/>
                <o:lock v:ext="edit" aspectratio="f"/>
                <v:textbox>
                  <w:txbxContent>
                    <w:p w14:paraId="3DF835F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宋体" w:hAnsi="宋体" w:cs="宋体"/>
          <w:b/>
          <w:bCs/>
          <w:color w:val="auto"/>
          <w:sz w:val="22"/>
          <w:szCs w:val="22"/>
          <w:highlight w:val="none"/>
        </w:rPr>
        <w:t>58.1</w:t>
      </w:r>
    </w:p>
    <w:p w14:paraId="3BF76B3E">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合同双方当事人应在专用条款中约定合同工程竣工验收标准，但约定的竣工验收标准应符合国家或行业、省的有关规定。</w:t>
      </w:r>
    </w:p>
    <w:p w14:paraId="565183B2">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合同工程需要进行国家验收的，竣工验收是国家验收的一部分。</w:t>
      </w:r>
    </w:p>
    <w:p w14:paraId="7B76B495">
      <w:pPr>
        <w:tabs>
          <w:tab w:val="left" w:pos="1620"/>
        </w:tabs>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8" name="文本框 242"/>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a:effectLst/>
                      </wps:spPr>
                      <wps:txbx>
                        <w:txbxContent>
                          <w:p w14:paraId="50761B0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242" o:spid="_x0000_s1026" o:spt="202" type="#_x0000_t202" style="position:absolute;left:0pt;margin-left:-9pt;margin-top:20.3pt;height:32.1pt;width:68.8pt;z-index:251905024;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eyRCNYAAAAKAQAADwAAAAAAAAABACAAAAAiAAAAZHJzL2Rvd25yZXYueG1sUEsB&#10;AhQAFAAAAAgAh07iQHjF7k++AQAAbQMAAA4AAAAAAAAAAQAgAAAAJQEAAGRycy9lMm9Eb2MueG1s&#10;UEsFBgAAAAAGAAYAWQEAAFUFAAAAAA==&#10;">
                <v:fill on="f" focussize="0,0"/>
                <v:stroke on="f"/>
                <v:imagedata o:title=""/>
                <o:lock v:ext="edit" aspectratio="f"/>
                <v:textbox>
                  <w:txbxContent>
                    <w:p w14:paraId="50761B0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宋体" w:hAnsi="宋体" w:cs="宋体"/>
          <w:b/>
          <w:bCs/>
          <w:color w:val="auto"/>
          <w:sz w:val="22"/>
          <w:szCs w:val="22"/>
          <w:highlight w:val="none"/>
        </w:rPr>
        <w:t>58.2</w:t>
      </w:r>
      <w:r>
        <w:rPr>
          <w:rFonts w:hint="eastAsia" w:ascii="宋体" w:hAnsi="宋体" w:cs="宋体"/>
          <w:color w:val="auto"/>
          <w:sz w:val="22"/>
          <w:szCs w:val="22"/>
          <w:highlight w:val="none"/>
          <w:u w:val="dotted"/>
        </w:rPr>
        <w:t xml:space="preserve">                                                                             </w:t>
      </w:r>
    </w:p>
    <w:p w14:paraId="77F99CCC">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发包人收到承包人按照第57.2 款规定提交的竣工验收申请报告后，应及时通知监理工程师核查合同工程是否具备竣工验收条件。</w:t>
      </w:r>
    </w:p>
    <w:p w14:paraId="031A1140">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(1）经核查未具备竣工验收条件的，监理工程师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14:paraId="6A2940B8">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(2）经核查已具备竣工验收条件的，监理工程师应在收到竣工验收申请报告后的14天内书面提请发包人组织合同工程验收。</w:t>
      </w:r>
    </w:p>
    <w:p w14:paraId="4569A124">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9" name="文本框 243"/>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a:effectLst/>
                      </wps:spPr>
                      <wps:txbx>
                        <w:txbxContent>
                          <w:p w14:paraId="040EB38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243" o:spid="_x0000_s1026" o:spt="202" type="#_x0000_t202" style="position:absolute;left:0pt;margin-left:-9pt;margin-top:20.3pt;height:32.1pt;width:68.8pt;z-index:25190604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nskQjWAAAACgEAAA8AAAAAAAAAAQAgAAAAIgAAAGRycy9kb3ducmV2LnhtbFBL&#10;AQIUABQAAAAIAIdO4kCKOiyzvwEAAG0DAAAOAAAAAAAAAAEAIAAAACUBAABkcnMvZTJvRG9jLnht&#10;bFBLBQYAAAAABgAGAFkBAABWBQAAAAA=&#10;">
                <v:fill on="f" focussize="0,0"/>
                <v:stroke on="f"/>
                <v:imagedata o:title=""/>
                <o:lock v:ext="edit" aspectratio="f"/>
                <v:textbox>
                  <w:txbxContent>
                    <w:p w14:paraId="040EB38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宋体" w:hAnsi="宋体" w:cs="宋体"/>
          <w:b/>
          <w:bCs/>
          <w:color w:val="auto"/>
          <w:sz w:val="22"/>
          <w:szCs w:val="22"/>
          <w:highlight w:val="none"/>
        </w:rPr>
        <w:t xml:space="preserve">58.3 </w:t>
      </w:r>
      <w:r>
        <w:rPr>
          <w:rFonts w:hint="eastAsia" w:ascii="宋体" w:hAnsi="宋体" w:cs="宋体"/>
          <w:b/>
          <w:bCs/>
          <w:color w:val="auto"/>
          <w:sz w:val="22"/>
          <w:szCs w:val="22"/>
          <w:highlight w:val="none"/>
          <w:u w:val="dotted"/>
        </w:rPr>
        <w:t xml:space="preserve">                                                                             </w:t>
      </w:r>
    </w:p>
    <w:p w14:paraId="6583FCEF">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经监理工程师按照第58.2 款规定核查合同工程已具备竣工验收条件的，发包人应在收到监理工程师书面提请后的28天内，根据合同约定的竣工验收标准和施工设计图纸等文件，按照第19.5款规定组织参加验收各方完成合同工程验收，并在竣工验收后14天内予以确认或提出修改意见。</w:t>
      </w:r>
    </w:p>
    <w:p w14:paraId="672F2E90">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14:paraId="1FA5722F">
      <w:pPr>
        <w:adjustRightInd w:val="0"/>
        <w:snapToGrid w:val="0"/>
        <w:spacing w:line="420" w:lineRule="exact"/>
        <w:ind w:left="1491" w:leftChars="1" w:hanging="1489" w:hangingChars="674"/>
        <w:rPr>
          <w:rFonts w:ascii="宋体" w:hAnsi="宋体" w:cs="宋体"/>
          <w:color w:val="auto"/>
          <w:sz w:val="22"/>
          <w:szCs w:val="22"/>
          <w:highlight w:val="none"/>
        </w:rPr>
      </w:pPr>
      <w:r>
        <w:rPr>
          <w:rFonts w:hint="eastAsia" w:ascii="宋体" w:hAnsi="宋体" w:cs="宋体"/>
          <w:b/>
          <w:bCs/>
          <w:color w:val="auto"/>
          <w:sz w:val="22"/>
          <w:szCs w:val="22"/>
          <w:highlight w:val="none"/>
        </w:rPr>
        <w:t>58.4</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0A91D3F2">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240" name="文本框 244"/>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a:effectLst/>
                      </wps:spPr>
                      <wps:txbx>
                        <w:txbxContent>
                          <w:p w14:paraId="6176438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244" o:spid="_x0000_s1026" o:spt="202" type="#_x0000_t202" style="position:absolute;left:0pt;margin-left:-9pt;margin-top:1.55pt;height:35.55pt;width:68.8pt;z-index:251907072;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ltYrt1gAAAAgBAAAPAAAAAAAAAAEAIAAAACIAAABkcnMvZG93bnJldi54bWxQSwEC&#10;FAAUAAAACACHTuJAMrSaBr0BAABtAwAADgAAAAAAAAABACAAAAAlAQAAZHJzL2Uyb0RvYy54bWxQ&#10;SwUGAAAAAAYABgBZAQAAVAUAAAAA&#10;">
                <v:fill on="f" focussize="0,0"/>
                <v:stroke on="f"/>
                <v:imagedata o:title=""/>
                <o:lock v:ext="edit" aspectratio="f"/>
                <v:textbox>
                  <w:txbxContent>
                    <w:p w14:paraId="6176438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宋体" w:hAnsi="宋体" w:cs="宋体"/>
          <w:color w:val="auto"/>
          <w:sz w:val="22"/>
          <w:szCs w:val="22"/>
          <w:highlight w:val="none"/>
        </w:rPr>
        <w:t>发包人未按照第58.3款规定完成合同工程验收，或验收后14天内未予确认也未提出修改意见，视为承包人提交的竣工验收申请报告已被认可。</w:t>
      </w:r>
    </w:p>
    <w:p w14:paraId="726C8057">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竣工验收申请报告被认可，则表明已完成合同工程，视为竣工验收合格，但由于不可抗力事件致使发包人不能完成验收的除外。</w:t>
      </w:r>
    </w:p>
    <w:p w14:paraId="4EE6E852">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58.5 </w:t>
      </w:r>
      <w:r>
        <w:rPr>
          <w:rFonts w:hint="eastAsia" w:ascii="宋体" w:hAnsi="宋体" w:cs="宋体"/>
          <w:b/>
          <w:bCs/>
          <w:color w:val="auto"/>
          <w:sz w:val="22"/>
          <w:szCs w:val="22"/>
          <w:highlight w:val="none"/>
          <w:u w:val="dotted"/>
        </w:rPr>
        <w:t xml:space="preserve">                                                                                                        </w:t>
      </w:r>
    </w:p>
    <w:p w14:paraId="2A74D905">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241" name="文本框 2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344211A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245" o:spid="_x0000_s1026" o:spt="202" type="#_x0000_t202" style="position:absolute;left:0pt;margin-left:-9pt;margin-top:1.55pt;height:31.2pt;width:72pt;z-index:251908096;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qv+TdUAAAAIAQAADwAAAAAAAAABACAAAAAiAAAAZHJzL2Rvd25yZXYueG1sUEsB&#10;AhQAFAAAAAgAh07iQLIwddC/AQAAbQMAAA4AAAAAAAAAAQAgAAAAJAEAAGRycy9lMm9Eb2MueG1s&#10;UEsFBgAAAAAGAAYAWQEAAFUFAAAAAA==&#10;">
                <v:fill on="f" focussize="0,0"/>
                <v:stroke on="f"/>
                <v:imagedata o:title=""/>
                <o:lock v:ext="edit" aspectratio="f"/>
                <v:textbox>
                  <w:txbxContent>
                    <w:p w14:paraId="344211A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宋体" w:hAnsi="宋体" w:cs="宋体"/>
          <w:color w:val="auto"/>
          <w:sz w:val="22"/>
          <w:szCs w:val="22"/>
          <w:highlight w:val="none"/>
        </w:rPr>
        <w:t>发包人未按照第58.3款规定完成合同工程验收，从收到监理工程师书面提请后的第29天起承担合同工程照管责任和其他一切意外责任。</w:t>
      </w:r>
    </w:p>
    <w:p w14:paraId="011070A1">
      <w:pPr>
        <w:tabs>
          <w:tab w:val="left" w:pos="1620"/>
        </w:tabs>
        <w:adjustRightInd w:val="0"/>
        <w:snapToGrid w:val="0"/>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58.6</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00CAF05B">
      <w:pPr>
        <w:spacing w:line="420" w:lineRule="exact"/>
        <w:ind w:left="1620" w:leftChars="771" w:hanging="1"/>
        <w:rPr>
          <w:rFonts w:ascii="宋体" w:hAnsi="宋体" w:cs="宋体"/>
          <w:color w:val="auto"/>
          <w:sz w:val="22"/>
          <w:szCs w:val="22"/>
          <w:highlight w:val="none"/>
        </w:rPr>
      </w:pPr>
      <w:r>
        <w:rPr>
          <w:rFonts w:hint="eastAsia" w:ascii="宋体" w:hAnsi="宋体" w:cs="宋体"/>
          <w:color w:val="auto"/>
          <w:sz w:val="22"/>
          <w:szCs w:val="22"/>
          <w:highlight w:val="none"/>
        </w:rPr>
        <w:t>竣工</w:t>
      </w:r>
      <w:r>
        <w:rPr>
          <w:rFonts w:hint="eastAsia" w:ascii="宋体" w:hAnsi="宋体" w:cs="宋体"/>
          <w:color w:val="auto"/>
          <w:sz w:val="22"/>
          <w:szCs w:val="22"/>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2" name="文本框 246"/>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a:effectLst/>
                      </wps:spPr>
                      <wps:txbx>
                        <w:txbxContent>
                          <w:p w14:paraId="09A2B54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246" o:spid="_x0000_s1026" o:spt="202" type="#_x0000_t202" style="position:absolute;left:0pt;margin-left:-9pt;margin-top:0.35pt;height:31.15pt;width:72pt;z-index:251909120;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AkL/UAAAABwEAAA8AAAAAAAAAAQAgAAAAIgAAAGRycy9kb3ducmV2LnhtbFBLAQIU&#10;ABQAAAAIAIdO4kBhhhnbvgEAAG0DAAAOAAAAAAAAAAEAIAAAACMBAABkcnMvZTJvRG9jLnhtbFBL&#10;BQYAAAAABgAGAFkBAABTBQAAAAA=&#10;">
                <v:fill on="f" focussize="0,0"/>
                <v:stroke on="f"/>
                <v:imagedata o:title=""/>
                <o:lock v:ext="edit" aspectratio="f"/>
                <v:textbox>
                  <w:txbxContent>
                    <w:p w14:paraId="09A2B54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宋体" w:hAnsi="宋体" w:cs="宋体"/>
          <w:color w:val="auto"/>
          <w:sz w:val="22"/>
          <w:szCs w:val="22"/>
          <w:highlight w:val="none"/>
        </w:rPr>
        <w:t>验收合格的，发包人应接收工程，并在收到承包人提交的竣工验收申请报告后的56天内向承包人颁发工程接收证书。</w:t>
      </w:r>
    </w:p>
    <w:p w14:paraId="7F83F2AE">
      <w:pPr>
        <w:spacing w:line="420" w:lineRule="exact"/>
        <w:ind w:left="1620" w:leftChars="771" w:hanging="1"/>
        <w:rPr>
          <w:rFonts w:ascii="宋体" w:hAnsi="宋体" w:cs="宋体"/>
          <w:color w:val="auto"/>
          <w:sz w:val="22"/>
          <w:szCs w:val="22"/>
          <w:highlight w:val="none"/>
        </w:rPr>
      </w:pPr>
      <w:r>
        <w:rPr>
          <w:rFonts w:hint="eastAsia" w:ascii="宋体" w:hAnsi="宋体" w:cs="宋体"/>
          <w:color w:val="auto"/>
          <w:sz w:val="22"/>
          <w:szCs w:val="22"/>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14:paraId="6964E99B">
      <w:pPr>
        <w:spacing w:line="420" w:lineRule="exact"/>
        <w:ind w:left="1619" w:leftChars="771" w:firstLine="1"/>
        <w:rPr>
          <w:rFonts w:ascii="宋体" w:hAnsi="宋体" w:cs="宋体"/>
          <w:color w:val="auto"/>
          <w:sz w:val="22"/>
          <w:szCs w:val="22"/>
          <w:highlight w:val="none"/>
        </w:rPr>
      </w:pPr>
      <w:r>
        <w:rPr>
          <w:rFonts w:hint="eastAsia" w:ascii="宋体" w:hAnsi="宋体" w:cs="宋体"/>
          <w:color w:val="auto"/>
          <w:sz w:val="22"/>
          <w:szCs w:val="22"/>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56C0EB6D">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58.7 </w:t>
      </w:r>
      <w:r>
        <w:rPr>
          <w:rFonts w:hint="eastAsia" w:ascii="宋体" w:hAnsi="宋体" w:cs="宋体"/>
          <w:b/>
          <w:bCs/>
          <w:color w:val="auto"/>
          <w:sz w:val="22"/>
          <w:szCs w:val="22"/>
          <w:highlight w:val="none"/>
          <w:u w:val="dotted"/>
        </w:rPr>
        <w:t xml:space="preserve">                                                                                                        </w:t>
      </w:r>
    </w:p>
    <w:p w14:paraId="43954D82">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3" name="文本框 247"/>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a:effectLst/>
                      </wps:spPr>
                      <wps:txbx>
                        <w:txbxContent>
                          <w:p w14:paraId="7A69D38C">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247" o:spid="_x0000_s1026" o:spt="202" type="#_x0000_t202" style="position:absolute;left:0pt;margin-left:-9pt;margin-top:0.35pt;height:31.15pt;width:72pt;z-index:251910144;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AkL/UAAAABwEAAA8AAAAAAAAAAQAgAAAAIgAAAGRycy9kb3ducmV2LnhtbFBLAQIU&#10;ABQAAAAIAIdO4kCTedsnvgEAAG0DAAAOAAAAAAAAAAEAIAAAACMBAABkcnMvZTJvRG9jLnhtbFBL&#10;BQYAAAAABgAGAFkBAABTBQAAAAA=&#10;">
                <v:fill on="f" focussize="0,0"/>
                <v:stroke on="f"/>
                <v:imagedata o:title=""/>
                <o:lock v:ext="edit" aspectratio="f"/>
                <v:textbox>
                  <w:txbxContent>
                    <w:p w14:paraId="7A69D38C">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宋体" w:hAnsi="宋体" w:cs="宋体"/>
          <w:color w:val="auto"/>
          <w:sz w:val="22"/>
          <w:szCs w:val="22"/>
          <w:highlight w:val="none"/>
        </w:rPr>
        <w:t>竣工验收合格的合同工程，发包人应按照第38.2款规定在工程接收证书上写明合同工程的实际竣工日期。</w:t>
      </w:r>
    </w:p>
    <w:p w14:paraId="3C949B87">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58.8  </w:t>
      </w:r>
      <w:r>
        <w:rPr>
          <w:rFonts w:hint="eastAsia" w:ascii="宋体" w:hAnsi="宋体" w:cs="宋体"/>
          <w:b/>
          <w:bCs/>
          <w:color w:val="auto"/>
          <w:sz w:val="22"/>
          <w:szCs w:val="22"/>
          <w:highlight w:val="none"/>
          <w:u w:val="dotted"/>
        </w:rPr>
        <w:t xml:space="preserve">                                                                                                        </w:t>
      </w:r>
    </w:p>
    <w:p w14:paraId="6FA65991">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244" name="文本框 248"/>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a:effectLst/>
                      </wps:spPr>
                      <wps:txbx>
                        <w:txbxContent>
                          <w:p w14:paraId="2780DD7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wrap="square" upright="1"/>
                    </wps:wsp>
                  </a:graphicData>
                </a:graphic>
              </wp:anchor>
            </w:drawing>
          </mc:Choice>
          <mc:Fallback>
            <w:pict>
              <v:shape id="文本框 248" o:spid="_x0000_s1026" o:spt="202" type="#_x0000_t202" style="position:absolute;left:0pt;margin-left:-9pt;margin-top:0.35pt;height:98.65pt;width:72pt;z-index:251911168;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j9ys1QAAAAgBAAAPAAAAAAAAAAEAIAAAACIAAABkcnMvZG93bnJldi54bWxQSwEC&#10;FAAUAAAACACHTuJAimJVU74BAABuAwAADgAAAAAAAAABACAAAAAkAQAAZHJzL2Uyb0RvYy54bWxQ&#10;SwUGAAAAAAYABgBZAQAAVAUAAAAA&#10;">
                <v:fill on="f" focussize="0,0"/>
                <v:stroke on="f"/>
                <v:imagedata o:title=""/>
                <o:lock v:ext="edit" aspectratio="f"/>
                <v:textbox>
                  <w:txbxContent>
                    <w:p w14:paraId="2780DD7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宋体" w:hAnsi="宋体" w:cs="宋体"/>
          <w:color w:val="auto"/>
          <w:sz w:val="22"/>
          <w:szCs w:val="22"/>
          <w:highlight w:val="none"/>
        </w:rPr>
        <w:t>发包人要求某一单位工程或任一工程部位提前办理竣工验收的，应与承包人签订单位工程或工程部位竣工验收协议，作为本合同的附件。</w:t>
      </w:r>
    </w:p>
    <w:p w14:paraId="2339AE70">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1）发包人根据合同进度计划安排，在全部工程竣工前需要使用已经竣工的单位工程或工程部位时，或承包人提出经发包人同意时，可进行单位工程或工程部位验收。验收的程序可参照第57条和本条上述相关条款规定进行。验收合格后，发包人应向承包人颁发单位工程或工程部位接收证书，并负责照管。单位工程或工程部位的验收成果和结论，作为全部工程竣工验收申请报告的附件。</w:t>
      </w:r>
    </w:p>
    <w:p w14:paraId="06926EC5">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（2）发包人在全部工程竣工前，使用已接收的单位工程或工程部位导致承包人费用增加的，发包人应承担由此增加的费用和（或）延误的工期，并向承包人支付合理利润。</w:t>
      </w:r>
    </w:p>
    <w:p w14:paraId="21E1E174">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58.9  </w:t>
      </w:r>
      <w:r>
        <w:rPr>
          <w:rFonts w:hint="eastAsia" w:ascii="宋体" w:hAnsi="宋体" w:cs="宋体"/>
          <w:b/>
          <w:bCs/>
          <w:color w:val="auto"/>
          <w:sz w:val="22"/>
          <w:szCs w:val="22"/>
          <w:highlight w:val="none"/>
          <w:u w:val="dotted"/>
        </w:rPr>
        <w:t xml:space="preserve">                                                                                                        </w:t>
      </w:r>
    </w:p>
    <w:p w14:paraId="533B748C">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5" name="文本框 249"/>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a:effectLst/>
                      </wps:spPr>
                      <wps:txbx>
                        <w:txbxContent>
                          <w:p w14:paraId="3B6D74F3">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wps:txbx>
                      <wps:bodyPr wrap="square" upright="1"/>
                    </wps:wsp>
                  </a:graphicData>
                </a:graphic>
              </wp:anchor>
            </w:drawing>
          </mc:Choice>
          <mc:Fallback>
            <w:pict>
              <v:shape id="文本框 249" o:spid="_x0000_s1026" o:spt="202" type="#_x0000_t202" style="position:absolute;left:0pt;margin-left:-9pt;margin-top:0.3pt;height:46.5pt;width:72pt;z-index:251912192;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fQKfvUAAAABwEAAA8AAAAAAAAAAQAgAAAAIgAAAGRycy9kb3ducmV2LnhtbFBLAQIU&#10;ABQAAAAIAIdO4kCQiU6UvgEAAG0DAAAOAAAAAAAAAAEAIAAAACMBAABkcnMvZTJvRG9jLnhtbFBL&#10;BQYAAAAABgAGAFkBAABTBQAAAAA=&#10;">
                <v:fill on="f" focussize="0,0"/>
                <v:stroke on="f"/>
                <v:imagedata o:title=""/>
                <o:lock v:ext="edit" aspectratio="f"/>
                <v:textbox>
                  <w:txbxContent>
                    <w:p w14:paraId="3B6D74F3">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宋体" w:hAnsi="宋体" w:cs="宋体"/>
          <w:color w:val="auto"/>
          <w:sz w:val="22"/>
          <w:szCs w:val="22"/>
          <w:highlight w:val="none"/>
        </w:rPr>
        <w:t>合同工程尚未全部竣工（其中某项或某几项单位工程或工程部位已竣工），根据合同约定需要在施工期运行的，应由发包人按照第58.8款规定验收合格，并确保安全后，才能投入施工期运行。</w:t>
      </w:r>
    </w:p>
    <w:p w14:paraId="2BBF0EC4">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在施工期运行中，发现单位工程或工程部位存在缺陷或损坏的，由承包人按照第59.3款规定进行修复。</w:t>
      </w:r>
    </w:p>
    <w:p w14:paraId="45E9218E">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58.10  </w:t>
      </w:r>
      <w:r>
        <w:rPr>
          <w:rFonts w:hint="eastAsia" w:ascii="宋体" w:hAnsi="宋体" w:cs="宋体"/>
          <w:b/>
          <w:bCs/>
          <w:color w:val="auto"/>
          <w:sz w:val="22"/>
          <w:szCs w:val="22"/>
          <w:highlight w:val="none"/>
          <w:u w:val="dotted"/>
        </w:rPr>
        <w:t xml:space="preserve">                                                                                                        </w:t>
      </w:r>
    </w:p>
    <w:p w14:paraId="76F82624">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6" name="文本框 25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a:effectLst/>
                      </wps:spPr>
                      <wps:txbx>
                        <w:txbxContent>
                          <w:p w14:paraId="70D2D28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250" o:spid="_x0000_s1026" o:spt="202" type="#_x0000_t202" style="position:absolute;left:0pt;margin-left:-9pt;margin-top:0.3pt;height:46.5pt;width:72pt;z-index:251913216;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9Ap+9QAAAAHAQAADwAAAAAAAAABACAAAAAiAAAAZHJzL2Rvd25yZXYueG1sUEsBAhQA&#10;FAAAAAgAh07iQHTy3Wm9AQAAbQMAAA4AAAAAAAAAAQAgAAAAIwEAAGRycy9lMm9Eb2MueG1sUEsF&#10;BgAAAAAGAAYAWQEAAFIFAAAAAA==&#10;">
                <v:fill on="f" focussize="0,0"/>
                <v:stroke on="f"/>
                <v:imagedata o:title=""/>
                <o:lock v:ext="edit" aspectratio="f"/>
                <v:textbox>
                  <w:txbxContent>
                    <w:p w14:paraId="70D2D28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宋体" w:hAnsi="宋体" w:cs="宋体"/>
          <w:color w:val="auto"/>
          <w:sz w:val="22"/>
          <w:szCs w:val="22"/>
          <w:highlight w:val="none"/>
        </w:rPr>
        <w:t>专用条款没有约定的，工程接收证书颁发后，承包人应按照下列要求对施工场地进行清理，直至监理工程师检验合格为止。竣工清场费用由承包人承担。</w:t>
      </w:r>
    </w:p>
    <w:p w14:paraId="4F4A079E">
      <w:pPr>
        <w:spacing w:line="420" w:lineRule="exact"/>
        <w:ind w:firstLine="1485" w:firstLineChars="675"/>
        <w:rPr>
          <w:rFonts w:ascii="宋体" w:hAnsi="宋体" w:cs="宋体"/>
          <w:color w:val="auto"/>
          <w:sz w:val="22"/>
          <w:szCs w:val="22"/>
          <w:highlight w:val="none"/>
        </w:rPr>
      </w:pPr>
      <w:r>
        <w:rPr>
          <w:rFonts w:hint="eastAsia" w:ascii="宋体" w:hAnsi="宋体" w:cs="宋体"/>
          <w:color w:val="auto"/>
          <w:sz w:val="22"/>
          <w:szCs w:val="22"/>
          <w:highlight w:val="none"/>
        </w:rPr>
        <w:t>（1）施工场地内残留的垃圾已全部清除出场；</w:t>
      </w:r>
    </w:p>
    <w:p w14:paraId="52C2A6A6">
      <w:pPr>
        <w:spacing w:line="420" w:lineRule="exact"/>
        <w:ind w:firstLine="1485" w:firstLineChars="675"/>
        <w:rPr>
          <w:rFonts w:ascii="宋体" w:hAnsi="宋体" w:cs="宋体"/>
          <w:color w:val="auto"/>
          <w:sz w:val="22"/>
          <w:szCs w:val="22"/>
          <w:highlight w:val="none"/>
        </w:rPr>
      </w:pPr>
      <w:r>
        <w:rPr>
          <w:rFonts w:hint="eastAsia" w:ascii="宋体" w:hAnsi="宋体" w:cs="宋体"/>
          <w:color w:val="auto"/>
          <w:sz w:val="22"/>
          <w:szCs w:val="22"/>
          <w:highlight w:val="none"/>
        </w:rPr>
        <w:t>（2）临时设施已拆除，场地已按照合同要求进行清理、平整或复原；</w:t>
      </w:r>
    </w:p>
    <w:p w14:paraId="5BD8F239">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（3）按照合同约定应撤离的承包人设备和剩余的材料，包括废弃的施工设备和材料，已按照计划撤离施工场地；</w:t>
      </w:r>
    </w:p>
    <w:p w14:paraId="5D288FDD">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（4）建筑物周边及其附近道路、河道的施工堆积物，已按照监理工程师指令全部清理；</w:t>
      </w:r>
    </w:p>
    <w:p w14:paraId="5FD25740">
      <w:pPr>
        <w:spacing w:line="420" w:lineRule="exact"/>
        <w:ind w:firstLine="1485" w:firstLineChars="675"/>
        <w:rPr>
          <w:rFonts w:ascii="宋体" w:hAnsi="宋体" w:cs="宋体"/>
          <w:color w:val="auto"/>
          <w:sz w:val="22"/>
          <w:szCs w:val="22"/>
          <w:highlight w:val="none"/>
        </w:rPr>
      </w:pPr>
      <w:r>
        <w:rPr>
          <w:rFonts w:hint="eastAsia" w:ascii="宋体" w:hAnsi="宋体" w:cs="宋体"/>
          <w:color w:val="auto"/>
          <w:sz w:val="22"/>
          <w:szCs w:val="22"/>
          <w:highlight w:val="none"/>
        </w:rPr>
        <w:t>（5）监理工程师指令的其他场地清理工作已全部完成。</w:t>
      </w:r>
    </w:p>
    <w:p w14:paraId="5BAF38CD">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如承包人未按照监理工程师的要求恢复临时占地，或者场地清理未达到合同约定的，发包人可自行或委托第三方恢复或清理，所发生的费用从应支付或将支付给承包人的款项中扣除。</w:t>
      </w:r>
    </w:p>
    <w:p w14:paraId="1859AA55">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58.11 </w:t>
      </w:r>
      <w:r>
        <w:rPr>
          <w:rFonts w:hint="eastAsia" w:ascii="宋体" w:hAnsi="宋体" w:cs="宋体"/>
          <w:b/>
          <w:bCs/>
          <w:color w:val="auto"/>
          <w:sz w:val="22"/>
          <w:szCs w:val="22"/>
          <w:highlight w:val="none"/>
          <w:u w:val="dotted"/>
        </w:rPr>
        <w:t xml:space="preserve">                                                                                                        </w:t>
      </w:r>
    </w:p>
    <w:p w14:paraId="732E81E0">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7" name="文本框 251"/>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a:effectLst/>
                      </wps:spPr>
                      <wps:txbx>
                        <w:txbxContent>
                          <w:p w14:paraId="2D5CD6C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251" o:spid="_x0000_s1026" o:spt="202" type="#_x0000_t202" style="position:absolute;left:0pt;margin-left:-9pt;margin-top:0.3pt;height:46.5pt;width:72pt;z-index:25191424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fQKfvUAAAABwEAAA8AAAAAAAAAAQAgAAAAIgAAAGRycy9kb3ducmV2LnhtbFBLAQIU&#10;ABQAAAAIAIdO4kCGDR+VvgEAAG0DAAAOAAAAAAAAAAEAIAAAACMBAABkcnMvZTJvRG9jLnhtbFBL&#10;BQYAAAAABgAGAFkBAABTBQAAAAA=&#10;">
                <v:fill on="f" focussize="0,0"/>
                <v:stroke on="f"/>
                <v:imagedata o:title=""/>
                <o:lock v:ext="edit" aspectratio="f"/>
                <v:textbox>
                  <w:txbxContent>
                    <w:p w14:paraId="2D5CD6C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宋体" w:hAnsi="宋体" w:cs="宋体"/>
          <w:color w:val="auto"/>
          <w:sz w:val="22"/>
          <w:szCs w:val="22"/>
          <w:highlight w:val="none"/>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74F41605">
      <w:pPr>
        <w:tabs>
          <w:tab w:val="left" w:pos="1620"/>
        </w:tabs>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5264"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248" name="文本框 252"/>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a:effectLst/>
                      </wps:spPr>
                      <wps:txbx>
                        <w:txbxContent>
                          <w:p w14:paraId="252DBFB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wrap="square" upright="1"/>
                    </wps:wsp>
                  </a:graphicData>
                </a:graphic>
              </wp:anchor>
            </w:drawing>
          </mc:Choice>
          <mc:Fallback>
            <w:pict>
              <v:shape id="文本框 252" o:spid="_x0000_s1026" o:spt="202" type="#_x0000_t202" style="position:absolute;left:0pt;margin-left:-5.25pt;margin-top:23.55pt;height:46.55pt;width:72pt;z-index:251915264;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GnFEdcAAAAKAQAADwAAAAAAAAABACAAAAAiAAAAZHJzL2Rvd25yZXYueG1sUEsB&#10;AhQAFAAAAAgAh07iQMMiITq9AQAAbQMAAA4AAAAAAAAAAQAgAAAAJgEAAGRycy9lMm9Eb2MueG1s&#10;UEsFBgAAAAAGAAYAWQEAAFUFAAAAAA==&#10;">
                <v:fill on="f" focussize="0,0"/>
                <v:stroke on="f"/>
                <v:imagedata o:title=""/>
                <o:lock v:ext="edit" aspectratio="f"/>
                <v:textbox>
                  <w:txbxContent>
                    <w:p w14:paraId="252DBFB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hint="eastAsia" w:ascii="宋体" w:hAnsi="宋体" w:cs="宋体"/>
          <w:b/>
          <w:bCs/>
          <w:color w:val="auto"/>
          <w:sz w:val="22"/>
          <w:szCs w:val="22"/>
          <w:highlight w:val="none"/>
        </w:rPr>
        <w:t>58.12</w:t>
      </w:r>
      <w:r>
        <w:rPr>
          <w:rFonts w:hint="eastAsia" w:ascii="宋体" w:hAnsi="宋体" w:cs="宋体"/>
          <w:color w:val="auto"/>
          <w:sz w:val="22"/>
          <w:szCs w:val="22"/>
          <w:highlight w:val="none"/>
          <w:u w:val="dotted"/>
        </w:rPr>
        <w:t xml:space="preserve">                                                                                                       </w:t>
      </w:r>
      <w:r>
        <w:rPr>
          <w:rFonts w:hint="eastAsia" w:ascii="宋体" w:hAnsi="宋体" w:cs="宋体"/>
          <w:color w:val="auto"/>
          <w:sz w:val="22"/>
          <w:szCs w:val="22"/>
          <w:highlight w:val="none"/>
        </w:rPr>
        <w:t xml:space="preserve"> </w:t>
      </w:r>
    </w:p>
    <w:p w14:paraId="5A11A810">
      <w:pPr>
        <w:pStyle w:val="34"/>
        <w:adjustRightInd w:val="0"/>
        <w:snapToGrid w:val="0"/>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w:t>合同工程未经竣工验收或竣工验收不合格的，发包人不得使用。发包人强行使用的，由此发生的质量问题及其他问题，由发包人承担责任。</w:t>
      </w:r>
    </w:p>
    <w:p w14:paraId="0A0A6E81">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58.13</w:t>
      </w:r>
      <w:r>
        <w:rPr>
          <w:rFonts w:hint="eastAsia" w:ascii="宋体" w:hAnsi="宋体" w:cs="宋体"/>
          <w:b/>
          <w:bCs/>
          <w:color w:val="auto"/>
          <w:sz w:val="22"/>
          <w:szCs w:val="22"/>
          <w:highlight w:val="none"/>
          <w:u w:val="dotted"/>
        </w:rPr>
        <w:t xml:space="preserve">                                                                                                       </w:t>
      </w:r>
    </w:p>
    <w:p w14:paraId="51CD6113">
      <w:pPr>
        <w:pStyle w:val="34"/>
        <w:adjustRightInd w:val="0"/>
        <w:snapToGrid w:val="0"/>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249" name="文本框 253"/>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a:effectLst/>
                      </wps:spPr>
                      <wps:txbx>
                        <w:txbxContent>
                          <w:p w14:paraId="5396E511">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wrap="square" upright="1"/>
                    </wps:wsp>
                  </a:graphicData>
                </a:graphic>
              </wp:anchor>
            </w:drawing>
          </mc:Choice>
          <mc:Fallback>
            <w:pict>
              <v:shape id="文本框 253" o:spid="_x0000_s1026" o:spt="202" type="#_x0000_t202" style="position:absolute;left:0pt;margin-left:-9pt;margin-top:1.05pt;height:32pt;width:72pt;z-index:251916288;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fzPi9UAAAAIAQAADwAAAAAAAAABACAAAAAiAAAAZHJzL2Rvd25yZXYueG1sUEsBAhQA&#10;FAAAAAgAh07iQAGuI3u8AQAAbQMAAA4AAAAAAAAAAQAgAAAAJAEAAGRycy9lMm9Eb2MueG1sUEsF&#10;BgAAAAAGAAYAWQEAAFIFAAAAAA==&#10;">
                <v:fill on="f" focussize="0,0"/>
                <v:stroke on="f"/>
                <v:imagedata o:title=""/>
                <o:lock v:ext="edit" aspectratio="f"/>
                <v:textbox>
                  <w:txbxContent>
                    <w:p w14:paraId="5396E511">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宋体" w:cs="宋体"/>
          <w:color w:val="auto"/>
          <w:sz w:val="22"/>
          <w:szCs w:val="22"/>
          <w:highlight w:val="none"/>
        </w:rPr>
        <w:t>合同工程竣工验收时发生工程质量争议，经第86.4款规定调解或认定工程质量符合合同要求的，由发包人承担由此增加的费用和（或）延误的工期。</w:t>
      </w:r>
    </w:p>
    <w:p w14:paraId="3B2AC9DE">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0EAEABC9">
      <w:pPr>
        <w:pStyle w:val="22"/>
        <w:tabs>
          <w:tab w:val="left" w:pos="540"/>
        </w:tabs>
        <w:adjustRightInd w:val="0"/>
        <w:snapToGrid w:val="0"/>
        <w:spacing w:before="360" w:beforeLines="150" w:line="420" w:lineRule="exact"/>
        <w:outlineLvl w:val="2"/>
        <w:rPr>
          <w:rFonts w:hAnsi="宋体"/>
          <w:b/>
          <w:bCs/>
          <w:color w:val="auto"/>
          <w:sz w:val="22"/>
          <w:szCs w:val="22"/>
          <w:highlight w:val="none"/>
        </w:rPr>
      </w:pPr>
      <w:bookmarkStart w:id="364" w:name="_Toc23113"/>
      <w:bookmarkStart w:id="365" w:name="_Toc26452"/>
      <w:bookmarkStart w:id="366" w:name="_Toc469384042"/>
      <w:r>
        <w:rPr>
          <w:rFonts w:hint="eastAsia" w:hAnsi="宋体"/>
          <w:b/>
          <w:bCs/>
          <w:color w:val="auto"/>
          <w:sz w:val="22"/>
          <w:szCs w:val="22"/>
          <w:highlight w:val="none"/>
        </w:rPr>
        <w:t>59  缺陷责任与质量保修</w:t>
      </w:r>
      <w:bookmarkEnd w:id="364"/>
      <w:bookmarkEnd w:id="365"/>
      <w:bookmarkEnd w:id="366"/>
    </w:p>
    <w:p w14:paraId="3CA82599">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0" name="文本框 254"/>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68E5341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649F5834">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254"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xZv6d2AAAAAoBAAAPAAAAAAAAAAEAIAAAACIAAABkcnMvZG93bnJldi54bWxQ&#10;SwECFAAUAAAACACHTuJACs3c6b4BAABtAwAADgAAAAAAAAABACAAAAAnAQAAZHJzL2Uyb0RvYy54&#10;bWxQSwUGAAAAAAYABgBZAQAAVwUAAAAA&#10;">
                <v:fill on="f" focussize="0,0"/>
                <v:stroke on="f"/>
                <v:imagedata o:title=""/>
                <o:lock v:ext="edit" aspectratio="f"/>
                <v:textbox>
                  <w:txbxContent>
                    <w:p w14:paraId="68E5341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649F5834">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宋体" w:hAnsi="宋体" w:cs="宋体"/>
          <w:b/>
          <w:bCs/>
          <w:color w:val="auto"/>
          <w:sz w:val="22"/>
          <w:szCs w:val="22"/>
          <w:highlight w:val="none"/>
        </w:rPr>
        <w:t xml:space="preserve">59.1  </w:t>
      </w:r>
    </w:p>
    <w:p w14:paraId="3F7F2616">
      <w:pPr>
        <w:spacing w:line="420" w:lineRule="exact"/>
        <w:ind w:firstLine="1443" w:firstLineChars="656"/>
        <w:rPr>
          <w:rFonts w:ascii="宋体" w:hAnsi="宋体" w:cs="宋体"/>
          <w:color w:val="auto"/>
          <w:sz w:val="22"/>
          <w:szCs w:val="22"/>
          <w:highlight w:val="none"/>
        </w:rPr>
      </w:pPr>
      <w:r>
        <w:rPr>
          <w:rFonts w:hint="eastAsia" w:ascii="宋体" w:hAnsi="宋体" w:cs="宋体"/>
          <w:color w:val="auto"/>
          <w:sz w:val="22"/>
          <w:szCs w:val="22"/>
          <w:highlight w:val="none"/>
        </w:rPr>
        <w:t>合同双方当事人应在专用条款中约定缺陷责任期。</w:t>
      </w:r>
    </w:p>
    <w:p w14:paraId="5DF67959">
      <w:pPr>
        <w:adjustRightInd w:val="0"/>
        <w:snapToGrid w:val="0"/>
        <w:spacing w:line="420" w:lineRule="exact"/>
        <w:ind w:left="1575" w:leftChars="750"/>
        <w:rPr>
          <w:rFonts w:ascii="宋体" w:hAnsi="宋体" w:cs="宋体"/>
          <w:b/>
          <w:bCs/>
          <w:color w:val="auto"/>
          <w:sz w:val="22"/>
          <w:szCs w:val="22"/>
          <w:highlight w:val="none"/>
        </w:rPr>
      </w:pPr>
      <w:r>
        <w:rPr>
          <w:rFonts w:hint="eastAsia" w:ascii="宋体" w:hAnsi="宋体" w:cs="宋体"/>
          <w:color w:val="auto"/>
          <w:sz w:val="22"/>
          <w:szCs w:val="22"/>
          <w:highlight w:val="none"/>
        </w:rPr>
        <w:t>缺陷责任期自实际竣工之日起计算。在全部工程竣工验收前，已经发包人提前验收的单位工程，其缺陷责任期的起算日期相应提前。</w:t>
      </w:r>
    </w:p>
    <w:p w14:paraId="5E72D9BF">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1" name="文本框 25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62EF2AF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6A6A051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255"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Wb+ndgAAAAKAQAADwAAAAAAAAABACAAAAAiAAAAZHJzL2Rvd25yZXYueG1s&#10;UEsBAhQAFAAAAAgAh07iQPgyHhW/AQAAbQMAAA4AAAAAAAAAAQAgAAAAJwEAAGRycy9lMm9Eb2Mu&#10;eG1sUEsFBgAAAAAGAAYAWQEAAFgFAAAAAA==&#10;">
                <v:fill on="f" focussize="0,0"/>
                <v:stroke on="f"/>
                <v:imagedata o:title=""/>
                <o:lock v:ext="edit" aspectratio="f"/>
                <v:textbox>
                  <w:txbxContent>
                    <w:p w14:paraId="62EF2AF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6A6A051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宋体" w:hAnsi="宋体" w:cs="宋体"/>
          <w:b/>
          <w:bCs/>
          <w:color w:val="auto"/>
          <w:sz w:val="22"/>
          <w:szCs w:val="22"/>
          <w:highlight w:val="none"/>
        </w:rPr>
        <w:t xml:space="preserve">59.2  </w:t>
      </w:r>
      <w:r>
        <w:rPr>
          <w:rFonts w:hint="eastAsia" w:ascii="宋体" w:hAnsi="宋体" w:cs="宋体"/>
          <w:b/>
          <w:bCs/>
          <w:color w:val="auto"/>
          <w:sz w:val="22"/>
          <w:szCs w:val="22"/>
          <w:highlight w:val="none"/>
          <w:u w:val="dotted"/>
        </w:rPr>
        <w:t xml:space="preserve">                                                                              </w:t>
      </w:r>
    </w:p>
    <w:p w14:paraId="519C5E97">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由于承包人原因造成某项缺陷或损坏使某项工程或工程设备不能按照原定目标使用而需要再次检查、检验和修复的，发包人有权要求承包人相应延长缺陷责任期，但缺陷责任期最长不超过2年。</w:t>
      </w:r>
    </w:p>
    <w:p w14:paraId="4C4CA25B">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2" name="文本框 25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33DBAD4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256"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Wb+ndgAAAAKAQAADwAAAAAAAAABACAAAAAiAAAAZHJzL2Rvd25yZXYueG1s&#10;UEsBAhQAFAAAAAgAh07iQK80KMu/AQAAbQMAAA4AAAAAAAAAAQAgAAAAJwEAAGRycy9lMm9Eb2Mu&#10;eG1sUEsFBgAAAAAGAAYAWQEAAFgFAAAAAA==&#10;">
                <v:fill on="f" focussize="0,0"/>
                <v:stroke on="f"/>
                <v:imagedata o:title=""/>
                <o:lock v:ext="edit" aspectratio="f"/>
                <v:textbox>
                  <w:txbxContent>
                    <w:p w14:paraId="33DBAD4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宋体" w:hAnsi="宋体" w:cs="宋体"/>
          <w:b/>
          <w:bCs/>
          <w:color w:val="auto"/>
          <w:sz w:val="22"/>
          <w:szCs w:val="22"/>
          <w:highlight w:val="none"/>
        </w:rPr>
        <w:t xml:space="preserve">59.3  </w:t>
      </w:r>
      <w:r>
        <w:rPr>
          <w:rFonts w:hint="eastAsia" w:ascii="宋体" w:hAnsi="宋体" w:cs="宋体"/>
          <w:b/>
          <w:bCs/>
          <w:color w:val="auto"/>
          <w:sz w:val="22"/>
          <w:szCs w:val="22"/>
          <w:highlight w:val="none"/>
          <w:u w:val="dotted"/>
        </w:rPr>
        <w:t xml:space="preserve">                                                                              </w:t>
      </w:r>
    </w:p>
    <w:p w14:paraId="067310F3">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合同工程存在某项缺陷或损坏的，合同双方当事人应按照下列规定承担缺陷责任以及由此产生的费用。</w:t>
      </w:r>
    </w:p>
    <w:p w14:paraId="4346346D">
      <w:pPr>
        <w:pStyle w:val="34"/>
        <w:adjustRightInd w:val="0"/>
        <w:snapToGrid w:val="0"/>
        <w:spacing w:line="420" w:lineRule="exact"/>
        <w:ind w:left="0" w:leftChars="0" w:firstLine="1443" w:firstLineChars="656"/>
        <w:rPr>
          <w:rFonts w:ascii="宋体" w:cs="宋体"/>
          <w:color w:val="auto"/>
          <w:sz w:val="22"/>
          <w:szCs w:val="22"/>
          <w:highlight w:val="none"/>
        </w:rPr>
      </w:pPr>
      <w:r>
        <w:rPr>
          <w:rFonts w:hint="eastAsia" w:ascii="宋体" w:cs="宋体"/>
          <w:color w:val="auto"/>
          <w:sz w:val="22"/>
          <w:szCs w:val="22"/>
          <w:highlight w:val="none"/>
        </w:rPr>
        <w:t>（1）承包人应在缺陷责任期内对已交付使用的工程承担缺陷责任。</w:t>
      </w:r>
    </w:p>
    <w:p w14:paraId="561BF0CC">
      <w:pPr>
        <w:spacing w:line="420" w:lineRule="exact"/>
        <w:ind w:left="1575" w:leftChars="750"/>
        <w:rPr>
          <w:rFonts w:ascii="宋体" w:hAnsi="宋体" w:cs="宋体"/>
          <w:color w:val="auto"/>
          <w:sz w:val="22"/>
          <w:szCs w:val="22"/>
          <w:highlight w:val="none"/>
        </w:rPr>
      </w:pPr>
      <w:r>
        <w:rPr>
          <w:rFonts w:hint="eastAsia" w:ascii="宋体" w:hAnsi="宋体" w:cs="宋体"/>
          <w:color w:val="auto"/>
          <w:sz w:val="22"/>
          <w:szCs w:val="22"/>
          <w:highlight w:val="none"/>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14:paraId="25CBD087">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3）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14:paraId="4DDA7D48">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3" name="文本框 25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40DBE03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257"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xZv6d2AAAAAoBAAAPAAAAAAAAAAEAIAAAACIAAABkcnMvZG93bnJldi54bWxQ&#10;SwECFAAUAAAACACHTuJAXcvqN74BAABtAwAADgAAAAAAAAABACAAAAAnAQAAZHJzL2Uyb0RvYy54&#10;bWxQSwUGAAAAAAYABgBZAQAAVwUAAAAA&#10;">
                <v:fill on="f" focussize="0,0"/>
                <v:stroke on="f"/>
                <v:imagedata o:title=""/>
                <o:lock v:ext="edit" aspectratio="f"/>
                <v:textbox>
                  <w:txbxContent>
                    <w:p w14:paraId="40DBE03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宋体" w:hAnsi="宋体" w:cs="宋体"/>
          <w:b/>
          <w:bCs/>
          <w:color w:val="auto"/>
          <w:sz w:val="22"/>
          <w:szCs w:val="22"/>
          <w:highlight w:val="none"/>
        </w:rPr>
        <w:t xml:space="preserve">59.4  </w:t>
      </w:r>
      <w:r>
        <w:rPr>
          <w:rFonts w:hint="eastAsia" w:ascii="宋体" w:hAnsi="宋体" w:cs="宋体"/>
          <w:b/>
          <w:bCs/>
          <w:color w:val="auto"/>
          <w:sz w:val="22"/>
          <w:szCs w:val="22"/>
          <w:highlight w:val="none"/>
          <w:u w:val="dotted"/>
        </w:rPr>
        <w:t xml:space="preserve">                                                                            </w:t>
      </w:r>
    </w:p>
    <w:p w14:paraId="06A3634C">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任何一项缺陷或损坏修复后，经检查证明其影响了工程或工程设备的使用性能，承包人应按照第54条规定重新检（试）验，重新检（试）验的费用由责任方承担。</w:t>
      </w:r>
    </w:p>
    <w:p w14:paraId="5D6FDCCF">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4" name="文本框 25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5E2333F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258"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Wb+ndgAAAAKAQAADwAAAAAAAAABACAAAAAiAAAAZHJzL2Rvd25yZXYueG1s&#10;UEsBAhQAFAAAAAgAh07iQPR9IC2/AQAAbQMAAA4AAAAAAAAAAQAgAAAAJwEAAGRycy9lMm9Eb2Mu&#10;eG1sUEsFBgAAAAAGAAYAWQEAAFgFAAAAAA==&#10;">
                <v:fill on="f" focussize="0,0"/>
                <v:stroke on="f"/>
                <v:imagedata o:title=""/>
                <o:lock v:ext="edit" aspectratio="f"/>
                <v:textbox>
                  <w:txbxContent>
                    <w:p w14:paraId="5E2333F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宋体" w:hAnsi="宋体" w:cs="宋体"/>
          <w:b/>
          <w:bCs/>
          <w:color w:val="auto"/>
          <w:sz w:val="22"/>
          <w:szCs w:val="22"/>
          <w:highlight w:val="none"/>
        </w:rPr>
        <w:t xml:space="preserve">59.5  </w:t>
      </w:r>
      <w:r>
        <w:rPr>
          <w:rFonts w:hint="eastAsia" w:ascii="宋体" w:hAnsi="宋体" w:cs="宋体"/>
          <w:b/>
          <w:bCs/>
          <w:color w:val="auto"/>
          <w:sz w:val="22"/>
          <w:szCs w:val="22"/>
          <w:highlight w:val="none"/>
          <w:u w:val="dotted"/>
        </w:rPr>
        <w:t xml:space="preserve">                                                                            </w:t>
      </w:r>
    </w:p>
    <w:p w14:paraId="6AE0C870">
      <w:pPr>
        <w:spacing w:line="420" w:lineRule="exact"/>
        <w:ind w:left="1619" w:leftChars="771"/>
        <w:rPr>
          <w:rFonts w:ascii="宋体" w:hAnsi="宋体" w:cs="宋体"/>
          <w:b/>
          <w:bCs/>
          <w:color w:val="auto"/>
          <w:sz w:val="22"/>
          <w:szCs w:val="22"/>
          <w:highlight w:val="none"/>
        </w:rPr>
      </w:pPr>
      <w:r>
        <w:rPr>
          <w:rFonts w:hint="eastAsia" w:ascii="宋体" w:hAnsi="宋体" w:cs="宋体"/>
          <w:color w:val="auto"/>
          <w:sz w:val="22"/>
          <w:szCs w:val="22"/>
          <w:highlight w:val="none"/>
        </w:rPr>
        <w:t>缺陷责任期内承包人为缺陷修复工作需要，有权进入工程现场，但应遵守发包人的保安和保密等规定。</w:t>
      </w:r>
    </w:p>
    <w:p w14:paraId="3E6D485E">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5" name="文本框 25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539D98A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wrap="square" upright="1"/>
                    </wps:wsp>
                  </a:graphicData>
                </a:graphic>
              </wp:anchor>
            </w:drawing>
          </mc:Choice>
          <mc:Fallback>
            <w:pict>
              <v:shape id="文本框 259" o:spid="_x0000_s1026" o:spt="202" type="#_x0000_t202" style="position:absolute;left:0pt;margin-left:-9pt;margin-top:22.6pt;height:33.85pt;width:76.2pt;z-index:25192243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xZv6d2AAAAAoBAAAPAAAAAAAAAAEAIAAAACIAAABkcnMvZG93bnJldi54bWxQ&#10;SwECFAAUAAAACACHTuJABoLi0b4BAABtAwAADgAAAAAAAAABACAAAAAnAQAAZHJzL2Uyb0RvYy54&#10;bWxQSwUGAAAAAAYABgBZAQAAVwUAAAAA&#10;">
                <v:fill on="f" focussize="0,0"/>
                <v:stroke on="f"/>
                <v:imagedata o:title=""/>
                <o:lock v:ext="edit" aspectratio="f"/>
                <v:textbox>
                  <w:txbxContent>
                    <w:p w14:paraId="539D98A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hint="eastAsia" w:ascii="宋体" w:hAnsi="宋体" w:cs="宋体"/>
          <w:b/>
          <w:bCs/>
          <w:color w:val="auto"/>
          <w:sz w:val="22"/>
          <w:szCs w:val="22"/>
          <w:highlight w:val="none"/>
        </w:rPr>
        <w:t xml:space="preserve">59.6  </w:t>
      </w:r>
      <w:r>
        <w:rPr>
          <w:rFonts w:hint="eastAsia" w:ascii="宋体" w:hAnsi="宋体" w:cs="宋体"/>
          <w:b/>
          <w:bCs/>
          <w:color w:val="auto"/>
          <w:sz w:val="22"/>
          <w:szCs w:val="22"/>
          <w:highlight w:val="none"/>
          <w:u w:val="dotted"/>
        </w:rPr>
        <w:t xml:space="preserve">                                                                            </w:t>
      </w:r>
    </w:p>
    <w:p w14:paraId="7D2CF7ED">
      <w:pPr>
        <w:spacing w:line="420" w:lineRule="exact"/>
        <w:ind w:left="1619" w:leftChars="771"/>
        <w:rPr>
          <w:rFonts w:ascii="宋体" w:hAnsi="宋体" w:cs="宋体"/>
          <w:b/>
          <w:bCs/>
          <w:color w:val="auto"/>
          <w:sz w:val="22"/>
          <w:szCs w:val="22"/>
          <w:highlight w:val="none"/>
        </w:rPr>
      </w:pPr>
      <w:r>
        <w:rPr>
          <w:rFonts w:hint="eastAsia" w:ascii="宋体" w:hAnsi="宋体" w:cs="宋体"/>
          <w:color w:val="auto"/>
          <w:sz w:val="22"/>
          <w:szCs w:val="22"/>
          <w:highlight w:val="none"/>
        </w:rPr>
        <w:t>在专用条款约定的缺陷责任期（包括第59.2款延长的期限）终止后的14天内，发包人应向承包人颁发缺陷责任期终止证书。</w:t>
      </w:r>
    </w:p>
    <w:p w14:paraId="0A1C420E">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6" name="文本框 26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3AB2FF0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260" o:spid="_x0000_s1026" o:spt="202" type="#_x0000_t202" style="position:absolute;left:0pt;margin-left:-9pt;margin-top:22.6pt;height:33.85pt;width:76.2pt;z-index:25192345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xZv6d2AAAAAoBAAAPAAAAAAAAAAEAIAAAACIAAABkcnMvZG93bnJldi54bWxQ&#10;SwECFAAUAAAACACHTuJAdyLq8r4BAABtAwAADgAAAAAAAAABACAAAAAnAQAAZHJzL2Uyb0RvYy54&#10;bWxQSwUGAAAAAAYABgBZAQAAVwUAAAAA&#10;">
                <v:fill on="f" focussize="0,0"/>
                <v:stroke on="f"/>
                <v:imagedata o:title=""/>
                <o:lock v:ext="edit" aspectratio="f"/>
                <v:textbox>
                  <w:txbxContent>
                    <w:p w14:paraId="3AB2FF0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宋体" w:hAnsi="宋体" w:cs="宋体"/>
          <w:b/>
          <w:bCs/>
          <w:color w:val="auto"/>
          <w:sz w:val="22"/>
          <w:szCs w:val="22"/>
          <w:highlight w:val="none"/>
        </w:rPr>
        <w:t xml:space="preserve">59.7  </w:t>
      </w:r>
      <w:r>
        <w:rPr>
          <w:rFonts w:hint="eastAsia" w:ascii="宋体" w:hAnsi="宋体" w:cs="宋体"/>
          <w:b/>
          <w:bCs/>
          <w:color w:val="auto"/>
          <w:sz w:val="22"/>
          <w:szCs w:val="22"/>
          <w:highlight w:val="none"/>
          <w:u w:val="dotted"/>
        </w:rPr>
        <w:t xml:space="preserve">                                                                            </w:t>
      </w:r>
    </w:p>
    <w:p w14:paraId="6CDE31AC">
      <w:pPr>
        <w:pStyle w:val="34"/>
        <w:adjustRightInd w:val="0"/>
        <w:snapToGrid w:val="0"/>
        <w:spacing w:line="420" w:lineRule="exact"/>
        <w:ind w:left="1619" w:leftChars="771"/>
        <w:rPr>
          <w:rFonts w:ascii="宋体" w:cs="宋体"/>
          <w:color w:val="auto"/>
          <w:sz w:val="22"/>
          <w:szCs w:val="22"/>
          <w:highlight w:val="none"/>
        </w:rPr>
      </w:pPr>
      <w:r>
        <w:rPr>
          <w:rFonts w:hint="eastAsia" w:ascii="宋体" w:cs="宋体"/>
          <w:color w:val="auto"/>
          <w:sz w:val="22"/>
          <w:szCs w:val="22"/>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3927C986">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7" name="文本框 26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7FAF8A7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261" o:spid="_x0000_s1026" o:spt="202" type="#_x0000_t202" style="position:absolute;left:0pt;margin-left:-9pt;margin-top:22.6pt;height:33.85pt;width:76.2pt;z-index:25192448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xZv6d2AAAAAoBAAAPAAAAAAAAAAEAIAAAACIAAABkcnMvZG93bnJldi54bWxQ&#10;SwECFAAUAAAACACHTuJAhd0oDr4BAABtAwAADgAAAAAAAAABACAAAAAnAQAAZHJzL2Uyb0RvYy54&#10;bWxQSwUGAAAAAAYABgBZAQAAVwUAAAAA&#10;">
                <v:fill on="f" focussize="0,0"/>
                <v:stroke on="f"/>
                <v:imagedata o:title=""/>
                <o:lock v:ext="edit" aspectratio="f"/>
                <v:textbox>
                  <w:txbxContent>
                    <w:p w14:paraId="7FAF8A7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宋体" w:hAnsi="宋体" w:cs="宋体"/>
          <w:b/>
          <w:bCs/>
          <w:color w:val="auto"/>
          <w:sz w:val="22"/>
          <w:szCs w:val="22"/>
          <w:highlight w:val="none"/>
        </w:rPr>
        <w:t xml:space="preserve">59.8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5CC658C1">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合同双方当事人应在专用条款和合同工程质量保修书中约定质量保修期。</w:t>
      </w:r>
    </w:p>
    <w:p w14:paraId="3303F577">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质量保修期自实际竣工之日起计算。在全部工程竣工验收前，已经发包人提前验收的单位工程，其质量保修期的起算日期相应提前。</w:t>
      </w:r>
    </w:p>
    <w:p w14:paraId="3B479D77">
      <w:pPr>
        <w:tabs>
          <w:tab w:val="left" w:pos="360"/>
          <w:tab w:val="left" w:pos="900"/>
        </w:tabs>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59.9  </w:t>
      </w:r>
      <w:r>
        <w:rPr>
          <w:rFonts w:hint="eastAsia" w:ascii="宋体" w:hAnsi="宋体" w:cs="宋体"/>
          <w:b/>
          <w:bCs/>
          <w:color w:val="auto"/>
          <w:sz w:val="22"/>
          <w:szCs w:val="22"/>
          <w:highlight w:val="none"/>
          <w:u w:val="dotted"/>
        </w:rPr>
        <w:t xml:space="preserve">                                                                                                        </w:t>
      </w:r>
    </w:p>
    <w:p w14:paraId="36B039E5">
      <w:pPr>
        <w:adjustRightInd w:val="0"/>
        <w:snapToGrid w:val="0"/>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5504"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258" name="文本框 262"/>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a:effectLst/>
                      </wps:spPr>
                      <wps:txbx>
                        <w:txbxContent>
                          <w:p w14:paraId="10008CEB">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262" o:spid="_x0000_s1026" o:spt="202" type="#_x0000_t202" style="position:absolute;left:0pt;margin-left:-5.8pt;margin-top:1.2pt;height:28.8pt;width:77.8pt;z-index:251925504;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YolDtUAAAAIAQAADwAAAAAAAAABACAAAAAiAAAAZHJzL2Rvd25yZXYueG1sUEsBAhQA&#10;FAAAAAgAh07iQPF27ci8AQAAbQMAAA4AAAAAAAAAAQAgAAAAJAEAAGRycy9lMm9Eb2MueG1sUEsF&#10;BgAAAAAGAAYAWQEAAFIFAAAAAA==&#10;">
                <v:fill on="f" focussize="0,0"/>
                <v:stroke on="f"/>
                <v:imagedata o:title=""/>
                <o:lock v:ext="edit" aspectratio="f"/>
                <v:textbox>
                  <w:txbxContent>
                    <w:p w14:paraId="10008CEB">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宋体" w:hAnsi="宋体" w:cs="宋体"/>
          <w:color w:val="auto"/>
          <w:sz w:val="22"/>
          <w:szCs w:val="22"/>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1A64CCA2">
      <w:pPr>
        <w:adjustRightInd w:val="0"/>
        <w:snapToGrid w:val="0"/>
        <w:spacing w:line="420" w:lineRule="exact"/>
        <w:rPr>
          <w:rFonts w:ascii="宋体" w:hAnsi="宋体" w:cs="宋体"/>
          <w:color w:val="auto"/>
          <w:sz w:val="22"/>
          <w:szCs w:val="22"/>
          <w:highlight w:val="none"/>
          <w:u w:val="dotted"/>
        </w:rPr>
      </w:pPr>
      <w:r>
        <w:rPr>
          <w:rFonts w:hint="eastAsia" w:ascii="宋体" w:hAnsi="宋体" w:cs="宋体"/>
          <w:color w:val="auto"/>
          <w:sz w:val="22"/>
          <w:szCs w:val="22"/>
          <w:highlight w:val="none"/>
        </w:rPr>
        <mc:AlternateContent>
          <mc:Choice Requires="wps">
            <w:drawing>
              <wp:anchor distT="0" distB="0" distL="114300" distR="114300" simplePos="0" relativeHeight="251926528"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259" name="文本框 263"/>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a:effectLst/>
                      </wps:spPr>
                      <wps:txbx>
                        <w:txbxContent>
                          <w:p w14:paraId="044E7AA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wrap="square" upright="1"/>
                    </wps:wsp>
                  </a:graphicData>
                </a:graphic>
              </wp:anchor>
            </w:drawing>
          </mc:Choice>
          <mc:Fallback>
            <w:pict>
              <v:shape id="文本框 263" o:spid="_x0000_s1026" o:spt="202" type="#_x0000_t202" style="position:absolute;left:0pt;margin-left:-5.25pt;margin-top:20.4pt;height:35.6pt;width:75.55pt;z-index:251926528;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IcZnrWAAAACgEAAA8AAAAAAAAAAQAgAAAAIgAAAGRycy9kb3ducmV2LnhtbFBL&#10;AQIUABQAAAAIAIdO4kCcpnF4vwEAAG0DAAAOAAAAAAAAAAEAIAAAACUBAABkcnMvZTJvRG9jLnht&#10;bFBLBQYAAAAABgAGAFkBAABWBQAAAAA=&#10;">
                <v:fill on="f" focussize="0,0"/>
                <v:stroke on="f"/>
                <v:imagedata o:title=""/>
                <o:lock v:ext="edit" aspectratio="f"/>
                <v:textbox>
                  <w:txbxContent>
                    <w:p w14:paraId="044E7AA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hint="eastAsia" w:ascii="宋体" w:hAnsi="宋体" w:cs="宋体"/>
          <w:b/>
          <w:bCs/>
          <w:color w:val="auto"/>
          <w:sz w:val="22"/>
          <w:szCs w:val="22"/>
          <w:highlight w:val="none"/>
        </w:rPr>
        <w:t xml:space="preserve">59.10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0FFDCE42">
      <w:pPr>
        <w:adjustRightInd w:val="0"/>
        <w:snapToGrid w:val="0"/>
        <w:spacing w:line="420" w:lineRule="exact"/>
        <w:ind w:firstLine="1443" w:firstLineChars="656"/>
        <w:rPr>
          <w:rFonts w:ascii="宋体" w:hAnsi="宋体" w:cs="宋体"/>
          <w:color w:val="auto"/>
          <w:sz w:val="22"/>
          <w:szCs w:val="22"/>
          <w:highlight w:val="none"/>
        </w:rPr>
      </w:pPr>
      <w:r>
        <w:rPr>
          <w:rFonts w:hint="eastAsia" w:ascii="宋体" w:hAnsi="宋体" w:cs="宋体"/>
          <w:color w:val="auto"/>
          <w:sz w:val="22"/>
          <w:szCs w:val="22"/>
          <w:highlight w:val="none"/>
        </w:rPr>
        <w:t>承包人修复属于质量缺陷以外的费用，由责任方承担。</w:t>
      </w:r>
    </w:p>
    <w:p w14:paraId="6FEF5FF1">
      <w:pPr>
        <w:adjustRightInd w:val="0"/>
        <w:snapToGrid w:val="0"/>
        <w:spacing w:line="420" w:lineRule="exact"/>
        <w:rPr>
          <w:rFonts w:ascii="宋体" w:hAnsi="宋体" w:cs="宋体"/>
          <w:color w:val="auto"/>
          <w:sz w:val="22"/>
          <w:szCs w:val="22"/>
          <w:highlight w:val="none"/>
          <w:u w:val="single"/>
        </w:rPr>
      </w:pPr>
      <w:r>
        <w:rPr>
          <w:rFonts w:hint="eastAsia" w:ascii="宋体" w:hAnsi="宋体" w:cs="宋体"/>
          <w:b/>
          <w:bCs/>
          <w:color w:val="auto"/>
          <w:sz w:val="22"/>
          <w:szCs w:val="22"/>
          <w:highlight w:val="none"/>
          <w:u w:val="single"/>
        </w:rPr>
        <w:t xml:space="preserve">                                                                                 </w:t>
      </w:r>
      <w:r>
        <w:rPr>
          <w:rFonts w:hint="eastAsia" w:ascii="宋体" w:hAnsi="宋体" w:cs="宋体"/>
          <w:color w:val="auto"/>
          <w:sz w:val="22"/>
          <w:szCs w:val="22"/>
          <w:highlight w:val="none"/>
          <w:u w:val="single"/>
        </w:rPr>
        <w:t xml:space="preserve">     </w:t>
      </w:r>
    </w:p>
    <w:p w14:paraId="526BEB5C">
      <w:pPr>
        <w:tabs>
          <w:tab w:val="left" w:pos="1620"/>
        </w:tabs>
        <w:adjustRightInd w:val="0"/>
        <w:snapToGrid w:val="0"/>
        <w:spacing w:line="420" w:lineRule="exact"/>
        <w:jc w:val="center"/>
        <w:outlineLvl w:val="1"/>
        <w:rPr>
          <w:rFonts w:ascii="宋体" w:hAnsi="宋体" w:cs="宋体"/>
          <w:b/>
          <w:bCs/>
          <w:color w:val="auto"/>
          <w:sz w:val="22"/>
          <w:szCs w:val="22"/>
          <w:highlight w:val="none"/>
        </w:rPr>
      </w:pPr>
      <w:bookmarkStart w:id="367" w:name="_Toc469384043"/>
      <w:bookmarkStart w:id="368" w:name="_Toc26079"/>
      <w:bookmarkStart w:id="369" w:name="_Toc1887"/>
      <w:bookmarkStart w:id="370" w:name="_Toc5153"/>
      <w:bookmarkStart w:id="371" w:name="_Toc155166149"/>
      <w:bookmarkStart w:id="372" w:name="_Toc28433"/>
      <w:r>
        <w:rPr>
          <w:rFonts w:hint="eastAsia" w:ascii="方正小标宋_GBK" w:hAnsi="方正小标宋_GBK" w:eastAsia="方正小标宋_GBK" w:cs="方正小标宋_GBK"/>
          <w:b/>
          <w:bCs/>
          <w:color w:val="auto"/>
          <w:sz w:val="24"/>
          <w:szCs w:val="24"/>
          <w:highlight w:val="none"/>
        </w:rPr>
        <w:t>六、造  价</w:t>
      </w:r>
      <w:bookmarkEnd w:id="367"/>
      <w:bookmarkEnd w:id="368"/>
      <w:bookmarkEnd w:id="369"/>
      <w:bookmarkEnd w:id="370"/>
      <w:bookmarkEnd w:id="371"/>
      <w:bookmarkEnd w:id="372"/>
    </w:p>
    <w:p w14:paraId="36D485BB">
      <w:pPr>
        <w:pStyle w:val="4"/>
        <w:tabs>
          <w:tab w:val="left" w:pos="360"/>
          <w:tab w:val="left" w:pos="420"/>
        </w:tabs>
        <w:spacing w:line="420" w:lineRule="exact"/>
        <w:rPr>
          <w:rFonts w:ascii="宋体" w:hAnsi="宋体" w:cs="宋体"/>
          <w:color w:val="auto"/>
          <w:sz w:val="22"/>
          <w:szCs w:val="22"/>
          <w:highlight w:val="none"/>
        </w:rPr>
      </w:pPr>
      <w:bookmarkStart w:id="373" w:name="_Toc28428"/>
      <w:bookmarkStart w:id="374" w:name="_Toc469384044"/>
      <w:bookmarkStart w:id="375" w:name="_Toc2467"/>
      <w:r>
        <w:rPr>
          <w:rFonts w:hint="eastAsia" w:ascii="宋体" w:hAnsi="宋体" w:cs="宋体"/>
          <w:color w:val="auto"/>
          <w:sz w:val="22"/>
          <w:szCs w:val="22"/>
          <w:highlight w:val="none"/>
        </w:rPr>
        <w:t>60  资金计划和安排</w:t>
      </w:r>
      <w:bookmarkEnd w:id="373"/>
      <w:bookmarkEnd w:id="374"/>
      <w:bookmarkEnd w:id="375"/>
    </w:p>
    <w:p w14:paraId="2DF8C868">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60.1</w:t>
      </w:r>
    </w:p>
    <w:p w14:paraId="47E81D26">
      <w:pPr>
        <w:pStyle w:val="22"/>
        <w:adjustRightInd w:val="0"/>
        <w:snapToGrid w:val="0"/>
        <w:spacing w:line="420" w:lineRule="exact"/>
        <w:ind w:left="1579" w:leftChars="752"/>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27552"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260" name="文本框 264"/>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a:effectLst/>
                      </wps:spPr>
                      <wps:txbx>
                        <w:txbxContent>
                          <w:p w14:paraId="1D627805">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wrap="square" upright="1"/>
                    </wps:wsp>
                  </a:graphicData>
                </a:graphic>
              </wp:anchor>
            </w:drawing>
          </mc:Choice>
          <mc:Fallback>
            <w:pict>
              <v:shape id="文本框 264" o:spid="_x0000_s1026" o:spt="202" type="#_x0000_t202" style="position:absolute;left:0pt;margin-left:-10.5pt;margin-top:5.4pt;height:34pt;width:72pt;z-index:251927552;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ZC/3P1gAAAAkBAAAPAAAAAAAAAAEAIAAAACIAAABkcnMvZG93bnJldi54bWxQSwEC&#10;FAAUAAAACACHTuJAyuzIOL0BAABtAwAADgAAAAAAAAABACAAAAAlAQAAZHJzL2Uyb0RvYy54bWxQ&#10;SwUGAAAAAAYABgBZAQAAVAUAAAAA&#10;">
                <v:fill on="f" focussize="0,0"/>
                <v:stroke on="f"/>
                <v:imagedata o:title=""/>
                <o:lock v:ext="edit" aspectratio="f"/>
                <v:textbox>
                  <w:txbxContent>
                    <w:p w14:paraId="1D627805">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hAnsi="宋体"/>
          <w:color w:val="auto"/>
          <w:sz w:val="22"/>
          <w:szCs w:val="22"/>
          <w:highlight w:val="none"/>
        </w:rPr>
        <w:t>工程进度计划被批准后，承包人应向发包人提交一份合同工程资金需求计划书；工程进度计划更新后，承包人应及时向发包人提交一份更新后的工程资金需求计划书。</w:t>
      </w:r>
    </w:p>
    <w:p w14:paraId="2177D535">
      <w:pPr>
        <w:pStyle w:val="22"/>
        <w:adjustRightInd w:val="0"/>
        <w:snapToGrid w:val="0"/>
        <w:spacing w:line="420" w:lineRule="exact"/>
        <w:ind w:left="1484" w:leftChars="1" w:hanging="1482" w:hangingChars="671"/>
        <w:rPr>
          <w:rFonts w:hAnsi="宋体"/>
          <w:b/>
          <w:bCs/>
          <w:color w:val="auto"/>
          <w:sz w:val="22"/>
          <w:szCs w:val="22"/>
          <w:highlight w:val="none"/>
        </w:rPr>
      </w:pPr>
      <w:r>
        <w:rPr>
          <w:rFonts w:hint="eastAsia" w:hAnsi="宋体"/>
          <w:b/>
          <w:bCs/>
          <w:color w:val="auto"/>
          <w:sz w:val="22"/>
          <w:szCs w:val="22"/>
          <w:highlight w:val="none"/>
        </w:rPr>
        <w:t xml:space="preserve">60.2  </w:t>
      </w:r>
      <w:r>
        <w:rPr>
          <w:rFonts w:hint="eastAsia" w:hAnsi="宋体"/>
          <w:b/>
          <w:bCs/>
          <w:color w:val="auto"/>
          <w:sz w:val="22"/>
          <w:szCs w:val="22"/>
          <w:highlight w:val="none"/>
          <w:u w:val="dotted"/>
        </w:rPr>
        <w:t xml:space="preserve">                                                                                                        </w:t>
      </w:r>
    </w:p>
    <w:p w14:paraId="2803B3F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261" name="文本框 265"/>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a:effectLst/>
                      </wps:spPr>
                      <wps:txbx>
                        <w:txbxContent>
                          <w:p w14:paraId="2E4FBB8A">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wrap="square" upright="1"/>
                    </wps:wsp>
                  </a:graphicData>
                </a:graphic>
              </wp:anchor>
            </w:drawing>
          </mc:Choice>
          <mc:Fallback>
            <w:pict>
              <v:shape id="文本框 265" o:spid="_x0000_s1026" o:spt="202" type="#_x0000_t202" style="position:absolute;left:0pt;margin-left:-9pt;margin-top:2.7pt;height:36.6pt;width:72pt;z-index:251928576;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WsHe1QAAAAgBAAAPAAAAAAAAAAEAIAAAACIAAABkcnMvZG93bnJldi54bWxQSwEC&#10;FAAUAAAACACHTuJA8PW3Eb4BAABtAwAADgAAAAAAAAABACAAAAAkAQAAZHJzL2Uyb0RvYy54bWxQ&#10;SwUGAAAAAAYABgBZAQAAVAUAAAAA&#10;">
                <v:fill on="f" focussize="0,0"/>
                <v:stroke on="f"/>
                <v:imagedata o:title=""/>
                <o:lock v:ext="edit" aspectratio="f"/>
                <v:textbox>
                  <w:txbxContent>
                    <w:p w14:paraId="2E4FBB8A">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r>
        <w:rPr>
          <w:rFonts w:hint="eastAsia" w:hAnsi="宋体"/>
          <w:color w:val="auto"/>
          <w:sz w:val="22"/>
          <w:szCs w:val="22"/>
          <w:highlight w:val="none"/>
        </w:rPr>
        <w:t>发包人在收到承包人提交的工程资金需求计划书后28天内，应根据合同约定提供已做出资金安排的合理证据，表明自己有能力按照第78条规定支付合同价款。如果发包人对资金安排作出任何变更时，应及时将变更的详情通知承包人。</w:t>
      </w:r>
    </w:p>
    <w:p w14:paraId="053411C0">
      <w:pPr>
        <w:pStyle w:val="22"/>
        <w:tabs>
          <w:tab w:val="left" w:pos="1800"/>
        </w:tabs>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34A25F36">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76" w:name="_Toc8856"/>
      <w:bookmarkStart w:id="377" w:name="_Toc469384045"/>
      <w:bookmarkStart w:id="378" w:name="_Toc31404"/>
      <w:r>
        <w:rPr>
          <w:rFonts w:hint="eastAsia" w:hAnsi="宋体"/>
          <w:b/>
          <w:bCs/>
          <w:color w:val="auto"/>
          <w:sz w:val="22"/>
          <w:szCs w:val="22"/>
          <w:highlight w:val="none"/>
        </w:rPr>
        <w:t>★61  工程量</w:t>
      </w:r>
      <w:bookmarkEnd w:id="376"/>
      <w:bookmarkEnd w:id="377"/>
      <w:bookmarkEnd w:id="378"/>
    </w:p>
    <w:p w14:paraId="45A8EC95">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61.1</w:t>
      </w:r>
    </w:p>
    <w:p w14:paraId="052E2BDB">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除专用条款另有约定外，</w:t>
      </w:r>
      <w:r>
        <w:rPr>
          <w:rFonts w:hint="eastAsia" w:hAnsi="宋体"/>
          <w:color w:val="auto"/>
          <w:sz w:val="22"/>
          <w:szCs w:val="22"/>
          <w:highlight w:val="none"/>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262" name="文本框 266"/>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a:effectLst/>
                      </wps:spPr>
                      <wps:txbx>
                        <w:txbxContent>
                          <w:p w14:paraId="36FA8ED6">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wrap="square" upright="1"/>
                    </wps:wsp>
                  </a:graphicData>
                </a:graphic>
              </wp:anchor>
            </w:drawing>
          </mc:Choice>
          <mc:Fallback>
            <w:pict>
              <v:shape id="文本框 266" o:spid="_x0000_s1026" o:spt="202" type="#_x0000_t202" style="position:absolute;left:0pt;margin-left:-9pt;margin-top:0.9pt;height:37.5pt;width:72pt;z-index:251929600;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uOd11AAAAAgBAAAPAAAAAAAAAAEAIAAAACIAAABkcnMvZG93bnJldi54bWxQSwEC&#10;FAAUAAAACACHTuJAnhVSPL8BAABtAwAADgAAAAAAAAABACAAAAAjAQAAZHJzL2Uyb0RvYy54bWxQ&#10;SwUGAAAAAAYABgBZAQAAVAUAAAAA&#10;">
                <v:fill on="f" focussize="0,0"/>
                <v:stroke on="f"/>
                <v:imagedata o:title=""/>
                <o:lock v:ext="edit" aspectratio="f"/>
                <v:textbox>
                  <w:txbxContent>
                    <w:p w14:paraId="36FA8ED6">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hAnsi="宋体"/>
          <w:color w:val="auto"/>
          <w:sz w:val="22"/>
          <w:szCs w:val="22"/>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72条规定确定合同价款的增加额。</w:t>
      </w:r>
    </w:p>
    <w:p w14:paraId="13DE1DFD">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61.2  </w:t>
      </w:r>
      <w:r>
        <w:rPr>
          <w:rFonts w:hint="eastAsia" w:hAnsi="宋体"/>
          <w:b/>
          <w:bCs/>
          <w:color w:val="auto"/>
          <w:sz w:val="22"/>
          <w:szCs w:val="22"/>
          <w:highlight w:val="none"/>
          <w:u w:val="dotted"/>
        </w:rPr>
        <w:t xml:space="preserve">                                                                                                        </w:t>
      </w:r>
    </w:p>
    <w:p w14:paraId="2D62EF1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263" name="文本框 267"/>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a:effectLst/>
                      </wps:spPr>
                      <wps:txbx>
                        <w:txbxContent>
                          <w:p w14:paraId="01A54BA2">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267" o:spid="_x0000_s1026" o:spt="202" type="#_x0000_t202" style="position:absolute;left:0pt;margin-left:-9pt;margin-top:0.9pt;height:28.5pt;width:81pt;z-index:251930624;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NjRGtQAAAAIAQAADwAAAAAAAAABACAAAAAiAAAAZHJzL2Rvd25yZXYueG1sUEsB&#10;AhQAFAAAAAgAh07iQL05WIzAAQAAbgMAAA4AAAAAAAAAAQAgAAAAIwEAAGRycy9lMm9Eb2MueG1s&#10;UEsFBgAAAAAGAAYAWQEAAFUFAAAAAA==&#10;">
                <v:fill on="f" focussize="0,0"/>
                <v:stroke on="f"/>
                <v:imagedata o:title=""/>
                <o:lock v:ext="edit" aspectratio="f"/>
                <v:textbox>
                  <w:txbxContent>
                    <w:p w14:paraId="01A54BA2">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hAnsi="宋体"/>
          <w:color w:val="auto"/>
          <w:sz w:val="22"/>
          <w:szCs w:val="22"/>
          <w:highlight w:val="none"/>
        </w:rPr>
        <w:t>工程量清单中开列的工程量是根据合同工程施工设计图纸提供的预计工程量，不能作为承包人履行合同义务中应予完成合同工程的实际和准确工程量。</w:t>
      </w:r>
    </w:p>
    <w:p w14:paraId="6AFBCFA2">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发包人应按照承包人实际完成的应予计量的工程量与其在工程量清单中填报的单价或合价的乘积向承包人支付工程款。</w:t>
      </w:r>
    </w:p>
    <w:p w14:paraId="10BF189B">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39D77013">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79" w:name="_Toc469384046"/>
      <w:bookmarkStart w:id="380" w:name="_Toc8585"/>
      <w:bookmarkStart w:id="381" w:name="_Toc25510"/>
      <w:r>
        <w:rPr>
          <w:rFonts w:hint="eastAsia" w:hAnsi="宋体"/>
          <w:b/>
          <w:bCs/>
          <w:color w:val="auto"/>
          <w:sz w:val="22"/>
          <w:szCs w:val="22"/>
          <w:highlight w:val="none"/>
        </w:rPr>
        <w:t>★62  工程计量和计价</w:t>
      </w:r>
      <w:bookmarkEnd w:id="379"/>
      <w:bookmarkEnd w:id="380"/>
      <w:bookmarkEnd w:id="381"/>
    </w:p>
    <w:p w14:paraId="70EE5247">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62.1</w:t>
      </w:r>
    </w:p>
    <w:p w14:paraId="6C1E9F0C">
      <w:pPr>
        <w:pStyle w:val="22"/>
        <w:adjustRightInd w:val="0"/>
        <w:snapToGrid w:val="0"/>
        <w:spacing w:line="420" w:lineRule="exact"/>
        <w:ind w:left="1619" w:leftChars="771"/>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264" name="文本框 26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14:paraId="235BCF11">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wrap="square" upright="1"/>
                    </wps:wsp>
                  </a:graphicData>
                </a:graphic>
              </wp:anchor>
            </w:drawing>
          </mc:Choice>
          <mc:Fallback>
            <w:pict>
              <v:shape id="文本框 268" o:spid="_x0000_s1026" o:spt="202" type="#_x0000_t202" style="position:absolute;left:0pt;margin-left:-9pt;margin-top:1pt;height:32.75pt;width:72pt;z-index:251931648;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B6wktYAAAAIAQAADwAAAAAAAAABACAAAAAiAAAAZHJzL2Rvd25yZXYueG1sUEsB&#10;AhQAFAAAAAgAh07iQNbvB1e+AQAAbQMAAA4AAAAAAAAAAQAgAAAAJQEAAGRycy9lMm9Eb2MueG1s&#10;UEsFBgAAAAAGAAYAWQEAAFUFAAAAAA==&#10;">
                <v:fill on="f" focussize="0,0"/>
                <v:stroke on="f"/>
                <v:imagedata o:title=""/>
                <o:lock v:ext="edit" aspectratio="f"/>
                <v:textbox>
                  <w:txbxContent>
                    <w:p w14:paraId="235BCF11">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hAnsi="宋体"/>
          <w:color w:val="auto"/>
          <w:sz w:val="22"/>
          <w:szCs w:val="22"/>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5C1CDE42">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62.2  </w:t>
      </w:r>
      <w:r>
        <w:rPr>
          <w:rFonts w:hint="eastAsia" w:hAnsi="宋体"/>
          <w:b/>
          <w:bCs/>
          <w:color w:val="auto"/>
          <w:sz w:val="22"/>
          <w:szCs w:val="22"/>
          <w:highlight w:val="none"/>
          <w:u w:val="dotted"/>
        </w:rPr>
        <w:t xml:space="preserve">                                                                                  </w:t>
      </w:r>
    </w:p>
    <w:p w14:paraId="6714211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265" name="文本框 26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14:paraId="5581C32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wrap="square" upright="1"/>
                    </wps:wsp>
                  </a:graphicData>
                </a:graphic>
              </wp:anchor>
            </w:drawing>
          </mc:Choice>
          <mc:Fallback>
            <w:pict>
              <v:shape id="文本框 269" o:spid="_x0000_s1026" o:spt="202" type="#_x0000_t202" style="position:absolute;left:0pt;margin-left:-9pt;margin-top:4pt;height:32.75pt;width:72pt;z-index:251932672;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vOwRdYAAAAIAQAADwAAAAAAAAABACAAAAAiAAAAZHJzL2Rvd25yZXYueG1sUEsB&#10;AhQAFAAAAAgAh07iQCQQxau+AQAAbQMAAA4AAAAAAAAAAQAgAAAAJQEAAGRycy9lMm9Eb2MueG1s&#10;UEsFBgAAAAAGAAYAWQEAAFUFAAAAAA==&#10;">
                <v:fill on="f" focussize="0,0"/>
                <v:stroke on="f"/>
                <v:imagedata o:title=""/>
                <o:lock v:ext="edit" aspectratio="f"/>
                <v:textbox>
                  <w:txbxContent>
                    <w:p w14:paraId="5581C32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hAnsi="宋体"/>
          <w:color w:val="auto"/>
          <w:sz w:val="22"/>
          <w:szCs w:val="22"/>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26D018AF">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造价工程师负责工程计量和计价的核实工作。</w:t>
      </w:r>
    </w:p>
    <w:p w14:paraId="4FAE4B2C">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62.3  </w:t>
      </w:r>
      <w:r>
        <w:rPr>
          <w:rFonts w:hint="eastAsia" w:hAnsi="宋体"/>
          <w:b/>
          <w:bCs/>
          <w:color w:val="auto"/>
          <w:sz w:val="22"/>
          <w:szCs w:val="22"/>
          <w:highlight w:val="none"/>
          <w:u w:val="dotted"/>
        </w:rPr>
        <w:t xml:space="preserve">                                                                                                        </w:t>
      </w:r>
    </w:p>
    <w:p w14:paraId="1851382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266" name="文本框 270"/>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a:effectLst/>
                      </wps:spPr>
                      <wps:txbx>
                        <w:txbxContent>
                          <w:p w14:paraId="32E39BB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wps:txbx>
                      <wps:bodyPr wrap="square" upright="1"/>
                    </wps:wsp>
                  </a:graphicData>
                </a:graphic>
              </wp:anchor>
            </w:drawing>
          </mc:Choice>
          <mc:Fallback>
            <w:pict>
              <v:shape id="文本框 270" o:spid="_x0000_s1026" o:spt="202" type="#_x0000_t202" style="position:absolute;left:0pt;margin-left:-9pt;margin-top:-0.15pt;height:43.15pt;width:72pt;z-index:251933696;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kfa9NQAAAAIAQAADwAAAAAAAAABACAAAAAiAAAAZHJzL2Rvd25yZXYueG1sUEsBAhQA&#10;FAAAAAgAh07iQO02/DC9AQAAbQMAAA4AAAAAAAAAAQAgAAAAIwEAAGRycy9lMm9Eb2MueG1sUEsF&#10;BgAAAAAGAAYAWQEAAFIFAAAAAA==&#10;">
                <v:fill on="f" focussize="0,0"/>
                <v:stroke on="f"/>
                <v:imagedata o:title=""/>
                <o:lock v:ext="edit" aspectratio="f"/>
                <v:textbox>
                  <w:txbxContent>
                    <w:p w14:paraId="32E39BB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v:textbox>
              </v:shape>
            </w:pict>
          </mc:Fallback>
        </mc:AlternateContent>
      </w:r>
      <w:r>
        <w:rPr>
          <w:rFonts w:hint="eastAsia" w:hAnsi="宋体"/>
          <w:color w:val="auto"/>
          <w:sz w:val="22"/>
          <w:szCs w:val="22"/>
          <w:highlight w:val="none"/>
        </w:rPr>
        <w:t>承包人应按照第81.1款规定向造价工程师提交已完工程款额报告。造价工程师应在收到报告后的14天内核实工程量，并将核实结果通知承包人、抄报发包人，作为工程计价和工程款支付的依据。</w:t>
      </w:r>
    </w:p>
    <w:p w14:paraId="5E2E5A39">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62.4  </w:t>
      </w:r>
      <w:r>
        <w:rPr>
          <w:rFonts w:hint="eastAsia" w:hAnsi="宋体"/>
          <w:b/>
          <w:bCs/>
          <w:color w:val="auto"/>
          <w:sz w:val="22"/>
          <w:szCs w:val="22"/>
          <w:highlight w:val="none"/>
          <w:u w:val="dotted"/>
        </w:rPr>
        <w:t xml:space="preserve">                                                                                                        </w:t>
      </w:r>
    </w:p>
    <w:p w14:paraId="5A1BD1AE">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267" name="文本框 271"/>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a:effectLst/>
                      </wps:spPr>
                      <wps:txbx>
                        <w:txbxContent>
                          <w:p w14:paraId="7F50C6E9">
                            <w:pPr>
                              <w:rPr>
                                <w:rFonts w:ascii="宋体" w:cs="Times New Roman"/>
                                <w:sz w:val="18"/>
                                <w:szCs w:val="18"/>
                              </w:rPr>
                            </w:pPr>
                            <w:r>
                              <w:rPr>
                                <w:rFonts w:hint="eastAsia" w:hAnsi="宋体"/>
                                <w:b/>
                                <w:bCs/>
                                <w:color w:val="000000"/>
                                <w:sz w:val="18"/>
                                <w:szCs w:val="18"/>
                              </w:rPr>
                              <w:t>现场计量</w:t>
                            </w:r>
                          </w:p>
                        </w:txbxContent>
                      </wps:txbx>
                      <wps:bodyPr wrap="square" upright="1"/>
                    </wps:wsp>
                  </a:graphicData>
                </a:graphic>
              </wp:anchor>
            </w:drawing>
          </mc:Choice>
          <mc:Fallback>
            <w:pict>
              <v:shape id="文本框 271" o:spid="_x0000_s1026" o:spt="202" type="#_x0000_t202" style="position:absolute;left:0pt;margin-left:-9pt;margin-top:3.95pt;height:27.9pt;width:63pt;z-index:251934720;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9g4Zt1QAAAAgBAAAPAAAAAAAAAAEAIAAAACIAAABkcnMvZG93bnJldi54bWxQSwEC&#10;FAAUAAAACACHTuJA+2hHor4BAABtAwAADgAAAAAAAAABACAAAAAkAQAAZHJzL2Uyb0RvYy54bWxQ&#10;SwUGAAAAAAYABgBZAQAAVAUAAAAA&#10;">
                <v:fill on="f" focussize="0,0"/>
                <v:stroke on="f"/>
                <v:imagedata o:title=""/>
                <o:lock v:ext="edit" aspectratio="f"/>
                <v:textbox>
                  <w:txbxContent>
                    <w:p w14:paraId="7F50C6E9">
                      <w:pPr>
                        <w:rPr>
                          <w:rFonts w:ascii="宋体" w:cs="Times New Roman"/>
                          <w:sz w:val="18"/>
                          <w:szCs w:val="18"/>
                        </w:rPr>
                      </w:pPr>
                      <w:r>
                        <w:rPr>
                          <w:rFonts w:hint="eastAsia" w:hAnsi="宋体"/>
                          <w:b/>
                          <w:bCs/>
                          <w:color w:val="000000"/>
                          <w:sz w:val="18"/>
                          <w:szCs w:val="18"/>
                        </w:rPr>
                        <w:t>现场计量</w:t>
                      </w:r>
                    </w:p>
                  </w:txbxContent>
                </v:textbox>
              </v:shape>
            </w:pict>
          </mc:Fallback>
        </mc:AlternateContent>
      </w:r>
      <w:r>
        <w:rPr>
          <w:rFonts w:hint="eastAsia" w:hAnsi="宋体"/>
          <w:color w:val="auto"/>
          <w:sz w:val="22"/>
          <w:szCs w:val="22"/>
          <w:highlight w:val="none"/>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14:paraId="53713CCD">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62.5 </w:t>
      </w:r>
      <w:r>
        <w:rPr>
          <w:rFonts w:hint="eastAsia" w:hAnsi="宋体"/>
          <w:b/>
          <w:bCs/>
          <w:color w:val="auto"/>
          <w:sz w:val="22"/>
          <w:szCs w:val="22"/>
          <w:highlight w:val="none"/>
          <w:u w:val="dotted"/>
        </w:rPr>
        <w:t xml:space="preserve">                                                                                                        </w:t>
      </w:r>
    </w:p>
    <w:p w14:paraId="6D8FDE7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268" name="文本框 272"/>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a:effectLst/>
                      </wps:spPr>
                      <wps:txbx>
                        <w:txbxContent>
                          <w:p w14:paraId="1766570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wps:txbx>
                      <wps:bodyPr wrap="square" upright="1"/>
                    </wps:wsp>
                  </a:graphicData>
                </a:graphic>
              </wp:anchor>
            </w:drawing>
          </mc:Choice>
          <mc:Fallback>
            <w:pict>
              <v:shape id="文本框 272" o:spid="_x0000_s1026" o:spt="202" type="#_x0000_t202" style="position:absolute;left:0pt;margin-left:-9pt;margin-top:3.5pt;height:47.5pt;width:72pt;z-index:251935744;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b/WfXVAAAACQEAAA8AAAAAAAAAAQAgAAAAIgAAAGRycy9kb3ducmV2LnhtbFBLAQIU&#10;ABQAAAAIAIdO4kAZ4iRevQEAAG0DAAAOAAAAAAAAAAEAIAAAACQBAABkcnMvZTJvRG9jLnhtbFBL&#10;BQYAAAAABgAGAFkBAABTBQAAAAA=&#10;">
                <v:fill on="f" focussize="0,0"/>
                <v:stroke on="f"/>
                <v:imagedata o:title=""/>
                <o:lock v:ext="edit" aspectratio="f"/>
                <v:textbox>
                  <w:txbxContent>
                    <w:p w14:paraId="1766570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v:textbox>
              </v:shape>
            </w:pict>
          </mc:Fallback>
        </mc:AlternateContent>
      </w:r>
      <w:r>
        <w:rPr>
          <w:rFonts w:hint="eastAsia" w:hAnsi="宋体"/>
          <w:color w:val="auto"/>
          <w:sz w:val="22"/>
          <w:szCs w:val="22"/>
          <w:highlight w:val="none"/>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14:paraId="5966CAC1">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62.6  </w:t>
      </w:r>
      <w:r>
        <w:rPr>
          <w:rFonts w:hint="eastAsia" w:hAnsi="宋体"/>
          <w:b/>
          <w:bCs/>
          <w:color w:val="auto"/>
          <w:sz w:val="22"/>
          <w:szCs w:val="22"/>
          <w:highlight w:val="none"/>
          <w:u w:val="dotted"/>
        </w:rPr>
        <w:t xml:space="preserve">                                                                                                        </w:t>
      </w:r>
    </w:p>
    <w:p w14:paraId="50C042A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269" name="文本框 273"/>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a:effectLst/>
                      </wps:spPr>
                      <wps:txbx>
                        <w:txbxContent>
                          <w:p w14:paraId="77F9FB9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wrap="square" upright="1"/>
                    </wps:wsp>
                  </a:graphicData>
                </a:graphic>
              </wp:anchor>
            </w:drawing>
          </mc:Choice>
          <mc:Fallback>
            <w:pict>
              <v:shape id="文本框 273" o:spid="_x0000_s1026" o:spt="202" type="#_x0000_t202" style="position:absolute;left:0pt;margin-left:-9pt;margin-top:3.6pt;height:23.4pt;width:72pt;z-index:251936768;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iyvmfVAAAACAEAAA8AAAAAAAAAAQAgAAAAIgAAAGRycy9kb3ducmV2LnhtbFBL&#10;AQIUABQAAAAIAIdO4kDU8DVbwAEAAG0DAAAOAAAAAAAAAAEAIAAAACQBAABkcnMvZTJvRG9jLnht&#10;bFBLBQYAAAAABgAGAFkBAABWBQAAAAA=&#10;">
                <v:fill on="f" focussize="0,0"/>
                <v:stroke on="f"/>
                <v:imagedata o:title=""/>
                <o:lock v:ext="edit" aspectratio="f"/>
                <v:textbox>
                  <w:txbxContent>
                    <w:p w14:paraId="77F9FB9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hAnsi="宋体"/>
          <w:color w:val="auto"/>
          <w:sz w:val="22"/>
          <w:szCs w:val="22"/>
          <w:highlight w:val="none"/>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14:paraId="1804EFB0">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62.7  </w:t>
      </w:r>
      <w:r>
        <w:rPr>
          <w:rFonts w:hint="eastAsia" w:hAnsi="宋体"/>
          <w:b/>
          <w:bCs/>
          <w:color w:val="auto"/>
          <w:sz w:val="22"/>
          <w:szCs w:val="22"/>
          <w:highlight w:val="none"/>
          <w:u w:val="dotted"/>
        </w:rPr>
        <w:t xml:space="preserve">                                                                                                        </w:t>
      </w:r>
    </w:p>
    <w:p w14:paraId="4F58BD7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270" name="文本框 27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6696884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wrap="square" upright="1"/>
                    </wps:wsp>
                  </a:graphicData>
                </a:graphic>
              </wp:anchor>
            </w:drawing>
          </mc:Choice>
          <mc:Fallback>
            <w:pict>
              <v:shape id="文本框 274" o:spid="_x0000_s1026" o:spt="202" type="#_x0000_t202" style="position:absolute;left:0pt;margin-left:-9pt;margin-top:2.85pt;height:23.4pt;width:63pt;z-index:251937792;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EUrpk1AAAAAgBAAAPAAAAAAAAAAEAIAAAACIAAABkcnMvZG93bnJldi54bWxQSwECFAAU&#10;AAAACACHTuJAGuVi+rwBAABtAwAADgAAAAAAAAABACAAAAAjAQAAZHJzL2Uyb0RvYy54bWxQSwUG&#10;AAAAAAYABgBZAQAAUQUAAAAA&#10;">
                <v:fill on="f" focussize="0,0"/>
                <v:stroke on="f"/>
                <v:imagedata o:title=""/>
                <o:lock v:ext="edit" aspectratio="f"/>
                <v:textbox>
                  <w:txbxContent>
                    <w:p w14:paraId="6696884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hAnsi="宋体"/>
          <w:color w:val="auto"/>
          <w:sz w:val="22"/>
          <w:szCs w:val="22"/>
          <w:highlight w:val="none"/>
        </w:rPr>
        <w:t>对承包人超出施工设计图纸范围或因承包人的原因造成返工的工程量，造价工程师均不予计量。</w:t>
      </w:r>
    </w:p>
    <w:p w14:paraId="3ABEB429">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62.8  </w:t>
      </w:r>
      <w:r>
        <w:rPr>
          <w:rFonts w:hint="eastAsia" w:hAnsi="宋体"/>
          <w:b/>
          <w:bCs/>
          <w:color w:val="auto"/>
          <w:sz w:val="22"/>
          <w:szCs w:val="22"/>
          <w:highlight w:val="none"/>
          <w:u w:val="dotted"/>
        </w:rPr>
        <w:t xml:space="preserve">                                                                                                        </w:t>
      </w:r>
    </w:p>
    <w:p w14:paraId="7AC9DF1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271" name="文本框 275"/>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a:effectLst/>
                      </wps:spPr>
                      <wps:txbx>
                        <w:txbxContent>
                          <w:p w14:paraId="180CA2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wrap="square" upright="1"/>
                    </wps:wsp>
                  </a:graphicData>
                </a:graphic>
              </wp:anchor>
            </w:drawing>
          </mc:Choice>
          <mc:Fallback>
            <w:pict>
              <v:shape id="文本框 275" o:spid="_x0000_s1026" o:spt="202" type="#_x0000_t202" style="position:absolute;left:0pt;margin-left:-9pt;margin-top:1.9pt;height:38.9pt;width:72pt;z-index:251938816;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dr1qW1AAAAAgBAAAPAAAAAAAAAAEAIAAAACIAAABkcnMvZG93bnJldi54bWxQSwEC&#10;FAAUAAAACACHTuJANGnwy78BAABtAwAADgAAAAAAAAABACAAAAAjAQAAZHJzL2Uyb0RvYy54bWxQ&#10;SwUGAAAAAAYABgBZAQAAVAUAAAAA&#10;">
                <v:fill on="f" focussize="0,0"/>
                <v:stroke on="f"/>
                <v:imagedata o:title=""/>
                <o:lock v:ext="edit" aspectratio="f"/>
                <v:textbox>
                  <w:txbxContent>
                    <w:p w14:paraId="180CA2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hAnsi="宋体"/>
          <w:color w:val="auto"/>
          <w:sz w:val="22"/>
          <w:szCs w:val="22"/>
          <w:highlight w:val="none"/>
        </w:rPr>
        <w:t>除按照第69条至第73条、第76条规定所做的调整外，每项工作所适用的单价(费率)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14:paraId="6A1812D2">
      <w:pPr>
        <w:pStyle w:val="22"/>
        <w:tabs>
          <w:tab w:val="left" w:pos="1620"/>
        </w:tabs>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6F7DB41E">
      <w:pPr>
        <w:pStyle w:val="22"/>
        <w:tabs>
          <w:tab w:val="left" w:pos="540"/>
        </w:tabs>
        <w:adjustRightInd w:val="0"/>
        <w:snapToGrid w:val="0"/>
        <w:spacing w:before="240" w:beforeLines="100" w:line="420" w:lineRule="exact"/>
        <w:outlineLvl w:val="2"/>
        <w:rPr>
          <w:rFonts w:hAnsi="宋体"/>
          <w:b/>
          <w:bCs/>
          <w:dstrike/>
          <w:color w:val="auto"/>
          <w:sz w:val="22"/>
          <w:szCs w:val="22"/>
          <w:highlight w:val="none"/>
        </w:rPr>
      </w:pPr>
      <w:bookmarkStart w:id="382" w:name="_Toc21032"/>
      <w:bookmarkStart w:id="383" w:name="_Toc469384047"/>
      <w:bookmarkStart w:id="384" w:name="_Toc31526"/>
      <w:r>
        <w:rPr>
          <w:rFonts w:hint="eastAsia" w:hAnsi="宋体"/>
          <w:b/>
          <w:bCs/>
          <w:color w:val="auto"/>
          <w:sz w:val="22"/>
          <w:szCs w:val="22"/>
          <w:highlight w:val="none"/>
        </w:rPr>
        <w:t>★63  暂列金额</w:t>
      </w:r>
      <w:bookmarkEnd w:id="382"/>
      <w:bookmarkEnd w:id="383"/>
      <w:bookmarkEnd w:id="384"/>
    </w:p>
    <w:p w14:paraId="7584B5E3">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63.1</w:t>
      </w:r>
    </w:p>
    <w:p w14:paraId="5A7B559B">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39840"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272" name="文本框 276"/>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a:effectLst/>
                      </wps:spPr>
                      <wps:txbx>
                        <w:txbxContent>
                          <w:p w14:paraId="2BA80B5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2C57D49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wrap="square" upright="1"/>
                    </wps:wsp>
                  </a:graphicData>
                </a:graphic>
              </wp:anchor>
            </w:drawing>
          </mc:Choice>
          <mc:Fallback>
            <w:pict>
              <v:shape id="文本框 276" o:spid="_x0000_s1026" o:spt="202" type="#_x0000_t202" style="position:absolute;left:0pt;margin-left:-18pt;margin-top:7.5pt;height:54.2pt;width:90pt;z-index:251939840;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4CMM9UAAAAKAQAADwAAAAAAAAABACAAAAAiAAAAZHJzL2Rvd25yZXYueG1sUEsB&#10;AhQAFAAAAAgAh07iQBfquIW/AQAAbgMAAA4AAAAAAAAAAQAgAAAAJAEAAGRycy9lMm9Eb2MueG1s&#10;UEsFBgAAAAAGAAYAWQEAAFUFAAAAAA==&#10;">
                <v:fill on="f" focussize="0,0"/>
                <v:stroke on="f"/>
                <v:imagedata o:title=""/>
                <o:lock v:ext="edit" aspectratio="f"/>
                <v:textbox>
                  <w:txbxContent>
                    <w:p w14:paraId="2BA80B5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2C57D49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宋体" w:hAnsi="宋体" w:cs="宋体"/>
          <w:color w:val="auto"/>
          <w:sz w:val="22"/>
          <w:szCs w:val="22"/>
          <w:highlight w:val="none"/>
        </w:rPr>
        <w:t>合同双方当事人应在专用条款中明确工程量清单中开列的已标价的暂列金额。</w:t>
      </w:r>
    </w:p>
    <w:p w14:paraId="7C974E4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08191E11">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63.2  </w:t>
      </w:r>
      <w:r>
        <w:rPr>
          <w:rFonts w:hint="eastAsia" w:hAnsi="宋体"/>
          <w:b/>
          <w:bCs/>
          <w:color w:val="auto"/>
          <w:sz w:val="22"/>
          <w:szCs w:val="22"/>
          <w:highlight w:val="none"/>
          <w:u w:val="dotted"/>
        </w:rPr>
        <w:t xml:space="preserve">                                                                                                        </w:t>
      </w:r>
    </w:p>
    <w:p w14:paraId="5AE6CFB3">
      <w:pPr>
        <w:pStyle w:val="22"/>
        <w:adjustRightInd w:val="0"/>
        <w:snapToGrid w:val="0"/>
        <w:spacing w:line="420" w:lineRule="exact"/>
        <w:ind w:left="1575" w:leftChars="750"/>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40864"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273" name="文本框 277"/>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a:effectLst/>
                      </wps:spPr>
                      <wps:txbx>
                        <w:txbxContent>
                          <w:p w14:paraId="1A54F14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5A99D3D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wrap="square" upright="1"/>
                    </wps:wsp>
                  </a:graphicData>
                </a:graphic>
              </wp:anchor>
            </w:drawing>
          </mc:Choice>
          <mc:Fallback>
            <w:pict>
              <v:shape id="文本框 277" o:spid="_x0000_s1026" o:spt="202" type="#_x0000_t202" style="position:absolute;left:0pt;margin-left:-10.5pt;margin-top:7.85pt;height:43.55pt;width:81pt;z-index:251940864;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LfJn9YAAAAKAQAADwAAAAAAAAABACAAAAAiAAAAZHJzL2Rvd25yZXYueG1sUEsB&#10;AhQAFAAAAAgAh07iQKVNARO+AQAAbgMAAA4AAAAAAAAAAQAgAAAAJQEAAGRycy9lMm9Eb2MueG1s&#10;UEsFBgAAAAAGAAYAWQEAAFUFAAAAAA==&#10;">
                <v:fill on="f" focussize="0,0"/>
                <v:stroke on="f"/>
                <v:imagedata o:title=""/>
                <o:lock v:ext="edit" aspectratio="f"/>
                <v:textbox>
                  <w:txbxContent>
                    <w:p w14:paraId="1A54F14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5A99D3D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hAnsi="宋体"/>
          <w:color w:val="auto"/>
          <w:sz w:val="22"/>
          <w:szCs w:val="22"/>
          <w:highlight w:val="none"/>
        </w:rPr>
        <w:t>经发包人批准后，监理工程师应就承包人实施第63.1款规定的工作发出书面指令。承包人应就此项指令提出所需价款，经造价工程师核实并由其报发包人确认后，向承包人支付相关款项。</w:t>
      </w:r>
    </w:p>
    <w:p w14:paraId="17E3B40A">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63.3  </w:t>
      </w:r>
      <w:r>
        <w:rPr>
          <w:rFonts w:hint="eastAsia" w:hAnsi="宋体"/>
          <w:b/>
          <w:bCs/>
          <w:color w:val="auto"/>
          <w:sz w:val="22"/>
          <w:szCs w:val="22"/>
          <w:highlight w:val="none"/>
          <w:u w:val="dotted"/>
        </w:rPr>
        <w:t xml:space="preserve">                                                                                                        </w:t>
      </w:r>
    </w:p>
    <w:p w14:paraId="45F1C7DB">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74" name="文本框 27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EED210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wrap="square" upright="1"/>
                    </wps:wsp>
                  </a:graphicData>
                </a:graphic>
              </wp:anchor>
            </w:drawing>
          </mc:Choice>
          <mc:Fallback>
            <w:pict>
              <v:shape id="文本框 278" o:spid="_x0000_s1026" o:spt="202" type="#_x0000_t202" style="position:absolute;left:0pt;margin-left:-9pt;margin-top:1.25pt;height:31.2pt;width:72pt;z-index:25194188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8/wcNUAAAAIAQAADwAAAAAAAAABACAAAAAiAAAAZHJzL2Rvd25yZXYueG1sUEsB&#10;AhQAFAAAAAgAh07iQO+Nmh2/AQAAbQMAAA4AAAAAAAAAAQAgAAAAJAEAAGRycy9lMm9Eb2MueG1s&#10;UEsFBgAAAAAGAAYAWQEAAFUFAAAAAA==&#10;">
                <v:fill on="f" focussize="0,0"/>
                <v:stroke on="f"/>
                <v:imagedata o:title=""/>
                <o:lock v:ext="edit" aspectratio="f"/>
                <v:textbox>
                  <w:txbxContent>
                    <w:p w14:paraId="4EED210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hAnsi="宋体"/>
          <w:color w:val="auto"/>
          <w:sz w:val="22"/>
          <w:szCs w:val="22"/>
          <w:highlight w:val="none"/>
        </w:rPr>
        <w:t>造价工程师有要求时，承包人应提供使用暂列金额支付项目的所有报价单、发票、账单或收据。</w:t>
      </w:r>
    </w:p>
    <w:p w14:paraId="062F2A74">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4ECC9151">
      <w:pPr>
        <w:pStyle w:val="22"/>
        <w:tabs>
          <w:tab w:val="left" w:pos="540"/>
        </w:tabs>
        <w:adjustRightInd w:val="0"/>
        <w:snapToGrid w:val="0"/>
        <w:spacing w:before="240" w:beforeLines="100" w:line="420" w:lineRule="exact"/>
        <w:outlineLvl w:val="2"/>
        <w:rPr>
          <w:rFonts w:hAnsi="宋体"/>
          <w:b/>
          <w:bCs/>
          <w:dstrike/>
          <w:color w:val="auto"/>
          <w:sz w:val="22"/>
          <w:szCs w:val="22"/>
          <w:highlight w:val="none"/>
        </w:rPr>
      </w:pPr>
      <w:bookmarkStart w:id="385" w:name="_Toc2392"/>
      <w:bookmarkStart w:id="386" w:name="_Toc469384048"/>
      <w:bookmarkStart w:id="387" w:name="_Toc26971"/>
      <w:r>
        <w:rPr>
          <w:rFonts w:hint="eastAsia" w:hAnsi="宋体"/>
          <w:b/>
          <w:bCs/>
          <w:color w:val="auto"/>
          <w:sz w:val="22"/>
          <w:szCs w:val="22"/>
          <w:highlight w:val="none"/>
        </w:rPr>
        <w:t>★64  计日工</w:t>
      </w:r>
      <w:bookmarkEnd w:id="385"/>
      <w:bookmarkEnd w:id="386"/>
      <w:bookmarkEnd w:id="387"/>
    </w:p>
    <w:p w14:paraId="6F180F93">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64.1</w:t>
      </w:r>
    </w:p>
    <w:p w14:paraId="1D37C38E">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275" name="文本框 279"/>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a:effectLst/>
                      </wps:spPr>
                      <wps:txbx>
                        <w:txbxContent>
                          <w:p w14:paraId="2D26B39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wrap="square" upright="1"/>
                    </wps:wsp>
                  </a:graphicData>
                </a:graphic>
              </wp:anchor>
            </w:drawing>
          </mc:Choice>
          <mc:Fallback>
            <w:pict>
              <v:shape id="文本框 279" o:spid="_x0000_s1026" o:spt="202" type="#_x0000_t202" style="position:absolute;left:0pt;margin-left:-9pt;margin-top:1.25pt;height:30.55pt;width:72pt;z-index:251942912;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v8r0tUAAAAIAQAADwAAAAAAAAABACAAAAAiAAAAZHJzL2Rvd25yZXYueG1sUEsB&#10;AhQAFAAAAAgAh07iQLomrDG/AQAAbQMAAA4AAAAAAAAAAQAgAAAAJAEAAGRycy9lMm9Eb2MueG1s&#10;UEsFBgAAAAAGAAYAWQEAAFUFAAAAAA==&#10;">
                <v:fill on="f" focussize="0,0"/>
                <v:stroke on="f"/>
                <v:imagedata o:title=""/>
                <o:lock v:ext="edit" aspectratio="f"/>
                <v:textbox>
                  <w:txbxContent>
                    <w:p w14:paraId="2D26B39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hAnsi="宋体"/>
          <w:color w:val="auto"/>
          <w:sz w:val="22"/>
          <w:szCs w:val="22"/>
          <w:highlight w:val="none"/>
        </w:rPr>
        <w:t>承包人投标文件中填报的计日工单价或价格是用于实施发包人要求的合同以外零星工作项目所需的人工单价、材料、工程设备价格和施工设备机械台班单价。</w:t>
      </w:r>
    </w:p>
    <w:p w14:paraId="1F48FEBB">
      <w:pPr>
        <w:pStyle w:val="22"/>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 xml:space="preserve">64.2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2621F577">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经发包人批准后，监理工程师应就使用计日工项目发出书面指令。</w:t>
      </w:r>
      <w:r>
        <w:rPr>
          <w:rFonts w:hint="eastAsia" w:hAnsi="宋体"/>
          <w:color w:val="auto"/>
          <w:sz w:val="22"/>
          <w:szCs w:val="22"/>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276" name="文本框 280"/>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a:effectLst/>
                      </wps:spPr>
                      <wps:txbx>
                        <w:txbxContent>
                          <w:p w14:paraId="4326575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wrap="square" upright="1"/>
                    </wps:wsp>
                  </a:graphicData>
                </a:graphic>
              </wp:anchor>
            </w:drawing>
          </mc:Choice>
          <mc:Fallback>
            <w:pict>
              <v:shape id="文本框 280" o:spid="_x0000_s1026" o:spt="202" type="#_x0000_t202" style="position:absolute;left:0pt;margin-left:-9pt;margin-top:1.15pt;height:32.5pt;width:72pt;z-index:251943936;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W6Ma9YAAAAIAQAADwAAAAAAAAABACAAAAAiAAAAZHJzL2Rvd25yZXYueG1sUEsB&#10;AhQAFAAAAAgAh07iQIiOew6+AQAAbQMAAA4AAAAAAAAAAQAgAAAAJQEAAGRycy9lMm9Eb2MueG1s&#10;UEsFBgAAAAAGAAYAWQEAAFUFAAAAAA==&#10;">
                <v:fill on="f" focussize="0,0"/>
                <v:stroke on="f"/>
                <v:imagedata o:title=""/>
                <o:lock v:ext="edit" aspectratio="f"/>
                <v:textbox>
                  <w:txbxContent>
                    <w:p w14:paraId="4326575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hAnsi="宋体"/>
          <w:color w:val="auto"/>
          <w:sz w:val="22"/>
          <w:szCs w:val="22"/>
          <w:highlight w:val="none"/>
        </w:rPr>
        <w:t>任一按照计日工方式计价的工作，承包人应在该项工作实施结束后的24小时内，向监理工程师提交有计日工记录的现场签证报告一式两份。</w:t>
      </w:r>
    </w:p>
    <w:p w14:paraId="2C1F617D">
      <w:pPr>
        <w:pStyle w:val="22"/>
        <w:adjustRightInd w:val="0"/>
        <w:snapToGrid w:val="0"/>
        <w:spacing w:line="420" w:lineRule="exact"/>
        <w:ind w:left="1575" w:leftChars="750"/>
        <w:rPr>
          <w:rFonts w:hAnsi="宋体"/>
          <w:color w:val="auto"/>
          <w:sz w:val="22"/>
          <w:szCs w:val="22"/>
          <w:highlight w:val="none"/>
        </w:rPr>
      </w:pPr>
      <w:r>
        <w:rPr>
          <w:rFonts w:hint="eastAsia" w:hAnsi="宋体"/>
          <w:color w:val="auto"/>
          <w:sz w:val="22"/>
          <w:szCs w:val="22"/>
          <w:highlight w:val="none"/>
        </w:rPr>
        <w:t>当此工作持续进行时，承包人应每天向监理工程师提交当天计日工记录完毕的现场签证报告。监理工程师在收到承包人提交现场签证报告后的2天内予以确认并由其报发包人批准后，将其中一份返还给承包人，作为计日工计价和支付的依据。监理工程师逾期未确认也未提出修改意见的，视为承包人提交的现场签证报告已被认可。</w:t>
      </w:r>
    </w:p>
    <w:p w14:paraId="448ABC79">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64.3  </w:t>
      </w:r>
      <w:r>
        <w:rPr>
          <w:rFonts w:hint="eastAsia" w:hAnsi="宋体"/>
          <w:b/>
          <w:bCs/>
          <w:color w:val="auto"/>
          <w:sz w:val="22"/>
          <w:szCs w:val="22"/>
          <w:highlight w:val="none"/>
          <w:u w:val="dotted"/>
        </w:rPr>
        <w:t xml:space="preserve">                                                                                                        </w:t>
      </w:r>
    </w:p>
    <w:p w14:paraId="2C71B8B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277" name="文本框 28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122E8F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wrap="square" upright="1"/>
                    </wps:wsp>
                  </a:graphicData>
                </a:graphic>
              </wp:anchor>
            </w:drawing>
          </mc:Choice>
          <mc:Fallback>
            <w:pict>
              <v:shape id="文本框 281" o:spid="_x0000_s1026" o:spt="202" type="#_x0000_t202" style="position:absolute;left:0pt;margin-left:-9pt;margin-top:0.4pt;height:31.2pt;width:72pt;z-index:251944960;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FDTn1AAAAAcBAAAPAAAAAAAAAAEAIAAAACIAAABkcnMvZG93bnJldi54bWxQSwEC&#10;FAAUAAAACACHTuJAI/5ZlL8BAABtAwAADgAAAAAAAAABACAAAAAjAQAAZHJzL2Uyb0RvYy54bWxQ&#10;SwUGAAAAAAYABgBZAQAAVAUAAAAA&#10;">
                <v:fill on="f" focussize="0,0"/>
                <v:stroke on="f"/>
                <v:imagedata o:title=""/>
                <o:lock v:ext="edit" aspectratio="f"/>
                <v:textbox>
                  <w:txbxContent>
                    <w:p w14:paraId="4122E8F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hAnsi="宋体"/>
          <w:color w:val="auto"/>
          <w:sz w:val="22"/>
          <w:szCs w:val="22"/>
          <w:highlight w:val="none"/>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14:paraId="562CA39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 xml:space="preserve">每个支付期末，承包人应按照第81.1款规定向发包人提交本期间所有计日工记录的签证汇总表，以说明本期间自己认为有权得到的计日工费用。 </w:t>
      </w:r>
    </w:p>
    <w:p w14:paraId="108EB993">
      <w:pPr>
        <w:pStyle w:val="22"/>
        <w:tabs>
          <w:tab w:val="left" w:pos="540"/>
        </w:tabs>
        <w:adjustRightInd w:val="0"/>
        <w:snapToGrid w:val="0"/>
        <w:spacing w:before="240" w:beforeLines="100" w:line="420" w:lineRule="exact"/>
        <w:rPr>
          <w:rFonts w:hAnsi="宋体"/>
          <w:b/>
          <w:bCs/>
          <w:color w:val="auto"/>
          <w:sz w:val="22"/>
          <w:szCs w:val="22"/>
          <w:highlight w:val="none"/>
        </w:rPr>
      </w:pPr>
      <w:r>
        <w:rPr>
          <w:rFonts w:hint="eastAsia" w:hAnsi="宋体"/>
          <w:b/>
          <w:bCs/>
          <w:color w:val="auto"/>
          <w:sz w:val="22"/>
          <w:szCs w:val="22"/>
          <w:highlight w:val="none"/>
          <w:u w:val="single"/>
        </w:rPr>
        <w:t xml:space="preserve">                                                                               </w:t>
      </w:r>
    </w:p>
    <w:p w14:paraId="60543D0B">
      <w:pPr>
        <w:pStyle w:val="22"/>
        <w:tabs>
          <w:tab w:val="left" w:pos="540"/>
        </w:tabs>
        <w:adjustRightInd w:val="0"/>
        <w:snapToGrid w:val="0"/>
        <w:spacing w:before="240" w:beforeLines="100" w:line="420" w:lineRule="exact"/>
        <w:outlineLvl w:val="2"/>
        <w:rPr>
          <w:rFonts w:hAnsi="宋体"/>
          <w:b/>
          <w:bCs/>
          <w:dstrike/>
          <w:color w:val="auto"/>
          <w:sz w:val="22"/>
          <w:szCs w:val="22"/>
          <w:highlight w:val="none"/>
        </w:rPr>
      </w:pPr>
      <w:bookmarkStart w:id="388" w:name="_Toc469384049"/>
      <w:bookmarkStart w:id="389" w:name="_Toc29330"/>
      <w:bookmarkStart w:id="390" w:name="_Toc7826"/>
      <w:r>
        <w:rPr>
          <w:rFonts w:hint="eastAsia" w:hAnsi="宋体"/>
          <w:b/>
          <w:bCs/>
          <w:color w:val="auto"/>
          <w:sz w:val="22"/>
          <w:szCs w:val="22"/>
          <w:highlight w:val="none"/>
        </w:rPr>
        <w:t>★65  暂估价</w:t>
      </w:r>
      <w:bookmarkEnd w:id="388"/>
      <w:bookmarkEnd w:id="389"/>
      <w:bookmarkEnd w:id="390"/>
    </w:p>
    <w:p w14:paraId="359A9C32">
      <w:pPr>
        <w:pStyle w:val="22"/>
        <w:adjustRightInd w:val="0"/>
        <w:snapToGrid w:val="0"/>
        <w:spacing w:line="420" w:lineRule="exact"/>
        <w:ind w:left="1540" w:hanging="1540" w:hangingChars="700"/>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45984"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278" name="文本框 282"/>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a:effectLst/>
                      </wps:spPr>
                      <wps:txbx>
                        <w:txbxContent>
                          <w:p w14:paraId="001E572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65A1893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651D278B">
                            <w:pPr>
                              <w:rPr>
                                <w:rFonts w:ascii="楷体_GB2312" w:hAnsi="宋体" w:eastAsia="楷体_GB2312" w:cs="Times New Roman"/>
                                <w:b/>
                                <w:bCs/>
                                <w:color w:val="000000"/>
                                <w:sz w:val="18"/>
                                <w:szCs w:val="18"/>
                              </w:rPr>
                            </w:pPr>
                          </w:p>
                          <w:p w14:paraId="2AD5995B">
                            <w:pPr>
                              <w:rPr>
                                <w:rFonts w:ascii="Times New Roman" w:hAnsi="Times New Roman" w:cs="Times New Roman"/>
                                <w:sz w:val="18"/>
                                <w:szCs w:val="18"/>
                              </w:rPr>
                            </w:pPr>
                          </w:p>
                        </w:txbxContent>
                      </wps:txbx>
                      <wps:bodyPr wrap="square" upright="1"/>
                    </wps:wsp>
                  </a:graphicData>
                </a:graphic>
              </wp:anchor>
            </w:drawing>
          </mc:Choice>
          <mc:Fallback>
            <w:pict>
              <v:shape id="文本框 282" o:spid="_x0000_s1026" o:spt="202" type="#_x0000_t202" style="position:absolute;left:0pt;margin-left:-10.5pt;margin-top:25.2pt;height:38.1pt;width:82.5pt;z-index:251945984;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n+PjXAAAACgEAAA8AAAAAAAAAAQAgAAAAIgAAAGRycy9kb3ducmV2LnhtbFBL&#10;AQIUABQAAAAIAIdO4kAqFHoKvgEAAG4DAAAOAAAAAAAAAAEAIAAAACYBAABkcnMvZTJvRG9jLnht&#10;bFBLBQYAAAAABgAGAFkBAABWBQAAAAA=&#10;">
                <v:fill on="f" focussize="0,0"/>
                <v:stroke on="f"/>
                <v:imagedata o:title=""/>
                <o:lock v:ext="edit" aspectratio="f"/>
                <v:textbox>
                  <w:txbxContent>
                    <w:p w14:paraId="001E572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65A1893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651D278B">
                      <w:pPr>
                        <w:rPr>
                          <w:rFonts w:ascii="楷体_GB2312" w:hAnsi="宋体" w:eastAsia="楷体_GB2312" w:cs="Times New Roman"/>
                          <w:b/>
                          <w:bCs/>
                          <w:color w:val="000000"/>
                          <w:sz w:val="18"/>
                          <w:szCs w:val="18"/>
                        </w:rPr>
                      </w:pPr>
                    </w:p>
                    <w:p w14:paraId="2AD5995B">
                      <w:pPr>
                        <w:rPr>
                          <w:rFonts w:ascii="Times New Roman" w:hAnsi="Times New Roman" w:cs="Times New Roman"/>
                          <w:sz w:val="18"/>
                          <w:szCs w:val="18"/>
                        </w:rPr>
                      </w:pPr>
                    </w:p>
                  </w:txbxContent>
                </v:textbox>
              </v:shape>
            </w:pict>
          </mc:Fallback>
        </mc:AlternateContent>
      </w:r>
      <w:r>
        <w:rPr>
          <w:rFonts w:hint="eastAsia" w:hAnsi="宋体"/>
          <w:b/>
          <w:bCs/>
          <w:color w:val="auto"/>
          <w:sz w:val="22"/>
          <w:szCs w:val="22"/>
          <w:highlight w:val="none"/>
        </w:rPr>
        <w:t>65.1</w:t>
      </w:r>
      <w:r>
        <w:rPr>
          <w:rFonts w:hint="eastAsia" w:hAnsi="宋体"/>
          <w:color w:val="auto"/>
          <w:sz w:val="22"/>
          <w:szCs w:val="22"/>
          <w:highlight w:val="none"/>
        </w:rPr>
        <w:t xml:space="preserve">                                                                                                           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14:paraId="7B192E10">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279" name="文本框 283"/>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a:effectLst/>
                      </wps:spPr>
                      <wps:txbx>
                        <w:txbxContent>
                          <w:p w14:paraId="7AD60C5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531C260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169BE97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727CCB21">
                            <w:pPr>
                              <w:rPr>
                                <w:rFonts w:ascii="Times New Roman" w:hAnsi="Times New Roman" w:cs="Times New Roman"/>
                                <w:sz w:val="18"/>
                                <w:szCs w:val="18"/>
                              </w:rPr>
                            </w:pPr>
                          </w:p>
                        </w:txbxContent>
                      </wps:txbx>
                      <wps:bodyPr wrap="square" upright="1"/>
                    </wps:wsp>
                  </a:graphicData>
                </a:graphic>
              </wp:anchor>
            </w:drawing>
          </mc:Choice>
          <mc:Fallback>
            <w:pict>
              <v:shape id="文本框 283" o:spid="_x0000_s1026" o:spt="202" type="#_x0000_t202" style="position:absolute;left:0pt;margin-left:-9pt;margin-top:19.55pt;height:75.3pt;width:81pt;z-index:251947008;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DBSttcAAAAKAQAADwAAAAAAAAABACAAAAAiAAAAZHJzL2Rvd25yZXYueG1s&#10;UEsBAhQAFAAAAAgAh07iQJMBDrzAAQAAbgMAAA4AAAAAAAAAAQAgAAAAJgEAAGRycy9lMm9Eb2Mu&#10;eG1sUEsFBgAAAAAGAAYAWQEAAFgFAAAAAA==&#10;">
                <v:fill on="f" focussize="0,0"/>
                <v:stroke on="f"/>
                <v:imagedata o:title=""/>
                <o:lock v:ext="edit" aspectratio="f"/>
                <v:textbox>
                  <w:txbxContent>
                    <w:p w14:paraId="7AD60C5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531C260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169BE97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727CCB21">
                      <w:pPr>
                        <w:rPr>
                          <w:rFonts w:ascii="Times New Roman" w:hAnsi="Times New Roman" w:cs="Times New Roman"/>
                          <w:sz w:val="18"/>
                          <w:szCs w:val="18"/>
                        </w:rPr>
                      </w:pPr>
                    </w:p>
                  </w:txbxContent>
                </v:textbox>
              </v:shape>
            </w:pict>
          </mc:Fallback>
        </mc:AlternateContent>
      </w:r>
      <w:r>
        <w:rPr>
          <w:rFonts w:hint="eastAsia" w:hAnsi="宋体"/>
          <w:b/>
          <w:bCs/>
          <w:color w:val="auto"/>
          <w:sz w:val="22"/>
          <w:szCs w:val="22"/>
          <w:highlight w:val="none"/>
        </w:rPr>
        <w:t xml:space="preserve">65.2  </w:t>
      </w:r>
      <w:r>
        <w:rPr>
          <w:rFonts w:hint="eastAsia" w:hAnsi="宋体"/>
          <w:b/>
          <w:bCs/>
          <w:color w:val="auto"/>
          <w:sz w:val="22"/>
          <w:szCs w:val="22"/>
          <w:highlight w:val="none"/>
          <w:u w:val="dotted"/>
        </w:rPr>
        <w:t xml:space="preserve">                                                                                   </w:t>
      </w:r>
    </w:p>
    <w:p w14:paraId="4593A23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发包人在工程量清单中给定暂估价的材料和工程设备，未达到依法必须招标的规模、标准的，由承包人按照第49条规定采购。经造价工程师确认的材料和工程设备价格与工程量清单中所列的暂估价的差额以及相应的规费、税金等其他费用，应列入合同价款。</w:t>
      </w:r>
    </w:p>
    <w:p w14:paraId="0C8097D6">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65.3  </w:t>
      </w:r>
      <w:r>
        <w:rPr>
          <w:rFonts w:hint="eastAsia" w:hAnsi="宋体"/>
          <w:b/>
          <w:bCs/>
          <w:color w:val="auto"/>
          <w:sz w:val="22"/>
          <w:szCs w:val="22"/>
          <w:highlight w:val="none"/>
          <w:u w:val="dotted"/>
        </w:rPr>
        <w:t xml:space="preserve">                                                                                   </w:t>
      </w:r>
    </w:p>
    <w:p w14:paraId="0B63A42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48032"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280" name="文本框 284"/>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a:effectLst/>
                      </wps:spPr>
                      <wps:txbx>
                        <w:txbxContent>
                          <w:p w14:paraId="48AE48B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5302BB6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78F30E0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wrap="square" upright="1"/>
                    </wps:wsp>
                  </a:graphicData>
                </a:graphic>
              </wp:anchor>
            </w:drawing>
          </mc:Choice>
          <mc:Fallback>
            <w:pict>
              <v:shape id="文本框 284" o:spid="_x0000_s1026" o:spt="202" type="#_x0000_t202" style="position:absolute;left:0pt;margin-left:-18pt;margin-top:5.65pt;height:68pt;width:81pt;z-index:251948032;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N/+j9cAAAAKAQAADwAAAAAAAAABACAAAAAiAAAAZHJzL2Rvd25yZXYueG1sUEsB&#10;AhQAFAAAAAgAh07iQN17IGC9AQAAbgMAAA4AAAAAAAAAAQAgAAAAJgEAAGRycy9lMm9Eb2MueG1s&#10;UEsFBgAAAAAGAAYAWQEAAFUFAAAAAA==&#10;">
                <v:fill on="f" focussize="0,0"/>
                <v:stroke on="f"/>
                <v:imagedata o:title=""/>
                <o:lock v:ext="edit" aspectratio="f"/>
                <v:textbox>
                  <w:txbxContent>
                    <w:p w14:paraId="48AE48B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5302BB6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78F30E0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hAnsi="宋体"/>
          <w:color w:val="auto"/>
          <w:sz w:val="22"/>
          <w:szCs w:val="22"/>
          <w:highlight w:val="none"/>
        </w:rPr>
        <w:t xml:space="preserve">发包人在工程量清单中给定暂估价的专业工程，未达到依法必须招标的规模及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 </w:t>
      </w:r>
    </w:p>
    <w:p w14:paraId="7B1DD670">
      <w:pPr>
        <w:pStyle w:val="22"/>
        <w:tabs>
          <w:tab w:val="left" w:pos="3038"/>
        </w:tabs>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1030896D">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91" w:name="_Toc11445"/>
      <w:bookmarkStart w:id="392" w:name="_Toc17821"/>
      <w:bookmarkStart w:id="393" w:name="_Toc469384050"/>
      <w:r>
        <w:rPr>
          <w:rFonts w:hint="eastAsia" w:hAnsi="宋体"/>
          <w:b/>
          <w:bCs/>
          <w:color w:val="auto"/>
          <w:sz w:val="22"/>
          <w:szCs w:val="22"/>
          <w:highlight w:val="none"/>
        </w:rPr>
        <w:t>★66  提前竣工奖与误期赔偿费</w:t>
      </w:r>
      <w:bookmarkEnd w:id="391"/>
      <w:bookmarkEnd w:id="392"/>
      <w:bookmarkEnd w:id="393"/>
    </w:p>
    <w:p w14:paraId="668B2405">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66.1  </w:t>
      </w:r>
    </w:p>
    <w:p w14:paraId="0F8CDB5B">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281" name="文本框 285"/>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a:effectLst/>
                      </wps:spPr>
                      <wps:txbx>
                        <w:txbxContent>
                          <w:p w14:paraId="4F9D5E5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wrap="square" upright="1"/>
                    </wps:wsp>
                  </a:graphicData>
                </a:graphic>
              </wp:anchor>
            </w:drawing>
          </mc:Choice>
          <mc:Fallback>
            <w:pict>
              <v:shape id="文本框 285" o:spid="_x0000_s1026" o:spt="202" type="#_x0000_t202" style="position:absolute;left:0pt;margin-left:-9pt;margin-top:2.4pt;height:31.9pt;width:81pt;z-index:251949056;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DREb1QAAAAgBAAAPAAAAAAAAAAEAIAAAACIAAABkcnMvZG93bnJldi54bWxQSwEC&#10;FAAUAAAACACHTuJAjy7YNr4BAABuAwAADgAAAAAAAAABACAAAAAkAQAAZHJzL2Uyb0RvYy54bWxQ&#10;SwUGAAAAAAYABgBZAQAAVAUAAAAA&#10;">
                <v:fill on="f" focussize="0,0"/>
                <v:stroke on="f"/>
                <v:imagedata o:title=""/>
                <o:lock v:ext="edit" aspectratio="f"/>
                <v:textbox>
                  <w:txbxContent>
                    <w:p w14:paraId="4F9D5E5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hAnsi="宋体"/>
          <w:color w:val="auto"/>
          <w:sz w:val="22"/>
          <w:szCs w:val="22"/>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14:paraId="1A89F807">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66.2  </w:t>
      </w:r>
      <w:r>
        <w:rPr>
          <w:rFonts w:hint="eastAsia" w:hAnsi="宋体"/>
          <w:b/>
          <w:bCs/>
          <w:color w:val="auto"/>
          <w:sz w:val="22"/>
          <w:szCs w:val="22"/>
          <w:highlight w:val="none"/>
          <w:u w:val="dotted"/>
        </w:rPr>
        <w:t xml:space="preserve">                                                                                                        </w:t>
      </w:r>
    </w:p>
    <w:p w14:paraId="5F49D32F">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282" name="文本框 286"/>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a:effectLst/>
                      </wps:spPr>
                      <wps:txbx>
                        <w:txbxContent>
                          <w:p w14:paraId="2EED4B0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wrap="square" upright="1"/>
                    </wps:wsp>
                  </a:graphicData>
                </a:graphic>
              </wp:anchor>
            </w:drawing>
          </mc:Choice>
          <mc:Fallback>
            <w:pict>
              <v:shape id="文本框 286" o:spid="_x0000_s1026" o:spt="202" type="#_x0000_t202" style="position:absolute;left:0pt;margin-left:-9pt;margin-top:1.3pt;height:29.75pt;width:72pt;z-index:251950080;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hNJKZ1AAAAAgBAAAPAAAAAAAAAAEAIAAAACIAAABkcnMvZG93bnJldi54bWxQSwEC&#10;FAAUAAAACACHTuJAuqgXKr8BAABtAwAADgAAAAAAAAABACAAAAAjAQAAZHJzL2Uyb0RvYy54bWxQ&#10;SwUGAAAAAAYABgBZAQAAVAUAAAAA&#10;">
                <v:fill on="f" focussize="0,0"/>
                <v:stroke on="f"/>
                <v:imagedata o:title=""/>
                <o:lock v:ext="edit" aspectratio="f"/>
                <v:textbox>
                  <w:txbxContent>
                    <w:p w14:paraId="2EED4B0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hAnsi="宋体"/>
          <w:color w:val="auto"/>
          <w:sz w:val="22"/>
          <w:szCs w:val="22"/>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r>
        <w:rPr>
          <w:rFonts w:hint="eastAsia" w:hAnsi="宋体"/>
          <w:color w:val="auto"/>
          <w:sz w:val="22"/>
          <w:szCs w:val="22"/>
          <w:highlight w:val="none"/>
        </w:rPr>
        <w:br w:type="textWrapping"/>
      </w:r>
      <w:r>
        <w:rPr>
          <w:rFonts w:hint="eastAsia" w:hAnsi="宋体"/>
          <w:color w:val="auto"/>
          <w:sz w:val="22"/>
          <w:szCs w:val="22"/>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1983862B">
      <w:pPr>
        <w:pStyle w:val="22"/>
        <w:adjustRightInd w:val="0"/>
        <w:snapToGrid w:val="0"/>
        <w:spacing w:line="420" w:lineRule="exact"/>
        <w:ind w:right="-238"/>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10B66F8C">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94" w:name="_Toc24134"/>
      <w:bookmarkStart w:id="395" w:name="_Toc470"/>
      <w:bookmarkStart w:id="396" w:name="_Toc469384051"/>
      <w:r>
        <w:rPr>
          <w:rFonts w:hint="eastAsia" w:hAnsi="宋体"/>
          <w:b/>
          <w:bCs/>
          <w:color w:val="auto"/>
          <w:sz w:val="22"/>
          <w:szCs w:val="22"/>
          <w:highlight w:val="none"/>
        </w:rPr>
        <w:t>★67  工程优质费</w:t>
      </w:r>
      <w:bookmarkEnd w:id="394"/>
      <w:bookmarkEnd w:id="395"/>
      <w:bookmarkEnd w:id="396"/>
    </w:p>
    <w:p w14:paraId="3972E21E">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67.1 </w:t>
      </w:r>
    </w:p>
    <w:p w14:paraId="1132996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283" name="文本框 287"/>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a:effectLst/>
                      </wps:spPr>
                      <wps:txbx>
                        <w:txbxContent>
                          <w:p w14:paraId="486546E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68D6A57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wrap="square" upright="1"/>
                    </wps:wsp>
                  </a:graphicData>
                </a:graphic>
              </wp:anchor>
            </w:drawing>
          </mc:Choice>
          <mc:Fallback>
            <w:pict>
              <v:shape id="文本框 287" o:spid="_x0000_s1026" o:spt="202" type="#_x0000_t202" style="position:absolute;left:0pt;margin-left:-9pt;margin-top:2.4pt;height:41.3pt;width:81pt;z-index:251951104;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Xf1wNQAAAAIAQAADwAAAAAAAAABACAAAAAiAAAAZHJzL2Rvd25yZXYueG1sUEsBAhQA&#10;FAAAAAgAh07iQJqLesG9AQAAbgMAAA4AAAAAAAAAAQAgAAAAIwEAAGRycy9lMm9Eb2MueG1sUEsF&#10;BgAAAAAGAAYAWQEAAFIFAAAAAA==&#10;">
                <v:fill on="f" focussize="0,0"/>
                <v:stroke on="f"/>
                <v:imagedata o:title=""/>
                <o:lock v:ext="edit" aspectratio="f"/>
                <v:textbox>
                  <w:txbxContent>
                    <w:p w14:paraId="486546E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68D6A57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hAnsi="宋体"/>
          <w:color w:val="auto"/>
          <w:sz w:val="22"/>
          <w:szCs w:val="22"/>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14:paraId="6D2BF86F">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284" name="文本框 288"/>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a:effectLst/>
                      </wps:spPr>
                      <wps:txbx>
                        <w:txbxContent>
                          <w:p w14:paraId="2FCC868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5A3E420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wrap="square" upright="1"/>
                    </wps:wsp>
                  </a:graphicData>
                </a:graphic>
              </wp:anchor>
            </w:drawing>
          </mc:Choice>
          <mc:Fallback>
            <w:pict>
              <v:shape id="文本框 288" o:spid="_x0000_s1026" o:spt="202" type="#_x0000_t202" style="position:absolute;left:0pt;margin-left:-9pt;margin-top:18.45pt;height:48.9pt;width:72pt;z-index:251952128;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c7z1s2AAAAAoBAAAPAAAAAAAAAAEAIAAAACIAAABkcnMvZG93bnJldi54bWxQ&#10;SwECFAAUAAAACACHTuJA4FTfJ74BAABtAwAADgAAAAAAAAABACAAAAAnAQAAZHJzL2Uyb0RvYy54&#10;bWxQSwUGAAAAAAYABgBZAQAAVwUAAAAA&#10;">
                <v:fill on="f" focussize="0,0"/>
                <v:stroke on="f"/>
                <v:imagedata o:title=""/>
                <o:lock v:ext="edit" aspectratio="f"/>
                <v:textbox>
                  <w:txbxContent>
                    <w:p w14:paraId="2FCC868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5A3E420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hint="eastAsia" w:hAnsi="宋体"/>
          <w:b/>
          <w:bCs/>
          <w:color w:val="auto"/>
          <w:sz w:val="22"/>
          <w:szCs w:val="22"/>
          <w:highlight w:val="none"/>
        </w:rPr>
        <w:t xml:space="preserve">67.2  </w:t>
      </w:r>
      <w:r>
        <w:rPr>
          <w:rFonts w:hint="eastAsia" w:hAnsi="宋体"/>
          <w:b/>
          <w:bCs/>
          <w:color w:val="auto"/>
          <w:sz w:val="22"/>
          <w:szCs w:val="22"/>
          <w:highlight w:val="none"/>
          <w:u w:val="dotted"/>
        </w:rPr>
        <w:t xml:space="preserve">                                                                              </w:t>
      </w:r>
    </w:p>
    <w:p w14:paraId="5261762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28天内支付。</w:t>
      </w:r>
    </w:p>
    <w:p w14:paraId="430B130A">
      <w:pPr>
        <w:pStyle w:val="22"/>
        <w:adjustRightInd w:val="0"/>
        <w:snapToGrid w:val="0"/>
        <w:spacing w:line="420" w:lineRule="exact"/>
        <w:jc w:val="left"/>
        <w:rPr>
          <w:rFonts w:hAnsi="宋体"/>
          <w:b/>
          <w:bCs/>
          <w:color w:val="auto"/>
          <w:sz w:val="22"/>
          <w:szCs w:val="22"/>
          <w:highlight w:val="none"/>
        </w:rPr>
      </w:pPr>
      <w:r>
        <w:rPr>
          <w:rFonts w:hint="eastAsia" w:hAnsi="宋体"/>
          <w:b/>
          <w:bCs/>
          <w:color w:val="auto"/>
          <w:sz w:val="22"/>
          <w:szCs w:val="22"/>
          <w:highlight w:val="none"/>
          <w:u w:val="single"/>
        </w:rPr>
        <w:t xml:space="preserve">                                                                                                              </w:t>
      </w:r>
    </w:p>
    <w:p w14:paraId="41BD3A72">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397" w:name="_Toc9562"/>
      <w:bookmarkStart w:id="398" w:name="_Toc26826"/>
      <w:bookmarkStart w:id="399" w:name="_Toc469384052"/>
      <w:r>
        <w:rPr>
          <w:rFonts w:hint="eastAsia" w:hAnsi="宋体"/>
          <w:b/>
          <w:bCs/>
          <w:color w:val="auto"/>
          <w:sz w:val="22"/>
          <w:szCs w:val="22"/>
          <w:highlight w:val="none"/>
        </w:rPr>
        <w:t>★68  合同价款的约定与调整</w:t>
      </w:r>
      <w:bookmarkEnd w:id="397"/>
      <w:bookmarkEnd w:id="398"/>
      <w:bookmarkEnd w:id="399"/>
    </w:p>
    <w:p w14:paraId="18A575A9">
      <w:pPr>
        <w:pStyle w:val="22"/>
        <w:adjustRightInd w:val="0"/>
        <w:snapToGrid w:val="0"/>
        <w:spacing w:line="420" w:lineRule="exact"/>
        <w:ind w:left="1325" w:hanging="1325" w:hangingChars="600"/>
        <w:rPr>
          <w:rFonts w:hAnsi="宋体"/>
          <w:b/>
          <w:bCs/>
          <w:color w:val="auto"/>
          <w:sz w:val="22"/>
          <w:szCs w:val="22"/>
          <w:highlight w:val="none"/>
        </w:rPr>
      </w:pPr>
      <w:r>
        <w:rPr>
          <w:rFonts w:hint="eastAsia" w:hAnsi="宋体"/>
          <w:b/>
          <w:bCs/>
          <w:color w:val="auto"/>
          <w:sz w:val="22"/>
          <w:szCs w:val="22"/>
          <w:highlight w:val="none"/>
        </w:rPr>
        <w:t xml:space="preserve">68.1       </w:t>
      </w:r>
    </w:p>
    <w:p w14:paraId="45850823">
      <w:pPr>
        <w:pStyle w:val="22"/>
        <w:adjustRightInd w:val="0"/>
        <w:snapToGrid w:val="0"/>
        <w:spacing w:line="420" w:lineRule="exact"/>
        <w:ind w:left="1438" w:leftChars="685" w:firstLine="26" w:firstLineChars="12"/>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285" name="文本框 289"/>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a:effectLst/>
                      </wps:spPr>
                      <wps:txbx>
                        <w:txbxContent>
                          <w:p w14:paraId="641DEA9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wps:txbx>
                      <wps:bodyPr wrap="square" upright="1"/>
                    </wps:wsp>
                  </a:graphicData>
                </a:graphic>
              </wp:anchor>
            </w:drawing>
          </mc:Choice>
          <mc:Fallback>
            <w:pict>
              <v:shape id="文本框 289" o:spid="_x0000_s1026" o:spt="202" type="#_x0000_t202" style="position:absolute;left:0pt;margin-left:-9pt;margin-top:4.5pt;height:24.65pt;width:79.5pt;z-index:251953152;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VkIb1QAAAAgBAAAPAAAAAAAAAAEAIAAAACIAAABkcnMvZG93bnJldi54bWxQSwEC&#10;FAAUAAAACACHTuJAFUk2774BAABuAwAADgAAAAAAAAABACAAAAAkAQAAZHJzL2Uyb0RvYy54bWxQ&#10;SwUGAAAAAAYABgBZAQAAVAUAAAAA&#10;">
                <v:fill on="f" focussize="0,0"/>
                <v:stroke on="f"/>
                <v:imagedata o:title=""/>
                <o:lock v:ext="edit" aspectratio="f"/>
                <v:textbox>
                  <w:txbxContent>
                    <w:p w14:paraId="641DEA9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v:textbox>
              </v:shape>
            </w:pict>
          </mc:Fallback>
        </mc:AlternateContent>
      </w:r>
      <w:r>
        <w:rPr>
          <w:rFonts w:hint="eastAsia" w:hAnsi="宋体"/>
          <w:color w:val="auto"/>
          <w:sz w:val="22"/>
          <w:szCs w:val="22"/>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14:paraId="5DD367F9">
      <w:pPr>
        <w:pStyle w:val="22"/>
        <w:adjustRightInd w:val="0"/>
        <w:snapToGrid w:val="0"/>
        <w:spacing w:line="420" w:lineRule="exact"/>
        <w:rPr>
          <w:rFonts w:hAnsi="宋体"/>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954176"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286" name="文本框 290"/>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a:effectLst/>
                      </wps:spPr>
                      <wps:txbx>
                        <w:txbxContent>
                          <w:p w14:paraId="0C6F7608">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wps:txbx>
                      <wps:bodyPr wrap="square" upright="1"/>
                    </wps:wsp>
                  </a:graphicData>
                </a:graphic>
              </wp:anchor>
            </w:drawing>
          </mc:Choice>
          <mc:Fallback>
            <w:pict>
              <v:shape id="文本框 290" o:spid="_x0000_s1026" o:spt="202" type="#_x0000_t202" style="position:absolute;left:0pt;margin-left:-14.05pt;margin-top:17.3pt;height:38.05pt;width:57.2pt;z-index:251954176;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iLF1tcAAAAJAQAADwAAAAAAAAABACAAAAAiAAAAZHJzL2Rvd25yZXYueG1sUEsB&#10;AhQAFAAAAAgAh07iQEOE9zG9AQAAbQMAAA4AAAAAAAAAAQAgAAAAJgEAAGRycy9lMm9Eb2MueG1s&#10;UEsFBgAAAAAGAAYAWQEAAFUFAAAAAA==&#10;">
                <v:fill on="f" focussize="0,0"/>
                <v:stroke on="f"/>
                <v:imagedata o:title=""/>
                <o:lock v:ext="edit" aspectratio="f"/>
                <v:textbox>
                  <w:txbxContent>
                    <w:p w14:paraId="0C6F7608">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v:textbox>
              </v:shape>
            </w:pict>
          </mc:Fallback>
        </mc:AlternateContent>
      </w:r>
      <w:r>
        <w:rPr>
          <w:rFonts w:hint="eastAsia" w:hAnsi="宋体"/>
          <w:color w:val="auto"/>
          <w:sz w:val="22"/>
          <w:szCs w:val="22"/>
          <w:highlight w:val="none"/>
        </w:rPr>
        <w:t xml:space="preserve">68.2  </w:t>
      </w:r>
      <w:r>
        <w:rPr>
          <w:rFonts w:hint="eastAsia" w:hAnsi="宋体"/>
          <w:color w:val="auto"/>
          <w:sz w:val="22"/>
          <w:szCs w:val="22"/>
          <w:highlight w:val="none"/>
          <w:u w:val="dotted"/>
        </w:rPr>
        <w:t xml:space="preserve">                                                                                 </w:t>
      </w:r>
    </w:p>
    <w:p w14:paraId="50B98AAB">
      <w:pPr>
        <w:pStyle w:val="22"/>
        <w:adjustRightInd w:val="0"/>
        <w:snapToGrid w:val="0"/>
        <w:spacing w:line="420" w:lineRule="exact"/>
        <w:ind w:firstLine="1325" w:firstLineChars="600"/>
        <w:rPr>
          <w:rFonts w:hAnsi="宋体"/>
          <w:b/>
          <w:bCs/>
          <w:color w:val="auto"/>
          <w:sz w:val="22"/>
          <w:szCs w:val="22"/>
          <w:highlight w:val="none"/>
        </w:rPr>
      </w:pPr>
      <w:r>
        <w:rPr>
          <w:rFonts w:hint="eastAsia" w:hAnsi="宋体"/>
          <w:b/>
          <w:bCs/>
          <w:color w:val="auto"/>
          <w:sz w:val="22"/>
          <w:szCs w:val="22"/>
          <w:highlight w:val="none"/>
        </w:rPr>
        <w:t>下列各种确定合同价款的方式，双方可在专用条款内约定采用其中一种：</w:t>
      </w:r>
    </w:p>
    <w:p w14:paraId="7A249C5D">
      <w:pPr>
        <w:pStyle w:val="22"/>
        <w:adjustRightInd w:val="0"/>
        <w:snapToGrid w:val="0"/>
        <w:spacing w:line="420" w:lineRule="exact"/>
        <w:ind w:left="1407" w:hanging="1407" w:hangingChars="637"/>
        <w:rPr>
          <w:rFonts w:hAnsi="宋体"/>
          <w:color w:val="auto"/>
          <w:sz w:val="22"/>
          <w:szCs w:val="22"/>
          <w:highlight w:val="none"/>
        </w:rPr>
      </w:pPr>
      <w:r>
        <w:rPr>
          <w:rFonts w:hint="eastAsia" w:hAnsi="宋体"/>
          <w:b/>
          <w:bCs/>
          <w:color w:val="auto"/>
          <w:sz w:val="22"/>
          <w:szCs w:val="22"/>
          <w:highlight w:val="none"/>
        </w:rPr>
        <w:t xml:space="preserve">            </w:t>
      </w:r>
      <w:r>
        <w:rPr>
          <w:rFonts w:hint="eastAsia" w:hAnsi="宋体"/>
          <w:color w:val="auto"/>
          <w:sz w:val="22"/>
          <w:szCs w:val="22"/>
          <w:highlight w:val="none"/>
        </w:rPr>
        <w:t>（1）总价合同。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p>
    <w:p w14:paraId="01A5EECE">
      <w:pPr>
        <w:pStyle w:val="22"/>
        <w:adjustRightInd w:val="0"/>
        <w:snapToGrid w:val="0"/>
        <w:spacing w:line="420" w:lineRule="exact"/>
        <w:ind w:left="1401" w:leftChars="667"/>
        <w:rPr>
          <w:rFonts w:hAnsi="宋体"/>
          <w:color w:val="auto"/>
          <w:sz w:val="22"/>
          <w:szCs w:val="22"/>
          <w:highlight w:val="none"/>
        </w:rPr>
      </w:pPr>
      <w:r>
        <w:rPr>
          <w:rFonts w:hint="eastAsia" w:hAnsi="宋体"/>
          <w:color w:val="auto"/>
          <w:sz w:val="22"/>
          <w:szCs w:val="22"/>
          <w:highlight w:val="none"/>
        </w:rPr>
        <w:t>（2）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p>
    <w:p w14:paraId="49D284AC">
      <w:pPr>
        <w:spacing w:line="420" w:lineRule="exact"/>
        <w:ind w:left="1525" w:leftChars="674" w:hanging="110" w:hangingChars="50"/>
        <w:rPr>
          <w:rFonts w:ascii="宋体" w:hAnsi="宋体" w:cs="宋体"/>
          <w:color w:val="auto"/>
          <w:sz w:val="22"/>
          <w:szCs w:val="22"/>
          <w:highlight w:val="none"/>
        </w:rPr>
      </w:pPr>
      <w:r>
        <w:rPr>
          <w:rFonts w:hint="eastAsia" w:ascii="宋体" w:hAnsi="宋体" w:cs="宋体"/>
          <w:color w:val="auto"/>
          <w:sz w:val="22"/>
          <w:szCs w:val="22"/>
          <w:highlight w:val="none"/>
        </w:rPr>
        <w:t>（3）按实结算合同。承包方根据相关资料编制预算，合同价款是暂定价，双方在专用条款内约定合同价款调整方法。</w:t>
      </w:r>
    </w:p>
    <w:p w14:paraId="0B137726">
      <w:pPr>
        <w:pStyle w:val="22"/>
        <w:adjustRightInd w:val="0"/>
        <w:snapToGrid w:val="0"/>
        <w:spacing w:line="420" w:lineRule="exact"/>
        <w:ind w:left="1401" w:leftChars="667"/>
        <w:rPr>
          <w:rFonts w:hAnsi="宋体"/>
          <w:color w:val="auto"/>
          <w:sz w:val="22"/>
          <w:szCs w:val="22"/>
          <w:highlight w:val="none"/>
        </w:rPr>
      </w:pPr>
      <w:r>
        <w:rPr>
          <w:rFonts w:hint="eastAsia" w:hAnsi="宋体"/>
          <w:color w:val="auto"/>
          <w:sz w:val="22"/>
          <w:szCs w:val="22"/>
          <w:highlight w:val="none"/>
        </w:rPr>
        <w:t>（4）其它价格形式。合同当事人可在专用条款中约定其他合同价格形式。</w:t>
      </w:r>
    </w:p>
    <w:p w14:paraId="41B4A5DB">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68.3  </w:t>
      </w:r>
      <w:r>
        <w:rPr>
          <w:rFonts w:hint="eastAsia" w:hAnsi="宋体"/>
          <w:b/>
          <w:bCs/>
          <w:color w:val="auto"/>
          <w:sz w:val="22"/>
          <w:szCs w:val="22"/>
          <w:highlight w:val="none"/>
          <w:u w:val="dotted"/>
        </w:rPr>
        <w:t xml:space="preserve">                                                                                                        </w:t>
      </w:r>
    </w:p>
    <w:p w14:paraId="50E03EB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87" name="文本框 291"/>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a:effectLst/>
                      </wps:spPr>
                      <wps:txbx>
                        <w:txbxContent>
                          <w:p w14:paraId="2A31D2E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wps:txbx>
                      <wps:bodyPr wrap="square" upright="1"/>
                    </wps:wsp>
                  </a:graphicData>
                </a:graphic>
              </wp:anchor>
            </w:drawing>
          </mc:Choice>
          <mc:Fallback>
            <w:pict>
              <v:shape id="文本框 291" o:spid="_x0000_s1026" o:spt="202" type="#_x0000_t202" style="position:absolute;left:0pt;margin-left:-9pt;margin-top:0.4pt;height:41.05pt;width:72pt;z-index:251955200;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O4a/vTAAAABwEAAA8AAAAAAAAAAQAgAAAAIgAAAGRycy9kb3ducmV2LnhtbFBLAQIU&#10;ABQAAAAIAIdO4kAXxOPmvwEAAG0DAAAOAAAAAAAAAAEAIAAAACIBAABkcnMvZTJvRG9jLnhtbFBL&#10;BQYAAAAABgAGAFkBAABTBQAAAAA=&#10;">
                <v:fill on="f" focussize="0,0"/>
                <v:stroke on="f"/>
                <v:imagedata o:title=""/>
                <o:lock v:ext="edit" aspectratio="f"/>
                <v:textbox>
                  <w:txbxContent>
                    <w:p w14:paraId="2A31D2E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v:textbox>
              </v:shape>
            </w:pict>
          </mc:Fallback>
        </mc:AlternateContent>
      </w:r>
      <w:r>
        <w:rPr>
          <w:rFonts w:hint="eastAsia" w:hAnsi="宋体"/>
          <w:b/>
          <w:bCs/>
          <w:color w:val="auto"/>
          <w:sz w:val="22"/>
          <w:szCs w:val="22"/>
          <w:highlight w:val="none"/>
        </w:rPr>
        <w:t>合同双方当事人应明确合同价款的调整事件。除专用条款另有约定外，调整事件应包括：</w:t>
      </w:r>
    </w:p>
    <w:p w14:paraId="4FD5FA7F">
      <w:pPr>
        <w:pStyle w:val="22"/>
        <w:numPr>
          <w:ilvl w:val="0"/>
          <w:numId w:val="21"/>
        </w:numPr>
        <w:adjustRightInd w:val="0"/>
        <w:snapToGrid w:val="0"/>
        <w:spacing w:line="420" w:lineRule="exact"/>
        <w:ind w:firstLine="420"/>
        <w:rPr>
          <w:rFonts w:hAnsi="宋体"/>
          <w:color w:val="auto"/>
          <w:sz w:val="22"/>
          <w:szCs w:val="22"/>
          <w:highlight w:val="none"/>
        </w:rPr>
      </w:pPr>
      <w:r>
        <w:rPr>
          <w:rFonts w:hint="eastAsia" w:hAnsi="宋体"/>
          <w:color w:val="auto"/>
          <w:sz w:val="22"/>
          <w:szCs w:val="22"/>
          <w:highlight w:val="none"/>
        </w:rPr>
        <w:t>后继法律变化事件；</w:t>
      </w:r>
    </w:p>
    <w:p w14:paraId="67990D25">
      <w:pPr>
        <w:pStyle w:val="22"/>
        <w:numPr>
          <w:ilvl w:val="0"/>
          <w:numId w:val="21"/>
        </w:numPr>
        <w:adjustRightInd w:val="0"/>
        <w:snapToGrid w:val="0"/>
        <w:spacing w:line="420" w:lineRule="exact"/>
        <w:ind w:firstLine="420"/>
        <w:rPr>
          <w:rFonts w:hAnsi="宋体"/>
          <w:color w:val="auto"/>
          <w:sz w:val="22"/>
          <w:szCs w:val="22"/>
          <w:highlight w:val="none"/>
        </w:rPr>
      </w:pPr>
      <w:r>
        <w:rPr>
          <w:rFonts w:hint="eastAsia" w:hAnsi="宋体"/>
          <w:color w:val="auto"/>
          <w:sz w:val="22"/>
          <w:szCs w:val="22"/>
          <w:highlight w:val="none"/>
        </w:rPr>
        <w:t>项目特征描述不符事件；</w:t>
      </w:r>
    </w:p>
    <w:p w14:paraId="372DF32B">
      <w:pPr>
        <w:pStyle w:val="22"/>
        <w:numPr>
          <w:ilvl w:val="0"/>
          <w:numId w:val="21"/>
        </w:numPr>
        <w:adjustRightInd w:val="0"/>
        <w:snapToGrid w:val="0"/>
        <w:spacing w:line="420" w:lineRule="exact"/>
        <w:ind w:firstLine="420"/>
        <w:rPr>
          <w:rFonts w:hAnsi="宋体"/>
          <w:color w:val="auto"/>
          <w:sz w:val="22"/>
          <w:szCs w:val="22"/>
          <w:highlight w:val="none"/>
        </w:rPr>
      </w:pPr>
      <w:r>
        <w:rPr>
          <w:rFonts w:hint="eastAsia" w:hAnsi="宋体"/>
          <w:color w:val="auto"/>
          <w:sz w:val="22"/>
          <w:szCs w:val="22"/>
          <w:highlight w:val="none"/>
        </w:rPr>
        <w:t>分部分项工程量清单缺项漏项事件；</w:t>
      </w:r>
    </w:p>
    <w:p w14:paraId="77F3322F">
      <w:pPr>
        <w:pStyle w:val="22"/>
        <w:numPr>
          <w:ilvl w:val="0"/>
          <w:numId w:val="21"/>
        </w:numPr>
        <w:adjustRightInd w:val="0"/>
        <w:snapToGrid w:val="0"/>
        <w:spacing w:line="420" w:lineRule="exact"/>
        <w:ind w:firstLine="420"/>
        <w:rPr>
          <w:rFonts w:hAnsi="宋体"/>
          <w:color w:val="auto"/>
          <w:sz w:val="22"/>
          <w:szCs w:val="22"/>
          <w:highlight w:val="none"/>
        </w:rPr>
      </w:pPr>
      <w:r>
        <w:rPr>
          <w:rFonts w:hint="eastAsia" w:hAnsi="宋体"/>
          <w:color w:val="auto"/>
          <w:sz w:val="22"/>
          <w:szCs w:val="22"/>
          <w:highlight w:val="none"/>
        </w:rPr>
        <w:t>工程变更事件；</w:t>
      </w:r>
    </w:p>
    <w:p w14:paraId="6BE979E1">
      <w:pPr>
        <w:pStyle w:val="22"/>
        <w:numPr>
          <w:ilvl w:val="0"/>
          <w:numId w:val="21"/>
        </w:numPr>
        <w:adjustRightInd w:val="0"/>
        <w:snapToGrid w:val="0"/>
        <w:spacing w:line="420" w:lineRule="exact"/>
        <w:ind w:firstLine="420"/>
        <w:rPr>
          <w:rFonts w:hAnsi="宋体"/>
          <w:color w:val="auto"/>
          <w:sz w:val="22"/>
          <w:szCs w:val="22"/>
          <w:highlight w:val="none"/>
        </w:rPr>
      </w:pPr>
      <w:r>
        <w:rPr>
          <w:rFonts w:hint="eastAsia" w:hAnsi="宋体"/>
          <w:color w:val="auto"/>
          <w:sz w:val="22"/>
          <w:szCs w:val="22"/>
          <w:highlight w:val="none"/>
        </w:rPr>
        <w:t>工程量偏差事件；</w:t>
      </w:r>
    </w:p>
    <w:p w14:paraId="4ADA1448">
      <w:pPr>
        <w:pStyle w:val="22"/>
        <w:numPr>
          <w:ilvl w:val="0"/>
          <w:numId w:val="21"/>
        </w:numPr>
        <w:adjustRightInd w:val="0"/>
        <w:snapToGrid w:val="0"/>
        <w:spacing w:line="420" w:lineRule="exact"/>
        <w:ind w:firstLine="420"/>
        <w:rPr>
          <w:rFonts w:hAnsi="宋体"/>
          <w:color w:val="auto"/>
          <w:sz w:val="22"/>
          <w:szCs w:val="22"/>
          <w:highlight w:val="none"/>
        </w:rPr>
      </w:pPr>
      <w:r>
        <w:rPr>
          <w:rFonts w:hint="eastAsia" w:hAnsi="宋体"/>
          <w:color w:val="auto"/>
          <w:sz w:val="22"/>
          <w:szCs w:val="22"/>
          <w:highlight w:val="none"/>
        </w:rPr>
        <w:t>费用索赔事件；</w:t>
      </w:r>
    </w:p>
    <w:p w14:paraId="31FC4F95">
      <w:pPr>
        <w:pStyle w:val="22"/>
        <w:numPr>
          <w:ilvl w:val="0"/>
          <w:numId w:val="21"/>
        </w:numPr>
        <w:adjustRightInd w:val="0"/>
        <w:snapToGrid w:val="0"/>
        <w:spacing w:line="420" w:lineRule="exact"/>
        <w:ind w:firstLine="420"/>
        <w:rPr>
          <w:rFonts w:hAnsi="宋体"/>
          <w:color w:val="auto"/>
          <w:sz w:val="22"/>
          <w:szCs w:val="22"/>
          <w:highlight w:val="none"/>
        </w:rPr>
      </w:pPr>
      <w:r>
        <w:rPr>
          <w:rFonts w:hint="eastAsia" w:hAnsi="宋体"/>
          <w:color w:val="auto"/>
          <w:sz w:val="22"/>
          <w:szCs w:val="22"/>
          <w:highlight w:val="none"/>
        </w:rPr>
        <w:t>现场签证事件；</w:t>
      </w:r>
    </w:p>
    <w:p w14:paraId="047D64CE">
      <w:pPr>
        <w:pStyle w:val="22"/>
        <w:numPr>
          <w:ilvl w:val="0"/>
          <w:numId w:val="21"/>
        </w:numPr>
        <w:adjustRightInd w:val="0"/>
        <w:snapToGrid w:val="0"/>
        <w:spacing w:line="420" w:lineRule="exact"/>
        <w:ind w:firstLine="420"/>
        <w:rPr>
          <w:rFonts w:hAnsi="宋体"/>
          <w:color w:val="auto"/>
          <w:sz w:val="22"/>
          <w:szCs w:val="22"/>
          <w:highlight w:val="none"/>
        </w:rPr>
      </w:pPr>
      <w:r>
        <w:rPr>
          <w:rFonts w:hint="eastAsia" w:hAnsi="宋体"/>
          <w:color w:val="auto"/>
          <w:sz w:val="22"/>
          <w:szCs w:val="22"/>
          <w:highlight w:val="none"/>
        </w:rPr>
        <w:t>物价涨落事件；</w:t>
      </w:r>
    </w:p>
    <w:p w14:paraId="4EDEB32B">
      <w:pPr>
        <w:pStyle w:val="22"/>
        <w:numPr>
          <w:ilvl w:val="0"/>
          <w:numId w:val="21"/>
        </w:numPr>
        <w:adjustRightInd w:val="0"/>
        <w:snapToGrid w:val="0"/>
        <w:spacing w:line="420" w:lineRule="exact"/>
        <w:ind w:firstLine="420"/>
        <w:rPr>
          <w:rFonts w:hAnsi="宋体"/>
          <w:color w:val="auto"/>
          <w:sz w:val="22"/>
          <w:szCs w:val="22"/>
          <w:highlight w:val="none"/>
        </w:rPr>
      </w:pPr>
      <w:r>
        <w:rPr>
          <w:rFonts w:hint="eastAsia" w:hAnsi="宋体"/>
          <w:color w:val="auto"/>
          <w:sz w:val="22"/>
          <w:szCs w:val="22"/>
          <w:highlight w:val="none"/>
        </w:rPr>
        <w:t>专用条款约定的其他事件。</w:t>
      </w:r>
    </w:p>
    <w:p w14:paraId="69450170">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本款(1)至(9)调整事件应分别按照第69条至第76条的规定调整合同价款。</w:t>
      </w:r>
    </w:p>
    <w:p w14:paraId="5868B521">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68.4  </w:t>
      </w:r>
      <w:r>
        <w:rPr>
          <w:rFonts w:hint="eastAsia" w:hAnsi="宋体"/>
          <w:b/>
          <w:bCs/>
          <w:color w:val="auto"/>
          <w:sz w:val="22"/>
          <w:szCs w:val="22"/>
          <w:highlight w:val="none"/>
          <w:u w:val="dotted"/>
        </w:rPr>
        <w:t xml:space="preserve">                                                                                                        </w:t>
      </w:r>
    </w:p>
    <w:p w14:paraId="38F23AB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88" name="文本框 292"/>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a:effectLst/>
                      </wps:spPr>
                      <wps:txbx>
                        <w:txbxContent>
                          <w:p w14:paraId="76B8B304">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wps:txbx>
                      <wps:bodyPr wrap="square" upright="1"/>
                    </wps:wsp>
                  </a:graphicData>
                </a:graphic>
              </wp:anchor>
            </w:drawing>
          </mc:Choice>
          <mc:Fallback>
            <w:pict>
              <v:shape id="文本框 292" o:spid="_x0000_s1026" o:spt="202" type="#_x0000_t202" style="position:absolute;left:0pt;margin-left:-9pt;margin-top:0.4pt;height:41.05pt;width:72pt;z-index:251956224;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7hr+9MAAAAHAQAADwAAAAAAAAABACAAAAAiAAAAZHJzL2Rvd25yZXYueG1sUEsBAhQA&#10;FAAAAAgAh07iQPA1cDe+AQAAbQMAAA4AAAAAAAAAAQAgAAAAIgEAAGRycy9lMm9Eb2MueG1sUEsF&#10;BgAAAAAGAAYAWQEAAFIFAAAAAA==&#10;">
                <v:fill on="f" focussize="0,0"/>
                <v:stroke on="f"/>
                <v:imagedata o:title=""/>
                <o:lock v:ext="edit" aspectratio="f"/>
                <v:textbox>
                  <w:txbxContent>
                    <w:p w14:paraId="76B8B304">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v:textbox>
              </v:shape>
            </w:pict>
          </mc:Fallback>
        </mc:AlternateContent>
      </w:r>
      <w:r>
        <w:rPr>
          <w:rFonts w:hint="eastAsia" w:hAnsi="宋体"/>
          <w:color w:val="auto"/>
          <w:sz w:val="22"/>
          <w:szCs w:val="22"/>
          <w:highlight w:val="none"/>
        </w:rPr>
        <w:t>出现第68.2款规定调整合同价款事件的，合同双方当事人应调整合同价款。除费用索赔、现场签证事件分别按照第74条、第75条规定外，调整合同价款的提出、核实、确认与支付等事项，由合同双方当事人按照第77条规定办理。</w:t>
      </w:r>
    </w:p>
    <w:p w14:paraId="7260D30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根据第68.2款规定事件调整合同价款，如果是按照第48条规定由发包人自行供应或发包人招标、承包人采购材料和工程设备的，均不应考虑第72.2款规定的承包人报价下浮率因素。</w:t>
      </w:r>
    </w:p>
    <w:p w14:paraId="404DEA6A">
      <w:pPr>
        <w:pStyle w:val="22"/>
        <w:tabs>
          <w:tab w:val="left" w:pos="3480"/>
        </w:tabs>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1FBF1CFF">
      <w:pPr>
        <w:pStyle w:val="4"/>
        <w:tabs>
          <w:tab w:val="left" w:pos="360"/>
          <w:tab w:val="left" w:pos="420"/>
        </w:tabs>
        <w:spacing w:line="420" w:lineRule="exact"/>
        <w:rPr>
          <w:rFonts w:ascii="宋体" w:hAnsi="宋体" w:cs="宋体"/>
          <w:color w:val="auto"/>
          <w:sz w:val="22"/>
          <w:szCs w:val="22"/>
          <w:highlight w:val="none"/>
        </w:rPr>
      </w:pPr>
      <w:bookmarkStart w:id="400" w:name="_Toc11702"/>
      <w:bookmarkStart w:id="401" w:name="_Toc469384053"/>
      <w:bookmarkStart w:id="402" w:name="_Toc28164"/>
      <w:r>
        <w:rPr>
          <w:rFonts w:hint="eastAsia" w:ascii="宋体" w:hAnsi="宋体" w:cs="宋体"/>
          <w:b w:val="0"/>
          <w:bCs w:val="0"/>
          <w:color w:val="auto"/>
          <w:sz w:val="22"/>
          <w:szCs w:val="22"/>
          <w:highlight w:val="none"/>
        </w:rPr>
        <w:t>★</w:t>
      </w:r>
      <w:r>
        <w:rPr>
          <w:rFonts w:hint="eastAsia" w:ascii="宋体" w:hAnsi="宋体" w:cs="宋体"/>
          <w:color w:val="auto"/>
          <w:sz w:val="22"/>
          <w:szCs w:val="22"/>
          <w:highlight w:val="none"/>
        </w:rPr>
        <w:t>69  后继法律变化事件</w:t>
      </w:r>
      <w:bookmarkEnd w:id="400"/>
      <w:bookmarkEnd w:id="401"/>
      <w:bookmarkEnd w:id="402"/>
    </w:p>
    <w:p w14:paraId="6632BEFB">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57248"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289" name="文本框 293"/>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1EF10AA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wps:txbx>
                      <wps:bodyPr wrap="square" upright="1"/>
                    </wps:wsp>
                  </a:graphicData>
                </a:graphic>
              </wp:anchor>
            </w:drawing>
          </mc:Choice>
          <mc:Fallback>
            <w:pict>
              <v:shape id="文本框 293" o:spid="_x0000_s1026" o:spt="202" type="#_x0000_t202" style="position:absolute;left:0pt;margin-left:-10.5pt;margin-top:21.55pt;height:48.75pt;width:72pt;z-index:251957248;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92ABzXAAAACgEAAA8AAAAAAAAAAQAgAAAAIgAAAGRycy9kb3ducmV2LnhtbFBL&#10;AQIUABQAAAAIAIdO4kCtvfA3vgEAAG0DAAAOAAAAAAAAAAEAIAAAACYBAABkcnMvZTJvRG9jLnht&#10;bFBLBQYAAAAABgAGAFkBAABWBQAAAAA=&#10;">
                <v:fill on="f" focussize="0,0"/>
                <v:stroke on="f"/>
                <v:imagedata o:title=""/>
                <o:lock v:ext="edit" aspectratio="f"/>
                <v:textbox>
                  <w:txbxContent>
                    <w:p w14:paraId="1EF10AA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Pr>
          <w:rFonts w:hint="eastAsia" w:hAnsi="宋体"/>
          <w:b/>
          <w:bCs/>
          <w:color w:val="auto"/>
          <w:sz w:val="22"/>
          <w:szCs w:val="22"/>
          <w:highlight w:val="none"/>
        </w:rPr>
        <w:t xml:space="preserve">69.1 </w:t>
      </w:r>
    </w:p>
    <w:p w14:paraId="77635DF2">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合同履行期间，出现国家或省颁布的法律和政策在合同工程基准日期后发生变化，且因执行上述法律和政策引起除第76条规定以外的工程造价增减事件的，合同双方当事人应调整合同价款。</w:t>
      </w:r>
    </w:p>
    <w:p w14:paraId="666C958F">
      <w:pPr>
        <w:pStyle w:val="22"/>
        <w:tabs>
          <w:tab w:val="left" w:pos="540"/>
        </w:tabs>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69.2  </w:t>
      </w:r>
      <w:r>
        <w:rPr>
          <w:rFonts w:hint="eastAsia" w:hAnsi="宋体"/>
          <w:b/>
          <w:bCs/>
          <w:color w:val="auto"/>
          <w:sz w:val="22"/>
          <w:szCs w:val="22"/>
          <w:highlight w:val="none"/>
          <w:u w:val="dotted"/>
        </w:rPr>
        <w:t xml:space="preserve">                                                                                                        </w:t>
      </w:r>
    </w:p>
    <w:p w14:paraId="31D86F42">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290" name="文本框 29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3DEE296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wrap="square" upright="1"/>
                    </wps:wsp>
                  </a:graphicData>
                </a:graphic>
              </wp:anchor>
            </w:drawing>
          </mc:Choice>
          <mc:Fallback>
            <w:pict>
              <v:shape id="文本框 294" o:spid="_x0000_s1026" o:spt="202" type="#_x0000_t202" style="position:absolute;left:0pt;margin-left:-9pt;margin-top:1.25pt;height:48.75pt;width:72pt;z-index:251958272;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PIDAfVAAAACQEAAA8AAAAAAAAAAQAgAAAAIgAAAGRycy9kb3ducmV2LnhtbFBLAQIU&#10;ABQAAAAIAIdO4kBtKYFwvQEAAG0DAAAOAAAAAAAAAAEAIAAAACQBAABkcnMvZTJvRG9jLnhtbFBL&#10;BQYAAAAABgAGAFkBAABTBQAAAAA=&#10;">
                <v:fill on="f" focussize="0,0"/>
                <v:stroke on="f"/>
                <v:imagedata o:title=""/>
                <o:lock v:ext="edit" aspectratio="f"/>
                <v:textbox>
                  <w:txbxContent>
                    <w:p w14:paraId="3DEE296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hAnsi="宋体"/>
          <w:color w:val="auto"/>
          <w:sz w:val="22"/>
          <w:szCs w:val="22"/>
          <w:highlight w:val="none"/>
        </w:rPr>
        <w:t>发生第69.1款情况的，应根据合同工程实际情况，按照上述法律和政策规定计算调整的合同价款。</w:t>
      </w:r>
    </w:p>
    <w:p w14:paraId="2B961080">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5B719277">
      <w:pPr>
        <w:pStyle w:val="4"/>
        <w:tabs>
          <w:tab w:val="left" w:pos="360"/>
          <w:tab w:val="left" w:pos="420"/>
        </w:tabs>
        <w:spacing w:line="420" w:lineRule="exact"/>
        <w:rPr>
          <w:rFonts w:ascii="宋体" w:hAnsi="宋体" w:cs="宋体"/>
          <w:b w:val="0"/>
          <w:bCs w:val="0"/>
          <w:color w:val="auto"/>
          <w:sz w:val="22"/>
          <w:szCs w:val="22"/>
          <w:highlight w:val="none"/>
        </w:rPr>
      </w:pPr>
      <w:bookmarkStart w:id="403" w:name="_Toc26886"/>
      <w:bookmarkStart w:id="404" w:name="_Toc469384054"/>
      <w:bookmarkStart w:id="405" w:name="_Toc18760"/>
      <w:r>
        <w:rPr>
          <w:rFonts w:hint="eastAsia" w:ascii="宋体" w:hAnsi="宋体" w:cs="宋体"/>
          <w:b w:val="0"/>
          <w:bCs w:val="0"/>
          <w:color w:val="auto"/>
          <w:sz w:val="22"/>
          <w:szCs w:val="22"/>
          <w:highlight w:val="none"/>
        </w:rPr>
        <w:t>★</w:t>
      </w:r>
      <w:r>
        <w:rPr>
          <w:rFonts w:hint="eastAsia" w:ascii="宋体" w:hAnsi="宋体" w:cs="宋体"/>
          <w:bCs w:val="0"/>
          <w:color w:val="auto"/>
          <w:sz w:val="22"/>
          <w:szCs w:val="22"/>
          <w:highlight w:val="none"/>
        </w:rPr>
        <w:t>70  项目特征描述不符事件</w:t>
      </w:r>
      <w:bookmarkEnd w:id="403"/>
      <w:bookmarkEnd w:id="404"/>
      <w:bookmarkEnd w:id="405"/>
    </w:p>
    <w:p w14:paraId="13E0AA01">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70.1 </w:t>
      </w:r>
    </w:p>
    <w:p w14:paraId="1614BED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291" name="文本框 29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406DA3F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wps:txbx>
                      <wps:bodyPr wrap="square" upright="1"/>
                    </wps:wsp>
                  </a:graphicData>
                </a:graphic>
              </wp:anchor>
            </w:drawing>
          </mc:Choice>
          <mc:Fallback>
            <w:pict>
              <v:shape id="文本框 295" o:spid="_x0000_s1026" o:spt="202" type="#_x0000_t202" style="position:absolute;left:0pt;margin-left:-9pt;margin-top:2.7pt;height:48.75pt;width:72pt;z-index:251959296;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xySmF1gAAAAkBAAAPAAAAAAAAAAEAIAAAACIAAABkcnMvZG93bnJldi54bWxQSwEC&#10;FAAUAAAACACHTuJAn9ZDjL0BAABtAwAADgAAAAAAAAABACAAAAAlAQAAZHJzL2Uyb0RvYy54bWxQ&#10;SwUGAAAAAAYABgBZAQAAVAUAAAAA&#10;">
                <v:fill on="f" focussize="0,0"/>
                <v:stroke on="f"/>
                <v:imagedata o:title=""/>
                <o:lock v:ext="edit" aspectratio="f"/>
                <v:textbox>
                  <w:txbxContent>
                    <w:p w14:paraId="406DA3F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v:textbox>
              </v:shape>
            </w:pict>
          </mc:Fallback>
        </mc:AlternateContent>
      </w:r>
      <w:r>
        <w:rPr>
          <w:rFonts w:hint="eastAsia" w:hAnsi="宋体"/>
          <w:color w:val="auto"/>
          <w:sz w:val="22"/>
          <w:szCs w:val="22"/>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3FB4DAA7">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70.2  </w:t>
      </w:r>
      <w:r>
        <w:rPr>
          <w:rFonts w:hint="eastAsia" w:hAnsi="宋体"/>
          <w:b/>
          <w:bCs/>
          <w:color w:val="auto"/>
          <w:sz w:val="22"/>
          <w:szCs w:val="22"/>
          <w:highlight w:val="none"/>
          <w:u w:val="dotted"/>
        </w:rPr>
        <w:t xml:space="preserve">                                                                               </w:t>
      </w:r>
    </w:p>
    <w:p w14:paraId="0B69B11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2" name="文本框 29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6B4CAF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1C4E49F5">
                            <w:pPr>
                              <w:pStyle w:val="37"/>
                              <w:spacing w:line="200" w:lineRule="exact"/>
                              <w:rPr>
                                <w:sz w:val="18"/>
                                <w:szCs w:val="18"/>
                              </w:rPr>
                            </w:pPr>
                          </w:p>
                        </w:txbxContent>
                      </wps:txbx>
                      <wps:bodyPr wrap="square" upright="1"/>
                    </wps:wsp>
                  </a:graphicData>
                </a:graphic>
              </wp:anchor>
            </w:drawing>
          </mc:Choice>
          <mc:Fallback>
            <w:pict>
              <v:shape id="文本框 296" o:spid="_x0000_s1026" o:spt="202" type="#_x0000_t202" style="position:absolute;left:0pt;margin-left:-9pt;margin-top:0.45pt;height:48.75pt;width:72pt;z-index:251960320;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d//kdQAAAAHAQAADwAAAAAAAAABACAAAAAiAAAAZHJzL2Rvd25yZXYueG1sUEsBAhQA&#10;FAAAAAgAh07iQMjQdVK9AQAAbQMAAA4AAAAAAAAAAQAgAAAAIwEAAGRycy9lMm9Eb2MueG1sUEsF&#10;BgAAAAAGAAYAWQEAAFIFAAAAAA==&#10;">
                <v:fill on="f" focussize="0,0"/>
                <v:stroke on="f"/>
                <v:imagedata o:title=""/>
                <o:lock v:ext="edit" aspectratio="f"/>
                <v:textbox>
                  <w:txbxContent>
                    <w:p w14:paraId="6B4CAF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1C4E49F5">
                      <w:pPr>
                        <w:pStyle w:val="37"/>
                        <w:spacing w:line="200" w:lineRule="exact"/>
                        <w:rPr>
                          <w:sz w:val="18"/>
                          <w:szCs w:val="18"/>
                        </w:rPr>
                      </w:pPr>
                    </w:p>
                  </w:txbxContent>
                </v:textbox>
              </v:shape>
            </w:pict>
          </mc:Fallback>
        </mc:AlternateContent>
      </w:r>
      <w:r>
        <w:rPr>
          <w:rFonts w:hint="eastAsia" w:hAnsi="宋体"/>
          <w:color w:val="auto"/>
          <w:sz w:val="22"/>
          <w:szCs w:val="22"/>
          <w:highlight w:val="none"/>
        </w:rPr>
        <w:t>合同履行期间，出现实际施工设计图纸（含设计变更）与招标文件提供的工程量清单任一项目特征描述不符，且该变化引起工程造价增减事件的，合同双方当事人应调整合同价款。</w:t>
      </w:r>
    </w:p>
    <w:p w14:paraId="5F2CE367">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70.3 </w:t>
      </w:r>
      <w:r>
        <w:rPr>
          <w:rFonts w:hint="eastAsia" w:hAnsi="宋体"/>
          <w:b/>
          <w:bCs/>
          <w:color w:val="auto"/>
          <w:sz w:val="22"/>
          <w:szCs w:val="22"/>
          <w:highlight w:val="none"/>
          <w:u w:val="dotted"/>
        </w:rPr>
        <w:t xml:space="preserve">                                                                              </w:t>
      </w:r>
      <w:r>
        <w:rPr>
          <w:rFonts w:hint="eastAsia" w:hAnsi="宋体"/>
          <w:b/>
          <w:bCs/>
          <w:color w:val="auto"/>
          <w:sz w:val="22"/>
          <w:szCs w:val="22"/>
          <w:highlight w:val="none"/>
        </w:rPr>
        <w:t xml:space="preserve"> </w:t>
      </w:r>
    </w:p>
    <w:p w14:paraId="12E6B6C2">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3" name="文本框 29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73F41B4D">
                            <w:pPr>
                              <w:pStyle w:val="16"/>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264B16CB">
                            <w:pPr>
                              <w:pStyle w:val="37"/>
                              <w:spacing w:line="200" w:lineRule="exact"/>
                              <w:rPr>
                                <w:sz w:val="18"/>
                                <w:szCs w:val="18"/>
                              </w:rPr>
                            </w:pPr>
                          </w:p>
                        </w:txbxContent>
                      </wps:txbx>
                      <wps:bodyPr wrap="square" upright="1"/>
                    </wps:wsp>
                  </a:graphicData>
                </a:graphic>
              </wp:anchor>
            </w:drawing>
          </mc:Choice>
          <mc:Fallback>
            <w:pict>
              <v:shape id="文本框 297" o:spid="_x0000_s1026" o:spt="202" type="#_x0000_t202" style="position:absolute;left:0pt;margin-left:-9pt;margin-top:0.45pt;height:48.75pt;width:72pt;z-index:251961344;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nf/5HUAAAABwEAAA8AAAAAAAAAAQAgAAAAIgAAAGRycy9kb3ducmV2LnhtbFBLAQIU&#10;ABQAAAAIAIdO4kA6L7euvgEAAG0DAAAOAAAAAAAAAAEAIAAAACMBAABkcnMvZTJvRG9jLnhtbFBL&#10;BQYAAAAABgAGAFkBAABTBQAAAAA=&#10;">
                <v:fill on="f" focussize="0,0"/>
                <v:stroke on="f"/>
                <v:imagedata o:title=""/>
                <o:lock v:ext="edit" aspectratio="f"/>
                <v:textbox>
                  <w:txbxContent>
                    <w:p w14:paraId="73F41B4D">
                      <w:pPr>
                        <w:pStyle w:val="16"/>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264B16CB">
                      <w:pPr>
                        <w:pStyle w:val="37"/>
                        <w:spacing w:line="200" w:lineRule="exact"/>
                        <w:rPr>
                          <w:sz w:val="18"/>
                          <w:szCs w:val="18"/>
                        </w:rPr>
                      </w:pPr>
                    </w:p>
                  </w:txbxContent>
                </v:textbox>
              </v:shape>
            </w:pict>
          </mc:Fallback>
        </mc:AlternateContent>
      </w:r>
      <w:r>
        <w:rPr>
          <w:rFonts w:hint="eastAsia" w:hAnsi="宋体"/>
          <w:color w:val="auto"/>
          <w:sz w:val="22"/>
          <w:szCs w:val="22"/>
          <w:highlight w:val="none"/>
        </w:rPr>
        <w:t>发生第70.2款情况的，应按照实际施工的项目特征重新确定相应工程量清单项目的综合单价，计算调整的合同价款。</w:t>
      </w:r>
    </w:p>
    <w:p w14:paraId="1013A5C6">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31ECC527">
      <w:pPr>
        <w:pStyle w:val="22"/>
        <w:adjustRightInd w:val="0"/>
        <w:snapToGrid w:val="0"/>
        <w:spacing w:line="420" w:lineRule="exact"/>
        <w:outlineLvl w:val="2"/>
        <w:rPr>
          <w:rFonts w:hAnsi="宋体"/>
          <w:color w:val="auto"/>
          <w:sz w:val="22"/>
          <w:szCs w:val="22"/>
          <w:highlight w:val="none"/>
        </w:rPr>
      </w:pPr>
      <w:bookmarkStart w:id="406" w:name="_Toc12891"/>
      <w:bookmarkStart w:id="407" w:name="_Toc469384055"/>
      <w:bookmarkStart w:id="408" w:name="_Toc27412"/>
      <w:r>
        <w:rPr>
          <w:rFonts w:hint="eastAsia" w:hAnsi="宋体"/>
          <w:b/>
          <w:bCs/>
          <w:color w:val="auto"/>
          <w:sz w:val="22"/>
          <w:szCs w:val="22"/>
          <w:highlight w:val="none"/>
        </w:rPr>
        <w:t>★71  分部分项工程量清单缺项漏项事件</w:t>
      </w:r>
      <w:bookmarkEnd w:id="406"/>
      <w:bookmarkEnd w:id="407"/>
      <w:bookmarkEnd w:id="408"/>
    </w:p>
    <w:p w14:paraId="5B02FBD3">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71.1  </w:t>
      </w:r>
    </w:p>
    <w:p w14:paraId="1A89507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294" name="文本框 298"/>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a:effectLst/>
                      </wps:spPr>
                      <wps:txbx>
                        <w:txbxContent>
                          <w:p w14:paraId="46B0086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wrap="square" upright="1"/>
                    </wps:wsp>
                  </a:graphicData>
                </a:graphic>
              </wp:anchor>
            </w:drawing>
          </mc:Choice>
          <mc:Fallback>
            <w:pict>
              <v:shape id="文本框 298" o:spid="_x0000_s1026" o:spt="202" type="#_x0000_t202" style="position:absolute;left:0pt;margin-left:-10.5pt;margin-top:0.5pt;height:54.5pt;width:72pt;z-index:251962368;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ZN4w1AAAAAkBAAAPAAAAAAAAAAEAIAAAACIAAABkcnMvZG93bnJldi54bWxQSwEC&#10;FAAUAAAACACHTuJAlpwUxb8BAABtAwAADgAAAAAAAAABACAAAAAjAQAAZHJzL2Uyb0RvYy54bWxQ&#10;SwUGAAAAAAYABgBZAQAAVAUAAAAA&#10;">
                <v:fill on="f" focussize="0,0"/>
                <v:stroke on="f"/>
                <v:imagedata o:title=""/>
                <o:lock v:ext="edit" aspectratio="f"/>
                <v:textbox>
                  <w:txbxContent>
                    <w:p w14:paraId="46B0086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rFonts w:hint="eastAsia" w:hAnsi="宋体"/>
          <w:color w:val="auto"/>
          <w:sz w:val="22"/>
          <w:szCs w:val="22"/>
          <w:highlight w:val="none"/>
        </w:rPr>
        <mc:AlternateContent>
          <mc:Choice Requires="wps">
            <w:drawing>
              <wp:anchor distT="0" distB="0" distL="114300" distR="114300" simplePos="0" relativeHeight="251963392"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295" name="文本框 29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0449BBE5">
                            <w:pPr>
                              <w:rPr>
                                <w:rFonts w:cs="Times New Roman"/>
                              </w:rPr>
                            </w:pPr>
                          </w:p>
                        </w:txbxContent>
                      </wps:txbx>
                      <wps:bodyPr wrap="square" upright="1"/>
                    </wps:wsp>
                  </a:graphicData>
                </a:graphic>
              </wp:anchor>
            </w:drawing>
          </mc:Choice>
          <mc:Fallback>
            <w:pict>
              <v:shape id="文本框 299" o:spid="_x0000_s1026" o:spt="202" type="#_x0000_t202" style="position:absolute;left:0pt;margin-left:-10.5pt;margin-top:0.5pt;height:54.6pt;width:72pt;z-index:251963392;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QYmpE1AAAAAkBAAAPAAAAAAAAAAEAIAAAACIAAABkcnMvZG93bnJldi54bWxQSwEC&#10;FAAUAAAACACHTuJAehj5nb8BAABtAwAADgAAAAAAAAABACAAAAAjAQAAZHJzL2Uyb0RvYy54bWxQ&#10;SwUGAAAAAAYABgBZAQAAVAUAAAAA&#10;">
                <v:fill on="f" focussize="0,0"/>
                <v:stroke on="f"/>
                <v:imagedata o:title=""/>
                <o:lock v:ext="edit" aspectratio="f"/>
                <v:textbox>
                  <w:txbxContent>
                    <w:p w14:paraId="0449BBE5">
                      <w:pPr>
                        <w:rPr>
                          <w:rFonts w:cs="Times New Roman"/>
                        </w:rPr>
                      </w:pPr>
                    </w:p>
                  </w:txbxContent>
                </v:textbox>
              </v:shape>
            </w:pict>
          </mc:Fallback>
        </mc:AlternateContent>
      </w:r>
      <w:r>
        <w:rPr>
          <w:rFonts w:hint="eastAsia" w:hAnsi="宋体"/>
          <w:color w:val="auto"/>
          <w:sz w:val="22"/>
          <w:szCs w:val="22"/>
          <w:highlight w:val="none"/>
        </w:rPr>
        <w:t>合同履行期间，出现工程量清单中分部分项工程缺项漏项事件的，合同双方当事人应调整合同价款。</w:t>
      </w:r>
    </w:p>
    <w:p w14:paraId="6B1290E0">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71.2   </w:t>
      </w:r>
      <w:r>
        <w:rPr>
          <w:rFonts w:hint="eastAsia" w:hAnsi="宋体"/>
          <w:b/>
          <w:bCs/>
          <w:color w:val="auto"/>
          <w:sz w:val="22"/>
          <w:szCs w:val="22"/>
          <w:highlight w:val="none"/>
          <w:u w:val="dotted"/>
        </w:rPr>
        <w:t xml:space="preserve">                                                                               </w:t>
      </w:r>
    </w:p>
    <w:p w14:paraId="696CE948">
      <w:pPr>
        <w:pStyle w:val="22"/>
        <w:adjustRightInd w:val="0"/>
        <w:snapToGrid w:val="0"/>
        <w:spacing w:line="420" w:lineRule="exact"/>
        <w:ind w:left="1619" w:leftChars="771" w:firstLine="1"/>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64416"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296" name="文本框 300"/>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a:effectLst/>
                      </wps:spPr>
                      <wps:txbx>
                        <w:txbxContent>
                          <w:p w14:paraId="4111011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7C2AC41D">
                            <w:pPr>
                              <w:spacing w:line="240" w:lineRule="exact"/>
                              <w:rPr>
                                <w:rFonts w:ascii="Times New Roman" w:hAnsi="Times New Roman" w:cs="Times New Roman"/>
                                <w:sz w:val="18"/>
                                <w:szCs w:val="18"/>
                              </w:rPr>
                            </w:pPr>
                          </w:p>
                        </w:txbxContent>
                      </wps:txbx>
                      <wps:bodyPr wrap="square" upright="1"/>
                    </wps:wsp>
                  </a:graphicData>
                </a:graphic>
              </wp:anchor>
            </w:drawing>
          </mc:Choice>
          <mc:Fallback>
            <w:pict>
              <v:shape id="文本框 300" o:spid="_x0000_s1026" o:spt="202" type="#_x0000_t202" style="position:absolute;left:0pt;margin-left:-5.25pt;margin-top:0.7pt;height:54.5pt;width:72pt;z-index:251964416;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6Ioy3UAAAACQEAAA8AAAAAAAAAAQAgAAAAIgAAAGRycy9kb3ducmV2LnhtbFBLAQIU&#10;ABQAAAAIAIdO4kBehJVIvgEAAG0DAAAOAAAAAAAAAAEAIAAAACMBAABkcnMvZTJvRG9jLnhtbFBL&#10;BQYAAAAABgAGAFkBAABTBQAAAAA=&#10;">
                <v:fill on="f" focussize="0,0"/>
                <v:stroke on="f"/>
                <v:imagedata o:title=""/>
                <o:lock v:ext="edit" aspectratio="f"/>
                <v:textbox>
                  <w:txbxContent>
                    <w:p w14:paraId="4111011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7C2AC41D">
                      <w:pPr>
                        <w:spacing w:line="240" w:lineRule="exact"/>
                        <w:rPr>
                          <w:rFonts w:ascii="Times New Roman" w:hAnsi="Times New Roman" w:cs="Times New Roman"/>
                          <w:sz w:val="18"/>
                          <w:szCs w:val="18"/>
                        </w:rPr>
                      </w:pPr>
                    </w:p>
                  </w:txbxContent>
                </v:textbox>
              </v:shape>
            </w:pict>
          </mc:Fallback>
        </mc:AlternateContent>
      </w:r>
      <w:r>
        <w:rPr>
          <w:rFonts w:hint="eastAsia" w:hAnsi="宋体"/>
          <w:color w:val="auto"/>
          <w:sz w:val="22"/>
          <w:szCs w:val="22"/>
          <w:highlight w:val="none"/>
        </w:rPr>
        <w:t>工程量清单中分部分项工程出现缺项漏项，造成新增工程量清单项目的，应按照第72.2款规定计算调整的分部分项工程费。</w:t>
      </w:r>
    </w:p>
    <w:p w14:paraId="6B846CEA">
      <w:pPr>
        <w:pStyle w:val="22"/>
        <w:tabs>
          <w:tab w:val="left" w:pos="540"/>
        </w:tabs>
        <w:adjustRightInd w:val="0"/>
        <w:snapToGrid w:val="0"/>
        <w:spacing w:before="240" w:beforeLines="100" w:line="420" w:lineRule="exact"/>
        <w:rPr>
          <w:rFonts w:hAnsi="宋体"/>
          <w:color w:val="auto"/>
          <w:sz w:val="22"/>
          <w:szCs w:val="22"/>
          <w:highlight w:val="none"/>
        </w:rPr>
      </w:pPr>
      <w:r>
        <w:rPr>
          <w:rFonts w:hint="eastAsia" w:hAnsi="宋体"/>
          <w:b/>
          <w:bCs/>
          <w:color w:val="auto"/>
          <w:sz w:val="22"/>
          <w:szCs w:val="22"/>
          <w:highlight w:val="none"/>
        </w:rPr>
        <w:t xml:space="preserve">71.3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5AD42621">
      <w:pPr>
        <w:pStyle w:val="22"/>
        <w:adjustRightInd w:val="0"/>
        <w:snapToGrid w:val="0"/>
        <w:spacing w:line="420" w:lineRule="exact"/>
        <w:ind w:left="1619" w:leftChars="771" w:firstLine="2"/>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65440"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297" name="文本框 301"/>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a:effectLst/>
                      </wps:spPr>
                      <wps:txbx>
                        <w:txbxContent>
                          <w:p w14:paraId="6C0BD49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417F75D1">
                            <w:pPr>
                              <w:spacing w:line="240" w:lineRule="exact"/>
                              <w:rPr>
                                <w:rFonts w:ascii="Times New Roman" w:hAnsi="Times New Roman" w:cs="Times New Roman"/>
                                <w:sz w:val="18"/>
                                <w:szCs w:val="18"/>
                              </w:rPr>
                            </w:pPr>
                          </w:p>
                        </w:txbxContent>
                      </wps:txbx>
                      <wps:bodyPr wrap="square" upright="1"/>
                    </wps:wsp>
                  </a:graphicData>
                </a:graphic>
              </wp:anchor>
            </w:drawing>
          </mc:Choice>
          <mc:Fallback>
            <w:pict>
              <v:shape id="文本框 301" o:spid="_x0000_s1026" o:spt="202" type="#_x0000_t202" style="position:absolute;left:0pt;margin-left:-10.5pt;margin-top:0.4pt;height:54.5pt;width:72pt;z-index:251965440;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98cOdUAAAAIAQAADwAAAAAAAAABACAAAAAiAAAAZHJzL2Rvd25yZXYueG1sUEsB&#10;AhQAFAAAAAgAh07iQKx7V7S/AQAAbQMAAA4AAAAAAAAAAQAgAAAAJAEAAGRycy9lMm9Eb2MueG1s&#10;UEsFBgAAAAAGAAYAWQEAAFUFAAAAAA==&#10;">
                <v:fill on="f" focussize="0,0"/>
                <v:stroke on="f"/>
                <v:imagedata o:title=""/>
                <o:lock v:ext="edit" aspectratio="f"/>
                <v:textbox>
                  <w:txbxContent>
                    <w:p w14:paraId="6C0BD49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417F75D1">
                      <w:pPr>
                        <w:spacing w:line="240" w:lineRule="exact"/>
                        <w:rPr>
                          <w:rFonts w:ascii="Times New Roman" w:hAnsi="Times New Roman" w:cs="Times New Roman"/>
                          <w:sz w:val="18"/>
                          <w:szCs w:val="18"/>
                        </w:rPr>
                      </w:pPr>
                    </w:p>
                  </w:txbxContent>
                </v:textbox>
              </v:shape>
            </w:pict>
          </mc:Fallback>
        </mc:AlternateContent>
      </w:r>
      <w:r>
        <w:rPr>
          <w:rFonts w:hint="eastAsia" w:hAnsi="宋体"/>
          <w:color w:val="auto"/>
          <w:sz w:val="22"/>
          <w:szCs w:val="22"/>
          <w:highlight w:val="none"/>
        </w:rPr>
        <w:t>工程量清单中分部分项工程出现缺项漏项，引起增加措施项目的，应按照第72.3款规定在提交的实施方案被批准后计算调整的措施项目费。</w:t>
      </w:r>
    </w:p>
    <w:p w14:paraId="489D9ABB">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54E1BF74">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09" w:name="_Toc15163"/>
      <w:bookmarkStart w:id="410" w:name="_Toc19862"/>
      <w:bookmarkStart w:id="411" w:name="_Toc469384056"/>
      <w:r>
        <w:rPr>
          <w:rFonts w:hint="eastAsia" w:hAnsi="宋体"/>
          <w:b/>
          <w:bCs/>
          <w:color w:val="auto"/>
          <w:sz w:val="22"/>
          <w:szCs w:val="22"/>
          <w:highlight w:val="none"/>
        </w:rPr>
        <w:t>★72  工程变更事件</w:t>
      </w:r>
      <w:bookmarkEnd w:id="409"/>
      <w:bookmarkEnd w:id="410"/>
      <w:bookmarkEnd w:id="411"/>
    </w:p>
    <w:p w14:paraId="5EAC824F">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298" name="文本框 302"/>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a:effectLst/>
                      </wps:spPr>
                      <wps:txbx>
                        <w:txbxContent>
                          <w:p w14:paraId="76EB17E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0ED3151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wrap="square" upright="1"/>
                    </wps:wsp>
                  </a:graphicData>
                </a:graphic>
              </wp:anchor>
            </w:drawing>
          </mc:Choice>
          <mc:Fallback>
            <w:pict>
              <v:shape id="文本框 302" o:spid="_x0000_s1026" o:spt="202" type="#_x0000_t202" style="position:absolute;left:0pt;margin-left:-9pt;margin-top:14.6pt;height:31.2pt;width:81pt;z-index:251966464;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crj9K1wAAAAkBAAAPAAAAAAAAAAEAIAAAACIAAABkcnMvZG93bnJldi54bWxQ&#10;SwECFAAUAAAACACHTuJAR61DBb8BAABuAwAADgAAAAAAAAABACAAAAAmAQAAZHJzL2Uyb0RvYy54&#10;bWxQSwUGAAAAAAYABgBZAQAAVwUAAAAA&#10;">
                <v:fill on="f" focussize="0,0"/>
                <v:stroke on="f"/>
                <v:imagedata o:title=""/>
                <o:lock v:ext="edit" aspectratio="f"/>
                <v:textbox>
                  <w:txbxContent>
                    <w:p w14:paraId="76EB17E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0ED3151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hAnsi="宋体"/>
          <w:b/>
          <w:bCs/>
          <w:color w:val="auto"/>
          <w:sz w:val="22"/>
          <w:szCs w:val="22"/>
          <w:highlight w:val="none"/>
        </w:rPr>
        <w:t xml:space="preserve">72.1      </w:t>
      </w:r>
    </w:p>
    <w:p w14:paraId="7946291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合同履行期间，出现第56条工程变更事件的，合同双方当事人应调整合同价款。</w:t>
      </w:r>
    </w:p>
    <w:p w14:paraId="111200DD">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72.2   </w:t>
      </w:r>
      <w:r>
        <w:rPr>
          <w:rFonts w:hint="eastAsia" w:hAnsi="宋体"/>
          <w:b/>
          <w:bCs/>
          <w:color w:val="auto"/>
          <w:sz w:val="22"/>
          <w:szCs w:val="22"/>
          <w:highlight w:val="none"/>
          <w:u w:val="dotted"/>
        </w:rPr>
        <w:t xml:space="preserve">                                                                               </w:t>
      </w:r>
      <w:r>
        <w:rPr>
          <w:rFonts w:hint="eastAsia" w:hAnsi="宋体"/>
          <w:b/>
          <w:bCs/>
          <w:color w:val="auto"/>
          <w:sz w:val="22"/>
          <w:szCs w:val="22"/>
          <w:highlight w:val="none"/>
        </w:rPr>
        <w:t xml:space="preserve">    </w:t>
      </w:r>
    </w:p>
    <w:p w14:paraId="17742702">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299" name="文本框 303"/>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a:effectLst/>
                      </wps:spPr>
                      <wps:txbx>
                        <w:txbxContent>
                          <w:p w14:paraId="611A168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wps:txbx>
                      <wps:bodyPr wrap="square" upright="1"/>
                    </wps:wsp>
                  </a:graphicData>
                </a:graphic>
              </wp:anchor>
            </w:drawing>
          </mc:Choice>
          <mc:Fallback>
            <w:pict>
              <v:shape id="文本框 303" o:spid="_x0000_s1026" o:spt="202" type="#_x0000_t202" style="position:absolute;left:0pt;margin-left:-9pt;margin-top:0.5pt;height:46.7pt;width:72pt;z-index:251967488;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GOP/NUAAAAIAQAADwAAAAAAAAABACAAAAAiAAAAZHJzL2Rvd25yZXYueG1sUEsB&#10;AhQAFAAAAAgAh07iQPpk/Z2/AQAAbQMAAA4AAAAAAAAAAQAgAAAAJAEAAGRycy9lMm9Eb2MueG1s&#10;UEsFBgAAAAAGAAYAWQEAAFUFAAAAAA==&#10;">
                <v:fill on="f" focussize="0,0"/>
                <v:stroke on="f"/>
                <v:imagedata o:title=""/>
                <o:lock v:ext="edit" aspectratio="f"/>
                <v:textbox>
                  <w:txbxContent>
                    <w:p w14:paraId="611A168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hAnsi="宋体"/>
          <w:color w:val="auto"/>
          <w:sz w:val="22"/>
          <w:szCs w:val="22"/>
          <w:highlight w:val="none"/>
        </w:rPr>
        <w:t>工程变更引起分部分项工程项目发生变化，属于第73.2款规定情况的，按照其规定调整；否则按照下列规定调整分部分项工程费：</w:t>
      </w:r>
    </w:p>
    <w:p w14:paraId="4BA069CA">
      <w:pPr>
        <w:pStyle w:val="22"/>
        <w:tabs>
          <w:tab w:val="left" w:pos="1380"/>
          <w:tab w:val="left" w:pos="2160"/>
        </w:tabs>
        <w:adjustRightInd w:val="0"/>
        <w:snapToGrid w:val="0"/>
        <w:spacing w:line="420" w:lineRule="exact"/>
        <w:ind w:left="1380" w:leftChars="657" w:firstLine="220" w:firstLineChars="100"/>
        <w:rPr>
          <w:rFonts w:hAnsi="宋体"/>
          <w:color w:val="auto"/>
          <w:sz w:val="22"/>
          <w:szCs w:val="22"/>
          <w:highlight w:val="none"/>
        </w:rPr>
      </w:pPr>
      <w:r>
        <w:rPr>
          <w:rFonts w:hint="eastAsia" w:hAnsi="宋体"/>
          <w:color w:val="auto"/>
          <w:sz w:val="22"/>
          <w:szCs w:val="22"/>
          <w:highlight w:val="none"/>
        </w:rPr>
        <w:t>(1)合同中有适用于变更工程项目的，按照该项目的单价或合价调整;</w:t>
      </w:r>
    </w:p>
    <w:p w14:paraId="178C577A">
      <w:pPr>
        <w:pStyle w:val="22"/>
        <w:tabs>
          <w:tab w:val="left" w:pos="1620"/>
          <w:tab w:val="left" w:pos="2160"/>
        </w:tabs>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(2)合同中没有适用、只有类似于变更工程项目的，可在合理范围内参照类似项目的单价或合价调整;</w:t>
      </w:r>
    </w:p>
    <w:p w14:paraId="7D707375">
      <w:pPr>
        <w:pStyle w:val="22"/>
        <w:tabs>
          <w:tab w:val="left" w:pos="1380"/>
          <w:tab w:val="left" w:pos="2160"/>
        </w:tabs>
        <w:adjustRightInd w:val="0"/>
        <w:snapToGrid w:val="0"/>
        <w:spacing w:line="420" w:lineRule="exact"/>
        <w:ind w:left="1619"/>
        <w:rPr>
          <w:rFonts w:hAnsi="宋体"/>
          <w:color w:val="auto"/>
          <w:sz w:val="22"/>
          <w:szCs w:val="22"/>
          <w:highlight w:val="none"/>
        </w:rPr>
      </w:pPr>
      <w:r>
        <w:rPr>
          <w:rFonts w:hint="eastAsia" w:hAnsi="宋体"/>
          <w:color w:val="auto"/>
          <w:sz w:val="22"/>
          <w:szCs w:val="22"/>
          <w:highlight w:val="none"/>
        </w:rPr>
        <w:t>(3)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p>
    <w:p w14:paraId="020D4FA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其中，招标工程：承包人报价浮动率L=（1—中标价格/招标控制价）×100%；</w:t>
      </w:r>
    </w:p>
    <w:p w14:paraId="78667652">
      <w:pPr>
        <w:pStyle w:val="22"/>
        <w:adjustRightInd w:val="0"/>
        <w:snapToGrid w:val="0"/>
        <w:spacing w:line="420" w:lineRule="exact"/>
        <w:ind w:firstLine="1980" w:firstLineChars="900"/>
        <w:rPr>
          <w:rFonts w:hAnsi="宋体"/>
          <w:color w:val="auto"/>
          <w:sz w:val="22"/>
          <w:szCs w:val="22"/>
          <w:highlight w:val="none"/>
        </w:rPr>
      </w:pPr>
      <w:r>
        <w:rPr>
          <w:rFonts w:hint="eastAsia" w:hAnsi="宋体"/>
          <w:color w:val="auto"/>
          <w:sz w:val="22"/>
          <w:szCs w:val="22"/>
          <w:highlight w:val="none"/>
        </w:rPr>
        <w:t>非招标工程：承包人报价浮动率L=（1—报价值/施工图预算）×100%。</w:t>
      </w:r>
    </w:p>
    <w:p w14:paraId="5C71C5D4">
      <w:pPr>
        <w:pStyle w:val="22"/>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w:t>式中：中标价格、招标控制价或报价值、施工图预算，均不含绿色施工安全防护费。</w:t>
      </w:r>
    </w:p>
    <w:p w14:paraId="5E3ED59E">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(4) 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14:paraId="56EAEBB6">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72.3  </w:t>
      </w:r>
      <w:r>
        <w:rPr>
          <w:rFonts w:hint="eastAsia" w:hAnsi="宋体"/>
          <w:b/>
          <w:bCs/>
          <w:color w:val="auto"/>
          <w:sz w:val="22"/>
          <w:szCs w:val="22"/>
          <w:highlight w:val="none"/>
          <w:u w:val="dotted"/>
        </w:rPr>
        <w:t xml:space="preserve">                                                                                                       </w:t>
      </w:r>
    </w:p>
    <w:p w14:paraId="68CBA44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0" name="文本框 3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195D93D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wrap="square" upright="1"/>
                    </wps:wsp>
                  </a:graphicData>
                </a:graphic>
              </wp:anchor>
            </w:drawing>
          </mc:Choice>
          <mc:Fallback>
            <w:pict>
              <v:shape id="文本框 304" o:spid="_x0000_s1026" o:spt="202" type="#_x0000_t202" style="position:absolute;left:0pt;margin-left:-9pt;margin-top:3.6pt;height:31.2pt;width:72pt;z-index:251968512;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PS031QAAAAgBAAAPAAAAAAAAAAEAIAAAACIAAABkcnMvZG93bnJldi54bWxQSwEC&#10;FAAUAAAACACHTuJATR5zsb4BAABtAwAADgAAAAAAAAABACAAAAAkAQAAZHJzL2Uyb0RvYy54bWxQ&#10;SwUGAAAAAAYABgBZAQAAVAUAAAAA&#10;">
                <v:fill on="f" focussize="0,0"/>
                <v:stroke on="f"/>
                <v:imagedata o:title=""/>
                <o:lock v:ext="edit" aspectratio="f"/>
                <v:textbox>
                  <w:txbxContent>
                    <w:p w14:paraId="195D93D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hAnsi="宋体"/>
          <w:color w:val="auto"/>
          <w:sz w:val="22"/>
          <w:szCs w:val="22"/>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3216E87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(1) 绿色施工安全防护费，按照实际发生变化的措施项目调整，不得浮动。</w:t>
      </w:r>
    </w:p>
    <w:p w14:paraId="400D9BBB">
      <w:pPr>
        <w:pStyle w:val="22"/>
        <w:adjustRightInd w:val="0"/>
        <w:snapToGrid w:val="0"/>
        <w:spacing w:line="420" w:lineRule="exact"/>
        <w:ind w:left="1630" w:leftChars="776"/>
        <w:rPr>
          <w:rFonts w:hAnsi="宋体"/>
          <w:color w:val="auto"/>
          <w:sz w:val="22"/>
          <w:szCs w:val="22"/>
          <w:highlight w:val="none"/>
        </w:rPr>
      </w:pPr>
      <w:r>
        <w:rPr>
          <w:rFonts w:hint="eastAsia" w:hAnsi="宋体"/>
          <w:color w:val="auto"/>
          <w:sz w:val="22"/>
          <w:szCs w:val="22"/>
          <w:highlight w:val="none"/>
        </w:rPr>
        <w:t>(2)凡可计算工程量的措施项目费，按照实际发生变化的措施项目的工程量乘以第72.2款规定的单价或合价调整。</w:t>
      </w:r>
    </w:p>
    <w:p w14:paraId="3B69263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(3)凡按系数计算的措施项目费，除本款第(1)点情形外，按照实际发生变化的措施项目调整，但应考虑承包人报价浮动因素，即调整金额按照实际调整金额乘以第72.2款规定的承包人报价浮动率计算。</w:t>
      </w:r>
    </w:p>
    <w:p w14:paraId="5D27CF22">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如果不利一方当事人未按本款规定事先将拟实施的方案提交给另一方当事人，则认为工程变更不引起措施项目费的调整或不利一方当事人放弃调整措施项目费的权利。</w:t>
      </w:r>
    </w:p>
    <w:p w14:paraId="4F48016C">
      <w:pPr>
        <w:pStyle w:val="22"/>
        <w:adjustRightInd w:val="0"/>
        <w:snapToGrid w:val="0"/>
        <w:spacing w:line="420" w:lineRule="exact"/>
        <w:rPr>
          <w:rFonts w:hAnsi="宋体"/>
          <w:b/>
          <w:bCs/>
          <w:color w:val="auto"/>
          <w:sz w:val="22"/>
          <w:szCs w:val="22"/>
          <w:highlight w:val="none"/>
        </w:rPr>
      </w:pPr>
      <w:bookmarkStart w:id="412" w:name="_Hlk142749007"/>
      <w:r>
        <w:rPr>
          <w:rFonts w:hint="eastAsia" w:hAnsi="宋体"/>
          <w:b/>
          <w:bCs/>
          <w:color w:val="auto"/>
          <w:sz w:val="22"/>
          <w:szCs w:val="22"/>
          <w:highlight w:val="none"/>
        </w:rPr>
        <w:t xml:space="preserve">72.4  </w:t>
      </w:r>
      <w:r>
        <w:rPr>
          <w:rFonts w:hint="eastAsia" w:hAnsi="宋体"/>
          <w:b/>
          <w:bCs/>
          <w:color w:val="auto"/>
          <w:sz w:val="22"/>
          <w:szCs w:val="22"/>
          <w:highlight w:val="none"/>
          <w:u w:val="dotted"/>
        </w:rPr>
        <w:t xml:space="preserve">                                                                                                       </w:t>
      </w:r>
    </w:p>
    <w:p w14:paraId="7514DCF7">
      <w:pPr>
        <w:spacing w:line="420" w:lineRule="exact"/>
        <w:ind w:left="1676" w:leftChars="798"/>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301" name="文本框 305"/>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a:effectLst/>
                      </wps:spPr>
                      <wps:txbx>
                        <w:txbxContent>
                          <w:p w14:paraId="753CA2B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7517E1A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wrap="square" upright="1"/>
                    </wps:wsp>
                  </a:graphicData>
                </a:graphic>
              </wp:anchor>
            </w:drawing>
          </mc:Choice>
          <mc:Fallback>
            <w:pict>
              <v:shape id="文本框 305" o:spid="_x0000_s1026" o:spt="202" type="#_x0000_t202" style="position:absolute;left:0pt;margin-left:-9pt;margin-top:1.05pt;height:60.35pt;width:81pt;z-index:251969536;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AMuQHWAAAACQEAAA8AAAAAAAAAAQAgAAAAIgAAAGRycy9kb3ducmV2LnhtbFBL&#10;AQIUABQAAAAIAIdO4kAgAMbgvwEAAG4DAAAOAAAAAAAAAAEAIAAAACUBAABkcnMvZTJvRG9jLnht&#10;bFBLBQYAAAAABgAGAFkBAABWBQAAAAA=&#10;">
                <v:fill on="f" focussize="0,0"/>
                <v:stroke on="f"/>
                <v:imagedata o:title=""/>
                <o:lock v:ext="edit" aspectratio="f"/>
                <v:textbox>
                  <w:txbxContent>
                    <w:p w14:paraId="753CA2B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7517E1A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宋体" w:hAnsi="宋体" w:cs="宋体"/>
          <w:color w:val="auto"/>
          <w:sz w:val="22"/>
          <w:szCs w:val="22"/>
          <w:highlight w:val="none"/>
        </w:rPr>
        <w:t>工程量发生变化的分部分项工程项目，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14:paraId="681DECC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(1)当P</w:t>
      </w:r>
      <w:r>
        <w:rPr>
          <w:rFonts w:hint="eastAsia" w:hAnsi="宋体"/>
          <w:color w:val="auto"/>
          <w:sz w:val="22"/>
          <w:szCs w:val="22"/>
          <w:highlight w:val="none"/>
          <w:vertAlign w:val="subscript"/>
        </w:rPr>
        <w:t xml:space="preserve">0 </w:t>
      </w:r>
      <w:r>
        <w:rPr>
          <w:rFonts w:hint="eastAsia" w:hAnsi="宋体"/>
          <w:color w:val="auto"/>
          <w:sz w:val="22"/>
          <w:szCs w:val="22"/>
          <w:highlight w:val="none"/>
        </w:rPr>
        <w:t>&lt;P</w:t>
      </w:r>
      <w:r>
        <w:rPr>
          <w:rFonts w:hint="eastAsia" w:hAnsi="宋体"/>
          <w:color w:val="auto"/>
          <w:sz w:val="22"/>
          <w:szCs w:val="22"/>
          <w:highlight w:val="none"/>
          <w:vertAlign w:val="subscript"/>
        </w:rPr>
        <w:t>1</w:t>
      </w:r>
      <w:r>
        <w:rPr>
          <w:rFonts w:hint="eastAsia" w:hAnsi="宋体"/>
          <w:color w:val="auto"/>
          <w:sz w:val="22"/>
          <w:szCs w:val="22"/>
          <w:highlight w:val="none"/>
        </w:rPr>
        <w:t xml:space="preserve"> ×(1-L)×(1-15%)时，该类项目的综合单价按照P</w:t>
      </w:r>
      <w:r>
        <w:rPr>
          <w:rFonts w:hint="eastAsia" w:hAnsi="宋体"/>
          <w:color w:val="auto"/>
          <w:sz w:val="22"/>
          <w:szCs w:val="22"/>
          <w:highlight w:val="none"/>
          <w:vertAlign w:val="subscript"/>
        </w:rPr>
        <w:t>1</w:t>
      </w:r>
      <w:r>
        <w:rPr>
          <w:rFonts w:hint="eastAsia" w:hAnsi="宋体"/>
          <w:color w:val="auto"/>
          <w:sz w:val="22"/>
          <w:szCs w:val="22"/>
          <w:highlight w:val="none"/>
        </w:rPr>
        <w:t xml:space="preserve"> ×(1-L)×(1-15%)调整。 </w:t>
      </w:r>
    </w:p>
    <w:p w14:paraId="3ECF7342">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(2)当P</w:t>
      </w:r>
      <w:r>
        <w:rPr>
          <w:rFonts w:hint="eastAsia" w:hAnsi="宋体"/>
          <w:color w:val="auto"/>
          <w:sz w:val="22"/>
          <w:szCs w:val="22"/>
          <w:highlight w:val="none"/>
          <w:vertAlign w:val="subscript"/>
        </w:rPr>
        <w:t xml:space="preserve">0 </w:t>
      </w:r>
      <w:r>
        <w:rPr>
          <w:rFonts w:hint="eastAsia" w:hAnsi="宋体"/>
          <w:color w:val="auto"/>
          <w:sz w:val="22"/>
          <w:szCs w:val="22"/>
          <w:highlight w:val="none"/>
        </w:rPr>
        <w:t>&gt;P</w:t>
      </w:r>
      <w:r>
        <w:rPr>
          <w:rFonts w:hint="eastAsia" w:hAnsi="宋体"/>
          <w:color w:val="auto"/>
          <w:sz w:val="22"/>
          <w:szCs w:val="22"/>
          <w:highlight w:val="none"/>
          <w:vertAlign w:val="subscript"/>
        </w:rPr>
        <w:t>1</w:t>
      </w:r>
      <w:r>
        <w:rPr>
          <w:rFonts w:hint="eastAsia" w:hAnsi="宋体"/>
          <w:color w:val="auto"/>
          <w:sz w:val="22"/>
          <w:szCs w:val="22"/>
          <w:highlight w:val="none"/>
        </w:rPr>
        <w:t xml:space="preserve"> × (1+15%)时，该类项目的综合单价按照P</w:t>
      </w:r>
      <w:r>
        <w:rPr>
          <w:rFonts w:hint="eastAsia" w:hAnsi="宋体"/>
          <w:color w:val="auto"/>
          <w:sz w:val="22"/>
          <w:szCs w:val="22"/>
          <w:highlight w:val="none"/>
          <w:vertAlign w:val="subscript"/>
        </w:rPr>
        <w:t>1</w:t>
      </w:r>
      <w:r>
        <w:rPr>
          <w:rFonts w:hint="eastAsia" w:hAnsi="宋体"/>
          <w:color w:val="auto"/>
          <w:sz w:val="22"/>
          <w:szCs w:val="22"/>
          <w:highlight w:val="none"/>
        </w:rPr>
        <w:t xml:space="preserve"> ×（1+15%)调整。 </w:t>
      </w:r>
    </w:p>
    <w:p w14:paraId="67C7FE3E">
      <w:pPr>
        <w:pStyle w:val="22"/>
        <w:adjustRightInd w:val="0"/>
        <w:snapToGrid w:val="0"/>
        <w:spacing w:line="420" w:lineRule="exact"/>
        <w:ind w:firstLine="1485" w:firstLineChars="675"/>
        <w:rPr>
          <w:rFonts w:hAnsi="宋体"/>
          <w:color w:val="auto"/>
          <w:sz w:val="22"/>
          <w:szCs w:val="22"/>
          <w:highlight w:val="none"/>
        </w:rPr>
      </w:pPr>
      <w:r>
        <w:rPr>
          <w:rFonts w:hint="eastAsia" w:hAnsi="宋体"/>
          <w:color w:val="auto"/>
          <w:sz w:val="22"/>
          <w:szCs w:val="22"/>
          <w:highlight w:val="none"/>
        </w:rPr>
        <w:t>式中：P</w:t>
      </w:r>
      <w:r>
        <w:rPr>
          <w:rFonts w:hint="eastAsia" w:hAnsi="宋体"/>
          <w:color w:val="auto"/>
          <w:sz w:val="22"/>
          <w:szCs w:val="22"/>
          <w:highlight w:val="none"/>
          <w:vertAlign w:val="subscript"/>
        </w:rPr>
        <w:t>0</w:t>
      </w:r>
      <w:r>
        <w:rPr>
          <w:rFonts w:hint="eastAsia" w:hAnsi="宋体"/>
          <w:color w:val="auto"/>
          <w:sz w:val="22"/>
          <w:szCs w:val="22"/>
          <w:highlight w:val="none"/>
        </w:rPr>
        <w:t>——承包人在工程量清单中填报的综合单价。</w:t>
      </w:r>
    </w:p>
    <w:p w14:paraId="11C24D1B">
      <w:pPr>
        <w:pStyle w:val="22"/>
        <w:adjustRightInd w:val="0"/>
        <w:snapToGrid w:val="0"/>
        <w:spacing w:line="420" w:lineRule="exact"/>
        <w:ind w:firstLine="2145" w:firstLineChars="975"/>
        <w:rPr>
          <w:rFonts w:hAnsi="宋体"/>
          <w:color w:val="auto"/>
          <w:sz w:val="22"/>
          <w:szCs w:val="22"/>
          <w:highlight w:val="none"/>
        </w:rPr>
      </w:pPr>
      <w:r>
        <w:rPr>
          <w:rFonts w:hint="eastAsia" w:hAnsi="宋体"/>
          <w:color w:val="auto"/>
          <w:sz w:val="22"/>
          <w:szCs w:val="22"/>
          <w:highlight w:val="none"/>
        </w:rPr>
        <w:t>P</w:t>
      </w:r>
      <w:r>
        <w:rPr>
          <w:rFonts w:hint="eastAsia" w:hAnsi="宋体"/>
          <w:color w:val="auto"/>
          <w:sz w:val="22"/>
          <w:szCs w:val="22"/>
          <w:highlight w:val="none"/>
          <w:vertAlign w:val="subscript"/>
        </w:rPr>
        <w:t>1</w:t>
      </w:r>
      <w:r>
        <w:rPr>
          <w:rFonts w:hint="eastAsia" w:hAnsi="宋体"/>
          <w:color w:val="auto"/>
          <w:sz w:val="22"/>
          <w:szCs w:val="22"/>
          <w:highlight w:val="none"/>
        </w:rPr>
        <w:t>——发包人招标控制价或施工预算相应清单项目的综合单价。</w:t>
      </w:r>
    </w:p>
    <w:p w14:paraId="1C0E73BA">
      <w:pPr>
        <w:pStyle w:val="22"/>
        <w:adjustRightInd w:val="0"/>
        <w:snapToGrid w:val="0"/>
        <w:spacing w:line="420" w:lineRule="exact"/>
        <w:ind w:firstLine="2145" w:firstLineChars="975"/>
        <w:rPr>
          <w:rFonts w:hAnsi="宋体"/>
          <w:b/>
          <w:bCs/>
          <w:color w:val="auto"/>
          <w:sz w:val="22"/>
          <w:szCs w:val="22"/>
          <w:highlight w:val="none"/>
        </w:rPr>
      </w:pPr>
      <w:r>
        <w:rPr>
          <w:rFonts w:hint="eastAsia" w:hAnsi="宋体"/>
          <w:color w:val="auto"/>
          <w:sz w:val="22"/>
          <w:szCs w:val="22"/>
          <w:highlight w:val="none"/>
        </w:rPr>
        <w:t>L——第72.2款规定的承包人报价浮动率。</w:t>
      </w:r>
    </w:p>
    <w:bookmarkEnd w:id="412"/>
    <w:p w14:paraId="2F33D190">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72.5  </w:t>
      </w:r>
      <w:r>
        <w:rPr>
          <w:rFonts w:hint="eastAsia" w:hAnsi="宋体"/>
          <w:b/>
          <w:bCs/>
          <w:color w:val="auto"/>
          <w:sz w:val="22"/>
          <w:szCs w:val="22"/>
          <w:highlight w:val="none"/>
          <w:u w:val="dotted"/>
        </w:rPr>
        <w:t xml:space="preserve">                                                                                                       </w:t>
      </w:r>
    </w:p>
    <w:p w14:paraId="1A3FBBA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2" name="文本框 3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52BA09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wrap="square" upright="1"/>
                    </wps:wsp>
                  </a:graphicData>
                </a:graphic>
              </wp:anchor>
            </w:drawing>
          </mc:Choice>
          <mc:Fallback>
            <w:pict>
              <v:shape id="文本框 306" o:spid="_x0000_s1026" o:spt="202" type="#_x0000_t202" style="position:absolute;left:0pt;margin-left:-9pt;margin-top:3.6pt;height:31.2pt;width:72pt;z-index:25197056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PS031QAAAAgBAAAPAAAAAAAAAAEAIAAAACIAAABkcnMvZG93bnJldi54bWxQSwEC&#10;FAAUAAAACACHTuJA6OeHk74BAABtAwAADgAAAAAAAAABACAAAAAkAQAAZHJzL2Uyb0RvYy54bWxQ&#10;SwUGAAAAAAYABgBZAQAAVAUAAAAA&#10;">
                <v:fill on="f" focussize="0,0"/>
                <v:stroke on="f"/>
                <v:imagedata o:title=""/>
                <o:lock v:ext="edit" aspectratio="f"/>
                <v:textbox>
                  <w:txbxContent>
                    <w:p w14:paraId="52BA09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hAnsi="宋体"/>
          <w:color w:val="auto"/>
          <w:sz w:val="22"/>
          <w:szCs w:val="22"/>
          <w:highlight w:val="none"/>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14:paraId="5212B456">
      <w:pPr>
        <w:pStyle w:val="22"/>
        <w:adjustRightInd w:val="0"/>
        <w:snapToGrid w:val="0"/>
        <w:spacing w:line="420" w:lineRule="exact"/>
        <w:ind w:right="-238"/>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04DC2F4B">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13" w:name="_Toc11761"/>
      <w:bookmarkStart w:id="414" w:name="_Toc469384057"/>
      <w:bookmarkStart w:id="415" w:name="_Toc26193"/>
      <w:r>
        <w:rPr>
          <w:rFonts w:hint="eastAsia" w:hAnsi="宋体"/>
          <w:b/>
          <w:bCs/>
          <w:color w:val="auto"/>
          <w:sz w:val="22"/>
          <w:szCs w:val="22"/>
          <w:highlight w:val="none"/>
        </w:rPr>
        <w:t>★73  工程量偏差事件</w:t>
      </w:r>
      <w:bookmarkEnd w:id="413"/>
      <w:bookmarkEnd w:id="414"/>
      <w:bookmarkEnd w:id="415"/>
    </w:p>
    <w:p w14:paraId="64AF8361">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73.1</w:t>
      </w:r>
    </w:p>
    <w:p w14:paraId="723D427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303" name="文本框 307"/>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a:effectLst/>
                      </wps:spPr>
                      <wps:txbx>
                        <w:txbxContent>
                          <w:p w14:paraId="1AA5285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6194F22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wrap="square" upright="1"/>
                    </wps:wsp>
                  </a:graphicData>
                </a:graphic>
              </wp:anchor>
            </w:drawing>
          </mc:Choice>
          <mc:Fallback>
            <w:pict>
              <v:shape id="文本框 307" o:spid="_x0000_s1026" o:spt="202" type="#_x0000_t202" style="position:absolute;left:0pt;margin-left:-9pt;margin-top:0.15pt;height:59.85pt;width:81pt;z-index:251971584;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589U7UAAAACAEAAA8AAAAAAAAAAQAgAAAAIgAAAGRycy9kb3ducmV2LnhtbFBLAQIU&#10;ABQAAAAIAIdO4kA2sYF3vgEAAG4DAAAOAAAAAAAAAAEAIAAAACMBAABkcnMvZTJvRG9jLnhtbFBL&#10;BQYAAAAABgAGAFkBAABTBQAAAAA=&#10;">
                <v:fill on="f" focussize="0,0"/>
                <v:stroke on="f"/>
                <v:imagedata o:title=""/>
                <o:lock v:ext="edit" aspectratio="f"/>
                <v:textbox>
                  <w:txbxContent>
                    <w:p w14:paraId="1AA5285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6194F22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hAnsi="宋体"/>
          <w:color w:val="auto"/>
          <w:sz w:val="22"/>
          <w:szCs w:val="22"/>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3B3C74D7">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合同履行期间，出现工程量偏差，且符合第73.2款、第73.3款规定事件的，合同双方当事人应调整合同价款。调整合同价款时，出现第72.4款情形的，应先按照其规定调整，再按照本条规定调整。</w:t>
      </w:r>
    </w:p>
    <w:p w14:paraId="0086F2FA">
      <w:pPr>
        <w:pStyle w:val="22"/>
        <w:adjustRightInd w:val="0"/>
        <w:snapToGrid w:val="0"/>
        <w:spacing w:line="420" w:lineRule="exact"/>
        <w:rPr>
          <w:rFonts w:hAnsi="宋体"/>
          <w:b/>
          <w:bCs/>
          <w:color w:val="auto"/>
          <w:sz w:val="22"/>
          <w:szCs w:val="22"/>
          <w:highlight w:val="none"/>
        </w:rPr>
      </w:pPr>
      <w:bookmarkStart w:id="416" w:name="_Hlk142749176"/>
      <w:r>
        <w:rPr>
          <w:rFonts w:hint="eastAsia" w:hAnsi="宋体"/>
          <w:b/>
          <w:bCs/>
          <w:color w:val="auto"/>
          <w:sz w:val="22"/>
          <w:szCs w:val="22"/>
          <w:highlight w:val="none"/>
        </w:rPr>
        <w:t xml:space="preserve">73.2  </w:t>
      </w:r>
      <w:r>
        <w:rPr>
          <w:rFonts w:hint="eastAsia" w:hAnsi="宋体"/>
          <w:b/>
          <w:bCs/>
          <w:color w:val="auto"/>
          <w:sz w:val="22"/>
          <w:szCs w:val="22"/>
          <w:highlight w:val="none"/>
          <w:u w:val="dotted"/>
        </w:rPr>
        <w:t xml:space="preserve">                                                                                                        </w:t>
      </w:r>
    </w:p>
    <w:p w14:paraId="129A70ED">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304" name="文本框 308"/>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a:effectLst/>
                      </wps:spPr>
                      <wps:txbx>
                        <w:txbxContent>
                          <w:p w14:paraId="36AB9459">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wps:txbx>
                      <wps:bodyPr wrap="square" upright="1"/>
                    </wps:wsp>
                  </a:graphicData>
                </a:graphic>
              </wp:anchor>
            </w:drawing>
          </mc:Choice>
          <mc:Fallback>
            <w:pict>
              <v:shape id="文本框 308" o:spid="_x0000_s1026" o:spt="202" type="#_x0000_t202" style="position:absolute;left:0pt;margin-left:-9pt;margin-top:2.1pt;height:35pt;width:72pt;z-index:251972608;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SKr63VAAAACAEAAA8AAAAAAAAAAQAgAAAAIgAAAGRycy9kb3ducmV2LnhtbFBLAQIU&#10;ABQAAAAIAIdO4kCkLrpcvQEAAG0DAAAOAAAAAAAAAAEAIAAAACQBAABkcnMvZTJvRG9jLnhtbFBL&#10;BQYAAAAABgAGAFkBAABTBQAAAAA=&#10;">
                <v:fill on="f" focussize="0,0"/>
                <v:stroke on="f"/>
                <v:imagedata o:title=""/>
                <o:lock v:ext="edit" aspectratio="f"/>
                <v:textbox>
                  <w:txbxContent>
                    <w:p w14:paraId="36AB9459">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hAnsi="宋体"/>
          <w:color w:val="auto"/>
          <w:sz w:val="22"/>
          <w:szCs w:val="22"/>
          <w:highlight w:val="none"/>
        </w:rPr>
        <w:t>对于某一分部分项工程项目，如果因本条规定工程量偏差和第56条规定工程变更等原因导致工程量偏差超过10%，且该变化使其分部分项工程费变化超过0.1%，则超过10%部分的综合单价应予调整。除专用条款另有约定外，应按照下列规定调整该分部分项工程费结算价：</w:t>
      </w:r>
    </w:p>
    <w:p w14:paraId="07828050">
      <w:pPr>
        <w:pStyle w:val="22"/>
        <w:adjustRightInd w:val="0"/>
        <w:snapToGrid w:val="0"/>
        <w:spacing w:line="420" w:lineRule="exact"/>
        <w:ind w:left="2090" w:leftChars="707" w:hanging="605" w:hangingChars="275"/>
        <w:rPr>
          <w:rFonts w:hAnsi="宋体"/>
          <w:color w:val="auto"/>
          <w:sz w:val="22"/>
          <w:szCs w:val="22"/>
          <w:highlight w:val="none"/>
        </w:rPr>
      </w:pPr>
      <w:r>
        <w:rPr>
          <w:rFonts w:hint="eastAsia" w:hAnsi="宋体"/>
          <w:color w:val="auto"/>
          <w:sz w:val="22"/>
          <w:szCs w:val="22"/>
          <w:highlight w:val="none"/>
        </w:rPr>
        <w:t>（1）当Q</w:t>
      </w:r>
      <w:r>
        <w:rPr>
          <w:rFonts w:hint="eastAsia" w:hAnsi="宋体"/>
          <w:color w:val="auto"/>
          <w:sz w:val="22"/>
          <w:szCs w:val="22"/>
          <w:highlight w:val="none"/>
          <w:vertAlign w:val="subscript"/>
        </w:rPr>
        <w:t>1</w:t>
      </w:r>
      <w:r>
        <w:rPr>
          <w:rFonts w:hint="eastAsia" w:hAnsi="宋体"/>
          <w:color w:val="auto"/>
          <w:sz w:val="22"/>
          <w:szCs w:val="22"/>
          <w:highlight w:val="none"/>
        </w:rPr>
        <w:t>﹥1.1Q</w:t>
      </w:r>
      <w:r>
        <w:rPr>
          <w:rFonts w:hint="eastAsia" w:hAnsi="宋体"/>
          <w:color w:val="auto"/>
          <w:sz w:val="22"/>
          <w:szCs w:val="22"/>
          <w:highlight w:val="none"/>
          <w:vertAlign w:val="subscript"/>
        </w:rPr>
        <w:t>0</w:t>
      </w:r>
      <w:r>
        <w:rPr>
          <w:rFonts w:hint="eastAsia" w:hAnsi="宋体"/>
          <w:color w:val="auto"/>
          <w:sz w:val="22"/>
          <w:szCs w:val="22"/>
          <w:highlight w:val="none"/>
        </w:rPr>
        <w:t>时，S=1.1Q</w:t>
      </w:r>
      <w:r>
        <w:rPr>
          <w:rFonts w:hint="eastAsia" w:hAnsi="宋体"/>
          <w:color w:val="auto"/>
          <w:sz w:val="22"/>
          <w:szCs w:val="22"/>
          <w:highlight w:val="none"/>
          <w:vertAlign w:val="subscript"/>
        </w:rPr>
        <w:t>0</w:t>
      </w:r>
      <w:r>
        <w:rPr>
          <w:rFonts w:hint="eastAsia" w:hAnsi="宋体"/>
          <w:color w:val="auto"/>
          <w:sz w:val="22"/>
          <w:szCs w:val="22"/>
          <w:highlight w:val="none"/>
        </w:rPr>
        <w:t>×P</w:t>
      </w:r>
      <w:r>
        <w:rPr>
          <w:rFonts w:hint="eastAsia" w:hAnsi="宋体"/>
          <w:color w:val="auto"/>
          <w:sz w:val="22"/>
          <w:szCs w:val="22"/>
          <w:highlight w:val="none"/>
          <w:vertAlign w:val="subscript"/>
        </w:rPr>
        <w:t>0</w:t>
      </w:r>
      <w:r>
        <w:rPr>
          <w:rFonts w:hint="eastAsia" w:hAnsi="宋体"/>
          <w:color w:val="auto"/>
          <w:sz w:val="22"/>
          <w:szCs w:val="22"/>
          <w:highlight w:val="none"/>
        </w:rPr>
        <w:t>+（Q</w:t>
      </w:r>
      <w:r>
        <w:rPr>
          <w:rFonts w:hint="eastAsia" w:hAnsi="宋体"/>
          <w:color w:val="auto"/>
          <w:sz w:val="22"/>
          <w:szCs w:val="22"/>
          <w:highlight w:val="none"/>
          <w:vertAlign w:val="subscript"/>
        </w:rPr>
        <w:t>1</w:t>
      </w:r>
      <w:r>
        <w:rPr>
          <w:rFonts w:hint="eastAsia" w:hAnsi="宋体"/>
          <w:color w:val="auto"/>
          <w:sz w:val="22"/>
          <w:szCs w:val="22"/>
          <w:highlight w:val="none"/>
        </w:rPr>
        <w:t>-1.1Q</w:t>
      </w:r>
      <w:r>
        <w:rPr>
          <w:rFonts w:hint="eastAsia" w:hAnsi="宋体"/>
          <w:color w:val="auto"/>
          <w:sz w:val="22"/>
          <w:szCs w:val="22"/>
          <w:highlight w:val="none"/>
          <w:vertAlign w:val="subscript"/>
        </w:rPr>
        <w:t>0</w:t>
      </w:r>
      <w:r>
        <w:rPr>
          <w:rFonts w:hint="eastAsia" w:hAnsi="宋体"/>
          <w:color w:val="auto"/>
          <w:sz w:val="22"/>
          <w:szCs w:val="22"/>
          <w:highlight w:val="none"/>
        </w:rPr>
        <w:t>）×P</w:t>
      </w:r>
      <w:r>
        <w:rPr>
          <w:rFonts w:hint="eastAsia" w:hAnsi="宋体"/>
          <w:color w:val="auto"/>
          <w:sz w:val="22"/>
          <w:szCs w:val="22"/>
          <w:highlight w:val="none"/>
          <w:vertAlign w:val="subscript"/>
        </w:rPr>
        <w:t>1</w:t>
      </w:r>
    </w:p>
    <w:p w14:paraId="013088B7">
      <w:pPr>
        <w:pStyle w:val="22"/>
        <w:adjustRightInd w:val="0"/>
        <w:snapToGrid w:val="0"/>
        <w:spacing w:line="420" w:lineRule="exact"/>
        <w:ind w:left="2007" w:leftChars="694" w:hanging="550" w:hangingChars="250"/>
        <w:rPr>
          <w:rFonts w:hAnsi="宋体"/>
          <w:color w:val="auto"/>
          <w:sz w:val="22"/>
          <w:szCs w:val="22"/>
          <w:highlight w:val="none"/>
          <w:vertAlign w:val="subscript"/>
        </w:rPr>
      </w:pPr>
      <w:r>
        <w:rPr>
          <w:rFonts w:hint="eastAsia" w:hAnsi="宋体"/>
          <w:color w:val="auto"/>
          <w:sz w:val="22"/>
          <w:szCs w:val="22"/>
          <w:highlight w:val="none"/>
        </w:rPr>
        <w:t>（2）当Q</w:t>
      </w:r>
      <w:r>
        <w:rPr>
          <w:rFonts w:hint="eastAsia" w:hAnsi="宋体"/>
          <w:color w:val="auto"/>
          <w:sz w:val="22"/>
          <w:szCs w:val="22"/>
          <w:highlight w:val="none"/>
          <w:vertAlign w:val="subscript"/>
        </w:rPr>
        <w:t>1</w:t>
      </w:r>
      <w:r>
        <w:rPr>
          <w:rFonts w:hint="eastAsia" w:hAnsi="宋体"/>
          <w:color w:val="auto"/>
          <w:sz w:val="22"/>
          <w:szCs w:val="22"/>
          <w:highlight w:val="none"/>
        </w:rPr>
        <w:t>﹤0.9Q</w:t>
      </w:r>
      <w:r>
        <w:rPr>
          <w:rFonts w:hint="eastAsia" w:hAnsi="宋体"/>
          <w:color w:val="auto"/>
          <w:sz w:val="22"/>
          <w:szCs w:val="22"/>
          <w:highlight w:val="none"/>
          <w:vertAlign w:val="subscript"/>
        </w:rPr>
        <w:t>0</w:t>
      </w:r>
      <w:r>
        <w:rPr>
          <w:rFonts w:hint="eastAsia" w:hAnsi="宋体"/>
          <w:color w:val="auto"/>
          <w:sz w:val="22"/>
          <w:szCs w:val="22"/>
          <w:highlight w:val="none"/>
        </w:rPr>
        <w:t>时，S=0.9Q</w:t>
      </w:r>
      <w:r>
        <w:rPr>
          <w:rFonts w:hint="eastAsia" w:hAnsi="宋体"/>
          <w:color w:val="auto"/>
          <w:sz w:val="22"/>
          <w:szCs w:val="22"/>
          <w:highlight w:val="none"/>
          <w:vertAlign w:val="subscript"/>
        </w:rPr>
        <w:t>0</w:t>
      </w:r>
      <w:r>
        <w:rPr>
          <w:rFonts w:hint="eastAsia" w:hAnsi="宋体"/>
          <w:color w:val="auto"/>
          <w:sz w:val="22"/>
          <w:szCs w:val="22"/>
          <w:highlight w:val="none"/>
        </w:rPr>
        <w:t>×P</w:t>
      </w:r>
      <w:r>
        <w:rPr>
          <w:rFonts w:hint="eastAsia" w:hAnsi="宋体"/>
          <w:color w:val="auto"/>
          <w:sz w:val="22"/>
          <w:szCs w:val="22"/>
          <w:highlight w:val="none"/>
          <w:vertAlign w:val="subscript"/>
        </w:rPr>
        <w:t>0</w:t>
      </w:r>
      <w:r>
        <w:rPr>
          <w:rFonts w:hint="eastAsia" w:hAnsi="宋体"/>
          <w:color w:val="auto"/>
          <w:sz w:val="22"/>
          <w:szCs w:val="22"/>
          <w:highlight w:val="none"/>
        </w:rPr>
        <w:t>-（0.9Q</w:t>
      </w:r>
      <w:r>
        <w:rPr>
          <w:rFonts w:hint="eastAsia" w:hAnsi="宋体"/>
          <w:color w:val="auto"/>
          <w:sz w:val="22"/>
          <w:szCs w:val="22"/>
          <w:highlight w:val="none"/>
          <w:vertAlign w:val="subscript"/>
        </w:rPr>
        <w:t>0</w:t>
      </w:r>
      <w:r>
        <w:rPr>
          <w:rFonts w:hint="eastAsia" w:hAnsi="宋体"/>
          <w:color w:val="auto"/>
          <w:sz w:val="22"/>
          <w:szCs w:val="22"/>
          <w:highlight w:val="none"/>
        </w:rPr>
        <w:t>-Q</w:t>
      </w:r>
      <w:r>
        <w:rPr>
          <w:rFonts w:hint="eastAsia" w:hAnsi="宋体"/>
          <w:color w:val="auto"/>
          <w:sz w:val="22"/>
          <w:szCs w:val="22"/>
          <w:highlight w:val="none"/>
          <w:vertAlign w:val="subscript"/>
        </w:rPr>
        <w:t>1</w:t>
      </w:r>
      <w:r>
        <w:rPr>
          <w:rFonts w:hint="eastAsia" w:hAnsi="宋体"/>
          <w:color w:val="auto"/>
          <w:sz w:val="22"/>
          <w:szCs w:val="22"/>
          <w:highlight w:val="none"/>
        </w:rPr>
        <w:t>）×P</w:t>
      </w:r>
      <w:r>
        <w:rPr>
          <w:rFonts w:hint="eastAsia" w:hAnsi="宋体"/>
          <w:color w:val="auto"/>
          <w:sz w:val="22"/>
          <w:szCs w:val="22"/>
          <w:highlight w:val="none"/>
          <w:vertAlign w:val="subscript"/>
        </w:rPr>
        <w:t>1</w:t>
      </w:r>
    </w:p>
    <w:p w14:paraId="21D80BBF">
      <w:pPr>
        <w:pStyle w:val="22"/>
        <w:adjustRightInd w:val="0"/>
        <w:snapToGrid w:val="0"/>
        <w:spacing w:line="420" w:lineRule="exact"/>
        <w:ind w:firstLine="1485" w:firstLineChars="675"/>
        <w:rPr>
          <w:rFonts w:hAnsi="宋体"/>
          <w:color w:val="auto"/>
          <w:sz w:val="22"/>
          <w:szCs w:val="22"/>
          <w:highlight w:val="none"/>
        </w:rPr>
      </w:pPr>
      <w:r>
        <w:rPr>
          <w:rFonts w:hint="eastAsia" w:hAnsi="宋体"/>
          <w:color w:val="auto"/>
          <w:sz w:val="22"/>
          <w:szCs w:val="22"/>
          <w:highlight w:val="none"/>
        </w:rPr>
        <w:t>式中S——调整后的某一分部分项工程费结算价；</w:t>
      </w:r>
    </w:p>
    <w:p w14:paraId="06422149">
      <w:pPr>
        <w:pStyle w:val="22"/>
        <w:adjustRightInd w:val="0"/>
        <w:snapToGrid w:val="0"/>
        <w:spacing w:line="420" w:lineRule="exact"/>
        <w:ind w:firstLine="1980" w:firstLineChars="900"/>
        <w:rPr>
          <w:rFonts w:hAnsi="宋体"/>
          <w:color w:val="auto"/>
          <w:sz w:val="22"/>
          <w:szCs w:val="22"/>
          <w:highlight w:val="none"/>
        </w:rPr>
      </w:pPr>
      <w:r>
        <w:rPr>
          <w:rFonts w:hint="eastAsia" w:hAnsi="宋体"/>
          <w:color w:val="auto"/>
          <w:sz w:val="22"/>
          <w:szCs w:val="22"/>
          <w:highlight w:val="none"/>
        </w:rPr>
        <w:t>Q</w:t>
      </w:r>
      <w:r>
        <w:rPr>
          <w:rFonts w:hint="eastAsia" w:hAnsi="宋体"/>
          <w:color w:val="auto"/>
          <w:sz w:val="22"/>
          <w:szCs w:val="22"/>
          <w:highlight w:val="none"/>
          <w:vertAlign w:val="subscript"/>
        </w:rPr>
        <w:t>1</w:t>
      </w:r>
      <w:r>
        <w:rPr>
          <w:rFonts w:hint="eastAsia" w:hAnsi="宋体"/>
          <w:color w:val="auto"/>
          <w:sz w:val="22"/>
          <w:szCs w:val="22"/>
          <w:highlight w:val="none"/>
        </w:rPr>
        <w:t>——最终完成的工程量；</w:t>
      </w:r>
    </w:p>
    <w:p w14:paraId="7249BD36">
      <w:pPr>
        <w:pStyle w:val="22"/>
        <w:adjustRightInd w:val="0"/>
        <w:snapToGrid w:val="0"/>
        <w:spacing w:line="420" w:lineRule="exact"/>
        <w:ind w:firstLine="1980" w:firstLineChars="900"/>
        <w:rPr>
          <w:rFonts w:hAnsi="宋体"/>
          <w:color w:val="auto"/>
          <w:sz w:val="22"/>
          <w:szCs w:val="22"/>
          <w:highlight w:val="none"/>
        </w:rPr>
      </w:pPr>
      <w:r>
        <w:rPr>
          <w:rFonts w:hint="eastAsia" w:hAnsi="宋体"/>
          <w:color w:val="auto"/>
          <w:sz w:val="22"/>
          <w:szCs w:val="22"/>
          <w:highlight w:val="none"/>
        </w:rPr>
        <w:t>Q</w:t>
      </w:r>
      <w:r>
        <w:rPr>
          <w:rFonts w:hint="eastAsia" w:hAnsi="宋体"/>
          <w:color w:val="auto"/>
          <w:sz w:val="22"/>
          <w:szCs w:val="22"/>
          <w:highlight w:val="none"/>
          <w:vertAlign w:val="subscript"/>
        </w:rPr>
        <w:t>0</w:t>
      </w:r>
      <w:r>
        <w:rPr>
          <w:rFonts w:hint="eastAsia" w:hAnsi="宋体"/>
          <w:color w:val="auto"/>
          <w:sz w:val="22"/>
          <w:szCs w:val="22"/>
          <w:highlight w:val="none"/>
        </w:rPr>
        <w:t>——工程量清单中开列的工程量；</w:t>
      </w:r>
    </w:p>
    <w:p w14:paraId="2ECCAC70">
      <w:pPr>
        <w:pStyle w:val="22"/>
        <w:adjustRightInd w:val="0"/>
        <w:snapToGrid w:val="0"/>
        <w:spacing w:line="420" w:lineRule="exact"/>
        <w:ind w:firstLine="1980" w:firstLineChars="900"/>
        <w:rPr>
          <w:rFonts w:hAnsi="宋体"/>
          <w:color w:val="auto"/>
          <w:sz w:val="22"/>
          <w:szCs w:val="22"/>
          <w:highlight w:val="none"/>
        </w:rPr>
      </w:pPr>
      <w:r>
        <w:rPr>
          <w:rFonts w:hint="eastAsia" w:hAnsi="宋体"/>
          <w:color w:val="auto"/>
          <w:sz w:val="22"/>
          <w:szCs w:val="22"/>
          <w:highlight w:val="none"/>
        </w:rPr>
        <w:t>P</w:t>
      </w:r>
      <w:r>
        <w:rPr>
          <w:rFonts w:hint="eastAsia" w:hAnsi="宋体"/>
          <w:color w:val="auto"/>
          <w:sz w:val="22"/>
          <w:szCs w:val="22"/>
          <w:highlight w:val="none"/>
          <w:vertAlign w:val="subscript"/>
        </w:rPr>
        <w:t>1</w:t>
      </w:r>
      <w:r>
        <w:rPr>
          <w:rFonts w:hint="eastAsia" w:hAnsi="宋体"/>
          <w:color w:val="auto"/>
          <w:sz w:val="22"/>
          <w:szCs w:val="22"/>
          <w:highlight w:val="none"/>
        </w:rPr>
        <w:t>——按照最终完成工程量重新调整后的综合单价；</w:t>
      </w:r>
    </w:p>
    <w:p w14:paraId="0FEC9FCA">
      <w:pPr>
        <w:pStyle w:val="22"/>
        <w:adjustRightInd w:val="0"/>
        <w:snapToGrid w:val="0"/>
        <w:spacing w:line="420" w:lineRule="exact"/>
        <w:ind w:firstLine="1980" w:firstLineChars="900"/>
        <w:rPr>
          <w:rFonts w:hAnsi="宋体"/>
          <w:b/>
          <w:bCs/>
          <w:color w:val="auto"/>
          <w:sz w:val="22"/>
          <w:szCs w:val="22"/>
          <w:highlight w:val="none"/>
        </w:rPr>
      </w:pPr>
      <w:r>
        <w:rPr>
          <w:rFonts w:hint="eastAsia" w:hAnsi="宋体"/>
          <w:color w:val="auto"/>
          <w:sz w:val="22"/>
          <w:szCs w:val="22"/>
          <w:highlight w:val="none"/>
        </w:rPr>
        <w:t>P</w:t>
      </w:r>
      <w:r>
        <w:rPr>
          <w:rFonts w:hint="eastAsia" w:hAnsi="宋体"/>
          <w:color w:val="auto"/>
          <w:sz w:val="22"/>
          <w:szCs w:val="22"/>
          <w:highlight w:val="none"/>
          <w:vertAlign w:val="subscript"/>
        </w:rPr>
        <w:t>0</w:t>
      </w:r>
      <w:r>
        <w:rPr>
          <w:rFonts w:hint="eastAsia" w:hAnsi="宋体"/>
          <w:color w:val="auto"/>
          <w:sz w:val="22"/>
          <w:szCs w:val="22"/>
          <w:highlight w:val="none"/>
        </w:rPr>
        <w:t>——承包人在工程量清单中填报的综合单价。</w:t>
      </w:r>
    </w:p>
    <w:bookmarkEnd w:id="416"/>
    <w:p w14:paraId="7951EE8C">
      <w:pPr>
        <w:pStyle w:val="22"/>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73.3</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0409716F">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305" name="文本框 309"/>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a:effectLst/>
                      </wps:spPr>
                      <wps:txbx>
                        <w:txbxContent>
                          <w:p w14:paraId="5DD0305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wrap="square" upright="1"/>
                    </wps:wsp>
                  </a:graphicData>
                </a:graphic>
              </wp:anchor>
            </w:drawing>
          </mc:Choice>
          <mc:Fallback>
            <w:pict>
              <v:shape id="文本框 309" o:spid="_x0000_s1026" o:spt="202" type="#_x0000_t202" style="position:absolute;left:0pt;margin-left:-9pt;margin-top:4.05pt;height:39.8pt;width:72pt;z-index:251973632;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1RYym1AAAAAgBAAAPAAAAAAAAAAEAIAAAACIAAABkcnMvZG93bnJldi54bWxQSwEC&#10;FAAUAAAACACHTuJAEUqbkb8BAABtAwAADgAAAAAAAAABACAAAAAjAQAAZHJzL2Uyb0RvYy54bWxQ&#10;SwUGAAAAAAYABgBZAQAAVAUAAAAA&#10;">
                <v:fill on="f" focussize="0,0"/>
                <v:stroke on="f"/>
                <v:imagedata o:title=""/>
                <o:lock v:ext="edit" aspectratio="f"/>
                <v:textbox>
                  <w:txbxContent>
                    <w:p w14:paraId="5DD0305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hAnsi="宋体"/>
          <w:color w:val="auto"/>
          <w:sz w:val="22"/>
          <w:szCs w:val="22"/>
          <w:highlight w:val="none"/>
        </w:rPr>
        <w:t>如果因本条规定工程量偏差使某一分部分项工程费的变化超过10%，且该变化引起措施项目相应发生变化，则发生变化部分的措施项目费应按照第72.3款规定调整。除专用条款另有约定外，应按照下列规定调整发生变化的措施项目费结算价：</w:t>
      </w:r>
    </w:p>
    <w:p w14:paraId="62D99EAB">
      <w:pPr>
        <w:pStyle w:val="22"/>
        <w:tabs>
          <w:tab w:val="left" w:pos="900"/>
        </w:tabs>
        <w:adjustRightInd w:val="0"/>
        <w:snapToGrid w:val="0"/>
        <w:spacing w:line="420" w:lineRule="exact"/>
        <w:ind w:left="2190" w:leftChars="781" w:hanging="550" w:hangingChars="250"/>
        <w:rPr>
          <w:rFonts w:hAnsi="宋体"/>
          <w:color w:val="auto"/>
          <w:sz w:val="22"/>
          <w:szCs w:val="22"/>
          <w:highlight w:val="none"/>
        </w:rPr>
      </w:pPr>
      <w:r>
        <w:rPr>
          <w:rFonts w:hint="eastAsia" w:hAnsi="宋体"/>
          <w:color w:val="auto"/>
          <w:sz w:val="22"/>
          <w:szCs w:val="22"/>
          <w:highlight w:val="none"/>
        </w:rPr>
        <w:t>（1）当S</w:t>
      </w:r>
      <w:r>
        <w:rPr>
          <w:rFonts w:hint="eastAsia" w:hAnsi="宋体"/>
          <w:color w:val="auto"/>
          <w:sz w:val="22"/>
          <w:szCs w:val="22"/>
          <w:highlight w:val="none"/>
          <w:vertAlign w:val="subscript"/>
        </w:rPr>
        <w:t>1</w:t>
      </w:r>
      <w:r>
        <w:rPr>
          <w:rFonts w:hint="eastAsia" w:hAnsi="宋体"/>
          <w:color w:val="auto"/>
          <w:sz w:val="22"/>
          <w:szCs w:val="22"/>
          <w:highlight w:val="none"/>
        </w:rPr>
        <w:t>﹥1.1S</w:t>
      </w:r>
      <w:r>
        <w:rPr>
          <w:rFonts w:hint="eastAsia" w:hAnsi="宋体"/>
          <w:color w:val="auto"/>
          <w:sz w:val="22"/>
          <w:szCs w:val="22"/>
          <w:highlight w:val="none"/>
          <w:vertAlign w:val="subscript"/>
        </w:rPr>
        <w:t>0</w:t>
      </w:r>
      <w:r>
        <w:rPr>
          <w:rFonts w:hint="eastAsia" w:hAnsi="宋体"/>
          <w:color w:val="auto"/>
          <w:sz w:val="22"/>
          <w:szCs w:val="22"/>
          <w:highlight w:val="none"/>
        </w:rPr>
        <w:t>时，M</w:t>
      </w:r>
      <w:r>
        <w:rPr>
          <w:rFonts w:hint="eastAsia" w:hAnsi="宋体"/>
          <w:color w:val="auto"/>
          <w:sz w:val="22"/>
          <w:szCs w:val="22"/>
          <w:highlight w:val="none"/>
          <w:vertAlign w:val="subscript"/>
        </w:rPr>
        <w:t>1</w:t>
      </w:r>
      <w:r>
        <w:rPr>
          <w:rFonts w:hint="eastAsia" w:hAnsi="宋体"/>
          <w:color w:val="auto"/>
          <w:sz w:val="22"/>
          <w:szCs w:val="22"/>
          <w:highlight w:val="none"/>
        </w:rPr>
        <w:t>=M</w:t>
      </w:r>
      <w:r>
        <w:rPr>
          <w:rFonts w:hint="eastAsia" w:hAnsi="宋体"/>
          <w:color w:val="auto"/>
          <w:sz w:val="22"/>
          <w:szCs w:val="22"/>
          <w:highlight w:val="none"/>
          <w:vertAlign w:val="subscript"/>
        </w:rPr>
        <w:t>0</w:t>
      </w:r>
      <w:r>
        <w:rPr>
          <w:rFonts w:hint="eastAsia" w:hAnsi="宋体"/>
          <w:color w:val="auto"/>
          <w:sz w:val="22"/>
          <w:szCs w:val="22"/>
          <w:highlight w:val="none"/>
        </w:rPr>
        <w:t>+△M</w:t>
      </w:r>
    </w:p>
    <w:p w14:paraId="6BF4BC7F">
      <w:pPr>
        <w:pStyle w:val="22"/>
        <w:adjustRightInd w:val="0"/>
        <w:snapToGrid w:val="0"/>
        <w:spacing w:line="420" w:lineRule="exact"/>
        <w:ind w:left="2190" w:leftChars="781" w:hanging="550" w:hangingChars="250"/>
        <w:rPr>
          <w:rFonts w:hAnsi="宋体"/>
          <w:color w:val="auto"/>
          <w:sz w:val="22"/>
          <w:szCs w:val="22"/>
          <w:highlight w:val="none"/>
        </w:rPr>
      </w:pPr>
      <w:r>
        <w:rPr>
          <w:rFonts w:hint="eastAsia" w:hAnsi="宋体"/>
          <w:color w:val="auto"/>
          <w:sz w:val="22"/>
          <w:szCs w:val="22"/>
          <w:highlight w:val="none"/>
        </w:rPr>
        <w:t>（2）当S</w:t>
      </w:r>
      <w:r>
        <w:rPr>
          <w:rFonts w:hint="eastAsia" w:hAnsi="宋体"/>
          <w:color w:val="auto"/>
          <w:sz w:val="22"/>
          <w:szCs w:val="22"/>
          <w:highlight w:val="none"/>
          <w:vertAlign w:val="subscript"/>
        </w:rPr>
        <w:t>1</w:t>
      </w:r>
      <w:r>
        <w:rPr>
          <w:rFonts w:hint="eastAsia" w:hAnsi="宋体"/>
          <w:color w:val="auto"/>
          <w:sz w:val="22"/>
          <w:szCs w:val="22"/>
          <w:highlight w:val="none"/>
        </w:rPr>
        <w:t>﹤0.9S</w:t>
      </w:r>
      <w:r>
        <w:rPr>
          <w:rFonts w:hint="eastAsia" w:hAnsi="宋体"/>
          <w:color w:val="auto"/>
          <w:sz w:val="22"/>
          <w:szCs w:val="22"/>
          <w:highlight w:val="none"/>
          <w:vertAlign w:val="subscript"/>
        </w:rPr>
        <w:t>0</w:t>
      </w:r>
      <w:r>
        <w:rPr>
          <w:rFonts w:hint="eastAsia" w:hAnsi="宋体"/>
          <w:color w:val="auto"/>
          <w:sz w:val="22"/>
          <w:szCs w:val="22"/>
          <w:highlight w:val="none"/>
        </w:rPr>
        <w:t>时，M</w:t>
      </w:r>
      <w:r>
        <w:rPr>
          <w:rFonts w:hint="eastAsia" w:hAnsi="宋体"/>
          <w:color w:val="auto"/>
          <w:sz w:val="22"/>
          <w:szCs w:val="22"/>
          <w:highlight w:val="none"/>
          <w:vertAlign w:val="subscript"/>
        </w:rPr>
        <w:t>1</w:t>
      </w:r>
      <w:r>
        <w:rPr>
          <w:rFonts w:hint="eastAsia" w:hAnsi="宋体"/>
          <w:color w:val="auto"/>
          <w:sz w:val="22"/>
          <w:szCs w:val="22"/>
          <w:highlight w:val="none"/>
        </w:rPr>
        <w:t>=M</w:t>
      </w:r>
      <w:r>
        <w:rPr>
          <w:rFonts w:hint="eastAsia" w:hAnsi="宋体"/>
          <w:color w:val="auto"/>
          <w:sz w:val="22"/>
          <w:szCs w:val="22"/>
          <w:highlight w:val="none"/>
          <w:vertAlign w:val="subscript"/>
        </w:rPr>
        <w:t>0</w:t>
      </w:r>
      <w:r>
        <w:rPr>
          <w:rFonts w:hint="eastAsia" w:hAnsi="宋体"/>
          <w:color w:val="auto"/>
          <w:sz w:val="22"/>
          <w:szCs w:val="22"/>
          <w:highlight w:val="none"/>
        </w:rPr>
        <w:t>–△M</w:t>
      </w:r>
    </w:p>
    <w:p w14:paraId="0F79A5B1">
      <w:pPr>
        <w:pStyle w:val="22"/>
        <w:adjustRightInd w:val="0"/>
        <w:snapToGrid w:val="0"/>
        <w:spacing w:line="420" w:lineRule="exact"/>
        <w:ind w:firstLine="1650" w:firstLineChars="750"/>
        <w:rPr>
          <w:rFonts w:hAnsi="宋体"/>
          <w:color w:val="auto"/>
          <w:sz w:val="22"/>
          <w:szCs w:val="22"/>
          <w:highlight w:val="none"/>
        </w:rPr>
      </w:pPr>
      <w:r>
        <w:rPr>
          <w:rFonts w:hint="eastAsia" w:hAnsi="宋体"/>
          <w:color w:val="auto"/>
          <w:sz w:val="22"/>
          <w:szCs w:val="22"/>
          <w:highlight w:val="none"/>
        </w:rPr>
        <w:t>式中M</w:t>
      </w:r>
      <w:r>
        <w:rPr>
          <w:rFonts w:hint="eastAsia" w:hAnsi="宋体"/>
          <w:color w:val="auto"/>
          <w:sz w:val="22"/>
          <w:szCs w:val="22"/>
          <w:highlight w:val="none"/>
          <w:vertAlign w:val="subscript"/>
        </w:rPr>
        <w:t>1</w:t>
      </w:r>
      <w:r>
        <w:rPr>
          <w:rFonts w:hint="eastAsia" w:hAnsi="宋体"/>
          <w:color w:val="auto"/>
          <w:sz w:val="22"/>
          <w:szCs w:val="22"/>
          <w:highlight w:val="none"/>
        </w:rPr>
        <w:t>——调整后的发生变化措施项目费结算价；</w:t>
      </w:r>
    </w:p>
    <w:p w14:paraId="7B582694">
      <w:pPr>
        <w:pStyle w:val="22"/>
        <w:adjustRightInd w:val="0"/>
        <w:snapToGrid w:val="0"/>
        <w:spacing w:line="420" w:lineRule="exact"/>
        <w:ind w:firstLine="2090" w:firstLineChars="950"/>
        <w:rPr>
          <w:rFonts w:hAnsi="宋体"/>
          <w:color w:val="auto"/>
          <w:sz w:val="22"/>
          <w:szCs w:val="22"/>
          <w:highlight w:val="none"/>
        </w:rPr>
      </w:pPr>
      <w:r>
        <w:rPr>
          <w:rFonts w:hint="eastAsia" w:hAnsi="宋体"/>
          <w:color w:val="auto"/>
          <w:sz w:val="22"/>
          <w:szCs w:val="22"/>
          <w:highlight w:val="none"/>
        </w:rPr>
        <w:t>M</w:t>
      </w:r>
      <w:r>
        <w:rPr>
          <w:rFonts w:hint="eastAsia" w:hAnsi="宋体"/>
          <w:color w:val="auto"/>
          <w:sz w:val="22"/>
          <w:szCs w:val="22"/>
          <w:highlight w:val="none"/>
          <w:vertAlign w:val="subscript"/>
        </w:rPr>
        <w:t>0</w:t>
      </w:r>
      <w:r>
        <w:rPr>
          <w:rFonts w:hint="eastAsia" w:hAnsi="宋体"/>
          <w:color w:val="auto"/>
          <w:sz w:val="22"/>
          <w:szCs w:val="22"/>
          <w:highlight w:val="none"/>
        </w:rPr>
        <w:t>——承包人在工程量清单中填报的措施项目费；</w:t>
      </w:r>
    </w:p>
    <w:p w14:paraId="7070A5E8">
      <w:pPr>
        <w:pStyle w:val="22"/>
        <w:adjustRightInd w:val="0"/>
        <w:snapToGrid w:val="0"/>
        <w:spacing w:line="420" w:lineRule="exact"/>
        <w:ind w:left="960" w:leftChars="457" w:firstLine="1210" w:firstLineChars="550"/>
        <w:rPr>
          <w:rFonts w:hAnsi="宋体"/>
          <w:color w:val="auto"/>
          <w:sz w:val="22"/>
          <w:szCs w:val="22"/>
          <w:highlight w:val="none"/>
        </w:rPr>
      </w:pPr>
      <w:r>
        <w:rPr>
          <w:rFonts w:hint="eastAsia" w:hAnsi="宋体"/>
          <w:color w:val="auto"/>
          <w:sz w:val="22"/>
          <w:szCs w:val="22"/>
          <w:highlight w:val="none"/>
        </w:rPr>
        <w:t>∆M——按照第72.3款规定调整的发生变化部分的措施项目费；</w:t>
      </w:r>
    </w:p>
    <w:p w14:paraId="0562BD85">
      <w:pPr>
        <w:pStyle w:val="22"/>
        <w:adjustRightInd w:val="0"/>
        <w:snapToGrid w:val="0"/>
        <w:spacing w:line="420" w:lineRule="exact"/>
        <w:ind w:firstLine="2090" w:firstLineChars="950"/>
        <w:rPr>
          <w:rFonts w:hAnsi="宋体"/>
          <w:color w:val="auto"/>
          <w:sz w:val="22"/>
          <w:szCs w:val="22"/>
          <w:highlight w:val="none"/>
        </w:rPr>
      </w:pPr>
      <w:r>
        <w:rPr>
          <w:rFonts w:hint="eastAsia" w:hAnsi="宋体"/>
          <w:color w:val="auto"/>
          <w:sz w:val="22"/>
          <w:szCs w:val="22"/>
          <w:highlight w:val="none"/>
        </w:rPr>
        <w:t>S</w:t>
      </w:r>
      <w:r>
        <w:rPr>
          <w:rFonts w:hint="eastAsia" w:hAnsi="宋体"/>
          <w:color w:val="auto"/>
          <w:sz w:val="22"/>
          <w:szCs w:val="22"/>
          <w:highlight w:val="none"/>
          <w:vertAlign w:val="subscript"/>
        </w:rPr>
        <w:t>1</w:t>
      </w:r>
      <w:r>
        <w:rPr>
          <w:rFonts w:hint="eastAsia" w:hAnsi="宋体"/>
          <w:color w:val="auto"/>
          <w:sz w:val="22"/>
          <w:szCs w:val="22"/>
          <w:highlight w:val="none"/>
        </w:rPr>
        <w:t>——调整后的某一分部分项工程费结算价；</w:t>
      </w:r>
    </w:p>
    <w:p w14:paraId="735DE35A">
      <w:pPr>
        <w:pStyle w:val="22"/>
        <w:adjustRightInd w:val="0"/>
        <w:snapToGrid w:val="0"/>
        <w:spacing w:line="420" w:lineRule="exact"/>
        <w:ind w:firstLine="2090" w:firstLineChars="950"/>
        <w:rPr>
          <w:rFonts w:hAnsi="宋体"/>
          <w:color w:val="auto"/>
          <w:sz w:val="22"/>
          <w:szCs w:val="22"/>
          <w:highlight w:val="none"/>
        </w:rPr>
      </w:pPr>
      <w:r>
        <w:rPr>
          <w:rFonts w:hint="eastAsia" w:hAnsi="宋体"/>
          <w:color w:val="auto"/>
          <w:sz w:val="22"/>
          <w:szCs w:val="22"/>
          <w:highlight w:val="none"/>
        </w:rPr>
        <w:t>S</w:t>
      </w:r>
      <w:r>
        <w:rPr>
          <w:rFonts w:hint="eastAsia" w:hAnsi="宋体"/>
          <w:color w:val="auto"/>
          <w:sz w:val="22"/>
          <w:szCs w:val="22"/>
          <w:highlight w:val="none"/>
          <w:vertAlign w:val="subscript"/>
        </w:rPr>
        <w:t>0</w:t>
      </w:r>
      <w:r>
        <w:rPr>
          <w:rFonts w:hint="eastAsia" w:hAnsi="宋体"/>
          <w:color w:val="auto"/>
          <w:sz w:val="22"/>
          <w:szCs w:val="22"/>
          <w:highlight w:val="none"/>
        </w:rPr>
        <w:t>——承包人报价文件对应的某一分部分项工程费。</w:t>
      </w:r>
    </w:p>
    <w:p w14:paraId="50F42E53">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29345889">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17" w:name="_Toc14848"/>
      <w:bookmarkStart w:id="418" w:name="_Toc21390"/>
      <w:bookmarkStart w:id="419" w:name="_Toc469384058"/>
      <w:r>
        <w:rPr>
          <w:rFonts w:hint="eastAsia" w:hAnsi="宋体"/>
          <w:b/>
          <w:bCs/>
          <w:color w:val="auto"/>
          <w:sz w:val="22"/>
          <w:szCs w:val="22"/>
          <w:highlight w:val="none"/>
        </w:rPr>
        <w:t>★74  费用索赔事件</w:t>
      </w:r>
      <w:bookmarkEnd w:id="417"/>
      <w:bookmarkEnd w:id="418"/>
      <w:bookmarkEnd w:id="419"/>
    </w:p>
    <w:p w14:paraId="5B6AF7AA">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74.1      </w:t>
      </w:r>
    </w:p>
    <w:p w14:paraId="1489C212">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6" name="文本框 31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36125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wrap="square" upright="1"/>
                    </wps:wsp>
                  </a:graphicData>
                </a:graphic>
              </wp:anchor>
            </w:drawing>
          </mc:Choice>
          <mc:Fallback>
            <w:pict>
              <v:shape id="文本框 310" o:spid="_x0000_s1026" o:spt="202" type="#_x0000_t202" style="position:absolute;left:0pt;margin-left:-9pt;margin-top:1.25pt;height:31.2pt;width:72pt;z-index:2519746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z/Bw1QAAAAgBAAAPAAAAAAAAAAEAIAAAACIAAABkcnMvZG93bnJldi54bWxQSwEC&#10;FAAUAAAACACHTuJApSredL4BAABtAwAADgAAAAAAAAABACAAAAAkAQAAZHJzL2Uyb0RvYy54bWxQ&#10;SwUGAAAAAAYABgBZAQAAVAUAAAAA&#10;">
                <v:fill on="f" focussize="0,0"/>
                <v:stroke on="f"/>
                <v:imagedata o:title=""/>
                <o:lock v:ext="edit" aspectratio="f"/>
                <v:textbox>
                  <w:txbxContent>
                    <w:p w14:paraId="436125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hAnsi="宋体"/>
          <w:color w:val="auto"/>
          <w:sz w:val="22"/>
          <w:szCs w:val="22"/>
          <w:highlight w:val="none"/>
        </w:rPr>
        <w:t>费用索赔是指合同履行期间，对于非自己过错而应由对方当事人承担责任的情况造成的损失，向对方当事人提出经济补偿要求的行为。</w:t>
      </w:r>
    </w:p>
    <w:p w14:paraId="61C670E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合同履行期间，出现费用索赔事件的，合同双方当事人应调整合同价款。</w:t>
      </w:r>
    </w:p>
    <w:p w14:paraId="039C1568">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74.2  </w:t>
      </w:r>
      <w:r>
        <w:rPr>
          <w:rFonts w:hint="eastAsia" w:hAnsi="宋体"/>
          <w:b/>
          <w:bCs/>
          <w:color w:val="auto"/>
          <w:sz w:val="22"/>
          <w:szCs w:val="22"/>
          <w:highlight w:val="none"/>
          <w:u w:val="dotted"/>
        </w:rPr>
        <w:t xml:space="preserve">                                                                                      </w:t>
      </w:r>
      <w:r>
        <w:rPr>
          <w:rFonts w:hint="eastAsia" w:hAnsi="宋体"/>
          <w:b/>
          <w:bCs/>
          <w:color w:val="auto"/>
          <w:sz w:val="22"/>
          <w:szCs w:val="22"/>
          <w:highlight w:val="none"/>
        </w:rPr>
        <w:t xml:space="preserve">      </w:t>
      </w:r>
    </w:p>
    <w:p w14:paraId="5E72BFE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7" name="文本框 31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2634482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wrap="square" upright="1"/>
                    </wps:wsp>
                  </a:graphicData>
                </a:graphic>
              </wp:anchor>
            </w:drawing>
          </mc:Choice>
          <mc:Fallback>
            <w:pict>
              <v:shape id="文本框 311" o:spid="_x0000_s1026" o:spt="202" type="#_x0000_t202" style="position:absolute;left:0pt;margin-left:-9pt;margin-top:1.25pt;height:31.2pt;width:72pt;z-index:25197568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8/wcNUAAAAIAQAADwAAAAAAAAABACAAAAAiAAAAZHJzL2Rvd25yZXYueG1sUEsB&#10;AhQAFAAAAAgAh07iQFfVHIi/AQAAbQMAAA4AAAAAAAAAAQAgAAAAJAEAAGRycy9lMm9Eb2MueG1s&#10;UEsFBgAAAAAGAAYAWQEAAFUFAAAAAA==&#10;">
                <v:fill on="f" focussize="0,0"/>
                <v:stroke on="f"/>
                <v:imagedata o:title=""/>
                <o:lock v:ext="edit" aspectratio="f"/>
                <v:textbox>
                  <w:txbxContent>
                    <w:p w14:paraId="2634482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hAnsi="宋体"/>
          <w:color w:val="auto"/>
          <w:sz w:val="22"/>
          <w:szCs w:val="22"/>
          <w:highlight w:val="none"/>
        </w:rPr>
        <w:t>如果承包人根据合同约定提出任何费用或其它形式的损失索赔时，应在该索赔事件首次发生之后的14天内向造价工程师发出索赔意向书，并抄送发包人。</w:t>
      </w:r>
    </w:p>
    <w:p w14:paraId="268101E7">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74.3  </w:t>
      </w:r>
      <w:r>
        <w:rPr>
          <w:rFonts w:hint="eastAsia" w:hAnsi="宋体"/>
          <w:b/>
          <w:bCs/>
          <w:color w:val="auto"/>
          <w:sz w:val="22"/>
          <w:szCs w:val="22"/>
          <w:highlight w:val="none"/>
          <w:u w:val="dotted"/>
        </w:rPr>
        <w:t xml:space="preserve">                                                                                                        </w:t>
      </w:r>
    </w:p>
    <w:p w14:paraId="5474D02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308" name="文本框 312"/>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a:effectLst/>
                      </wps:spPr>
                      <wps:txbx>
                        <w:txbxContent>
                          <w:p w14:paraId="0F32B7F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wrap="square" upright="1"/>
                    </wps:wsp>
                  </a:graphicData>
                </a:graphic>
              </wp:anchor>
            </w:drawing>
          </mc:Choice>
          <mc:Fallback>
            <w:pict>
              <v:shape id="文本框 312" o:spid="_x0000_s1026" o:spt="202" type="#_x0000_t202" style="position:absolute;left:0pt;margin-left:-9pt;margin-top:0.05pt;height:41.15pt;width:72pt;z-index:251976704;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3TZAp0wAAAAcBAAAPAAAAAAAAAAEAIAAAACIAAABkcnMvZG93bnJldi54bWxQSwECFAAU&#10;AAAACACHTuJA1prkQb0BAABtAwAADgAAAAAAAAABACAAAAAiAQAAZHJzL2Uyb0RvYy54bWxQSwUG&#10;AAAAAAYABgBZAQAAUQUAAAAA&#10;">
                <v:fill on="f" focussize="0,0"/>
                <v:stroke on="f"/>
                <v:imagedata o:title=""/>
                <o:lock v:ext="edit" aspectratio="f"/>
                <v:textbox>
                  <w:txbxContent>
                    <w:p w14:paraId="0F32B7F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hAnsi="宋体"/>
          <w:color w:val="auto"/>
          <w:sz w:val="22"/>
          <w:szCs w:val="22"/>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208019EA">
      <w:pPr>
        <w:pStyle w:val="22"/>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 xml:space="preserve">74.4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54424CE2">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309" name="文本框 313"/>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a:effectLst/>
                      </wps:spPr>
                      <wps:txbx>
                        <w:txbxContent>
                          <w:p w14:paraId="45FCDDB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1C6BF94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wrap="square" upright="1"/>
                    </wps:wsp>
                  </a:graphicData>
                </a:graphic>
              </wp:anchor>
            </w:drawing>
          </mc:Choice>
          <mc:Fallback>
            <w:pict>
              <v:shape id="文本框 313" o:spid="_x0000_s1026" o:spt="202" type="#_x0000_t202" style="position:absolute;left:0pt;margin-left:-9pt;margin-top:0.4pt;height:37.8pt;width:81pt;z-index:251977728;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GayXNMAAAAHAQAADwAAAAAAAAABACAAAAAiAAAAZHJzL2Rvd25yZXYueG1sUEsBAhQA&#10;FAAAAAgAh07iQKP25xC+AQAAbgMAAA4AAAAAAAAAAQAgAAAAIgEAAGRycy9lMm9Eb2MueG1sUEsF&#10;BgAAAAAGAAYAWQEAAFIFAAAAAA==&#10;">
                <v:fill on="f" focussize="0,0"/>
                <v:stroke on="f"/>
                <v:imagedata o:title=""/>
                <o:lock v:ext="edit" aspectratio="f"/>
                <v:textbox>
                  <w:txbxContent>
                    <w:p w14:paraId="45FCDDB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1C6BF94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hAnsi="宋体"/>
          <w:color w:val="auto"/>
          <w:sz w:val="22"/>
          <w:szCs w:val="22"/>
          <w:highlight w:val="none"/>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14:paraId="5C4869DC">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310" name="文本框 314"/>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a:effectLst/>
                      </wps:spPr>
                      <wps:txbx>
                        <w:txbxContent>
                          <w:p w14:paraId="7CAB6CA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wrap="square" upright="1"/>
                    </wps:wsp>
                  </a:graphicData>
                </a:graphic>
              </wp:anchor>
            </w:drawing>
          </mc:Choice>
          <mc:Fallback>
            <w:pict>
              <v:shape id="文本框 314" o:spid="_x0000_s1026" o:spt="202" type="#_x0000_t202" style="position:absolute;left:0pt;margin-left:-9pt;margin-top:19.75pt;height:25.55pt;width:63pt;z-index:251978752;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w1dqLWAAAACQEAAA8AAAAAAAAAAQAgAAAAIgAAAGRycy9kb3ducmV2LnhtbFBLAQIU&#10;ABQAAAAIAIdO4kDn8kkNvAEAAG0DAAAOAAAAAAAAAAEAIAAAACUBAABkcnMvZTJvRG9jLnhtbFBL&#10;BQYAAAAABgAGAFkBAABTBQAAAAA=&#10;">
                <v:fill on="f" focussize="0,0"/>
                <v:stroke on="f"/>
                <v:imagedata o:title=""/>
                <o:lock v:ext="edit" aspectratio="f"/>
                <v:textbox>
                  <w:txbxContent>
                    <w:p w14:paraId="7CAB6CA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hAnsi="宋体"/>
          <w:b/>
          <w:bCs/>
          <w:color w:val="auto"/>
          <w:sz w:val="22"/>
          <w:szCs w:val="22"/>
          <w:highlight w:val="none"/>
        </w:rPr>
        <w:t xml:space="preserve">74.5  </w:t>
      </w:r>
      <w:r>
        <w:rPr>
          <w:rFonts w:hint="eastAsia" w:hAnsi="宋体"/>
          <w:b/>
          <w:bCs/>
          <w:color w:val="auto"/>
          <w:sz w:val="22"/>
          <w:szCs w:val="22"/>
          <w:highlight w:val="none"/>
          <w:u w:val="dotted"/>
        </w:rPr>
        <w:t xml:space="preserve">                                                                                                        </w:t>
      </w:r>
    </w:p>
    <w:p w14:paraId="732F8F36">
      <w:pPr>
        <w:pStyle w:val="22"/>
        <w:adjustRightInd w:val="0"/>
        <w:snapToGrid w:val="0"/>
        <w:spacing w:line="420" w:lineRule="exact"/>
        <w:ind w:left="1619" w:leftChars="771"/>
        <w:rPr>
          <w:rFonts w:hAnsi="宋体"/>
          <w:b/>
          <w:bCs/>
          <w:color w:val="auto"/>
          <w:sz w:val="22"/>
          <w:szCs w:val="22"/>
          <w:highlight w:val="none"/>
        </w:rPr>
      </w:pPr>
      <w:r>
        <w:rPr>
          <w:rFonts w:hint="eastAsia" w:hAnsi="宋体"/>
          <w:color w:val="auto"/>
          <w:sz w:val="22"/>
          <w:szCs w:val="22"/>
          <w:highlight w:val="none"/>
        </w:rPr>
        <w:t>如果承包人提出的索赔未能遵守第74.2款至第74.4款规定，则承包人无权获得索赔或只限于获得由造价工程师按照提供记录予以核实的部分款额。</w:t>
      </w:r>
    </w:p>
    <w:p w14:paraId="415BCC18">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74.6  </w:t>
      </w:r>
      <w:r>
        <w:rPr>
          <w:rFonts w:hint="eastAsia" w:hAnsi="宋体"/>
          <w:b/>
          <w:bCs/>
          <w:color w:val="auto"/>
          <w:sz w:val="22"/>
          <w:szCs w:val="22"/>
          <w:highlight w:val="none"/>
          <w:u w:val="dotted"/>
        </w:rPr>
        <w:t xml:space="preserve">                                                                                                        </w:t>
      </w:r>
    </w:p>
    <w:p w14:paraId="2D6B6B51">
      <w:pPr>
        <w:pStyle w:val="22"/>
        <w:adjustRightInd w:val="0"/>
        <w:snapToGrid w:val="0"/>
        <w:spacing w:line="420" w:lineRule="exact"/>
        <w:ind w:left="1619" w:leftChars="771"/>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311" name="文本框 315"/>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a:effectLst/>
                      </wps:spPr>
                      <wps:txbx>
                        <w:txbxContent>
                          <w:p w14:paraId="6870F11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wrap="square" upright="1"/>
                    </wps:wsp>
                  </a:graphicData>
                </a:graphic>
              </wp:anchor>
            </w:drawing>
          </mc:Choice>
          <mc:Fallback>
            <w:pict>
              <v:shape id="文本框 315" o:spid="_x0000_s1026" o:spt="202" type="#_x0000_t202" style="position:absolute;left:0pt;margin-left:-9pt;margin-top:0.65pt;height:34.55pt;width:72pt;z-index:251979776;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9NBdUAAAAIAQAADwAAAAAAAAABACAAAAAiAAAAZHJzL2Rvd25yZXYueG1sUEsB&#10;AhQAFAAAAAgAh07iQPbwYlO/AQAAbQMAAA4AAAAAAAAAAQAgAAAAJAEAAGRycy9lMm9Eb2MueG1s&#10;UEsFBgAAAAAGAAYAWQEAAFUFAAAAAA==&#10;">
                <v:fill on="f" focussize="0,0"/>
                <v:stroke on="f"/>
                <v:imagedata o:title=""/>
                <o:lock v:ext="edit" aspectratio="f"/>
                <v:textbox>
                  <w:txbxContent>
                    <w:p w14:paraId="6870F11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hAnsi="宋体"/>
          <w:color w:val="auto"/>
          <w:sz w:val="22"/>
          <w:szCs w:val="22"/>
          <w:highlight w:val="none"/>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14:paraId="058B1245">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74.7  </w:t>
      </w:r>
      <w:r>
        <w:rPr>
          <w:rFonts w:hint="eastAsia" w:hAnsi="宋体"/>
          <w:b/>
          <w:bCs/>
          <w:color w:val="auto"/>
          <w:sz w:val="22"/>
          <w:szCs w:val="22"/>
          <w:highlight w:val="none"/>
          <w:u w:val="dotted"/>
        </w:rPr>
        <w:t xml:space="preserve">                                                                                                        </w:t>
      </w:r>
    </w:p>
    <w:p w14:paraId="063AF8F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312" name="文本框 316"/>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a:effectLst/>
                      </wps:spPr>
                      <wps:txbx>
                        <w:txbxContent>
                          <w:p w14:paraId="64F9B35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wrap="square" upright="1"/>
                    </wps:wsp>
                  </a:graphicData>
                </a:graphic>
              </wp:anchor>
            </w:drawing>
          </mc:Choice>
          <mc:Fallback>
            <w:pict>
              <v:shape id="文本框 316" o:spid="_x0000_s1026" o:spt="202" type="#_x0000_t202" style="position:absolute;left:0pt;margin-left:-9pt;margin-top:3.05pt;height:27.55pt;width:63pt;z-index:251980800;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63pJp0wAAAAgBAAAPAAAAAAAAAAEAIAAAACIAAABkcnMvZG93bnJldi54bWxQSwECFAAU&#10;AAAACACHTuJAcLoyj70BAABtAwAADgAAAAAAAAABACAAAAAiAQAAZHJzL2Uyb0RvYy54bWxQSwUG&#10;AAAAAAYABgBZAQAAUQUAAAAA&#10;">
                <v:fill on="f" focussize="0,0"/>
                <v:stroke on="f"/>
                <v:imagedata o:title=""/>
                <o:lock v:ext="edit" aspectratio="f"/>
                <v:textbox>
                  <w:txbxContent>
                    <w:p w14:paraId="64F9B35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hAnsi="宋体"/>
          <w:color w:val="auto"/>
          <w:sz w:val="22"/>
          <w:szCs w:val="22"/>
          <w:highlight w:val="none"/>
        </w:rPr>
        <w:t>承包人未能按照合同约定履行各项义务或发生错误，给发包人造成损失，发包人可按照本条规定的时限和要求向承包人提出索赔。</w:t>
      </w:r>
    </w:p>
    <w:p w14:paraId="0176AA50">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74.8  </w:t>
      </w:r>
      <w:r>
        <w:rPr>
          <w:rFonts w:hint="eastAsia" w:hAnsi="宋体"/>
          <w:b/>
          <w:bCs/>
          <w:color w:val="auto"/>
          <w:sz w:val="22"/>
          <w:szCs w:val="22"/>
          <w:highlight w:val="none"/>
          <w:u w:val="dotted"/>
        </w:rPr>
        <w:t xml:space="preserve">                                                                                                        </w:t>
      </w:r>
    </w:p>
    <w:p w14:paraId="26CB62BE">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313" name="文本框 317"/>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a:effectLst/>
                      </wps:spPr>
                      <wps:txbx>
                        <w:txbxContent>
                          <w:p w14:paraId="44DF642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wps:txbx>
                      <wps:bodyPr wrap="square" upright="1"/>
                    </wps:wsp>
                  </a:graphicData>
                </a:graphic>
              </wp:anchor>
            </w:drawing>
          </mc:Choice>
          <mc:Fallback>
            <w:pict>
              <v:shape id="文本框 317" o:spid="_x0000_s1026" o:spt="202" type="#_x0000_t202" style="position:absolute;left:0pt;margin-left:-9pt;margin-top:1.45pt;height:49pt;width:72pt;z-index:251981824;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rrpr1gAAAAkBAAAPAAAAAAAAAAEAIAAAACIAAABkcnMvZG93bnJldi54bWxQSwEC&#10;FAAUAAAACACHTuJAEYUfFL0BAABtAwAADgAAAAAAAAABACAAAAAlAQAAZHJzL2Uyb0RvYy54bWxQ&#10;SwUGAAAAAAYABgBZAQAAVAUAAAAA&#10;">
                <v:fill on="f" focussize="0,0"/>
                <v:stroke on="f"/>
                <v:imagedata o:title=""/>
                <o:lock v:ext="edit" aspectratio="f"/>
                <v:textbox>
                  <w:txbxContent>
                    <w:p w14:paraId="44DF642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v:textbox>
              </v:shape>
            </w:pict>
          </mc:Fallback>
        </mc:AlternateContent>
      </w:r>
      <w:r>
        <w:rPr>
          <w:rFonts w:hint="eastAsia" w:hAnsi="宋体"/>
          <w:color w:val="auto"/>
          <w:sz w:val="22"/>
          <w:szCs w:val="22"/>
          <w:highlight w:val="none"/>
        </w:rPr>
        <w:t>费用索赔报告被认可，则表明该事件已索赔成功，合同双方当事人应确认由此引起调整的合同价款，并作为追加（减）合同价款，与工程进度款或结算款同期支付。</w:t>
      </w:r>
    </w:p>
    <w:p w14:paraId="0DB6F1C6">
      <w:pPr>
        <w:pStyle w:val="22"/>
        <w:adjustRightInd w:val="0"/>
        <w:snapToGrid w:val="0"/>
        <w:spacing w:line="420" w:lineRule="exact"/>
        <w:ind w:right="-238"/>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5CEFE2C2">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20" w:name="_Toc1202"/>
      <w:bookmarkStart w:id="421" w:name="_Toc469384059"/>
      <w:bookmarkStart w:id="422" w:name="_Toc15610"/>
      <w:r>
        <w:rPr>
          <w:rFonts w:hint="eastAsia" w:hAnsi="宋体"/>
          <w:b/>
          <w:bCs/>
          <w:color w:val="auto"/>
          <w:sz w:val="22"/>
          <w:szCs w:val="22"/>
          <w:highlight w:val="none"/>
        </w:rPr>
        <w:t>★75  现场签证事件</w:t>
      </w:r>
      <w:bookmarkEnd w:id="420"/>
      <w:bookmarkEnd w:id="421"/>
      <w:bookmarkEnd w:id="422"/>
    </w:p>
    <w:p w14:paraId="0D0F298C">
      <w:pPr>
        <w:pStyle w:val="22"/>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75.1 </w:t>
      </w:r>
    </w:p>
    <w:p w14:paraId="43F882F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4" name="文本框 318"/>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a:effectLst/>
                      </wps:spPr>
                      <wps:txbx>
                        <w:txbxContent>
                          <w:p w14:paraId="45FA2D1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455F17A1">
                            <w:pPr>
                              <w:rPr>
                                <w:rFonts w:ascii="Times New Roman" w:hAnsi="Times New Roman" w:cs="Times New Roman"/>
                              </w:rPr>
                            </w:pPr>
                          </w:p>
                        </w:txbxContent>
                      </wps:txbx>
                      <wps:bodyPr wrap="square" upright="1"/>
                    </wps:wsp>
                  </a:graphicData>
                </a:graphic>
              </wp:anchor>
            </w:drawing>
          </mc:Choice>
          <mc:Fallback>
            <w:pict>
              <v:shape id="文本框 318" o:spid="_x0000_s1026" o:spt="202" type="#_x0000_t202" style="position:absolute;left:0pt;margin-left:-9pt;margin-top:0.4pt;height:40.2pt;width:72pt;z-index:251982848;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VuNf7TAAAABwEAAA8AAAAAAAAAAQAgAAAAIgAAAGRycy9kb3ducmV2LnhtbFBLAQIU&#10;ABQAAAAIAIdO4kADFT1cvwEAAG0DAAAOAAAAAAAAAAEAIAAAACIBAABkcnMvZTJvRG9jLnhtbFBL&#10;BQYAAAAABgAGAFkBAABTBQAAAAA=&#10;">
                <v:fill on="f" focussize="0,0"/>
                <v:stroke on="f"/>
                <v:imagedata o:title=""/>
                <o:lock v:ext="edit" aspectratio="f"/>
                <v:textbox>
                  <w:txbxContent>
                    <w:p w14:paraId="45FA2D1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455F17A1">
                      <w:pPr>
                        <w:rPr>
                          <w:rFonts w:ascii="Times New Roman" w:hAnsi="Times New Roman" w:cs="Times New Roman"/>
                        </w:rPr>
                      </w:pPr>
                    </w:p>
                  </w:txbxContent>
                </v:textbox>
              </v:shape>
            </w:pict>
          </mc:Fallback>
        </mc:AlternateContent>
      </w:r>
      <w:r>
        <w:rPr>
          <w:rFonts w:hint="eastAsia" w:hAnsi="宋体"/>
          <w:color w:val="auto"/>
          <w:sz w:val="22"/>
          <w:szCs w:val="22"/>
          <w:highlight w:val="none"/>
        </w:rPr>
        <w:t>现场签证是指合同双方当事人就施工过程中涉及的责任事件所作的签认证明。</w:t>
      </w:r>
    </w:p>
    <w:p w14:paraId="72106DC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合同履行期间，出现现场签证事件的，合同双方当事人应调整合同价款。</w:t>
      </w:r>
    </w:p>
    <w:p w14:paraId="082ED589">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75.2  </w:t>
      </w:r>
      <w:r>
        <w:rPr>
          <w:rFonts w:hint="eastAsia" w:hAnsi="宋体"/>
          <w:b/>
          <w:bCs/>
          <w:color w:val="auto"/>
          <w:sz w:val="22"/>
          <w:szCs w:val="22"/>
          <w:highlight w:val="none"/>
          <w:u w:val="dotted"/>
        </w:rPr>
        <w:t xml:space="preserve">                                                                          </w:t>
      </w:r>
    </w:p>
    <w:p w14:paraId="176CA41C">
      <w:pPr>
        <w:pStyle w:val="22"/>
        <w:adjustRightInd w:val="0"/>
        <w:snapToGrid w:val="0"/>
        <w:spacing w:line="420" w:lineRule="exact"/>
        <w:ind w:left="1617" w:leftChars="770" w:firstLine="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315" name="文本框 319"/>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a:effectLst/>
                      </wps:spPr>
                      <wps:txbx>
                        <w:txbxContent>
                          <w:p w14:paraId="4BB36F9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66DCA08E">
                            <w:pPr>
                              <w:rPr>
                                <w:rFonts w:ascii="Times New Roman" w:hAnsi="Times New Roman" w:cs="Times New Roman"/>
                              </w:rPr>
                            </w:pPr>
                          </w:p>
                        </w:txbxContent>
                      </wps:txbx>
                      <wps:bodyPr wrap="square" upright="1"/>
                    </wps:wsp>
                  </a:graphicData>
                </a:graphic>
              </wp:anchor>
            </w:drawing>
          </mc:Choice>
          <mc:Fallback>
            <w:pict>
              <v:shape id="文本框 319" o:spid="_x0000_s1026" o:spt="202" type="#_x0000_t202" style="position:absolute;left:0pt;margin-left:-9pt;margin-top:1.45pt;height:40.2pt;width:72pt;z-index:251983872;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Zeed9UAAAAIAQAADwAAAAAAAAABACAAAAAiAAAAZHJzL2Rvd25yZXYueG1sUEsB&#10;AhQAFAAAAAgAh07iQPHq/6C/AQAAbQMAAA4AAAAAAAAAAQAgAAAAJAEAAGRycy9lMm9Eb2MueG1s&#10;UEsFBgAAAAAGAAYAWQEAAFUFAAAAAA==&#10;">
                <v:fill on="f" focussize="0,0"/>
                <v:stroke on="f"/>
                <v:imagedata o:title=""/>
                <o:lock v:ext="edit" aspectratio="f"/>
                <v:textbox>
                  <w:txbxContent>
                    <w:p w14:paraId="4BB36F9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66DCA08E">
                      <w:pPr>
                        <w:rPr>
                          <w:rFonts w:ascii="Times New Roman" w:hAnsi="Times New Roman" w:cs="Times New Roman"/>
                        </w:rPr>
                      </w:pPr>
                    </w:p>
                  </w:txbxContent>
                </v:textbox>
              </v:shape>
            </w:pict>
          </mc:Fallback>
        </mc:AlternateContent>
      </w:r>
      <w:r>
        <w:rPr>
          <w:rFonts w:hint="eastAsia" w:hAnsi="宋体"/>
          <w:color w:val="auto"/>
          <w:sz w:val="22"/>
          <w:szCs w:val="22"/>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2B814B11">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75.3  </w:t>
      </w:r>
      <w:r>
        <w:rPr>
          <w:rFonts w:hint="eastAsia" w:hAnsi="宋体"/>
          <w:b/>
          <w:bCs/>
          <w:color w:val="auto"/>
          <w:sz w:val="22"/>
          <w:szCs w:val="22"/>
          <w:highlight w:val="none"/>
          <w:u w:val="dotted"/>
        </w:rPr>
        <w:t xml:space="preserve">                                                                          </w:t>
      </w:r>
    </w:p>
    <w:p w14:paraId="31D7FC2F">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6" name="文本框 32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a:effectLst/>
                      </wps:spPr>
                      <wps:txbx>
                        <w:txbxContent>
                          <w:p w14:paraId="78F9A61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2F0784F2">
                            <w:pPr>
                              <w:rPr>
                                <w:rFonts w:ascii="Times New Roman" w:hAnsi="Times New Roman" w:cs="Times New Roman"/>
                              </w:rPr>
                            </w:pPr>
                          </w:p>
                        </w:txbxContent>
                      </wps:txbx>
                      <wps:bodyPr wrap="square" upright="1"/>
                    </wps:wsp>
                  </a:graphicData>
                </a:graphic>
              </wp:anchor>
            </w:drawing>
          </mc:Choice>
          <mc:Fallback>
            <w:pict>
              <v:shape id="文本框 320" o:spid="_x0000_s1026" o:spt="202" type="#_x0000_t202" style="position:absolute;left:0pt;margin-left:-9pt;margin-top:0.4pt;height:40.2pt;width:72pt;z-index:25198489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W41/tMAAAAHAQAADwAAAAAAAAABACAAAAAiAAAAZHJzL2Rvd25yZXYueG1sUEsBAhQA&#10;FAAAAAgAh07iQIBK94O+AQAAbQMAAA4AAAAAAAAAAQAgAAAAIgEAAGRycy9lMm9Eb2MueG1sUEsF&#10;BgAAAAAGAAYAWQEAAFIFAAAAAA==&#10;">
                <v:fill on="f" focussize="0,0"/>
                <v:stroke on="f"/>
                <v:imagedata o:title=""/>
                <o:lock v:ext="edit" aspectratio="f"/>
                <v:textbox>
                  <w:txbxContent>
                    <w:p w14:paraId="78F9A61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2F0784F2">
                      <w:pPr>
                        <w:rPr>
                          <w:rFonts w:ascii="Times New Roman" w:hAnsi="Times New Roman" w:cs="Times New Roman"/>
                        </w:rPr>
                      </w:pPr>
                    </w:p>
                  </w:txbxContent>
                </v:textbox>
              </v:shape>
            </w:pict>
          </mc:Fallback>
        </mc:AlternateContent>
      </w:r>
      <w:r>
        <w:rPr>
          <w:rFonts w:hint="eastAsia" w:hAnsi="宋体"/>
          <w:color w:val="auto"/>
          <w:sz w:val="22"/>
          <w:szCs w:val="22"/>
          <w:highlight w:val="none"/>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视为承包人提交的现场签证报告已被认可。</w:t>
      </w:r>
    </w:p>
    <w:p w14:paraId="030BF11D">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75.4  </w:t>
      </w:r>
      <w:r>
        <w:rPr>
          <w:rFonts w:hint="eastAsia" w:hAnsi="宋体"/>
          <w:b/>
          <w:bCs/>
          <w:color w:val="auto"/>
          <w:sz w:val="22"/>
          <w:szCs w:val="22"/>
          <w:highlight w:val="none"/>
          <w:u w:val="dotted"/>
        </w:rPr>
        <w:t xml:space="preserve">                                                                          </w:t>
      </w:r>
    </w:p>
    <w:p w14:paraId="7137E8B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317" name="文本框 321"/>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a:effectLst/>
                      </wps:spPr>
                      <wps:txbx>
                        <w:txbxContent>
                          <w:p w14:paraId="251F489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1A5A6EB1">
                            <w:pPr>
                              <w:pStyle w:val="22"/>
                              <w:adjustRightInd w:val="0"/>
                              <w:snapToGrid w:val="0"/>
                              <w:spacing w:line="360" w:lineRule="auto"/>
                              <w:rPr>
                                <w:rFonts w:ascii="Times New Roman" w:hAnsi="Times New Roman" w:eastAsia="楷体_GB2312" w:cs="Times New Roman"/>
                                <w:b/>
                                <w:bCs/>
                                <w:sz w:val="18"/>
                                <w:szCs w:val="18"/>
                              </w:rPr>
                            </w:pPr>
                          </w:p>
                          <w:p w14:paraId="574EF319">
                            <w:pPr>
                              <w:rPr>
                                <w:rFonts w:ascii="Times New Roman" w:hAnsi="Times New Roman" w:cs="Times New Roman"/>
                              </w:rPr>
                            </w:pPr>
                          </w:p>
                        </w:txbxContent>
                      </wps:txbx>
                      <wps:bodyPr wrap="square" upright="1"/>
                    </wps:wsp>
                  </a:graphicData>
                </a:graphic>
              </wp:anchor>
            </w:drawing>
          </mc:Choice>
          <mc:Fallback>
            <w:pict>
              <v:shape id="文本框 321" o:spid="_x0000_s1026" o:spt="202" type="#_x0000_t202" style="position:absolute;left:0pt;margin-left:-9pt;margin-top:2.7pt;height:37.8pt;width:72pt;z-index:251985920;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cztPfVAAAACAEAAA8AAAAAAAAAAQAgAAAAIgAAAGRycy9kb3ducmV2LnhtbFBLAQIU&#10;ABQAAAAIAIdO4kA1kAYlvQEAAG0DAAAOAAAAAAAAAAEAIAAAACQBAABkcnMvZTJvRG9jLnhtbFBL&#10;BQYAAAAABgAGAFkBAABTBQAAAAA=&#10;">
                <v:fill on="f" focussize="0,0"/>
                <v:stroke on="f"/>
                <v:imagedata o:title=""/>
                <o:lock v:ext="edit" aspectratio="f"/>
                <v:textbox>
                  <w:txbxContent>
                    <w:p w14:paraId="251F489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1A5A6EB1">
                      <w:pPr>
                        <w:pStyle w:val="22"/>
                        <w:adjustRightInd w:val="0"/>
                        <w:snapToGrid w:val="0"/>
                        <w:spacing w:line="360" w:lineRule="auto"/>
                        <w:rPr>
                          <w:rFonts w:ascii="Times New Roman" w:hAnsi="Times New Roman" w:eastAsia="楷体_GB2312" w:cs="Times New Roman"/>
                          <w:b/>
                          <w:bCs/>
                          <w:sz w:val="18"/>
                          <w:szCs w:val="18"/>
                        </w:rPr>
                      </w:pPr>
                    </w:p>
                    <w:p w14:paraId="574EF319">
                      <w:pPr>
                        <w:rPr>
                          <w:rFonts w:ascii="Times New Roman" w:hAnsi="Times New Roman" w:cs="Times New Roman"/>
                        </w:rPr>
                      </w:pPr>
                    </w:p>
                  </w:txbxContent>
                </v:textbox>
              </v:shape>
            </w:pict>
          </mc:Fallback>
        </mc:AlternateContent>
      </w:r>
      <w:r>
        <w:rPr>
          <w:rFonts w:hint="eastAsia" w:hAnsi="宋体"/>
          <w:color w:val="auto"/>
          <w:sz w:val="22"/>
          <w:szCs w:val="22"/>
          <w:highlight w:val="none"/>
        </w:rPr>
        <w:t>计日工有相应单价或合同中有适用单价的项目，合同双方当事人仅在现场签证报告中列明完成该类项目所需的人工、材料、工程设备和施工设备机械台班的数量。</w:t>
      </w:r>
    </w:p>
    <w:p w14:paraId="5D2DDAEF">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计日工没有相应单价或合同中没有适用单价的项目，合同双方当事人应在现场签证报告中列明完成这类项目所需的人工、材料、工程设备和施工设备机械台班的数量和单价。</w:t>
      </w:r>
    </w:p>
    <w:p w14:paraId="5CDD510E">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75.5  </w:t>
      </w:r>
      <w:r>
        <w:rPr>
          <w:rFonts w:hint="eastAsia" w:hAnsi="宋体"/>
          <w:b/>
          <w:bCs/>
          <w:color w:val="auto"/>
          <w:sz w:val="22"/>
          <w:szCs w:val="22"/>
          <w:highlight w:val="none"/>
          <w:u w:val="dotted"/>
        </w:rPr>
        <w:t xml:space="preserve">                                                                          </w:t>
      </w:r>
    </w:p>
    <w:p w14:paraId="24AAF18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18" name="文本框 32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a:effectLst/>
                      </wps:spPr>
                      <wps:txbx>
                        <w:txbxContent>
                          <w:p w14:paraId="6FF7EB3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37E8F96D">
                            <w:pPr>
                              <w:pStyle w:val="22"/>
                              <w:adjustRightInd w:val="0"/>
                              <w:snapToGrid w:val="0"/>
                              <w:rPr>
                                <w:rFonts w:ascii="Times New Roman" w:hAnsi="Times New Roman" w:eastAsia="楷体_GB2312" w:cs="Times New Roman"/>
                                <w:b/>
                                <w:bCs/>
                                <w:sz w:val="18"/>
                                <w:szCs w:val="18"/>
                              </w:rPr>
                            </w:pPr>
                          </w:p>
                          <w:p w14:paraId="1FA24001">
                            <w:pPr>
                              <w:pStyle w:val="22"/>
                              <w:adjustRightInd w:val="0"/>
                              <w:snapToGrid w:val="0"/>
                              <w:spacing w:line="360" w:lineRule="auto"/>
                              <w:rPr>
                                <w:rFonts w:ascii="Times New Roman" w:hAnsi="Times New Roman" w:eastAsia="楷体_GB2312" w:cs="Times New Roman"/>
                                <w:b/>
                                <w:bCs/>
                                <w:sz w:val="18"/>
                                <w:szCs w:val="18"/>
                              </w:rPr>
                            </w:pPr>
                          </w:p>
                          <w:p w14:paraId="3782E653">
                            <w:pPr>
                              <w:rPr>
                                <w:rFonts w:ascii="Times New Roman" w:hAnsi="Times New Roman" w:cs="Times New Roman"/>
                              </w:rPr>
                            </w:pPr>
                          </w:p>
                        </w:txbxContent>
                      </wps:txbx>
                      <wps:bodyPr wrap="square" upright="1"/>
                    </wps:wsp>
                  </a:graphicData>
                </a:graphic>
              </wp:anchor>
            </w:drawing>
          </mc:Choice>
          <mc:Fallback>
            <w:pict>
              <v:shape id="文本框 322" o:spid="_x0000_s1026" o:spt="202" type="#_x0000_t202" style="position:absolute;left:0pt;margin-left:-9pt;margin-top:6.1pt;height:37.8pt;width:72pt;z-index:25198694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Hp6c1gAAAAkBAAAPAAAAAAAAAAEAIAAAACIAAABkcnMvZG93bnJldi54bWxQSwEC&#10;FAAUAAAACACHTuJA0mGV9L0BAABtAwAADgAAAAAAAAABACAAAAAlAQAAZHJzL2Uyb0RvYy54bWxQ&#10;SwUGAAAAAAYABgBZAQAAVAUAAAAA&#10;">
                <v:fill on="f" focussize="0,0"/>
                <v:stroke on="f"/>
                <v:imagedata o:title=""/>
                <o:lock v:ext="edit" aspectratio="f"/>
                <v:textbox>
                  <w:txbxContent>
                    <w:p w14:paraId="6FF7EB3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37E8F96D">
                      <w:pPr>
                        <w:pStyle w:val="22"/>
                        <w:adjustRightInd w:val="0"/>
                        <w:snapToGrid w:val="0"/>
                        <w:rPr>
                          <w:rFonts w:ascii="Times New Roman" w:hAnsi="Times New Roman" w:eastAsia="楷体_GB2312" w:cs="Times New Roman"/>
                          <w:b/>
                          <w:bCs/>
                          <w:sz w:val="18"/>
                          <w:szCs w:val="18"/>
                        </w:rPr>
                      </w:pPr>
                    </w:p>
                    <w:p w14:paraId="1FA24001">
                      <w:pPr>
                        <w:pStyle w:val="22"/>
                        <w:adjustRightInd w:val="0"/>
                        <w:snapToGrid w:val="0"/>
                        <w:spacing w:line="360" w:lineRule="auto"/>
                        <w:rPr>
                          <w:rFonts w:ascii="Times New Roman" w:hAnsi="Times New Roman" w:eastAsia="楷体_GB2312" w:cs="Times New Roman"/>
                          <w:b/>
                          <w:bCs/>
                          <w:sz w:val="18"/>
                          <w:szCs w:val="18"/>
                        </w:rPr>
                      </w:pPr>
                    </w:p>
                    <w:p w14:paraId="3782E653">
                      <w:pPr>
                        <w:rPr>
                          <w:rFonts w:ascii="Times New Roman" w:hAnsi="Times New Roman" w:cs="Times New Roman"/>
                        </w:rPr>
                      </w:pPr>
                    </w:p>
                  </w:txbxContent>
                </v:textbox>
              </v:shape>
            </w:pict>
          </mc:Fallback>
        </mc:AlternateContent>
      </w:r>
      <w:r>
        <w:rPr>
          <w:rFonts w:hint="eastAsia" w:hAnsi="宋体"/>
          <w:color w:val="auto"/>
          <w:sz w:val="22"/>
          <w:szCs w:val="22"/>
          <w:highlight w:val="none"/>
        </w:rPr>
        <w:t>承包人应在发包人确认现场签证报告后的48小时内，按照监理工程师发出的工作指令及时组织实施相关工作。否则，由此引起的损失和（或）延误的工期由承包人承担。</w:t>
      </w:r>
    </w:p>
    <w:p w14:paraId="755D5B70">
      <w:pPr>
        <w:pStyle w:val="22"/>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75.6  </w:t>
      </w:r>
      <w:r>
        <w:rPr>
          <w:rFonts w:hint="eastAsia" w:hAnsi="宋体"/>
          <w:b/>
          <w:bCs/>
          <w:color w:val="auto"/>
          <w:sz w:val="22"/>
          <w:szCs w:val="22"/>
          <w:highlight w:val="none"/>
          <w:u w:val="dotted"/>
        </w:rPr>
        <w:t xml:space="preserve">                                                                           </w:t>
      </w:r>
    </w:p>
    <w:p w14:paraId="2AFD106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19" name="文本框 32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a:effectLst/>
                      </wps:spPr>
                      <wps:txbx>
                        <w:txbxContent>
                          <w:p w14:paraId="7895D6D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50194244">
                            <w:pPr>
                              <w:pStyle w:val="16"/>
                              <w:spacing w:line="200" w:lineRule="exact"/>
                              <w:rPr>
                                <w:rFonts w:ascii="楷体_GB2312" w:hAnsi="宋体" w:eastAsia="楷体_GB2312"/>
                                <w:b/>
                                <w:bCs/>
                                <w:color w:val="000000"/>
                                <w:sz w:val="18"/>
                                <w:szCs w:val="18"/>
                              </w:rPr>
                            </w:pPr>
                          </w:p>
                          <w:p w14:paraId="02531606">
                            <w:pPr>
                              <w:pStyle w:val="22"/>
                              <w:adjustRightInd w:val="0"/>
                              <w:snapToGrid w:val="0"/>
                              <w:spacing w:line="360" w:lineRule="auto"/>
                              <w:rPr>
                                <w:rFonts w:ascii="Times New Roman" w:hAnsi="Times New Roman" w:eastAsia="楷体_GB2312" w:cs="Times New Roman"/>
                                <w:b/>
                                <w:bCs/>
                                <w:sz w:val="18"/>
                                <w:szCs w:val="18"/>
                              </w:rPr>
                            </w:pPr>
                          </w:p>
                          <w:p w14:paraId="77F51AB5">
                            <w:pPr>
                              <w:rPr>
                                <w:rFonts w:ascii="Times New Roman" w:hAnsi="Times New Roman" w:cs="Times New Roman"/>
                              </w:rPr>
                            </w:pPr>
                          </w:p>
                        </w:txbxContent>
                      </wps:txbx>
                      <wps:bodyPr wrap="square" upright="1"/>
                    </wps:wsp>
                  </a:graphicData>
                </a:graphic>
              </wp:anchor>
            </w:drawing>
          </mc:Choice>
          <mc:Fallback>
            <w:pict>
              <v:shape id="文本框 323" o:spid="_x0000_s1026" o:spt="202" type="#_x0000_t202" style="position:absolute;left:0pt;margin-left:-9pt;margin-top:6.1pt;height:37.8pt;width:72pt;z-index:25198796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x6enNYAAAAJAQAADwAAAAAAAAABACAAAAAiAAAAZHJzL2Rvd25yZXYueG1sUEsB&#10;AhQAFAAAAAgAh07iQCCeVwi+AQAAbQMAAA4AAAAAAAAAAQAgAAAAJQEAAGRycy9lMm9Eb2MueG1s&#10;UEsFBgAAAAAGAAYAWQEAAFUFAAAAAA==&#10;">
                <v:fill on="f" focussize="0,0"/>
                <v:stroke on="f"/>
                <v:imagedata o:title=""/>
                <o:lock v:ext="edit" aspectratio="f"/>
                <v:textbox>
                  <w:txbxContent>
                    <w:p w14:paraId="7895D6D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50194244">
                      <w:pPr>
                        <w:pStyle w:val="16"/>
                        <w:spacing w:line="200" w:lineRule="exact"/>
                        <w:rPr>
                          <w:rFonts w:ascii="楷体_GB2312" w:hAnsi="宋体" w:eastAsia="楷体_GB2312"/>
                          <w:b/>
                          <w:bCs/>
                          <w:color w:val="000000"/>
                          <w:sz w:val="18"/>
                          <w:szCs w:val="18"/>
                        </w:rPr>
                      </w:pPr>
                    </w:p>
                    <w:p w14:paraId="02531606">
                      <w:pPr>
                        <w:pStyle w:val="22"/>
                        <w:adjustRightInd w:val="0"/>
                        <w:snapToGrid w:val="0"/>
                        <w:spacing w:line="360" w:lineRule="auto"/>
                        <w:rPr>
                          <w:rFonts w:ascii="Times New Roman" w:hAnsi="Times New Roman" w:eastAsia="楷体_GB2312" w:cs="Times New Roman"/>
                          <w:b/>
                          <w:bCs/>
                          <w:sz w:val="18"/>
                          <w:szCs w:val="18"/>
                        </w:rPr>
                      </w:pPr>
                    </w:p>
                    <w:p w14:paraId="77F51AB5">
                      <w:pPr>
                        <w:rPr>
                          <w:rFonts w:ascii="Times New Roman" w:hAnsi="Times New Roman" w:cs="Times New Roman"/>
                        </w:rPr>
                      </w:pPr>
                    </w:p>
                  </w:txbxContent>
                </v:textbox>
              </v:shape>
            </w:pict>
          </mc:Fallback>
        </mc:AlternateContent>
      </w:r>
      <w:r>
        <w:rPr>
          <w:rFonts w:hint="eastAsia" w:hAnsi="宋体"/>
          <w:color w:val="auto"/>
          <w:sz w:val="22"/>
          <w:szCs w:val="22"/>
          <w:highlight w:val="none"/>
        </w:rPr>
        <w:t>合同工程发生现场签证事件，未经发包人签证、确认，承包人便擅自实施相关工作的，除非征得发包人同意，否则发生的费用由承包人承担。</w:t>
      </w:r>
    </w:p>
    <w:p w14:paraId="65C368C4">
      <w:pPr>
        <w:pStyle w:val="22"/>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75.7  </w:t>
      </w:r>
      <w:r>
        <w:rPr>
          <w:rFonts w:hint="eastAsia" w:hAnsi="宋体"/>
          <w:b/>
          <w:bCs/>
          <w:color w:val="auto"/>
          <w:sz w:val="22"/>
          <w:szCs w:val="22"/>
          <w:highlight w:val="none"/>
          <w:u w:val="dotted"/>
        </w:rPr>
        <w:t xml:space="preserve">                                                                           </w:t>
      </w:r>
    </w:p>
    <w:p w14:paraId="7CB3D7CB">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0" name="文本框 324"/>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a:effectLst/>
                      </wps:spPr>
                      <wps:txbx>
                        <w:txbxContent>
                          <w:p w14:paraId="5E7DAB9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443EAC92">
                            <w:pPr>
                              <w:pStyle w:val="22"/>
                              <w:adjustRightInd w:val="0"/>
                              <w:snapToGrid w:val="0"/>
                              <w:rPr>
                                <w:rFonts w:ascii="Times New Roman" w:hAnsi="Times New Roman" w:eastAsia="楷体_GB2312" w:cs="Times New Roman"/>
                                <w:b/>
                                <w:bCs/>
                                <w:sz w:val="18"/>
                                <w:szCs w:val="18"/>
                              </w:rPr>
                            </w:pPr>
                          </w:p>
                          <w:p w14:paraId="72DA4A96">
                            <w:pPr>
                              <w:pStyle w:val="22"/>
                              <w:adjustRightInd w:val="0"/>
                              <w:snapToGrid w:val="0"/>
                              <w:spacing w:line="360" w:lineRule="auto"/>
                              <w:rPr>
                                <w:rFonts w:ascii="Times New Roman" w:hAnsi="Times New Roman" w:eastAsia="楷体_GB2312" w:cs="Times New Roman"/>
                                <w:b/>
                                <w:bCs/>
                                <w:sz w:val="18"/>
                                <w:szCs w:val="18"/>
                              </w:rPr>
                            </w:pPr>
                          </w:p>
                          <w:p w14:paraId="3852016D">
                            <w:pPr>
                              <w:rPr>
                                <w:rFonts w:ascii="Times New Roman" w:hAnsi="Times New Roman" w:cs="Times New Roman"/>
                              </w:rPr>
                            </w:pPr>
                          </w:p>
                        </w:txbxContent>
                      </wps:txbx>
                      <wps:bodyPr wrap="square" upright="1"/>
                    </wps:wsp>
                  </a:graphicData>
                </a:graphic>
              </wp:anchor>
            </w:drawing>
          </mc:Choice>
          <mc:Fallback>
            <w:pict>
              <v:shape id="文本框 324" o:spid="_x0000_s1026" o:spt="202" type="#_x0000_t202" style="position:absolute;left:0pt;margin-left:-9pt;margin-top:6.1pt;height:37.8pt;width:72pt;z-index:25198899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Hp6c1gAAAAkBAAAPAAAAAAAAAAEAIAAAACIAAABkcnMvZG93bnJldi54bWxQSwEC&#10;FAAUAAAACACHTuJA63IjN70BAABtAwAADgAAAAAAAAABACAAAAAlAQAAZHJzL2Uyb0RvYy54bWxQ&#10;SwUGAAAAAAYABgBZAQAAVAUAAAAA&#10;">
                <v:fill on="f" focussize="0,0"/>
                <v:stroke on="f"/>
                <v:imagedata o:title=""/>
                <o:lock v:ext="edit" aspectratio="f"/>
                <v:textbox>
                  <w:txbxContent>
                    <w:p w14:paraId="5E7DAB9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443EAC92">
                      <w:pPr>
                        <w:pStyle w:val="22"/>
                        <w:adjustRightInd w:val="0"/>
                        <w:snapToGrid w:val="0"/>
                        <w:rPr>
                          <w:rFonts w:ascii="Times New Roman" w:hAnsi="Times New Roman" w:eastAsia="楷体_GB2312" w:cs="Times New Roman"/>
                          <w:b/>
                          <w:bCs/>
                          <w:sz w:val="18"/>
                          <w:szCs w:val="18"/>
                        </w:rPr>
                      </w:pPr>
                    </w:p>
                    <w:p w14:paraId="72DA4A96">
                      <w:pPr>
                        <w:pStyle w:val="22"/>
                        <w:adjustRightInd w:val="0"/>
                        <w:snapToGrid w:val="0"/>
                        <w:spacing w:line="360" w:lineRule="auto"/>
                        <w:rPr>
                          <w:rFonts w:ascii="Times New Roman" w:hAnsi="Times New Roman" w:eastAsia="楷体_GB2312" w:cs="Times New Roman"/>
                          <w:b/>
                          <w:bCs/>
                          <w:sz w:val="18"/>
                          <w:szCs w:val="18"/>
                        </w:rPr>
                      </w:pPr>
                    </w:p>
                    <w:p w14:paraId="3852016D">
                      <w:pPr>
                        <w:rPr>
                          <w:rFonts w:ascii="Times New Roman" w:hAnsi="Times New Roman" w:cs="Times New Roman"/>
                        </w:rPr>
                      </w:pPr>
                    </w:p>
                  </w:txbxContent>
                </v:textbox>
              </v:shape>
            </w:pict>
          </mc:Fallback>
        </mc:AlternateContent>
      </w:r>
      <w:r>
        <w:rPr>
          <w:rFonts w:hint="eastAsia" w:hAnsi="宋体"/>
          <w:color w:val="auto"/>
          <w:sz w:val="22"/>
          <w:szCs w:val="22"/>
          <w:highlight w:val="none"/>
        </w:rPr>
        <w:t>现场签证工作完成后的48小时内，合同双方当事人应确认由此引起调整的合同价款，并作为追加合同价款，与工程进度款同期支付。</w:t>
      </w:r>
    </w:p>
    <w:p w14:paraId="36CF8A6D">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1C5CBDAE">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23" w:name="_Toc469384060"/>
      <w:bookmarkStart w:id="424" w:name="_Toc9981"/>
      <w:bookmarkStart w:id="425" w:name="_Toc17835"/>
      <w:r>
        <w:rPr>
          <w:rFonts w:hint="eastAsia" w:hAnsi="宋体"/>
          <w:b/>
          <w:bCs/>
          <w:color w:val="auto"/>
          <w:sz w:val="22"/>
          <w:szCs w:val="22"/>
          <w:highlight w:val="none"/>
        </w:rPr>
        <w:t>★76  物价涨落事件</w:t>
      </w:r>
      <w:bookmarkEnd w:id="423"/>
      <w:bookmarkEnd w:id="424"/>
      <w:bookmarkEnd w:id="425"/>
    </w:p>
    <w:p w14:paraId="0C7A48C4">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321" name="文本框 325"/>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a:effectLst/>
                      </wps:spPr>
                      <wps:txbx>
                        <w:txbxContent>
                          <w:p w14:paraId="707973A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wps:txbx>
                      <wps:bodyPr wrap="square" upright="1"/>
                    </wps:wsp>
                  </a:graphicData>
                </a:graphic>
              </wp:anchor>
            </w:drawing>
          </mc:Choice>
          <mc:Fallback>
            <w:pict>
              <v:shape id="文本框 325" o:spid="_x0000_s1026" o:spt="202" type="#_x0000_t202" style="position:absolute;left:0pt;margin-left:-9pt;margin-top:21.6pt;height:46.55pt;width:72pt;z-index:251990016;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bMqot1wAAAAoBAAAPAAAAAAAAAAEAIAAAACIAAABkcnMvZG93bnJldi54bWxQ&#10;SwECFAAUAAAACACHTuJAX5VFFb8BAABtAwAADgAAAAAAAAABACAAAAAmAQAAZHJzL2Uyb0RvYy54&#10;bWxQSwUGAAAAAAYABgBZAQAAVwUAAAAA&#10;">
                <v:fill on="f" focussize="0,0"/>
                <v:stroke on="f"/>
                <v:imagedata o:title=""/>
                <o:lock v:ext="edit" aspectratio="f"/>
                <v:textbox>
                  <w:txbxContent>
                    <w:p w14:paraId="707973A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v:textbox>
              </v:shape>
            </w:pict>
          </mc:Fallback>
        </mc:AlternateContent>
      </w:r>
      <w:r>
        <w:rPr>
          <w:rFonts w:hint="eastAsia" w:hAnsi="宋体"/>
          <w:b/>
          <w:bCs/>
          <w:color w:val="auto"/>
          <w:sz w:val="22"/>
          <w:szCs w:val="22"/>
          <w:highlight w:val="none"/>
        </w:rPr>
        <w:t xml:space="preserve">76.1      </w:t>
      </w:r>
    </w:p>
    <w:p w14:paraId="65D7447B">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合同履行期间，除专用合同条款另有约定外，市场价格波动超过合同当事人约定的范围，合同价格应当调整。合同当事人可以在专用条款中约定按通用条款76.3款选择一种方式对合同价格进行调整。</w:t>
      </w:r>
    </w:p>
    <w:p w14:paraId="29A67852">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31783D95">
      <w:pPr>
        <w:pStyle w:val="22"/>
        <w:tabs>
          <w:tab w:val="left" w:pos="540"/>
        </w:tabs>
        <w:adjustRightInd w:val="0"/>
        <w:snapToGrid w:val="0"/>
        <w:spacing w:line="420" w:lineRule="exact"/>
        <w:rPr>
          <w:rFonts w:hAnsi="宋体"/>
          <w:b/>
          <w:bCs/>
          <w:color w:val="auto"/>
          <w:sz w:val="22"/>
          <w:szCs w:val="22"/>
          <w:highlight w:val="none"/>
          <w:u w:val="dotted"/>
        </w:rPr>
      </w:pPr>
      <w:r>
        <w:rPr>
          <w:rFonts w:hint="eastAsia" w:hAnsi="宋体"/>
          <w:color w:val="auto"/>
          <w:sz w:val="22"/>
          <w:szCs w:val="22"/>
          <w:highlight w:val="none"/>
        </w:rPr>
        <mc:AlternateContent>
          <mc:Choice Requires="wps">
            <w:drawing>
              <wp:anchor distT="0" distB="0" distL="114300" distR="114300" simplePos="0" relativeHeight="251991040"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322" name="文本框 32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29F181A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wrap="square" upright="1"/>
                    </wps:wsp>
                  </a:graphicData>
                </a:graphic>
              </wp:anchor>
            </w:drawing>
          </mc:Choice>
          <mc:Fallback>
            <w:pict>
              <v:shape id="文本框 326" o:spid="_x0000_s1026" o:spt="202" type="#_x0000_t202" style="position:absolute;left:0pt;margin-left:-10.5pt;margin-top:19.5pt;height:48.75pt;width:72pt;z-index:251991040;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nPrZfXAAAACgEAAA8AAAAAAAAAAQAgAAAAIgAAAGRycy9kb3ducmV2LnhtbFBL&#10;AQIUABQAAAAIAIdO4kBSNsVbvgEAAG0DAAAOAAAAAAAAAAEAIAAAACYBAABkcnMvZTJvRG9jLnht&#10;bFBLBQYAAAAABgAGAFkBAABWBQAAAAA=&#10;">
                <v:fill on="f" focussize="0,0"/>
                <v:stroke on="f"/>
                <v:imagedata o:title=""/>
                <o:lock v:ext="edit" aspectratio="f"/>
                <v:textbox>
                  <w:txbxContent>
                    <w:p w14:paraId="29F181A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hAnsi="宋体"/>
          <w:b/>
          <w:bCs/>
          <w:color w:val="auto"/>
          <w:sz w:val="22"/>
          <w:szCs w:val="22"/>
          <w:highlight w:val="none"/>
        </w:rPr>
        <w:t xml:space="preserve">76.2  </w:t>
      </w:r>
      <w:r>
        <w:rPr>
          <w:rFonts w:hint="eastAsia" w:hAnsi="宋体"/>
          <w:b/>
          <w:bCs/>
          <w:color w:val="auto"/>
          <w:sz w:val="22"/>
          <w:szCs w:val="22"/>
          <w:highlight w:val="none"/>
          <w:u w:val="dotted"/>
        </w:rPr>
        <w:t xml:space="preserve">                                                                                                        </w:t>
      </w:r>
    </w:p>
    <w:p w14:paraId="1BF5442E">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执行第76.3款“第1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14:paraId="6BAC8A91">
      <w:pPr>
        <w:pStyle w:val="22"/>
        <w:tabs>
          <w:tab w:val="left" w:pos="540"/>
        </w:tabs>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76.3  </w:t>
      </w:r>
      <w:r>
        <w:rPr>
          <w:rFonts w:hint="eastAsia" w:hAnsi="宋体"/>
          <w:b/>
          <w:bCs/>
          <w:color w:val="auto"/>
          <w:sz w:val="22"/>
          <w:szCs w:val="22"/>
          <w:highlight w:val="none"/>
          <w:u w:val="dotted"/>
        </w:rPr>
        <w:t xml:space="preserve">                                                                                                        </w:t>
      </w:r>
    </w:p>
    <w:p w14:paraId="7F72BAE5">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323" name="文本框 327"/>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a:effectLst/>
                      </wps:spPr>
                      <wps:txbx>
                        <w:txbxContent>
                          <w:p w14:paraId="10C0365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wps:txbx>
                      <wps:bodyPr wrap="square" upright="1"/>
                    </wps:wsp>
                  </a:graphicData>
                </a:graphic>
              </wp:anchor>
            </w:drawing>
          </mc:Choice>
          <mc:Fallback>
            <w:pict>
              <v:shape id="文本框 327" o:spid="_x0000_s1026" o:spt="202" type="#_x0000_t202" style="position:absolute;left:0pt;margin-left:-9pt;margin-top:1.25pt;height:79pt;width:72pt;z-index:251992064;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QLvP1gAAAAkBAAAPAAAAAAAAAAEAIAAAACIAAABkcnMvZG93bnJldi54bWxQSwEC&#10;FAAUAAAACACHTuJAmjLtrr0BAABuAwAADgAAAAAAAAABACAAAAAlAQAAZHJzL2Uyb0RvYy54bWxQ&#10;SwUGAAAAAAYABgBZAQAAVAUAAAAA&#10;">
                <v:fill on="f" focussize="0,0"/>
                <v:stroke on="f"/>
                <v:imagedata o:title=""/>
                <o:lock v:ext="edit" aspectratio="f"/>
                <v:textbox>
                  <w:txbxContent>
                    <w:p w14:paraId="10C0365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v:textbox>
              </v:shape>
            </w:pict>
          </mc:Fallback>
        </mc:AlternateContent>
      </w:r>
      <w:r>
        <w:rPr>
          <w:rFonts w:hint="eastAsia" w:ascii="宋体" w:hAnsi="宋体" w:cs="宋体"/>
          <w:color w:val="auto"/>
          <w:sz w:val="22"/>
          <w:szCs w:val="22"/>
          <w:highlight w:val="none"/>
        </w:rPr>
        <w:t xml:space="preserve">         第1种方式：采用造价信息进行价格调整。</w:t>
      </w:r>
    </w:p>
    <w:p w14:paraId="65ACA13C">
      <w:pPr>
        <w:spacing w:line="420" w:lineRule="exact"/>
        <w:ind w:left="1438" w:leftChars="685"/>
        <w:rPr>
          <w:rFonts w:ascii="宋体" w:hAnsi="宋体" w:cs="宋体"/>
          <w:color w:val="auto"/>
          <w:sz w:val="22"/>
          <w:szCs w:val="22"/>
          <w:highlight w:val="none"/>
        </w:rPr>
      </w:pPr>
      <w:r>
        <w:rPr>
          <w:rFonts w:hint="eastAsia" w:ascii="宋体" w:hAnsi="宋体" w:cs="宋体"/>
          <w:color w:val="auto"/>
          <w:sz w:val="22"/>
          <w:szCs w:val="22"/>
          <w:highlight w:val="none"/>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14:paraId="09035C4A">
      <w:pPr>
        <w:spacing w:line="420" w:lineRule="exact"/>
        <w:ind w:left="1539" w:leftChars="628" w:hanging="220" w:hangingChars="100"/>
        <w:rPr>
          <w:rFonts w:ascii="宋体" w:hAnsi="宋体" w:cs="宋体"/>
          <w:color w:val="auto"/>
          <w:sz w:val="22"/>
          <w:szCs w:val="22"/>
          <w:highlight w:val="none"/>
        </w:rPr>
      </w:pPr>
      <w:r>
        <w:rPr>
          <w:rFonts w:hint="eastAsia" w:ascii="宋体" w:hAnsi="宋体" w:cs="宋体"/>
          <w:color w:val="auto"/>
          <w:sz w:val="22"/>
          <w:szCs w:val="22"/>
          <w:highlight w:val="none"/>
        </w:rPr>
        <w:t>（1）材料、工程设备价格变化的价款调整按照发包人提供的基准价格，按以下风险范围规定执行:</w:t>
      </w:r>
    </w:p>
    <w:p w14:paraId="0498D744">
      <w:pPr>
        <w:spacing w:line="420" w:lineRule="exact"/>
        <w:ind w:left="1514" w:leftChars="721"/>
        <w:rPr>
          <w:rFonts w:ascii="宋体" w:hAnsi="宋体" w:cs="宋体"/>
          <w:color w:val="auto"/>
          <w:sz w:val="22"/>
          <w:szCs w:val="22"/>
          <w:highlight w:val="none"/>
        </w:rPr>
      </w:pPr>
      <w:r>
        <w:rPr>
          <w:rFonts w:hint="eastAsia" w:ascii="宋体" w:hAnsi="宋体" w:cs="宋体"/>
          <w:color w:val="auto"/>
          <w:sz w:val="22"/>
          <w:szCs w:val="22"/>
          <w:highlight w:val="none"/>
        </w:rPr>
        <w:t>①承包人在已标价工程量清单或预算书中载明材料单价低于基准价格的：除专用合同条款另有约定外，合同履行期间材料单价涨幅以基准价格为基础超5%时，或材料单价跌幅以在已标价工程量清单或预算书中载明材料单价为基础超过5%时，其超过部分据实调整。</w:t>
      </w:r>
    </w:p>
    <w:p w14:paraId="20D90AC9">
      <w:pPr>
        <w:spacing w:line="420" w:lineRule="exact"/>
        <w:ind w:left="1514" w:leftChars="721"/>
        <w:rPr>
          <w:rFonts w:ascii="宋体" w:hAnsi="宋体" w:cs="宋体"/>
          <w:color w:val="auto"/>
          <w:sz w:val="22"/>
          <w:szCs w:val="22"/>
          <w:highlight w:val="none"/>
        </w:rPr>
      </w:pPr>
      <w:r>
        <w:rPr>
          <w:rFonts w:hint="eastAsia" w:ascii="宋体" w:hAnsi="宋体" w:cs="宋体"/>
          <w:color w:val="auto"/>
          <w:sz w:val="22"/>
          <w:szCs w:val="22"/>
          <w:highlight w:val="none"/>
        </w:rPr>
        <w:t>②承包人在已标价工程量清单或预算书中载明材料单价高于基准价格的：除专用合同条款另有约定外，合同履行期间材料单价跌幅以基准价格为基础超过5%时，材料单价涨 幅以在已标价工程量清单或预算书中载明材料单价为基础超过5%时，其超过部分据实调整。</w:t>
      </w:r>
    </w:p>
    <w:p w14:paraId="7CAD246F">
      <w:pPr>
        <w:spacing w:line="420" w:lineRule="exact"/>
        <w:ind w:left="1514" w:leftChars="721"/>
        <w:rPr>
          <w:rFonts w:ascii="宋体" w:hAnsi="宋体" w:cs="宋体"/>
          <w:color w:val="auto"/>
          <w:sz w:val="22"/>
          <w:szCs w:val="22"/>
          <w:highlight w:val="none"/>
        </w:rPr>
      </w:pPr>
      <w:r>
        <w:rPr>
          <w:rFonts w:hint="eastAsia" w:ascii="宋体" w:hAnsi="宋体" w:cs="宋体"/>
          <w:color w:val="auto"/>
          <w:sz w:val="22"/>
          <w:szCs w:val="22"/>
          <w:highlight w:val="none"/>
        </w:rPr>
        <w:t>③承包人在已标价工程量清单或预算书中载明材料单价等于基准价格的：除专用合同条款另有约定外，合同履行期间材料单价涨跌幅以基准价格为基础超过±5%时，其超过部分据实调整。</w:t>
      </w:r>
    </w:p>
    <w:p w14:paraId="09298385">
      <w:pPr>
        <w:spacing w:line="420" w:lineRule="exact"/>
        <w:ind w:left="1529" w:leftChars="728"/>
        <w:rPr>
          <w:rFonts w:ascii="宋体" w:hAnsi="宋体" w:cs="宋体"/>
          <w:color w:val="auto"/>
          <w:sz w:val="22"/>
          <w:szCs w:val="22"/>
          <w:highlight w:val="none"/>
        </w:rPr>
      </w:pPr>
      <w:r>
        <w:rPr>
          <w:rFonts w:hint="eastAsia" w:ascii="宋体" w:hAnsi="宋体" w:cs="宋体"/>
          <w:color w:val="auto"/>
          <w:sz w:val="22"/>
          <w:szCs w:val="22"/>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50FB2119">
      <w:pPr>
        <w:spacing w:line="420" w:lineRule="exact"/>
        <w:ind w:left="1470" w:leftChars="700"/>
        <w:rPr>
          <w:rFonts w:ascii="宋体" w:hAnsi="宋体" w:cs="宋体"/>
          <w:color w:val="auto"/>
          <w:sz w:val="22"/>
          <w:szCs w:val="22"/>
          <w:highlight w:val="none"/>
        </w:rPr>
      </w:pPr>
      <w:r>
        <w:rPr>
          <w:rFonts w:hint="eastAsia" w:ascii="宋体" w:hAnsi="宋体" w:cs="宋体"/>
          <w:color w:val="auto"/>
          <w:sz w:val="22"/>
          <w:szCs w:val="22"/>
          <w:highlight w:val="none"/>
        </w:rPr>
        <w:t>（2）施工机械台班单价或施工机械使用费发生变化超过省级或行业建设主管部门或其授权的工程造价管理机构规定的范围时，按规定调整合同价格。</w:t>
      </w:r>
    </w:p>
    <w:p w14:paraId="2F70FA8C">
      <w:pPr>
        <w:spacing w:line="420" w:lineRule="exact"/>
        <w:rPr>
          <w:rFonts w:ascii="宋体" w:hAnsi="宋体" w:cs="宋体"/>
          <w:color w:val="auto"/>
          <w:sz w:val="22"/>
          <w:szCs w:val="22"/>
          <w:highlight w:val="none"/>
        </w:rPr>
      </w:pPr>
    </w:p>
    <w:p w14:paraId="1E68CA56">
      <w:pPr>
        <w:spacing w:line="420" w:lineRule="exact"/>
        <w:ind w:firstLine="1540" w:firstLineChars="700"/>
        <w:rPr>
          <w:rFonts w:ascii="宋体" w:hAnsi="宋体" w:cs="宋体"/>
          <w:color w:val="auto"/>
          <w:sz w:val="22"/>
          <w:szCs w:val="22"/>
          <w:highlight w:val="none"/>
        </w:rPr>
      </w:pPr>
      <w:r>
        <w:rPr>
          <w:rFonts w:hint="eastAsia" w:ascii="宋体" w:hAnsi="宋体" w:cs="宋体"/>
          <w:color w:val="auto"/>
          <w:sz w:val="22"/>
          <w:szCs w:val="22"/>
          <w:highlight w:val="none"/>
        </w:rPr>
        <w:t>第2种方式：专用合同条款约定的其他方式。</w:t>
      </w:r>
    </w:p>
    <w:p w14:paraId="1A1656F1">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6E2A1A99">
      <w:pPr>
        <w:pStyle w:val="22"/>
        <w:tabs>
          <w:tab w:val="left" w:pos="540"/>
        </w:tabs>
        <w:adjustRightInd w:val="0"/>
        <w:snapToGrid w:val="0"/>
        <w:spacing w:line="420" w:lineRule="exact"/>
        <w:rPr>
          <w:rFonts w:hAnsi="宋体"/>
          <w:color w:val="auto"/>
          <w:sz w:val="22"/>
          <w:szCs w:val="22"/>
          <w:highlight w:val="none"/>
          <w:u w:val="dotted"/>
        </w:rPr>
      </w:pPr>
      <w:r>
        <w:rPr>
          <w:rFonts w:hint="eastAsia" w:hAnsi="宋体"/>
          <w:b/>
          <w:bCs/>
          <w:color w:val="auto"/>
          <w:sz w:val="22"/>
          <w:szCs w:val="22"/>
          <w:highlight w:val="none"/>
        </w:rPr>
        <w:t>76.4</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1D7103F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执行第76.3款“第1种方式：采用造价信息进行价格调整”规定的，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r>
        <w:rPr>
          <w:rFonts w:hint="eastAsia" w:hAnsi="宋体"/>
          <w:color w:val="auto"/>
          <w:sz w:val="22"/>
          <w:szCs w:val="22"/>
          <w:highlight w:val="none"/>
        </w:rPr>
        <mc:AlternateContent>
          <mc:Choice Requires="wps">
            <w:drawing>
              <wp:anchor distT="0" distB="0" distL="114300" distR="114300" simplePos="0" relativeHeight="251993088"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324" name="文本框 328"/>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a:effectLst/>
                      </wps:spPr>
                      <wps:txbx>
                        <w:txbxContent>
                          <w:p w14:paraId="79F3A8B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wps:txbx>
                      <wps:bodyPr wrap="square" upright="1"/>
                    </wps:wsp>
                  </a:graphicData>
                </a:graphic>
              </wp:anchor>
            </w:drawing>
          </mc:Choice>
          <mc:Fallback>
            <w:pict>
              <v:shape id="文本框 328" o:spid="_x0000_s1026" o:spt="202" type="#_x0000_t202" style="position:absolute;left:0pt;margin-left:-5.25pt;margin-top:2.45pt;height:56.05pt;width:72pt;z-index:251993088;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Iz7LB1gAAAAkBAAAPAAAAAAAAAAEAIAAAACIAAABkcnMvZG93bnJldi54bWxQSwEC&#10;FAAUAAAACACHTuJAr3nyRL0BAABtAwAADgAAAAAAAAABACAAAAAlAQAAZHJzL2Uyb0RvYy54bWxQ&#10;SwUGAAAAAAYABgBZAQAAVAUAAAAA&#10;">
                <v:fill on="f" focussize="0,0"/>
                <v:stroke on="f"/>
                <v:imagedata o:title=""/>
                <o:lock v:ext="edit" aspectratio="f"/>
                <v:textbox>
                  <w:txbxContent>
                    <w:p w14:paraId="79F3A8B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v:textbox>
              </v:shape>
            </w:pict>
          </mc:Fallback>
        </mc:AlternateContent>
      </w:r>
    </w:p>
    <w:p w14:paraId="41087DE3">
      <w:pPr>
        <w:pStyle w:val="22"/>
        <w:tabs>
          <w:tab w:val="left" w:pos="540"/>
        </w:tabs>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76.5 </w:t>
      </w:r>
      <w:r>
        <w:rPr>
          <w:rFonts w:hint="eastAsia" w:hAnsi="宋体"/>
          <w:b/>
          <w:bCs/>
          <w:color w:val="auto"/>
          <w:sz w:val="22"/>
          <w:szCs w:val="22"/>
          <w:highlight w:val="none"/>
          <w:u w:val="dotted"/>
        </w:rPr>
        <w:t xml:space="preserve">                                                                                                        </w:t>
      </w:r>
    </w:p>
    <w:p w14:paraId="5F1F642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325" name="文本框 329"/>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742CF7C8">
                            <w:pPr>
                              <w:pStyle w:val="37"/>
                              <w:spacing w:line="200" w:lineRule="exact"/>
                              <w:rPr>
                                <w:rFonts w:ascii="楷体_GB2312" w:hAnsi="宋体"/>
                                <w:sz w:val="18"/>
                                <w:szCs w:val="18"/>
                              </w:rPr>
                            </w:pPr>
                            <w:r>
                              <w:rPr>
                                <w:rFonts w:hint="eastAsia" w:ascii="楷体_GB2312" w:hAnsi="宋体" w:cs="楷体_GB2312"/>
                                <w:sz w:val="18"/>
                                <w:szCs w:val="18"/>
                              </w:rPr>
                              <w:t>发包人供应材料设备的价款调整</w:t>
                            </w:r>
                          </w:p>
                        </w:txbxContent>
                      </wps:txbx>
                      <wps:bodyPr wrap="square" upright="1"/>
                    </wps:wsp>
                  </a:graphicData>
                </a:graphic>
              </wp:anchor>
            </w:drawing>
          </mc:Choice>
          <mc:Fallback>
            <w:pict>
              <v:shape id="文本框 329" o:spid="_x0000_s1026" o:spt="202" type="#_x0000_t202" style="position:absolute;left:0pt;margin-left:-9pt;margin-top:1.25pt;height:48.75pt;width:72pt;z-index:251994112;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8gMB9UAAAAJAQAADwAAAAAAAAABACAAAAAiAAAAZHJzL2Rvd25yZXYueG1sUEsB&#10;AhQAFAAAAAgAh07iQPuAD0G/AQAAbQMAAA4AAAAAAAAAAQAgAAAAJAEAAGRycy9lMm9Eb2MueG1s&#10;UEsFBgAAAAAGAAYAWQEAAFUFAAAAAA==&#10;">
                <v:fill on="f" focussize="0,0"/>
                <v:stroke on="f"/>
                <v:imagedata o:title=""/>
                <o:lock v:ext="edit" aspectratio="f"/>
                <v:textbox>
                  <w:txbxContent>
                    <w:p w14:paraId="742CF7C8">
                      <w:pPr>
                        <w:pStyle w:val="37"/>
                        <w:spacing w:line="200" w:lineRule="exact"/>
                        <w:rPr>
                          <w:rFonts w:ascii="楷体_GB2312" w:hAnsi="宋体"/>
                          <w:sz w:val="18"/>
                          <w:szCs w:val="18"/>
                        </w:rPr>
                      </w:pPr>
                      <w:r>
                        <w:rPr>
                          <w:rFonts w:hint="eastAsia" w:ascii="楷体_GB2312" w:hAnsi="宋体" w:cs="楷体_GB2312"/>
                          <w:sz w:val="18"/>
                          <w:szCs w:val="18"/>
                        </w:rPr>
                        <w:t>发包人供应材料设备的价款调整</w:t>
                      </w:r>
                    </w:p>
                  </w:txbxContent>
                </v:textbox>
              </v:shape>
            </w:pict>
          </mc:Fallback>
        </mc:AlternateContent>
      </w:r>
      <w:r>
        <w:rPr>
          <w:rFonts w:hint="eastAsia" w:hAnsi="宋体"/>
          <w:color w:val="auto"/>
          <w:sz w:val="22"/>
          <w:szCs w:val="22"/>
          <w:highlight w:val="none"/>
        </w:rPr>
        <w:t>发包人供应材料和工程设备的，由发包人按照实际变化调整，列入合同工程的工程造价内。</w:t>
      </w:r>
    </w:p>
    <w:p w14:paraId="2189ABC8">
      <w:pPr>
        <w:pStyle w:val="22"/>
        <w:adjustRightInd w:val="0"/>
        <w:snapToGrid w:val="0"/>
        <w:spacing w:line="420" w:lineRule="exact"/>
        <w:ind w:right="-238"/>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040C5329">
      <w:pPr>
        <w:pStyle w:val="4"/>
        <w:tabs>
          <w:tab w:val="left" w:pos="360"/>
          <w:tab w:val="left" w:pos="420"/>
        </w:tabs>
        <w:spacing w:line="420" w:lineRule="exact"/>
        <w:rPr>
          <w:rFonts w:ascii="宋体" w:hAnsi="宋体" w:cs="宋体"/>
          <w:b w:val="0"/>
          <w:bCs w:val="0"/>
          <w:color w:val="auto"/>
          <w:sz w:val="22"/>
          <w:szCs w:val="22"/>
          <w:highlight w:val="none"/>
        </w:rPr>
      </w:pPr>
      <w:bookmarkStart w:id="426" w:name="_Toc5758"/>
      <w:bookmarkStart w:id="427" w:name="_Toc469384061"/>
      <w:bookmarkStart w:id="428" w:name="_Toc2318"/>
      <w:r>
        <w:rPr>
          <w:rFonts w:hint="eastAsia" w:ascii="宋体" w:hAnsi="宋体" w:cs="宋体"/>
          <w:b w:val="0"/>
          <w:bCs w:val="0"/>
          <w:color w:val="auto"/>
          <w:sz w:val="22"/>
          <w:szCs w:val="22"/>
          <w:highlight w:val="none"/>
        </w:rPr>
        <w:t>★</w:t>
      </w:r>
      <w:r>
        <w:rPr>
          <w:rFonts w:hint="eastAsia" w:ascii="宋体" w:hAnsi="宋体" w:cs="宋体"/>
          <w:bCs w:val="0"/>
          <w:color w:val="auto"/>
          <w:sz w:val="22"/>
          <w:szCs w:val="22"/>
          <w:highlight w:val="none"/>
        </w:rPr>
        <w:t>77  合同价款调整程序</w:t>
      </w:r>
      <w:bookmarkEnd w:id="426"/>
      <w:bookmarkEnd w:id="427"/>
      <w:bookmarkEnd w:id="428"/>
    </w:p>
    <w:p w14:paraId="598AE0C2">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77.1</w:t>
      </w:r>
    </w:p>
    <w:p w14:paraId="42BF3CA5">
      <w:pPr>
        <w:spacing w:line="420" w:lineRule="exact"/>
        <w:ind w:left="1619" w:leftChars="771" w:firstLine="2"/>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26" name="文本框 33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5F5E2676">
                            <w:pPr>
                              <w:pStyle w:val="37"/>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wrap="square" upright="1"/>
                    </wps:wsp>
                  </a:graphicData>
                </a:graphic>
              </wp:anchor>
            </w:drawing>
          </mc:Choice>
          <mc:Fallback>
            <w:pict>
              <v:shape id="文本框 330" o:spid="_x0000_s1026" o:spt="202" type="#_x0000_t202" style="position:absolute;left:0pt;margin-left:-9pt;margin-top:1.25pt;height:54.6pt;width:72pt;z-index:251995136;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PuPt9YAAAAJAQAADwAAAAAAAAABACAAAAAiAAAAZHJzL2Rvd25yZXYueG1sUEsB&#10;AhQAFAAAAAgAh07iQASF2mm+AQAAbQMAAA4AAAAAAAAAAQAgAAAAJQEAAGRycy9lMm9Eb2MueG1s&#10;UEsFBgAAAAAGAAYAWQEAAFUFAAAAAA==&#10;">
                <v:fill on="f" focussize="0,0"/>
                <v:stroke on="f"/>
                <v:imagedata o:title=""/>
                <o:lock v:ext="edit" aspectratio="f"/>
                <v:textbox>
                  <w:txbxContent>
                    <w:p w14:paraId="5F5E2676">
                      <w:pPr>
                        <w:pStyle w:val="37"/>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hint="eastAsia" w:ascii="宋体" w:hAnsi="宋体" w:cs="宋体"/>
          <w:color w:val="auto"/>
          <w:sz w:val="22"/>
          <w:szCs w:val="22"/>
          <w:highlight w:val="none"/>
        </w:rPr>
        <w:t>合同履行期间，出现第68.2款规定调整合同价款事件的，除费用索赔、现场签证事件分别按照第74条、第75条规定程序外，合同双方当事人应按照本条规定程序调整合同价款。</w:t>
      </w:r>
    </w:p>
    <w:p w14:paraId="28EFCBF9">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96160"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327" name="文本框 33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58BA0144">
                            <w:pPr>
                              <w:pStyle w:val="37"/>
                              <w:spacing w:line="200" w:lineRule="exact"/>
                              <w:rPr>
                                <w:rFonts w:ascii="楷体_GB2312" w:hAnsi="宋体"/>
                                <w:sz w:val="18"/>
                                <w:szCs w:val="18"/>
                              </w:rPr>
                            </w:pPr>
                            <w:r>
                              <w:rPr>
                                <w:rFonts w:hint="eastAsia" w:ascii="楷体_GB2312" w:hAnsi="宋体" w:cs="楷体_GB2312"/>
                                <w:sz w:val="18"/>
                                <w:szCs w:val="18"/>
                              </w:rPr>
                              <w:t>合同价款调增报告的提出</w:t>
                            </w:r>
                          </w:p>
                          <w:p w14:paraId="7CAFD3BF">
                            <w:pPr>
                              <w:pStyle w:val="37"/>
                              <w:spacing w:line="200" w:lineRule="exact"/>
                              <w:rPr>
                                <w:rFonts w:ascii="宋体" w:hAnsi="宋体" w:eastAsia="宋体"/>
                                <w:sz w:val="18"/>
                                <w:szCs w:val="18"/>
                              </w:rPr>
                            </w:pPr>
                          </w:p>
                        </w:txbxContent>
                      </wps:txbx>
                      <wps:bodyPr wrap="square" upright="1"/>
                    </wps:wsp>
                  </a:graphicData>
                </a:graphic>
              </wp:anchor>
            </w:drawing>
          </mc:Choice>
          <mc:Fallback>
            <w:pict>
              <v:shape id="文本框 331" o:spid="_x0000_s1026" o:spt="202" type="#_x0000_t202" style="position:absolute;left:0pt;margin-left:-4.6pt;margin-top:19.4pt;height:48.75pt;width:72pt;z-index:251996160;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C8H/tUAAAAJAQAADwAAAAAAAAABACAAAAAiAAAAZHJzL2Rvd25yZXYueG1sUEsB&#10;AhQAFAAAAAgAh07iQO0EXkC/AQAAbQMAAA4AAAAAAAAAAQAgAAAAJAEAAGRycy9lMm9Eb2MueG1s&#10;UEsFBgAAAAAGAAYAWQEAAFUFAAAAAA==&#10;">
                <v:fill on="f" focussize="0,0"/>
                <v:stroke on="f"/>
                <v:imagedata o:title=""/>
                <o:lock v:ext="edit" aspectratio="f"/>
                <v:textbox>
                  <w:txbxContent>
                    <w:p w14:paraId="58BA0144">
                      <w:pPr>
                        <w:pStyle w:val="37"/>
                        <w:spacing w:line="200" w:lineRule="exact"/>
                        <w:rPr>
                          <w:rFonts w:ascii="楷体_GB2312" w:hAnsi="宋体"/>
                          <w:sz w:val="18"/>
                          <w:szCs w:val="18"/>
                        </w:rPr>
                      </w:pPr>
                      <w:r>
                        <w:rPr>
                          <w:rFonts w:hint="eastAsia" w:ascii="楷体_GB2312" w:hAnsi="宋体" w:cs="楷体_GB2312"/>
                          <w:sz w:val="18"/>
                          <w:szCs w:val="18"/>
                        </w:rPr>
                        <w:t>合同价款调增报告的提出</w:t>
                      </w:r>
                    </w:p>
                    <w:p w14:paraId="7CAFD3BF">
                      <w:pPr>
                        <w:pStyle w:val="37"/>
                        <w:spacing w:line="200" w:lineRule="exact"/>
                        <w:rPr>
                          <w:rFonts w:ascii="宋体" w:hAnsi="宋体" w:eastAsia="宋体"/>
                          <w:sz w:val="18"/>
                          <w:szCs w:val="18"/>
                        </w:rPr>
                      </w:pPr>
                    </w:p>
                  </w:txbxContent>
                </v:textbox>
              </v:shape>
            </w:pict>
          </mc:Fallback>
        </mc:AlternateContent>
      </w:r>
      <w:r>
        <w:rPr>
          <w:rFonts w:hint="eastAsia" w:hAnsi="宋体"/>
          <w:b/>
          <w:bCs/>
          <w:color w:val="auto"/>
          <w:sz w:val="22"/>
          <w:szCs w:val="22"/>
          <w:highlight w:val="none"/>
        </w:rPr>
        <w:t xml:space="preserve">77.2 </w:t>
      </w:r>
      <w:r>
        <w:rPr>
          <w:rFonts w:hint="eastAsia" w:hAnsi="宋体"/>
          <w:b/>
          <w:bCs/>
          <w:color w:val="auto"/>
          <w:sz w:val="22"/>
          <w:szCs w:val="22"/>
          <w:highlight w:val="none"/>
          <w:u w:val="dotted"/>
        </w:rPr>
        <w:t xml:space="preserve">                                                                               </w:t>
      </w:r>
    </w:p>
    <w:p w14:paraId="0F597542">
      <w:pPr>
        <w:pStyle w:val="22"/>
        <w:adjustRightInd w:val="0"/>
        <w:snapToGrid w:val="0"/>
        <w:spacing w:line="420" w:lineRule="exact"/>
        <w:ind w:left="1619" w:leftChars="771"/>
        <w:rPr>
          <w:rFonts w:hAnsi="宋体"/>
          <w:b/>
          <w:bCs/>
          <w:color w:val="auto"/>
          <w:sz w:val="22"/>
          <w:szCs w:val="22"/>
          <w:highlight w:val="none"/>
        </w:rPr>
      </w:pPr>
      <w:r>
        <w:rPr>
          <w:rFonts w:hint="eastAsia" w:hAnsi="宋体"/>
          <w:color w:val="auto"/>
          <w:sz w:val="22"/>
          <w:szCs w:val="22"/>
          <w:highlight w:val="none"/>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14:paraId="70964CAB">
      <w:pPr>
        <w:pStyle w:val="22"/>
        <w:adjustRightInd w:val="0"/>
        <w:snapToGrid w:val="0"/>
        <w:spacing w:line="420" w:lineRule="exact"/>
        <w:rPr>
          <w:rFonts w:hAnsi="宋体"/>
          <w:color w:val="auto"/>
          <w:sz w:val="22"/>
          <w:szCs w:val="22"/>
          <w:highlight w:val="none"/>
          <w:u w:val="dotted"/>
        </w:rPr>
      </w:pPr>
      <w:r>
        <w:rPr>
          <w:rFonts w:hint="eastAsia" w:hAnsi="宋体"/>
          <w:b/>
          <w:bCs/>
          <w:color w:val="auto"/>
          <w:sz w:val="22"/>
          <w:szCs w:val="22"/>
          <w:highlight w:val="none"/>
        </w:rPr>
        <w:t xml:space="preserve">77.3 </w:t>
      </w:r>
      <w:r>
        <w:rPr>
          <w:rFonts w:hint="eastAsia" w:hAnsi="宋体"/>
          <w:color w:val="auto"/>
          <w:sz w:val="22"/>
          <w:szCs w:val="22"/>
          <w:highlight w:val="none"/>
          <w:u w:val="dotted"/>
        </w:rPr>
        <w:t xml:space="preserve">                                                                              </w:t>
      </w:r>
    </w:p>
    <w:p w14:paraId="7014EEE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28" name="文本框 332"/>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069F794C">
                            <w:pPr>
                              <w:pStyle w:val="37"/>
                              <w:spacing w:line="200" w:lineRule="exact"/>
                              <w:rPr>
                                <w:rFonts w:ascii="楷体_GB2312" w:hAnsi="宋体"/>
                                <w:sz w:val="18"/>
                                <w:szCs w:val="18"/>
                              </w:rPr>
                            </w:pPr>
                            <w:r>
                              <w:rPr>
                                <w:rFonts w:hint="eastAsia" w:ascii="楷体_GB2312" w:hAnsi="宋体" w:cs="楷体_GB2312"/>
                                <w:sz w:val="18"/>
                                <w:szCs w:val="18"/>
                              </w:rPr>
                              <w:t>调增价款的核</w:t>
                            </w:r>
                          </w:p>
                          <w:p w14:paraId="4172F7B0">
                            <w:pPr>
                              <w:pStyle w:val="37"/>
                              <w:spacing w:line="200" w:lineRule="exact"/>
                              <w:rPr>
                                <w:rFonts w:ascii="楷体_GB2312" w:hAnsi="宋体"/>
                                <w:sz w:val="18"/>
                                <w:szCs w:val="18"/>
                              </w:rPr>
                            </w:pPr>
                            <w:r>
                              <w:rPr>
                                <w:rFonts w:hint="eastAsia" w:ascii="楷体_GB2312" w:hAnsi="宋体" w:cs="楷体_GB2312"/>
                                <w:sz w:val="18"/>
                                <w:szCs w:val="18"/>
                              </w:rPr>
                              <w:t>实</w:t>
                            </w:r>
                          </w:p>
                        </w:txbxContent>
                      </wps:txbx>
                      <wps:bodyPr wrap="square" upright="1"/>
                    </wps:wsp>
                  </a:graphicData>
                </a:graphic>
              </wp:anchor>
            </w:drawing>
          </mc:Choice>
          <mc:Fallback>
            <w:pict>
              <v:shape id="文本框 332" o:spid="_x0000_s1026" o:spt="202" type="#_x0000_t202" style="position:absolute;left:0pt;margin-left:-9pt;margin-top:2.7pt;height:39pt;width:81pt;z-index:251997184;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piGEbVAAAACAEAAA8AAAAAAAAAAQAgAAAAIgAAAGRycy9kb3ducmV2LnhtbFBLAQIU&#10;ABQAAAAIAIdO4kCB8g7BvQEAAG4DAAAOAAAAAAAAAAEAIAAAACQBAABkcnMvZTJvRG9jLnhtbFBL&#10;BQYAAAAABgAGAFkBAABTBQAAAAA=&#10;">
                <v:fill on="f" focussize="0,0"/>
                <v:stroke on="f"/>
                <v:imagedata o:title=""/>
                <o:lock v:ext="edit" aspectratio="f"/>
                <v:textbox>
                  <w:txbxContent>
                    <w:p w14:paraId="069F794C">
                      <w:pPr>
                        <w:pStyle w:val="37"/>
                        <w:spacing w:line="200" w:lineRule="exact"/>
                        <w:rPr>
                          <w:rFonts w:ascii="楷体_GB2312" w:hAnsi="宋体"/>
                          <w:sz w:val="18"/>
                          <w:szCs w:val="18"/>
                        </w:rPr>
                      </w:pPr>
                      <w:r>
                        <w:rPr>
                          <w:rFonts w:hint="eastAsia" w:ascii="楷体_GB2312" w:hAnsi="宋体" w:cs="楷体_GB2312"/>
                          <w:sz w:val="18"/>
                          <w:szCs w:val="18"/>
                        </w:rPr>
                        <w:t>调增价款的核</w:t>
                      </w:r>
                    </w:p>
                    <w:p w14:paraId="4172F7B0">
                      <w:pPr>
                        <w:pStyle w:val="37"/>
                        <w:spacing w:line="200" w:lineRule="exact"/>
                        <w:rPr>
                          <w:rFonts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hAnsi="宋体"/>
          <w:color w:val="auto"/>
          <w:sz w:val="22"/>
          <w:szCs w:val="22"/>
          <w:highlight w:val="none"/>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14:paraId="7CE7BCFA">
      <w:pPr>
        <w:pStyle w:val="22"/>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77.4 </w:t>
      </w:r>
      <w:r>
        <w:rPr>
          <w:rFonts w:hint="eastAsia" w:hAnsi="宋体"/>
          <w:b/>
          <w:bCs/>
          <w:color w:val="auto"/>
          <w:sz w:val="22"/>
          <w:szCs w:val="22"/>
          <w:highlight w:val="none"/>
          <w:u w:val="dotted"/>
        </w:rPr>
        <w:t xml:space="preserve">                                                                              </w:t>
      </w:r>
    </w:p>
    <w:p w14:paraId="1D011AA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29" name="文本框 33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79D133FE">
                            <w:pPr>
                              <w:pStyle w:val="37"/>
                              <w:spacing w:line="200" w:lineRule="exact"/>
                              <w:rPr>
                                <w:rFonts w:ascii="楷体_GB2312" w:hAnsi="宋体"/>
                                <w:sz w:val="18"/>
                                <w:szCs w:val="18"/>
                              </w:rPr>
                            </w:pPr>
                            <w:r>
                              <w:rPr>
                                <w:rFonts w:hint="eastAsia" w:ascii="楷体_GB2312" w:hAnsi="宋体" w:cs="楷体_GB2312"/>
                                <w:sz w:val="18"/>
                                <w:szCs w:val="18"/>
                              </w:rPr>
                              <w:t>调增价款的支</w:t>
                            </w:r>
                          </w:p>
                          <w:p w14:paraId="1ECD7C34">
                            <w:pPr>
                              <w:pStyle w:val="37"/>
                              <w:spacing w:line="200" w:lineRule="exact"/>
                              <w:rPr>
                                <w:rFonts w:ascii="楷体_GB2312" w:hAnsi="宋体"/>
                                <w:sz w:val="18"/>
                                <w:szCs w:val="18"/>
                              </w:rPr>
                            </w:pPr>
                            <w:r>
                              <w:rPr>
                                <w:rFonts w:hint="eastAsia" w:ascii="楷体_GB2312" w:hAnsi="宋体" w:cs="楷体_GB2312"/>
                                <w:sz w:val="18"/>
                                <w:szCs w:val="18"/>
                              </w:rPr>
                              <w:t>付</w:t>
                            </w:r>
                          </w:p>
                        </w:txbxContent>
                      </wps:txbx>
                      <wps:bodyPr wrap="square" upright="1"/>
                    </wps:wsp>
                  </a:graphicData>
                </a:graphic>
              </wp:anchor>
            </w:drawing>
          </mc:Choice>
          <mc:Fallback>
            <w:pict>
              <v:shape id="文本框 333" o:spid="_x0000_s1026" o:spt="202" type="#_x0000_t202" style="position:absolute;left:0pt;margin-left:-9pt;margin-top:2.7pt;height:39pt;width:81pt;z-index:251998208;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YhhG1QAAAAgBAAAPAAAAAAAAAAEAIAAAACIAAABkcnMvZG93bnJldi54bWxQSwEC&#10;FAAUAAAACACHTuJATqNBkr4BAABuAwAADgAAAAAAAAABACAAAAAkAQAAZHJzL2Uyb0RvYy54bWxQ&#10;SwUGAAAAAAYABgBZAQAAVAUAAAAA&#10;">
                <v:fill on="f" focussize="0,0"/>
                <v:stroke on="f"/>
                <v:imagedata o:title=""/>
                <o:lock v:ext="edit" aspectratio="f"/>
                <v:textbox>
                  <w:txbxContent>
                    <w:p w14:paraId="79D133FE">
                      <w:pPr>
                        <w:pStyle w:val="37"/>
                        <w:spacing w:line="200" w:lineRule="exact"/>
                        <w:rPr>
                          <w:rFonts w:ascii="楷体_GB2312" w:hAnsi="宋体"/>
                          <w:sz w:val="18"/>
                          <w:szCs w:val="18"/>
                        </w:rPr>
                      </w:pPr>
                      <w:r>
                        <w:rPr>
                          <w:rFonts w:hint="eastAsia" w:ascii="楷体_GB2312" w:hAnsi="宋体" w:cs="楷体_GB2312"/>
                          <w:sz w:val="18"/>
                          <w:szCs w:val="18"/>
                        </w:rPr>
                        <w:t>调增价款的支</w:t>
                      </w:r>
                    </w:p>
                    <w:p w14:paraId="1ECD7C34">
                      <w:pPr>
                        <w:pStyle w:val="37"/>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hAnsi="宋体"/>
          <w:color w:val="auto"/>
          <w:sz w:val="22"/>
          <w:szCs w:val="22"/>
          <w:highlight w:val="none"/>
        </w:rPr>
        <w:t>经合同双方当事人确认或造价工程师暂定调增的合同价款，作为追加合同价款，与工程进度款或结算款同期支付。</w:t>
      </w:r>
    </w:p>
    <w:p w14:paraId="5359539D">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77.5 </w:t>
      </w:r>
      <w:r>
        <w:rPr>
          <w:rFonts w:hint="eastAsia" w:hAnsi="宋体"/>
          <w:b/>
          <w:bCs/>
          <w:color w:val="auto"/>
          <w:sz w:val="22"/>
          <w:szCs w:val="22"/>
          <w:highlight w:val="none"/>
          <w:u w:val="dotted"/>
        </w:rPr>
        <w:t xml:space="preserve">                                                                               </w:t>
      </w:r>
    </w:p>
    <w:p w14:paraId="4C6EE213">
      <w:pPr>
        <w:pStyle w:val="22"/>
        <w:adjustRightInd w:val="0"/>
        <w:snapToGrid w:val="0"/>
        <w:spacing w:line="420" w:lineRule="exact"/>
        <w:ind w:left="1606" w:leftChars="765"/>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1999232"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330" name="文本框 334"/>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a:effectLst/>
                      </wps:spPr>
                      <wps:txbx>
                        <w:txbxContent>
                          <w:p w14:paraId="2AB53B2E">
                            <w:pPr>
                              <w:pStyle w:val="37"/>
                              <w:spacing w:line="200" w:lineRule="exact"/>
                              <w:rPr>
                                <w:rFonts w:ascii="楷体_GB2312" w:hAnsi="宋体"/>
                                <w:sz w:val="18"/>
                                <w:szCs w:val="18"/>
                              </w:rPr>
                            </w:pPr>
                            <w:r>
                              <w:rPr>
                                <w:rFonts w:hint="eastAsia" w:ascii="楷体_GB2312" w:hAnsi="宋体" w:cs="楷体_GB2312"/>
                                <w:sz w:val="18"/>
                                <w:szCs w:val="18"/>
                              </w:rPr>
                              <w:t>合同价款调减</w:t>
                            </w:r>
                          </w:p>
                          <w:p w14:paraId="5FD506E8">
                            <w:pPr>
                              <w:pStyle w:val="37"/>
                              <w:spacing w:line="200" w:lineRule="exact"/>
                              <w:rPr>
                                <w:rFonts w:ascii="楷体_GB2312" w:hAnsi="宋体"/>
                                <w:sz w:val="18"/>
                                <w:szCs w:val="18"/>
                              </w:rPr>
                            </w:pPr>
                            <w:r>
                              <w:rPr>
                                <w:rFonts w:hint="eastAsia" w:ascii="楷体_GB2312" w:hAnsi="宋体" w:cs="楷体_GB2312"/>
                                <w:sz w:val="18"/>
                                <w:szCs w:val="18"/>
                              </w:rPr>
                              <w:t>事件的处理</w:t>
                            </w:r>
                          </w:p>
                        </w:txbxContent>
                      </wps:txbx>
                      <wps:bodyPr wrap="square" upright="1"/>
                    </wps:wsp>
                  </a:graphicData>
                </a:graphic>
              </wp:anchor>
            </w:drawing>
          </mc:Choice>
          <mc:Fallback>
            <w:pict>
              <v:shape id="文本框 334" o:spid="_x0000_s1026" o:spt="202" type="#_x0000_t202" style="position:absolute;left:0pt;margin-left:-5.25pt;margin-top:0.45pt;height:39pt;width:90pt;z-index:251999232;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mpeOdMAAAAHAQAADwAAAAAAAAABACAAAAAiAAAAZHJzL2Rvd25yZXYueG1sUEsBAhQAFAAA&#10;AAgAh07iQMVMbLC7AQAAbgMAAA4AAAAAAAAAAQAgAAAAIgEAAGRycy9lMm9Eb2MueG1sUEsFBgAA&#10;AAAGAAYAWQEAAE8FAAAAAA==&#10;">
                <v:fill on="f" focussize="0,0"/>
                <v:stroke on="f"/>
                <v:imagedata o:title=""/>
                <o:lock v:ext="edit" aspectratio="f"/>
                <v:textbox>
                  <w:txbxContent>
                    <w:p w14:paraId="2AB53B2E">
                      <w:pPr>
                        <w:pStyle w:val="37"/>
                        <w:spacing w:line="200" w:lineRule="exact"/>
                        <w:rPr>
                          <w:rFonts w:ascii="楷体_GB2312" w:hAnsi="宋体"/>
                          <w:sz w:val="18"/>
                          <w:szCs w:val="18"/>
                        </w:rPr>
                      </w:pPr>
                      <w:r>
                        <w:rPr>
                          <w:rFonts w:hint="eastAsia" w:ascii="楷体_GB2312" w:hAnsi="宋体" w:cs="楷体_GB2312"/>
                          <w:sz w:val="18"/>
                          <w:szCs w:val="18"/>
                        </w:rPr>
                        <w:t>合同价款调减</w:t>
                      </w:r>
                    </w:p>
                    <w:p w14:paraId="5FD506E8">
                      <w:pPr>
                        <w:pStyle w:val="37"/>
                        <w:spacing w:line="200" w:lineRule="exact"/>
                        <w:rPr>
                          <w:rFonts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hAnsi="宋体"/>
          <w:color w:val="auto"/>
          <w:sz w:val="22"/>
          <w:szCs w:val="22"/>
          <w:highlight w:val="none"/>
        </w:rPr>
        <w:t>出现合同价款调减事件时，发包人可按照本条规定的时限和要求，向承包人提交合同价款调减报告以及调减的金额，但调减部分金额应按照实际调减金额乘以承包人报价浮动率计算。</w:t>
      </w:r>
    </w:p>
    <w:p w14:paraId="3C31B74D">
      <w:pPr>
        <w:pStyle w:val="22"/>
        <w:adjustRightInd w:val="0"/>
        <w:snapToGrid w:val="0"/>
        <w:spacing w:line="420" w:lineRule="exact"/>
        <w:ind w:left="1491" w:right="-238" w:hanging="1491" w:hangingChars="675"/>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3A931C01">
      <w:pPr>
        <w:pStyle w:val="4"/>
        <w:tabs>
          <w:tab w:val="left" w:pos="360"/>
          <w:tab w:val="left" w:pos="420"/>
        </w:tabs>
        <w:spacing w:line="420" w:lineRule="exact"/>
        <w:rPr>
          <w:rFonts w:ascii="宋体" w:hAnsi="宋体" w:cs="宋体"/>
          <w:color w:val="auto"/>
          <w:sz w:val="22"/>
          <w:szCs w:val="22"/>
          <w:highlight w:val="none"/>
        </w:rPr>
      </w:pPr>
      <w:bookmarkStart w:id="429" w:name="_Toc17407"/>
      <w:bookmarkStart w:id="430" w:name="_Toc469384062"/>
      <w:bookmarkStart w:id="431" w:name="_Toc2497"/>
      <w:r>
        <w:rPr>
          <w:rFonts w:hint="eastAsia" w:ascii="宋体" w:hAnsi="宋体" w:cs="宋体"/>
          <w:b w:val="0"/>
          <w:bCs w:val="0"/>
          <w:color w:val="auto"/>
          <w:sz w:val="22"/>
          <w:szCs w:val="22"/>
          <w:highlight w:val="none"/>
        </w:rPr>
        <w:t>★</w:t>
      </w:r>
      <w:r>
        <w:rPr>
          <w:rFonts w:hint="eastAsia" w:ascii="宋体" w:hAnsi="宋体" w:cs="宋体"/>
          <w:color w:val="auto"/>
          <w:sz w:val="22"/>
          <w:szCs w:val="22"/>
          <w:highlight w:val="none"/>
        </w:rPr>
        <w:t>78  支付事项</w:t>
      </w:r>
      <w:bookmarkEnd w:id="429"/>
      <w:bookmarkEnd w:id="430"/>
      <w:bookmarkEnd w:id="431"/>
    </w:p>
    <w:p w14:paraId="2D824F8D">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78.1   </w:t>
      </w:r>
    </w:p>
    <w:p w14:paraId="3680D4A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331" name="文本框 335"/>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a:effectLst/>
                      </wps:spPr>
                      <wps:txbx>
                        <w:txbxContent>
                          <w:p w14:paraId="28EB77D4">
                            <w:pPr>
                              <w:pStyle w:val="37"/>
                              <w:spacing w:line="200" w:lineRule="exact"/>
                              <w:rPr>
                                <w:rFonts w:ascii="楷体_GB2312" w:hAnsi="宋体"/>
                                <w:sz w:val="18"/>
                                <w:szCs w:val="18"/>
                              </w:rPr>
                            </w:pPr>
                            <w:r>
                              <w:rPr>
                                <w:rFonts w:hint="eastAsia" w:ascii="楷体_GB2312" w:hAnsi="宋体" w:cs="楷体_GB2312"/>
                                <w:sz w:val="18"/>
                                <w:szCs w:val="18"/>
                              </w:rPr>
                              <w:t>支付工程款项</w:t>
                            </w:r>
                          </w:p>
                        </w:txbxContent>
                      </wps:txbx>
                      <wps:bodyPr wrap="square" upright="1"/>
                    </wps:wsp>
                  </a:graphicData>
                </a:graphic>
              </wp:anchor>
            </w:drawing>
          </mc:Choice>
          <mc:Fallback>
            <w:pict>
              <v:shape id="文本框 335" o:spid="_x0000_s1026" o:spt="202" type="#_x0000_t202" style="position:absolute;left:0pt;margin-left:-9pt;margin-top:1.7pt;height:24.75pt;width:90pt;z-index:252000256;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oX0y9UAAAAIAQAADwAAAAAAAAABACAAAAAiAAAAZHJzL2Rvd25yZXYueG1sUEsBAhQA&#10;FAAAAAgAh07iQEt8xi68AQAAbgMAAA4AAAAAAAAAAQAgAAAAJAEAAGRycy9lMm9Eb2MueG1sUEsF&#10;BgAAAAAGAAYAWQEAAFIFAAAAAA==&#10;">
                <v:fill on="f" focussize="0,0"/>
                <v:stroke on="f"/>
                <v:imagedata o:title=""/>
                <o:lock v:ext="edit" aspectratio="f"/>
                <v:textbox>
                  <w:txbxContent>
                    <w:p w14:paraId="28EB77D4">
                      <w:pPr>
                        <w:pStyle w:val="37"/>
                        <w:spacing w:line="200" w:lineRule="exact"/>
                        <w:rPr>
                          <w:rFonts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hAnsi="宋体"/>
          <w:color w:val="auto"/>
          <w:sz w:val="22"/>
          <w:szCs w:val="22"/>
          <w:highlight w:val="none"/>
        </w:rPr>
        <w:t>发包人应按照下列规定向承包人支付工程款及其他各种款项：</w:t>
      </w:r>
    </w:p>
    <w:p w14:paraId="75511469">
      <w:pPr>
        <w:pStyle w:val="22"/>
        <w:adjustRightInd w:val="0"/>
        <w:snapToGrid w:val="0"/>
        <w:spacing w:line="420" w:lineRule="exact"/>
        <w:ind w:left="1079" w:leftChars="514" w:firstLine="660" w:firstLineChars="300"/>
        <w:rPr>
          <w:rFonts w:hAnsi="宋体"/>
          <w:color w:val="auto"/>
          <w:sz w:val="22"/>
          <w:szCs w:val="22"/>
          <w:highlight w:val="none"/>
        </w:rPr>
      </w:pPr>
      <w:r>
        <w:rPr>
          <w:rFonts w:hint="eastAsia" w:hAnsi="宋体"/>
          <w:color w:val="auto"/>
          <w:sz w:val="22"/>
          <w:szCs w:val="22"/>
          <w:highlight w:val="none"/>
        </w:rPr>
        <w:t>(1)预付款按照第79条的规定支付；</w:t>
      </w:r>
    </w:p>
    <w:p w14:paraId="29BCAA45">
      <w:pPr>
        <w:pStyle w:val="22"/>
        <w:adjustRightInd w:val="0"/>
        <w:snapToGrid w:val="0"/>
        <w:spacing w:line="420" w:lineRule="exact"/>
        <w:ind w:left="1079" w:leftChars="514" w:firstLine="660" w:firstLineChars="300"/>
        <w:rPr>
          <w:rFonts w:hAnsi="宋体"/>
          <w:color w:val="auto"/>
          <w:sz w:val="22"/>
          <w:szCs w:val="22"/>
          <w:highlight w:val="none"/>
        </w:rPr>
      </w:pPr>
      <w:r>
        <w:rPr>
          <w:rFonts w:hint="eastAsia" w:hAnsi="宋体"/>
          <w:color w:val="auto"/>
          <w:sz w:val="22"/>
          <w:szCs w:val="22"/>
          <w:highlight w:val="none"/>
        </w:rPr>
        <w:t>(2) 绿色施工安全防护费按照第80条规定支付；</w:t>
      </w:r>
    </w:p>
    <w:p w14:paraId="04D787BE">
      <w:pPr>
        <w:pStyle w:val="22"/>
        <w:adjustRightInd w:val="0"/>
        <w:snapToGrid w:val="0"/>
        <w:spacing w:line="420" w:lineRule="exact"/>
        <w:ind w:left="1079" w:leftChars="514" w:firstLine="660" w:firstLineChars="300"/>
        <w:rPr>
          <w:rFonts w:hAnsi="宋体"/>
          <w:color w:val="auto"/>
          <w:sz w:val="22"/>
          <w:szCs w:val="22"/>
          <w:highlight w:val="none"/>
        </w:rPr>
      </w:pPr>
      <w:r>
        <w:rPr>
          <w:rFonts w:hint="eastAsia" w:hAnsi="宋体"/>
          <w:color w:val="auto"/>
          <w:sz w:val="22"/>
          <w:szCs w:val="22"/>
          <w:highlight w:val="none"/>
        </w:rPr>
        <w:t>(3)进度款按照第81条的规定支付；</w:t>
      </w:r>
    </w:p>
    <w:p w14:paraId="25FBA8F9">
      <w:pPr>
        <w:pStyle w:val="22"/>
        <w:adjustRightInd w:val="0"/>
        <w:snapToGrid w:val="0"/>
        <w:spacing w:line="420" w:lineRule="exact"/>
        <w:ind w:left="481" w:leftChars="229" w:firstLine="1210" w:firstLineChars="550"/>
        <w:rPr>
          <w:rFonts w:hAnsi="宋体"/>
          <w:color w:val="auto"/>
          <w:sz w:val="22"/>
          <w:szCs w:val="22"/>
          <w:highlight w:val="none"/>
        </w:rPr>
      </w:pPr>
      <w:r>
        <w:rPr>
          <w:rFonts w:hint="eastAsia" w:hAnsi="宋体"/>
          <w:color w:val="auto"/>
          <w:sz w:val="22"/>
          <w:szCs w:val="22"/>
          <w:highlight w:val="none"/>
        </w:rPr>
        <w:t>(4)结算款按照第83条的规定支付；</w:t>
      </w:r>
    </w:p>
    <w:p w14:paraId="1D8ED3F2">
      <w:pPr>
        <w:pStyle w:val="22"/>
        <w:adjustRightInd w:val="0"/>
        <w:snapToGrid w:val="0"/>
        <w:spacing w:line="420" w:lineRule="exact"/>
        <w:ind w:left="1079" w:leftChars="514" w:firstLine="660" w:firstLineChars="300"/>
        <w:rPr>
          <w:rFonts w:hAnsi="宋体"/>
          <w:color w:val="auto"/>
          <w:sz w:val="22"/>
          <w:szCs w:val="22"/>
          <w:highlight w:val="none"/>
        </w:rPr>
      </w:pPr>
      <w:r>
        <w:rPr>
          <w:rFonts w:hint="eastAsia" w:hAnsi="宋体"/>
          <w:color w:val="auto"/>
          <w:sz w:val="22"/>
          <w:szCs w:val="22"/>
          <w:highlight w:val="none"/>
        </w:rPr>
        <w:t>(5)质量保证金按照第84条的规定支付；</w:t>
      </w:r>
    </w:p>
    <w:p w14:paraId="43F03858">
      <w:pPr>
        <w:pStyle w:val="22"/>
        <w:adjustRightInd w:val="0"/>
        <w:snapToGrid w:val="0"/>
        <w:spacing w:line="420" w:lineRule="exact"/>
        <w:ind w:left="1079" w:leftChars="514" w:firstLine="660" w:firstLineChars="300"/>
        <w:rPr>
          <w:rFonts w:hAnsi="宋体"/>
          <w:color w:val="auto"/>
          <w:sz w:val="22"/>
          <w:szCs w:val="22"/>
          <w:highlight w:val="none"/>
        </w:rPr>
      </w:pPr>
      <w:r>
        <w:rPr>
          <w:rFonts w:hint="eastAsia" w:hAnsi="宋体"/>
          <w:color w:val="auto"/>
          <w:sz w:val="22"/>
          <w:szCs w:val="22"/>
          <w:highlight w:val="none"/>
        </w:rPr>
        <w:t>(6)最终清算款按照第85条的规定支付。</w:t>
      </w:r>
    </w:p>
    <w:p w14:paraId="5E42346A">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78.2  </w:t>
      </w:r>
      <w:r>
        <w:rPr>
          <w:rFonts w:hint="eastAsia" w:hAnsi="宋体"/>
          <w:b/>
          <w:bCs/>
          <w:color w:val="auto"/>
          <w:sz w:val="22"/>
          <w:szCs w:val="22"/>
          <w:highlight w:val="none"/>
          <w:u w:val="dotted"/>
        </w:rPr>
        <w:t xml:space="preserve">                                                                                                         </w:t>
      </w:r>
    </w:p>
    <w:p w14:paraId="3A9E832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332" name="文本框 336"/>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a:effectLst/>
                      </wps:spPr>
                      <wps:txbx>
                        <w:txbxContent>
                          <w:p w14:paraId="0D360373">
                            <w:pPr>
                              <w:pStyle w:val="37"/>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336" o:spid="_x0000_s1026" o:spt="202" type="#_x0000_t202" style="position:absolute;left:0pt;margin-left:-9pt;margin-top:3.45pt;height:31.35pt;width:72pt;z-index:252001280;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rgnaPUAAAACAEAAA8AAAAAAAAAAQAgAAAAIgAAAGRycy9kb3ducmV2LnhtbFBLAQIU&#10;ABQAAAAIAIdO4kDOzbBuvgEAAG0DAAAOAAAAAAAAAAEAIAAAACMBAABkcnMvZTJvRG9jLnhtbFBL&#10;BQYAAAAABgAGAFkBAABTBQAAAAA=&#10;">
                <v:fill on="f" focussize="0,0"/>
                <v:stroke on="f"/>
                <v:imagedata o:title=""/>
                <o:lock v:ext="edit" aspectratio="f"/>
                <v:textbox>
                  <w:txbxContent>
                    <w:p w14:paraId="0D360373">
                      <w:pPr>
                        <w:pStyle w:val="37"/>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hAnsi="宋体"/>
          <w:color w:val="auto"/>
          <w:sz w:val="22"/>
          <w:szCs w:val="22"/>
          <w:highlight w:val="none"/>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14:paraId="169CE9C7">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78.3  </w:t>
      </w:r>
      <w:r>
        <w:rPr>
          <w:rFonts w:hint="eastAsia" w:hAnsi="宋体"/>
          <w:b/>
          <w:bCs/>
          <w:color w:val="auto"/>
          <w:sz w:val="22"/>
          <w:szCs w:val="22"/>
          <w:highlight w:val="none"/>
          <w:u w:val="dotted"/>
        </w:rPr>
        <w:t xml:space="preserve">                                                                                                        </w:t>
      </w:r>
    </w:p>
    <w:p w14:paraId="3EBD58B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333" name="文本框 33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a:effectLst/>
                      </wps:spPr>
                      <wps:txbx>
                        <w:txbxContent>
                          <w:p w14:paraId="4FB772B5">
                            <w:pPr>
                              <w:pStyle w:val="37"/>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337" o:spid="_x0000_s1026" o:spt="202" type="#_x0000_t202" style="position:absolute;left:0pt;margin-left:-9pt;margin-top:0.35pt;height:34.5pt;width:72pt;z-index:252002304;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q7ui1AAAAAcBAAAPAAAAAAAAAAEAIAAAACIAAABkcnMvZG93bnJldi54bWxQSwEC&#10;FAAUAAAACACHTuJA35puw78BAABtAwAADgAAAAAAAAABACAAAAAjAQAAZHJzL2Uyb0RvYy54bWxQ&#10;SwUGAAAAAAYABgBZAQAAVAUAAAAA&#10;">
                <v:fill on="f" focussize="0,0"/>
                <v:stroke on="f"/>
                <v:imagedata o:title=""/>
                <o:lock v:ext="edit" aspectratio="f"/>
                <v:textbox>
                  <w:txbxContent>
                    <w:p w14:paraId="4FB772B5">
                      <w:pPr>
                        <w:pStyle w:val="37"/>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hAnsi="宋体"/>
          <w:color w:val="auto"/>
          <w:sz w:val="22"/>
          <w:szCs w:val="22"/>
          <w:highlight w:val="none"/>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14:paraId="5422D54A">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78.4  </w:t>
      </w:r>
      <w:r>
        <w:rPr>
          <w:rFonts w:hint="eastAsia" w:hAnsi="宋体"/>
          <w:b/>
          <w:bCs/>
          <w:color w:val="auto"/>
          <w:sz w:val="22"/>
          <w:szCs w:val="22"/>
          <w:highlight w:val="none"/>
          <w:u w:val="dotted"/>
        </w:rPr>
        <w:t xml:space="preserve">                                                                                                       </w:t>
      </w:r>
    </w:p>
    <w:p w14:paraId="67D843C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334" name="文本框 338"/>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a:effectLst/>
                      </wps:spPr>
                      <wps:txbx>
                        <w:txbxContent>
                          <w:p w14:paraId="36152365">
                            <w:pPr>
                              <w:pStyle w:val="37"/>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wps:txbx>
                      <wps:bodyPr wrap="square" upright="1"/>
                    </wps:wsp>
                  </a:graphicData>
                </a:graphic>
              </wp:anchor>
            </w:drawing>
          </mc:Choice>
          <mc:Fallback>
            <w:pict>
              <v:shape id="文本框 338" o:spid="_x0000_s1026" o:spt="202" type="#_x0000_t202" style="position:absolute;left:0pt;margin-left:-9pt;margin-top:1.75pt;height:39.7pt;width:72pt;z-index:252003328;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Unsp9UAAAAIAQAADwAAAAAAAAABACAAAAAiAAAAZHJzL2Rvd25yZXYueG1sUEsB&#10;AhQAFAAAAAgAh07iQHfccQC/AQAAbQMAAA4AAAAAAAAAAQAgAAAAJAEAAGRycy9lMm9Eb2MueG1s&#10;UEsFBgAAAAAGAAYAWQEAAFUFAAAAAA==&#10;">
                <v:fill on="f" focussize="0,0"/>
                <v:stroke on="f"/>
                <v:imagedata o:title=""/>
                <o:lock v:ext="edit" aspectratio="f"/>
                <v:textbox>
                  <w:txbxContent>
                    <w:p w14:paraId="36152365">
                      <w:pPr>
                        <w:pStyle w:val="37"/>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hAnsi="宋体"/>
          <w:color w:val="auto"/>
          <w:sz w:val="22"/>
          <w:szCs w:val="22"/>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14:paraId="62FAFA51">
      <w:pPr>
        <w:pStyle w:val="22"/>
        <w:numPr>
          <w:ilvl w:val="0"/>
          <w:numId w:val="22"/>
        </w:numPr>
        <w:tabs>
          <w:tab w:val="left" w:pos="2160"/>
        </w:tabs>
        <w:adjustRightInd w:val="0"/>
        <w:snapToGrid w:val="0"/>
        <w:spacing w:line="420" w:lineRule="exact"/>
        <w:ind w:left="1619" w:leftChars="771" w:firstLine="0"/>
        <w:rPr>
          <w:rFonts w:hAnsi="宋体"/>
          <w:color w:val="auto"/>
          <w:sz w:val="22"/>
          <w:szCs w:val="22"/>
          <w:highlight w:val="none"/>
        </w:rPr>
      </w:pPr>
      <w:r>
        <w:rPr>
          <w:rFonts w:hint="eastAsia" w:hAnsi="宋体"/>
          <w:color w:val="auto"/>
          <w:sz w:val="22"/>
          <w:szCs w:val="22"/>
          <w:highlight w:val="none"/>
        </w:rPr>
        <w:t>立即停止向承包人支付应付的款项；</w:t>
      </w:r>
    </w:p>
    <w:p w14:paraId="1B9970E2">
      <w:pPr>
        <w:pStyle w:val="22"/>
        <w:numPr>
          <w:ilvl w:val="0"/>
          <w:numId w:val="22"/>
        </w:numPr>
        <w:tabs>
          <w:tab w:val="left" w:pos="2160"/>
        </w:tabs>
        <w:adjustRightInd w:val="0"/>
        <w:snapToGrid w:val="0"/>
        <w:spacing w:line="420" w:lineRule="exact"/>
        <w:ind w:left="1618" w:leftChars="770" w:hanging="1"/>
        <w:rPr>
          <w:rFonts w:hAnsi="宋体"/>
          <w:color w:val="auto"/>
          <w:sz w:val="22"/>
          <w:szCs w:val="22"/>
          <w:highlight w:val="none"/>
        </w:rPr>
      </w:pPr>
      <w:r>
        <w:rPr>
          <w:rFonts w:hint="eastAsia" w:hAnsi="宋体"/>
          <w:color w:val="auto"/>
          <w:sz w:val="22"/>
          <w:szCs w:val="22"/>
          <w:highlight w:val="none"/>
        </w:rPr>
        <w:t>在相应支付期应付的工程款范围内，直接向雇员、分包人和材料设备供应商支付承包人应付的款项。</w:t>
      </w:r>
    </w:p>
    <w:p w14:paraId="6257D26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14:paraId="08FDE434">
      <w:pPr>
        <w:pStyle w:val="22"/>
        <w:adjustRightInd w:val="0"/>
        <w:snapToGrid w:val="0"/>
        <w:spacing w:line="420" w:lineRule="exact"/>
        <w:ind w:right="-238"/>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204C6792">
      <w:pPr>
        <w:pStyle w:val="22"/>
        <w:tabs>
          <w:tab w:val="left" w:pos="540"/>
        </w:tabs>
        <w:adjustRightInd w:val="0"/>
        <w:snapToGrid w:val="0"/>
        <w:spacing w:before="240" w:beforeLines="100" w:line="420" w:lineRule="exact"/>
        <w:ind w:firstLine="482"/>
        <w:rPr>
          <w:rFonts w:hAnsi="宋体"/>
          <w:b/>
          <w:bCs/>
          <w:color w:val="auto"/>
          <w:sz w:val="22"/>
          <w:szCs w:val="22"/>
          <w:highlight w:val="none"/>
        </w:rPr>
      </w:pPr>
    </w:p>
    <w:p w14:paraId="451FF833">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32" w:name="_Toc469384063"/>
      <w:bookmarkStart w:id="433" w:name="_Toc2561"/>
      <w:bookmarkStart w:id="434" w:name="_Toc15712"/>
      <w:r>
        <w:rPr>
          <w:rFonts w:hint="eastAsia" w:hAnsi="宋体"/>
          <w:b/>
          <w:bCs/>
          <w:color w:val="auto"/>
          <w:sz w:val="22"/>
          <w:szCs w:val="22"/>
          <w:highlight w:val="none"/>
        </w:rPr>
        <w:t>★79  预付款</w:t>
      </w:r>
      <w:bookmarkEnd w:id="432"/>
      <w:bookmarkEnd w:id="433"/>
      <w:bookmarkEnd w:id="434"/>
    </w:p>
    <w:p w14:paraId="15C87BE2">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335" name="文本框 339"/>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a:effectLst/>
                      </wps:spPr>
                      <wps:txbx>
                        <w:txbxContent>
                          <w:p w14:paraId="6E727B0A">
                            <w:pPr>
                              <w:pStyle w:val="37"/>
                              <w:spacing w:line="200" w:lineRule="exact"/>
                              <w:rPr>
                                <w:rFonts w:ascii="楷体_GB2312" w:hAnsi="宋体"/>
                                <w:sz w:val="18"/>
                                <w:szCs w:val="18"/>
                              </w:rPr>
                            </w:pPr>
                            <w:r>
                              <w:rPr>
                                <w:rFonts w:hint="eastAsia" w:ascii="楷体_GB2312" w:hAnsi="宋体" w:cs="楷体_GB2312"/>
                                <w:sz w:val="18"/>
                                <w:szCs w:val="18"/>
                              </w:rPr>
                              <w:t>预付款的约定</w:t>
                            </w:r>
                          </w:p>
                          <w:p w14:paraId="28B71BE2">
                            <w:pPr>
                              <w:pStyle w:val="37"/>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339" o:spid="_x0000_s1026" o:spt="202" type="#_x0000_t202" style="position:absolute;left:0pt;margin-left:-9pt;margin-top:17.85pt;height:44.15pt;width:108pt;z-index:252004352;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aP9/XAAAACgEAAA8AAAAAAAAAAQAgAAAAIgAAAGRycy9kb3ducmV2LnhtbFBL&#10;AQIUABQAAAAIAIdO4kDLDmzIvgEAAG4DAAAOAAAAAAAAAAEAIAAAACYBAABkcnMvZTJvRG9jLnht&#10;bFBLBQYAAAAABgAGAFkBAABWBQAAAAA=&#10;">
                <v:fill on="f" focussize="0,0"/>
                <v:stroke on="f"/>
                <v:imagedata o:title=""/>
                <o:lock v:ext="edit" aspectratio="f"/>
                <v:textbox>
                  <w:txbxContent>
                    <w:p w14:paraId="6E727B0A">
                      <w:pPr>
                        <w:pStyle w:val="37"/>
                        <w:spacing w:line="200" w:lineRule="exact"/>
                        <w:rPr>
                          <w:rFonts w:ascii="楷体_GB2312" w:hAnsi="宋体"/>
                          <w:sz w:val="18"/>
                          <w:szCs w:val="18"/>
                        </w:rPr>
                      </w:pPr>
                      <w:r>
                        <w:rPr>
                          <w:rFonts w:hint="eastAsia" w:ascii="楷体_GB2312" w:hAnsi="宋体" w:cs="楷体_GB2312"/>
                          <w:sz w:val="18"/>
                          <w:szCs w:val="18"/>
                        </w:rPr>
                        <w:t>预付款的约定</w:t>
                      </w:r>
                    </w:p>
                    <w:p w14:paraId="28B71BE2">
                      <w:pPr>
                        <w:pStyle w:val="37"/>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hAnsi="宋体"/>
          <w:b/>
          <w:bCs/>
          <w:color w:val="auto"/>
          <w:sz w:val="22"/>
          <w:szCs w:val="22"/>
          <w:highlight w:val="none"/>
        </w:rPr>
        <w:t xml:space="preserve">79.1      </w:t>
      </w:r>
    </w:p>
    <w:p w14:paraId="383D27A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除专用条款另有约定外，合同双方当事人应约定预付款，并在专用条款中明确预付款金额、支付办法和抵扣方式。</w:t>
      </w:r>
    </w:p>
    <w:p w14:paraId="03D68B5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10%，不高于合同价款（扣除暂列金额）的30%。</w:t>
      </w:r>
    </w:p>
    <w:p w14:paraId="235FC293">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79.2  </w:t>
      </w:r>
      <w:r>
        <w:rPr>
          <w:rFonts w:hint="eastAsia" w:hAnsi="宋体"/>
          <w:b/>
          <w:bCs/>
          <w:color w:val="auto"/>
          <w:sz w:val="22"/>
          <w:szCs w:val="22"/>
          <w:highlight w:val="none"/>
          <w:u w:val="dotted"/>
        </w:rPr>
        <w:t xml:space="preserve">                                                                                                        </w:t>
      </w:r>
    </w:p>
    <w:p w14:paraId="65335DED">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336" name="文本框 340"/>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a:effectLst/>
                      </wps:spPr>
                      <wps:txbx>
                        <w:txbxContent>
                          <w:p w14:paraId="032BB9D6">
                            <w:pPr>
                              <w:pStyle w:val="37"/>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wps:txbx>
                      <wps:bodyPr wrap="square" upright="1"/>
                    </wps:wsp>
                  </a:graphicData>
                </a:graphic>
              </wp:anchor>
            </w:drawing>
          </mc:Choice>
          <mc:Fallback>
            <w:pict>
              <v:shape id="文本框 340" o:spid="_x0000_s1026" o:spt="202" type="#_x0000_t202" style="position:absolute;left:0pt;margin-left:-9pt;margin-top:1.55pt;height:46.55pt;width:72pt;z-index:252005376;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4nzk1QAAAAgBAAAPAAAAAAAAAAEAIAAAACIAAABkcnMvZG93bnJldi54bWxQSwEC&#10;FAAUAAAACACHTuJAdGW4x74BAABtAwAADgAAAAAAAAABACAAAAAkAQAAZHJzL2Uyb0RvYy54bWxQ&#10;SwUGAAAAAAYABgBZAQAAVAUAAAAA&#10;">
                <v:fill on="f" focussize="0,0"/>
                <v:stroke on="f"/>
                <v:imagedata o:title=""/>
                <o:lock v:ext="edit" aspectratio="f"/>
                <v:textbox>
                  <w:txbxContent>
                    <w:p w14:paraId="032BB9D6">
                      <w:pPr>
                        <w:pStyle w:val="37"/>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hAnsi="宋体"/>
          <w:color w:val="auto"/>
          <w:sz w:val="22"/>
          <w:szCs w:val="22"/>
          <w:highlight w:val="none"/>
        </w:rPr>
        <w:t>承包人在完成下列工作后，应按照专用条款约定的期限内向造价工程师提交预付款支付申请，并抄送发包人。</w:t>
      </w:r>
    </w:p>
    <w:p w14:paraId="2FAC0DFE">
      <w:pPr>
        <w:pStyle w:val="22"/>
        <w:adjustRightInd w:val="0"/>
        <w:snapToGrid w:val="0"/>
        <w:spacing w:line="420" w:lineRule="exact"/>
        <w:ind w:firstLine="1485" w:firstLineChars="675"/>
        <w:rPr>
          <w:rFonts w:hAnsi="宋体"/>
          <w:color w:val="auto"/>
          <w:sz w:val="22"/>
          <w:szCs w:val="22"/>
          <w:highlight w:val="none"/>
        </w:rPr>
      </w:pPr>
      <w:r>
        <w:rPr>
          <w:rFonts w:hint="eastAsia" w:hAnsi="宋体"/>
          <w:color w:val="auto"/>
          <w:sz w:val="22"/>
          <w:szCs w:val="22"/>
          <w:highlight w:val="none"/>
        </w:rPr>
        <w:t>（1）签订本合同；</w:t>
      </w:r>
    </w:p>
    <w:p w14:paraId="6341FADC">
      <w:pPr>
        <w:pStyle w:val="22"/>
        <w:adjustRightInd w:val="0"/>
        <w:snapToGrid w:val="0"/>
        <w:spacing w:line="420" w:lineRule="exact"/>
        <w:ind w:firstLine="1485" w:firstLineChars="675"/>
        <w:rPr>
          <w:rFonts w:hAnsi="宋体"/>
          <w:color w:val="auto"/>
          <w:sz w:val="22"/>
          <w:szCs w:val="22"/>
          <w:highlight w:val="none"/>
        </w:rPr>
      </w:pPr>
      <w:r>
        <w:rPr>
          <w:rFonts w:hint="eastAsia" w:hAnsi="宋体"/>
          <w:color w:val="auto"/>
          <w:sz w:val="22"/>
          <w:szCs w:val="22"/>
          <w:highlight w:val="none"/>
        </w:rPr>
        <w:t>（2）按照第28.1款规定提供履约担保；</w:t>
      </w:r>
    </w:p>
    <w:p w14:paraId="1866724C">
      <w:pPr>
        <w:pStyle w:val="22"/>
        <w:adjustRightInd w:val="0"/>
        <w:snapToGrid w:val="0"/>
        <w:spacing w:line="420" w:lineRule="exact"/>
        <w:ind w:firstLine="1485" w:firstLineChars="675"/>
        <w:rPr>
          <w:rFonts w:hAnsi="宋体"/>
          <w:color w:val="auto"/>
          <w:sz w:val="22"/>
          <w:szCs w:val="22"/>
          <w:highlight w:val="none"/>
        </w:rPr>
      </w:pPr>
      <w:r>
        <w:rPr>
          <w:rFonts w:hint="eastAsia" w:hAnsi="宋体"/>
          <w:color w:val="auto"/>
          <w:sz w:val="22"/>
          <w:szCs w:val="22"/>
          <w:highlight w:val="none"/>
        </w:rPr>
        <w:t>（3）向发包人提供与预付款等额的预付款保函的正本。</w:t>
      </w:r>
    </w:p>
    <w:p w14:paraId="14DF892D">
      <w:pPr>
        <w:pStyle w:val="22"/>
        <w:adjustRightInd w:val="0"/>
        <w:snapToGrid w:val="0"/>
        <w:spacing w:line="420" w:lineRule="exact"/>
        <w:ind w:left="1619" w:leftChars="771" w:firstLine="2"/>
        <w:rPr>
          <w:rFonts w:hAnsi="宋体"/>
          <w:color w:val="auto"/>
          <w:sz w:val="22"/>
          <w:szCs w:val="22"/>
          <w:highlight w:val="none"/>
        </w:rPr>
      </w:pPr>
      <w:r>
        <w:rPr>
          <w:rFonts w:hint="eastAsia" w:hAnsi="宋体"/>
          <w:color w:val="auto"/>
          <w:sz w:val="22"/>
          <w:szCs w:val="22"/>
          <w:highlight w:val="none"/>
        </w:rPr>
        <w:t>造价工程师应对支付申请进行核实，并在收到支付申请后的7天内报发包人确认后向发包人发出支付证书，同时抄送承包人。</w:t>
      </w:r>
    </w:p>
    <w:p w14:paraId="50238A3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发包人在造价工程师签发支付证书后的30天内向承包人支付预付款，并通知造价工程师。</w:t>
      </w:r>
    </w:p>
    <w:p w14:paraId="76F87D75">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79.3  </w:t>
      </w:r>
      <w:r>
        <w:rPr>
          <w:rFonts w:hint="eastAsia" w:hAnsi="宋体"/>
          <w:b/>
          <w:bCs/>
          <w:color w:val="auto"/>
          <w:sz w:val="22"/>
          <w:szCs w:val="22"/>
          <w:highlight w:val="none"/>
          <w:u w:val="dotted"/>
        </w:rPr>
        <w:t xml:space="preserve">                                                                                                        </w:t>
      </w:r>
    </w:p>
    <w:p w14:paraId="0269AF03">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37" name="文本框 341"/>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a:effectLst/>
                      </wps:spPr>
                      <wps:txbx>
                        <w:txbxContent>
                          <w:p w14:paraId="1027032A">
                            <w:pPr>
                              <w:pStyle w:val="37"/>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341" o:spid="_x0000_s1026" o:spt="202" type="#_x0000_t202" style="position:absolute;left:0pt;margin-left:-9pt;margin-top:0.85pt;height:31.55pt;width:72pt;z-index:252006400;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zf4wzVAAAACAEAAA8AAAAAAAAAAQAgAAAAIgAAAGRycy9kb3ducmV2LnhtbFBLAQIU&#10;ABQAAAAIAIdO4kD3K9OfvQEAAG0DAAAOAAAAAAAAAAEAIAAAACQBAABkcnMvZTJvRG9jLnhtbFBL&#10;BQYAAAAABgAGAFkBAABTBQAAAAA=&#10;">
                <v:fill on="f" focussize="0,0"/>
                <v:stroke on="f"/>
                <v:imagedata o:title=""/>
                <o:lock v:ext="edit" aspectratio="f"/>
                <v:textbox>
                  <w:txbxContent>
                    <w:p w14:paraId="1027032A">
                      <w:pPr>
                        <w:pStyle w:val="37"/>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宋体" w:hAnsi="宋体" w:cs="宋体"/>
          <w:color w:val="auto"/>
          <w:sz w:val="22"/>
          <w:szCs w:val="22"/>
          <w:highlight w:val="none"/>
        </w:rPr>
        <w:t>发包人没有按时支付预付款的，承包人应在付款期满后的10天向发包人发出要求支付的通知；发包人收到通知后仍不按要求支付，承包人可在发出通知14天后暂停施工。发包人可与承包人协商签订延期支付协议，经承包人同意后可延期支付，承包人有权按照第78.2款规定获得延期支付的利息。发包方承担由此增加的费用和（或）延误的工期，并向承包人支付合理利润。</w:t>
      </w:r>
    </w:p>
    <w:p w14:paraId="466C5543">
      <w:pPr>
        <w:pStyle w:val="22"/>
        <w:tabs>
          <w:tab w:val="left" w:pos="1320"/>
        </w:tabs>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 xml:space="preserve">79.4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6D0C042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338" name="文本框 342"/>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a:effectLst/>
                      </wps:spPr>
                      <wps:txbx>
                        <w:txbxContent>
                          <w:p w14:paraId="2D47543F">
                            <w:pPr>
                              <w:pStyle w:val="37"/>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342" o:spid="_x0000_s1026" o:spt="202" type="#_x0000_t202" style="position:absolute;left:0pt;margin-left:-9pt;margin-top:3.65pt;height:23.95pt;width:81pt;z-index:252007424;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EXcdYAAAAIAQAADwAAAAAAAAABACAAAAAiAAAAZHJzL2Rvd25yZXYueG1sUEsB&#10;AhQAFAAAAAgAh07iQD/OQLy+AQAAbgMAAA4AAAAAAAAAAQAgAAAAJQEAAGRycy9lMm9Eb2MueG1s&#10;UEsFBgAAAAAGAAYAWQEAAFUFAAAAAA==&#10;">
                <v:fill on="f" focussize="0,0"/>
                <v:stroke on="f"/>
                <v:imagedata o:title=""/>
                <o:lock v:ext="edit" aspectratio="f"/>
                <v:textbox>
                  <w:txbxContent>
                    <w:p w14:paraId="2D47543F">
                      <w:pPr>
                        <w:pStyle w:val="37"/>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hAnsi="宋体"/>
          <w:color w:val="auto"/>
          <w:sz w:val="22"/>
          <w:szCs w:val="22"/>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14:paraId="4795164E">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79.5  </w:t>
      </w:r>
      <w:r>
        <w:rPr>
          <w:rFonts w:hint="eastAsia" w:hAnsi="宋体"/>
          <w:b/>
          <w:bCs/>
          <w:color w:val="auto"/>
          <w:sz w:val="22"/>
          <w:szCs w:val="22"/>
          <w:highlight w:val="none"/>
          <w:u w:val="dotted"/>
        </w:rPr>
        <w:t xml:space="preserve">                                                                                                        </w:t>
      </w:r>
    </w:p>
    <w:p w14:paraId="1307B3F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339" name="文本框 343"/>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a:effectLst/>
                      </wps:spPr>
                      <wps:txbx>
                        <w:txbxContent>
                          <w:p w14:paraId="663072C5">
                            <w:pPr>
                              <w:pStyle w:val="37"/>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wps:txbx>
                      <wps:bodyPr wrap="square" upright="1"/>
                    </wps:wsp>
                  </a:graphicData>
                </a:graphic>
              </wp:anchor>
            </w:drawing>
          </mc:Choice>
          <mc:Fallback>
            <w:pict>
              <v:shape id="文本框 343" o:spid="_x0000_s1026" o:spt="202" type="#_x0000_t202" style="position:absolute;left:0pt;margin-left:-9pt;margin-top:1.05pt;height:32.15pt;width:72pt;z-index:252008448;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rcUW11QAAAAgBAAAPAAAAAAAAAAEAIAAAACIAAABkcnMvZG93bnJldi54bWxQSwEC&#10;FAAUAAAACACHTuJACtGTq74BAABtAwAADgAAAAAAAAABACAAAAAkAQAAZHJzL2Uyb0RvYy54bWxQ&#10;SwUGAAAAAAYABgBZAQAAVAUAAAAA&#10;">
                <v:fill on="f" focussize="0,0"/>
                <v:stroke on="f"/>
                <v:imagedata o:title=""/>
                <o:lock v:ext="edit" aspectratio="f"/>
                <v:textbox>
                  <w:txbxContent>
                    <w:p w14:paraId="663072C5">
                      <w:pPr>
                        <w:pStyle w:val="37"/>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hAnsi="宋体"/>
          <w:color w:val="auto"/>
          <w:sz w:val="22"/>
          <w:szCs w:val="22"/>
          <w:highlight w:val="none"/>
        </w:rPr>
        <w:t>承包人应保持预付款保函在预付款全部扣回之前一直有效。发包人应在预付款扣完后的14天内将预付款保函退还承包人，并不得向承包人收取预付款的任何利息。</w:t>
      </w:r>
    </w:p>
    <w:p w14:paraId="3BB75A03">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0A65268C">
      <w:pPr>
        <w:pStyle w:val="22"/>
        <w:tabs>
          <w:tab w:val="left" w:pos="540"/>
        </w:tabs>
        <w:adjustRightInd w:val="0"/>
        <w:snapToGrid w:val="0"/>
        <w:spacing w:before="240" w:beforeLines="100" w:line="420" w:lineRule="exact"/>
        <w:ind w:firstLine="482"/>
        <w:rPr>
          <w:rFonts w:hAnsi="宋体"/>
          <w:b/>
          <w:bCs/>
          <w:color w:val="auto"/>
          <w:sz w:val="22"/>
          <w:szCs w:val="22"/>
          <w:highlight w:val="none"/>
        </w:rPr>
      </w:pPr>
    </w:p>
    <w:p w14:paraId="01D7F5E7">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35" w:name="_Toc469384064"/>
      <w:bookmarkStart w:id="436" w:name="_Toc16907"/>
      <w:bookmarkStart w:id="437" w:name="_Toc283"/>
      <w:r>
        <w:rPr>
          <w:rFonts w:hint="eastAsia" w:hAnsi="宋体"/>
          <w:b/>
          <w:bCs/>
          <w:color w:val="auto"/>
          <w:sz w:val="22"/>
          <w:szCs w:val="22"/>
          <w:highlight w:val="none"/>
        </w:rPr>
        <w:t>★80  绿色施工安全防护费</w:t>
      </w:r>
      <w:bookmarkEnd w:id="435"/>
      <w:bookmarkEnd w:id="436"/>
      <w:bookmarkEnd w:id="437"/>
    </w:p>
    <w:p w14:paraId="692CF622">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80.1      </w:t>
      </w:r>
    </w:p>
    <w:p w14:paraId="1550D80E">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340" name="文本框 344"/>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a:effectLst/>
                      </wps:spPr>
                      <wps:txbx>
                        <w:txbxContent>
                          <w:p w14:paraId="626C318F">
                            <w:pPr>
                              <w:pStyle w:val="37"/>
                              <w:spacing w:line="200" w:lineRule="exact"/>
                              <w:rPr>
                                <w:rFonts w:ascii="楷体_GB2312" w:hAnsi="宋体"/>
                                <w:sz w:val="18"/>
                                <w:szCs w:val="18"/>
                              </w:rPr>
                            </w:pPr>
                            <w:r>
                              <w:rPr>
                                <w:rFonts w:hint="eastAsia" w:ascii="楷体_GB2312" w:hAnsi="宋体" w:cs="楷体_GB2312"/>
                                <w:sz w:val="18"/>
                                <w:szCs w:val="18"/>
                              </w:rPr>
                              <w:t>内容、范围和</w:t>
                            </w:r>
                          </w:p>
                          <w:p w14:paraId="2DADA54F">
                            <w:pPr>
                              <w:pStyle w:val="37"/>
                              <w:spacing w:line="200" w:lineRule="exact"/>
                              <w:rPr>
                                <w:rFonts w:ascii="楷体_GB2312" w:hAnsi="宋体"/>
                                <w:sz w:val="18"/>
                                <w:szCs w:val="18"/>
                              </w:rPr>
                            </w:pPr>
                            <w:r>
                              <w:rPr>
                                <w:rFonts w:hint="eastAsia" w:ascii="楷体_GB2312" w:hAnsi="宋体" w:cs="楷体_GB2312"/>
                                <w:sz w:val="18"/>
                                <w:szCs w:val="18"/>
                              </w:rPr>
                              <w:t>金额</w:t>
                            </w:r>
                          </w:p>
                        </w:txbxContent>
                      </wps:txbx>
                      <wps:bodyPr wrap="square" upright="1"/>
                    </wps:wsp>
                  </a:graphicData>
                </a:graphic>
              </wp:anchor>
            </w:drawing>
          </mc:Choice>
          <mc:Fallback>
            <w:pict>
              <v:shape id="文本框 344" o:spid="_x0000_s1026" o:spt="202" type="#_x0000_t202" style="position:absolute;left:0pt;margin-left:-9pt;margin-top:1.4pt;height:34.65pt;width:81pt;z-index:252009472;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tsiLdQAAAAIAQAADwAAAAAAAAABACAAAAAiAAAAZHJzL2Rvd25yZXYueG1sUEsBAhQA&#10;FAAAAAgAh07iQBQllgW9AQAAbgMAAA4AAAAAAAAAAQAgAAAAIwEAAGRycy9lMm9Eb2MueG1sUEsF&#10;BgAAAAAGAAYAWQEAAFIFAAAAAA==&#10;">
                <v:fill on="f" focussize="0,0"/>
                <v:stroke on="f"/>
                <v:imagedata o:title=""/>
                <o:lock v:ext="edit" aspectratio="f"/>
                <v:textbox>
                  <w:txbxContent>
                    <w:p w14:paraId="626C318F">
                      <w:pPr>
                        <w:pStyle w:val="37"/>
                        <w:spacing w:line="200" w:lineRule="exact"/>
                        <w:rPr>
                          <w:rFonts w:ascii="楷体_GB2312" w:hAnsi="宋体"/>
                          <w:sz w:val="18"/>
                          <w:szCs w:val="18"/>
                        </w:rPr>
                      </w:pPr>
                      <w:r>
                        <w:rPr>
                          <w:rFonts w:hint="eastAsia" w:ascii="楷体_GB2312" w:hAnsi="宋体" w:cs="楷体_GB2312"/>
                          <w:sz w:val="18"/>
                          <w:szCs w:val="18"/>
                        </w:rPr>
                        <w:t>内容、范围和</w:t>
                      </w:r>
                    </w:p>
                    <w:p w14:paraId="2DADA54F">
                      <w:pPr>
                        <w:pStyle w:val="37"/>
                        <w:spacing w:line="200" w:lineRule="exact"/>
                        <w:rPr>
                          <w:rFonts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hAnsi="宋体"/>
          <w:color w:val="auto"/>
          <w:sz w:val="22"/>
          <w:szCs w:val="22"/>
          <w:highlight w:val="none"/>
        </w:rPr>
        <w:t>合同双方当事人应在专用条款中约定绿色施工安全防护费的内容、范围和金额，并按照第45条规定实施绿色施工安全防护。除专用条款另有约定外，绿色施工安全防护费的内容和范围，应以现行广东省统一工程计价依据、省市造价管理部门发布管理文件的规定为准。</w:t>
      </w:r>
    </w:p>
    <w:p w14:paraId="18C43632">
      <w:pPr>
        <w:pStyle w:val="22"/>
        <w:adjustRightInd w:val="0"/>
        <w:snapToGrid w:val="0"/>
        <w:spacing w:line="420" w:lineRule="exact"/>
        <w:rPr>
          <w:rFonts w:hAnsi="宋体"/>
          <w:color w:val="auto"/>
          <w:sz w:val="22"/>
          <w:szCs w:val="22"/>
          <w:highlight w:val="none"/>
          <w:u w:val="dotted"/>
        </w:rPr>
      </w:pPr>
      <w:r>
        <w:rPr>
          <w:rFonts w:hint="eastAsia" w:hAnsi="宋体"/>
          <w:b/>
          <w:bCs/>
          <w:color w:val="auto"/>
          <w:sz w:val="22"/>
          <w:szCs w:val="22"/>
          <w:highlight w:val="none"/>
        </w:rPr>
        <w:t xml:space="preserve">80.2  </w:t>
      </w:r>
      <w:r>
        <w:rPr>
          <w:rFonts w:hint="eastAsia" w:hAnsi="宋体"/>
          <w:color w:val="auto"/>
          <w:sz w:val="22"/>
          <w:szCs w:val="22"/>
          <w:highlight w:val="none"/>
          <w:u w:val="dotted"/>
        </w:rPr>
        <w:t xml:space="preserve">                                                                             </w:t>
      </w:r>
    </w:p>
    <w:p w14:paraId="0E572F8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341" name="文本框 345"/>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a:effectLst/>
                      </wps:spPr>
                      <wps:txbx>
                        <w:txbxContent>
                          <w:p w14:paraId="1BEA67E3">
                            <w:pPr>
                              <w:pStyle w:val="37"/>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345" o:spid="_x0000_s1026" o:spt="202" type="#_x0000_t202" style="position:absolute;left:0pt;margin-left:-9pt;margin-top:2.7pt;height:62.15pt;width:72pt;z-index:252010496;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JF4sfWAAAACQEAAA8AAAAAAAAAAQAgAAAAIgAAAGRycy9kb3ducmV2LnhtbFBL&#10;AQIUABQAAAAIAIdO4kCHVlwMvwEAAG0DAAAOAAAAAAAAAAEAIAAAACUBAABkcnMvZTJvRG9jLnht&#10;bFBLBQYAAAAABgAGAFkBAABWBQAAAAA=&#10;">
                <v:fill on="f" focussize="0,0"/>
                <v:stroke on="f"/>
                <v:imagedata o:title=""/>
                <o:lock v:ext="edit" aspectratio="f"/>
                <v:textbox>
                  <w:txbxContent>
                    <w:p w14:paraId="1BEA67E3">
                      <w:pPr>
                        <w:pStyle w:val="37"/>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hAnsi="宋体"/>
          <w:color w:val="auto"/>
          <w:sz w:val="22"/>
          <w:szCs w:val="22"/>
          <w:highlight w:val="none"/>
        </w:rPr>
        <w:t>专用条款没有约定的，承包人应在接到监理工程师按照第34.2款规定发出开工令后的7天内向造价工程师提交绿色施工安全防护费支付申请，并抄送发包人。造价工程师应对支付申请进行核实，并在收到支付申请后的7天内报发包人确认后向发包人发出支付证书，同时抄送承包人。</w:t>
      </w:r>
    </w:p>
    <w:p w14:paraId="17EE3778">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80.3  </w:t>
      </w:r>
      <w:r>
        <w:rPr>
          <w:rFonts w:hint="eastAsia" w:hAnsi="宋体"/>
          <w:b/>
          <w:bCs/>
          <w:color w:val="auto"/>
          <w:sz w:val="22"/>
          <w:szCs w:val="22"/>
          <w:highlight w:val="none"/>
          <w:u w:val="dotted"/>
        </w:rPr>
        <w:t xml:space="preserve">                                                                                                        </w:t>
      </w:r>
    </w:p>
    <w:p w14:paraId="1DDDE73E">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合同双方当事人应按照建设行政主管部门的规定，在专用条款中约定绿色施工安全防护费的支付办法和抵扣方式。除专用条款另有约定外，</w:t>
      </w:r>
      <w:r>
        <w:rPr>
          <w:rFonts w:hint="eastAsia" w:hAnsi="宋体"/>
          <w:color w:val="auto"/>
          <w:sz w:val="22"/>
          <w:szCs w:val="22"/>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342" name="文本框 346"/>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a:effectLst/>
                      </wps:spPr>
                      <wps:txbx>
                        <w:txbxContent>
                          <w:p w14:paraId="2A805FFF">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346" o:spid="_x0000_s1026" o:spt="202" type="#_x0000_t202" style="position:absolute;left:0pt;margin-left:-9pt;margin-top:5.65pt;height:27.75pt;width:81pt;z-index:252011520;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gtd9UAAAAJAQAADwAAAAAAAAABACAAAAAiAAAAZHJzL2Rvd25yZXYueG1sUEsB&#10;AhQAFAAAAAgAh07iQDD/j1e/AQAAbgMAAA4AAAAAAAAAAQAgAAAAJAEAAGRycy9lMm9Eb2MueG1s&#10;UEsFBgAAAAAGAAYAWQEAAFUFAAAAAA==&#10;">
                <v:fill on="f" focussize="0,0"/>
                <v:stroke on="f"/>
                <v:imagedata o:title=""/>
                <o:lock v:ext="edit" aspectratio="f"/>
                <v:textbox>
                  <w:txbxContent>
                    <w:p w14:paraId="2A805FFF">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hAnsi="宋体"/>
          <w:color w:val="auto"/>
          <w:sz w:val="22"/>
          <w:szCs w:val="22"/>
          <w:highlight w:val="none"/>
        </w:rPr>
        <w:t>发包人应在造价工程师签发支付证书后的7天内向承包人支付绿色施工安全防护费，并保证在工程开工后的28天内支付绿色施工安全防护费金额的50%，同时通知造价工程师。其余部分与进度款同期支付。</w:t>
      </w:r>
    </w:p>
    <w:p w14:paraId="513EB66B">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80.4  </w:t>
      </w:r>
      <w:r>
        <w:rPr>
          <w:rFonts w:hint="eastAsia" w:hAnsi="宋体"/>
          <w:b/>
          <w:bCs/>
          <w:color w:val="auto"/>
          <w:sz w:val="22"/>
          <w:szCs w:val="22"/>
          <w:highlight w:val="none"/>
          <w:u w:val="dotted"/>
        </w:rPr>
        <w:t xml:space="preserve">                                                                                                        </w:t>
      </w:r>
    </w:p>
    <w:p w14:paraId="6D22BC5C">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43" name="文本框 347"/>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a:effectLst/>
                      </wps:spPr>
                      <wps:txbx>
                        <w:txbxContent>
                          <w:p w14:paraId="51009339">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347" o:spid="_x0000_s1026" o:spt="202" type="#_x0000_t202" style="position:absolute;left:0pt;margin-left:-9pt;margin-top:0.85pt;height:31.55pt;width:72pt;z-index:252012544;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zf4wzVAAAACAEAAA8AAAAAAAAAAQAgAAAAIgAAAGRycy9kb3ducmV2LnhtbFBLAQIU&#10;ABQAAAAIAIdO4kBoP8qjvQEAAG0DAAAOAAAAAAAAAAEAIAAAACQBAABkcnMvZTJvRG9jLnhtbFBL&#10;BQYAAAAABgAGAFkBAABTBQAAAAA=&#10;">
                <v:fill on="f" focussize="0,0"/>
                <v:stroke on="f"/>
                <v:imagedata o:title=""/>
                <o:lock v:ext="edit" aspectratio="f"/>
                <v:textbox>
                  <w:txbxContent>
                    <w:p w14:paraId="51009339">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宋体" w:hAnsi="宋体" w:cs="宋体"/>
          <w:color w:val="auto"/>
          <w:sz w:val="22"/>
          <w:szCs w:val="22"/>
          <w:highlight w:val="none"/>
        </w:rPr>
        <w:t>发包人没有按时支付绿色施工安全防护费的，承包人应在付款期满后的10天向发包人发出要求支付的通知；发包人收到通知后仍不按要求支付，承包人可在发出通知14天后暂停施工。发包人应承担由此增加的费用和（或）延误的工期，并向承包人支付合理利润。</w:t>
      </w:r>
    </w:p>
    <w:p w14:paraId="734D6A1A">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80.5  </w:t>
      </w:r>
      <w:r>
        <w:rPr>
          <w:rFonts w:hint="eastAsia" w:hAnsi="宋体"/>
          <w:b/>
          <w:bCs/>
          <w:color w:val="auto"/>
          <w:sz w:val="22"/>
          <w:szCs w:val="22"/>
          <w:highlight w:val="none"/>
          <w:u w:val="dotted"/>
        </w:rPr>
        <w:t xml:space="preserve">                                                                                                        </w:t>
      </w:r>
    </w:p>
    <w:p w14:paraId="0CFCD27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344" name="文本框 348"/>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a:effectLst/>
                      </wps:spPr>
                      <wps:txbx>
                        <w:txbxContent>
                          <w:p w14:paraId="2F3CA0AA">
                            <w:pPr>
                              <w:spacing w:line="240" w:lineRule="exact"/>
                              <w:rPr>
                                <w:rFonts w:ascii="宋体" w:cs="Times New Roman"/>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348" o:spid="_x0000_s1026" o:spt="202" type="#_x0000_t202" style="position:absolute;left:0pt;margin-left:-9pt;margin-top:0.15pt;height:37.1pt;width:72pt;z-index:252013568;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3DUx9UAAAAHAQAADwAAAAAAAAABACAAAAAiAAAAZHJzL2Rvd25yZXYueG1sUEsB&#10;AhQAFAAAAAgAh07iQAmRI9q/AQAAbQMAAA4AAAAAAAAAAQAgAAAAJAEAAGRycy9lMm9Eb2MueG1s&#10;UEsFBgAAAAAGAAYAWQEAAFUFAAAAAA==&#10;">
                <v:fill on="f" focussize="0,0"/>
                <v:stroke on="f"/>
                <v:imagedata o:title=""/>
                <o:lock v:ext="edit" aspectratio="f"/>
                <v:textbox>
                  <w:txbxContent>
                    <w:p w14:paraId="2F3CA0AA">
                      <w:pPr>
                        <w:spacing w:line="240" w:lineRule="exact"/>
                        <w:rPr>
                          <w:rFonts w:ascii="宋体" w:cs="Times New Roman"/>
                        </w:rPr>
                      </w:pPr>
                      <w:r>
                        <w:rPr>
                          <w:rFonts w:hint="eastAsia" w:ascii="楷体_GB2312" w:hAnsi="宋体" w:eastAsia="楷体_GB2312" w:cs="楷体_GB2312"/>
                          <w:b/>
                          <w:bCs/>
                          <w:sz w:val="18"/>
                          <w:szCs w:val="18"/>
                        </w:rPr>
                        <w:t>管理要求</w:t>
                      </w:r>
                    </w:p>
                  </w:txbxContent>
                </v:textbox>
              </v:shape>
            </w:pict>
          </mc:Fallback>
        </mc:AlternateContent>
      </w:r>
      <w:r>
        <w:rPr>
          <w:rFonts w:hint="eastAsia" w:hAnsi="宋体"/>
          <w:color w:val="auto"/>
          <w:sz w:val="22"/>
          <w:szCs w:val="22"/>
          <w:highlight w:val="none"/>
        </w:rPr>
        <w:t>绿色施工安全防护费专款专用，承包人应在财务账目中单独列项备查，不得挪作他用，否则造价工程师有权责令其限期改正；逾期未改正的，可以责令其暂停施工，由此造成的损失和延误的工期由承包人承担。</w:t>
      </w:r>
    </w:p>
    <w:p w14:paraId="22BAF7EB">
      <w:pPr>
        <w:pStyle w:val="22"/>
        <w:adjustRightInd w:val="0"/>
        <w:snapToGrid w:val="0"/>
        <w:spacing w:line="420" w:lineRule="exact"/>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14592"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345" name="文本框 349"/>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a:effectLst/>
                      </wps:spPr>
                      <wps:txbx>
                        <w:txbxContent>
                          <w:p w14:paraId="1A3217EE">
                            <w:pPr>
                              <w:pStyle w:val="16"/>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wrap="square" upright="1"/>
                    </wps:wsp>
                  </a:graphicData>
                </a:graphic>
              </wp:anchor>
            </w:drawing>
          </mc:Choice>
          <mc:Fallback>
            <w:pict>
              <v:shape id="文本框 349" o:spid="_x0000_s1026" o:spt="202" type="#_x0000_t202" style="position:absolute;left:0pt;margin-left:0pt;margin-top:23.5pt;height:48pt;width:72pt;z-index:252014592;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OGMh7SAAAABwEAAA8AAAAAAAAAAQAgAAAAIgAAAGRycy9kb3ducmV2LnhtbFBLAQIUABQA&#10;AAAIAIdO4kAS9VqNvQEAAG0DAAAOAAAAAAAAAAEAIAAAACEBAABkcnMvZTJvRG9jLnhtbFBLBQYA&#10;AAAABgAGAFkBAABQBQAAAAA=&#10;">
                <v:fill on="f" focussize="0,0"/>
                <v:stroke on="f"/>
                <v:imagedata o:title=""/>
                <o:lock v:ext="edit" aspectratio="f"/>
                <v:textbox>
                  <w:txbxContent>
                    <w:p w14:paraId="1A3217EE">
                      <w:pPr>
                        <w:pStyle w:val="16"/>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hint="eastAsia" w:hAnsi="宋体"/>
          <w:b/>
          <w:bCs/>
          <w:color w:val="auto"/>
          <w:sz w:val="22"/>
          <w:szCs w:val="22"/>
          <w:highlight w:val="none"/>
        </w:rPr>
        <w:t xml:space="preserve">80.6  </w:t>
      </w:r>
      <w:r>
        <w:rPr>
          <w:rFonts w:hint="eastAsia" w:hAnsi="宋体"/>
          <w:b/>
          <w:bCs/>
          <w:color w:val="auto"/>
          <w:sz w:val="22"/>
          <w:szCs w:val="22"/>
          <w:highlight w:val="none"/>
          <w:u w:val="dotted"/>
        </w:rPr>
        <w:t xml:space="preserve">                                                                                 </w:t>
      </w:r>
    </w:p>
    <w:p w14:paraId="40883E70">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除专用条款另有约定外，</w:t>
      </w:r>
      <w:r>
        <w:rPr>
          <w:rFonts w:hint="eastAsia" w:hAnsi="宋体"/>
          <w:caps/>
          <w:color w:val="auto"/>
          <w:sz w:val="22"/>
          <w:szCs w:val="22"/>
          <w:highlight w:val="none"/>
        </w:rPr>
        <w:t>获得省、市级或其它级别文明工地的文明工地增加费</w:t>
      </w:r>
      <w:r>
        <w:rPr>
          <w:rFonts w:hint="eastAsia" w:hAnsi="宋体"/>
          <w:color w:val="auto"/>
          <w:sz w:val="22"/>
          <w:szCs w:val="22"/>
          <w:highlight w:val="none"/>
        </w:rPr>
        <w:t>，招标工程的根据中标通知书日期，非招标工程的根据合同签订日期的同时期执行的广东省建设工程计价依据</w:t>
      </w:r>
      <w:r>
        <w:rPr>
          <w:rFonts w:hint="eastAsia" w:hAnsi="宋体"/>
          <w:caps/>
          <w:color w:val="auto"/>
          <w:sz w:val="22"/>
          <w:szCs w:val="22"/>
          <w:highlight w:val="none"/>
        </w:rPr>
        <w:t>文明工地增加费</w:t>
      </w:r>
      <w:r>
        <w:rPr>
          <w:rFonts w:hint="eastAsia" w:hAnsi="宋体"/>
          <w:color w:val="auto"/>
          <w:sz w:val="22"/>
          <w:szCs w:val="22"/>
          <w:highlight w:val="none"/>
        </w:rPr>
        <w:t>、广州市住房和城乡建设局发布的</w:t>
      </w:r>
      <w:r>
        <w:rPr>
          <w:rFonts w:hint="eastAsia" w:hAnsi="宋体"/>
          <w:caps/>
          <w:color w:val="auto"/>
          <w:sz w:val="22"/>
          <w:szCs w:val="22"/>
          <w:highlight w:val="none"/>
        </w:rPr>
        <w:t>文明工地增加费</w:t>
      </w:r>
      <w:r>
        <w:rPr>
          <w:rFonts w:hint="eastAsia" w:hAnsi="宋体"/>
          <w:color w:val="auto"/>
          <w:sz w:val="22"/>
          <w:szCs w:val="22"/>
          <w:highlight w:val="none"/>
        </w:rPr>
        <w:t>、广州市建设工程造价管理站发布的</w:t>
      </w:r>
      <w:r>
        <w:rPr>
          <w:rFonts w:hint="eastAsia" w:hAnsi="宋体"/>
          <w:caps/>
          <w:color w:val="auto"/>
          <w:sz w:val="22"/>
          <w:szCs w:val="22"/>
          <w:highlight w:val="none"/>
        </w:rPr>
        <w:t>文明工地增加费</w:t>
      </w:r>
      <w:r>
        <w:rPr>
          <w:rFonts w:hint="eastAsia" w:hAnsi="宋体"/>
          <w:color w:val="auto"/>
          <w:sz w:val="22"/>
          <w:szCs w:val="22"/>
          <w:highlight w:val="none"/>
        </w:rPr>
        <w:t>计算。当合同工程同时获得上述多个奖项的，</w:t>
      </w:r>
      <w:r>
        <w:rPr>
          <w:rFonts w:hint="eastAsia" w:hAnsi="宋体"/>
          <w:caps/>
          <w:color w:val="auto"/>
          <w:sz w:val="22"/>
          <w:szCs w:val="22"/>
          <w:highlight w:val="none"/>
        </w:rPr>
        <w:t>文明工地增加费</w:t>
      </w:r>
      <w:r>
        <w:rPr>
          <w:rFonts w:hint="eastAsia" w:hAnsi="宋体"/>
          <w:color w:val="auto"/>
          <w:sz w:val="22"/>
          <w:szCs w:val="22"/>
          <w:highlight w:val="none"/>
        </w:rPr>
        <w:t>只按最高奖项的额度计算。</w:t>
      </w:r>
      <w:r>
        <w:rPr>
          <w:rFonts w:hint="eastAsia" w:hAnsi="宋体"/>
          <w:caps/>
          <w:color w:val="auto"/>
          <w:sz w:val="22"/>
          <w:szCs w:val="22"/>
          <w:highlight w:val="none"/>
        </w:rPr>
        <w:t>文明工地增加费</w:t>
      </w:r>
      <w:r>
        <w:rPr>
          <w:rFonts w:hint="eastAsia" w:hAnsi="宋体"/>
          <w:color w:val="auto"/>
          <w:sz w:val="22"/>
          <w:szCs w:val="22"/>
          <w:highlight w:val="none"/>
        </w:rPr>
        <w:t>列入竣工结算文件中，与竣工结算款一并支付。在竣工结算后获得奖项的，发包人应在获得奖项后的28天内支付。</w:t>
      </w:r>
    </w:p>
    <w:p w14:paraId="42951042">
      <w:pPr>
        <w:pStyle w:val="22"/>
        <w:tabs>
          <w:tab w:val="left" w:pos="1620"/>
        </w:tabs>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1BC0FE7B">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38" w:name="_Toc25182"/>
      <w:bookmarkStart w:id="439" w:name="_Toc469384065"/>
      <w:bookmarkStart w:id="440" w:name="_Toc21348"/>
      <w:r>
        <w:rPr>
          <w:rFonts w:hint="eastAsia" w:hAnsi="宋体"/>
          <w:b/>
          <w:bCs/>
          <w:color w:val="auto"/>
          <w:sz w:val="22"/>
          <w:szCs w:val="22"/>
          <w:highlight w:val="none"/>
        </w:rPr>
        <w:t>★81  进度款</w:t>
      </w:r>
      <w:bookmarkEnd w:id="438"/>
      <w:bookmarkEnd w:id="439"/>
      <w:bookmarkEnd w:id="440"/>
    </w:p>
    <w:p w14:paraId="0490B14F">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81.1</w:t>
      </w:r>
    </w:p>
    <w:p w14:paraId="53E6F57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346" name="文本框 350"/>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a:effectLst/>
                      </wps:spPr>
                      <wps:txbx>
                        <w:txbxContent>
                          <w:p w14:paraId="39795B0B">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wps:txbx>
                      <wps:bodyPr wrap="square" upright="1"/>
                    </wps:wsp>
                  </a:graphicData>
                </a:graphic>
              </wp:anchor>
            </w:drawing>
          </mc:Choice>
          <mc:Fallback>
            <w:pict>
              <v:shape id="文本框 350" o:spid="_x0000_s1026" o:spt="202" type="#_x0000_t202" style="position:absolute;left:0pt;margin-left:-9pt;margin-top:0.65pt;height:54.05pt;width:72pt;z-index:252015616;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JW8u/VAAAACQEAAA8AAAAAAAAAAQAgAAAAIgAAAGRycy9kb3ducmV2LnhtbFBLAQIU&#10;ABQAAAAIAIdO4kDsbl+XvQEAAG0DAAAOAAAAAAAAAAEAIAAAACQBAABkcnMvZTJvRG9jLnhtbFBL&#10;BQYAAAAABgAGAFkBAABTBQAAAAA=&#10;">
                <v:fill on="f" focussize="0,0"/>
                <v:stroke on="f"/>
                <v:imagedata o:title=""/>
                <o:lock v:ext="edit" aspectratio="f"/>
                <v:textbox>
                  <w:txbxContent>
                    <w:p w14:paraId="39795B0B">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hAnsi="宋体"/>
          <w:color w:val="auto"/>
          <w:sz w:val="22"/>
          <w:szCs w:val="22"/>
          <w:highlight w:val="none"/>
        </w:rPr>
        <w:t>合同双方当事人应在专用条款中明确进度款支付期的时限及比例。专用条款没有约定期限的，支付期以月为单位。涉及政府投资资金的工程，支付期、支付方法等需调整的，应在专用条款中约定。</w:t>
      </w:r>
    </w:p>
    <w:p w14:paraId="22A67C12">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16640"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347" name="文本框 351"/>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a:effectLst/>
                      </wps:spPr>
                      <wps:txbx>
                        <w:txbxContent>
                          <w:p w14:paraId="32419D2D">
                            <w:pPr>
                              <w:spacing w:line="240" w:lineRule="exact"/>
                              <w:rPr>
                                <w:rFonts w:eastAsia="楷体_GB2312" w:cs="Times New Roman"/>
                                <w:b/>
                                <w:bCs/>
                                <w:sz w:val="18"/>
                                <w:szCs w:val="18"/>
                              </w:rPr>
                            </w:pPr>
                            <w:r>
                              <w:rPr>
                                <w:rFonts w:hint="eastAsia" w:eastAsia="楷体_GB2312" w:cs="楷体_GB2312"/>
                                <w:b/>
                                <w:bCs/>
                                <w:sz w:val="18"/>
                                <w:szCs w:val="18"/>
                              </w:rPr>
                              <w:t>安全文明施工费</w:t>
                            </w:r>
                          </w:p>
                          <w:p w14:paraId="2F7AE3DA">
                            <w:pPr>
                              <w:spacing w:line="240" w:lineRule="exact"/>
                              <w:rPr>
                                <w:rFonts w:eastAsia="楷体_GB2312" w:cs="Times New Roman"/>
                                <w:b/>
                                <w:bCs/>
                                <w:sz w:val="18"/>
                                <w:szCs w:val="18"/>
                              </w:rPr>
                            </w:pPr>
                            <w:r>
                              <w:rPr>
                                <w:rFonts w:hint="eastAsia" w:eastAsia="楷体_GB2312" w:cs="楷体_GB2312"/>
                                <w:b/>
                                <w:bCs/>
                                <w:sz w:val="18"/>
                                <w:szCs w:val="18"/>
                              </w:rPr>
                              <w:t>支付申请的提交、</w:t>
                            </w:r>
                          </w:p>
                          <w:p w14:paraId="6B8365FA">
                            <w:pPr>
                              <w:spacing w:line="240" w:lineRule="exact"/>
                              <w:rPr>
                                <w:rFonts w:eastAsia="楷体_GB2312" w:cs="Times New Roman"/>
                                <w:b/>
                                <w:bCs/>
                                <w:sz w:val="18"/>
                                <w:szCs w:val="18"/>
                              </w:rPr>
                            </w:pPr>
                            <w:r>
                              <w:rPr>
                                <w:rFonts w:hint="eastAsia" w:eastAsia="楷体_GB2312" w:cs="楷体_GB2312"/>
                                <w:b/>
                                <w:bCs/>
                                <w:sz w:val="18"/>
                                <w:szCs w:val="18"/>
                              </w:rPr>
                              <w:t>核实与支付</w:t>
                            </w:r>
                          </w:p>
                          <w:p w14:paraId="5F0DDB41">
                            <w:pPr>
                              <w:rPr>
                                <w:rFonts w:eastAsia="楷体_GB2312" w:cs="Times New Roman"/>
                                <w:b/>
                                <w:bCs/>
                                <w:sz w:val="18"/>
                                <w:szCs w:val="18"/>
                              </w:rPr>
                            </w:pPr>
                          </w:p>
                        </w:txbxContent>
                      </wps:txbx>
                      <wps:bodyPr wrap="square" upright="1"/>
                    </wps:wsp>
                  </a:graphicData>
                </a:graphic>
              </wp:anchor>
            </w:drawing>
          </mc:Choice>
          <mc:Fallback>
            <w:pict>
              <v:shape id="文本框 351" o:spid="_x0000_s1026" o:spt="202" type="#_x0000_t202" style="position:absolute;left:0pt;margin-left:-18pt;margin-top:737pt;height:47.05pt;width:111pt;z-index:252016640;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CYDi11wAAAA0BAAAPAAAAAAAAAAEAIAAAACIAAABkcnMvZG93bnJldi54bWxQ&#10;SwECFAAUAAAACACHTuJAts3Iwr8BAABuAwAADgAAAAAAAAABACAAAAAmAQAAZHJzL2Uyb0RvYy54&#10;bWxQSwUGAAAAAAYABgBZAQAAVwUAAAAA&#10;">
                <v:fill on="f" focussize="0,0"/>
                <v:stroke on="f"/>
                <v:imagedata o:title=""/>
                <o:lock v:ext="edit" aspectratio="f"/>
                <v:textbox>
                  <w:txbxContent>
                    <w:p w14:paraId="32419D2D">
                      <w:pPr>
                        <w:spacing w:line="240" w:lineRule="exact"/>
                        <w:rPr>
                          <w:rFonts w:eastAsia="楷体_GB2312" w:cs="Times New Roman"/>
                          <w:b/>
                          <w:bCs/>
                          <w:sz w:val="18"/>
                          <w:szCs w:val="18"/>
                        </w:rPr>
                      </w:pPr>
                      <w:r>
                        <w:rPr>
                          <w:rFonts w:hint="eastAsia" w:eastAsia="楷体_GB2312" w:cs="楷体_GB2312"/>
                          <w:b/>
                          <w:bCs/>
                          <w:sz w:val="18"/>
                          <w:szCs w:val="18"/>
                        </w:rPr>
                        <w:t>安全文明施工费</w:t>
                      </w:r>
                    </w:p>
                    <w:p w14:paraId="2F7AE3DA">
                      <w:pPr>
                        <w:spacing w:line="240" w:lineRule="exact"/>
                        <w:rPr>
                          <w:rFonts w:eastAsia="楷体_GB2312" w:cs="Times New Roman"/>
                          <w:b/>
                          <w:bCs/>
                          <w:sz w:val="18"/>
                          <w:szCs w:val="18"/>
                        </w:rPr>
                      </w:pPr>
                      <w:r>
                        <w:rPr>
                          <w:rFonts w:hint="eastAsia" w:eastAsia="楷体_GB2312" w:cs="楷体_GB2312"/>
                          <w:b/>
                          <w:bCs/>
                          <w:sz w:val="18"/>
                          <w:szCs w:val="18"/>
                        </w:rPr>
                        <w:t>支付申请的提交、</w:t>
                      </w:r>
                    </w:p>
                    <w:p w14:paraId="6B8365FA">
                      <w:pPr>
                        <w:spacing w:line="240" w:lineRule="exact"/>
                        <w:rPr>
                          <w:rFonts w:eastAsia="楷体_GB2312" w:cs="Times New Roman"/>
                          <w:b/>
                          <w:bCs/>
                          <w:sz w:val="18"/>
                          <w:szCs w:val="18"/>
                        </w:rPr>
                      </w:pPr>
                      <w:r>
                        <w:rPr>
                          <w:rFonts w:hint="eastAsia" w:eastAsia="楷体_GB2312" w:cs="楷体_GB2312"/>
                          <w:b/>
                          <w:bCs/>
                          <w:sz w:val="18"/>
                          <w:szCs w:val="18"/>
                        </w:rPr>
                        <w:t>核实与支付</w:t>
                      </w:r>
                    </w:p>
                    <w:p w14:paraId="5F0DDB41">
                      <w:pPr>
                        <w:rPr>
                          <w:rFonts w:eastAsia="楷体_GB2312" w:cs="Times New Roman"/>
                          <w:b/>
                          <w:bCs/>
                          <w:sz w:val="18"/>
                          <w:szCs w:val="18"/>
                        </w:rPr>
                      </w:pPr>
                    </w:p>
                  </w:txbxContent>
                </v:textbox>
              </v:shape>
            </w:pict>
          </mc:Fallback>
        </mc:AlternateContent>
      </w:r>
      <w:r>
        <w:rPr>
          <w:rFonts w:hint="eastAsia" w:hAnsi="宋体"/>
          <w:color w:val="auto"/>
          <w:sz w:val="22"/>
          <w:szCs w:val="22"/>
          <w:highlight w:val="none"/>
        </w:rPr>
        <w:t>承包人应在每个支付期结束后的7天内向造价工程师提交由承包人代表签署的支付申请和已完工程款额报告一式四份，详细说明此支付期间自己认为有权得到的款项，包括分包人已完工程款，同时抄送发包人。该支付申请的内容包括：</w:t>
      </w:r>
    </w:p>
    <w:p w14:paraId="7E046859">
      <w:pPr>
        <w:pStyle w:val="22"/>
        <w:numPr>
          <w:ilvl w:val="0"/>
          <w:numId w:val="23"/>
        </w:numPr>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已完工程款；</w:t>
      </w:r>
    </w:p>
    <w:p w14:paraId="6B94EB29">
      <w:pPr>
        <w:pStyle w:val="22"/>
        <w:numPr>
          <w:ilvl w:val="0"/>
          <w:numId w:val="23"/>
        </w:numPr>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已实际支付的工程款；</w:t>
      </w:r>
    </w:p>
    <w:p w14:paraId="782DBD55">
      <w:pPr>
        <w:pStyle w:val="22"/>
        <w:numPr>
          <w:ilvl w:val="0"/>
          <w:numId w:val="23"/>
        </w:numPr>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本期间完成的工程款；</w:t>
      </w:r>
    </w:p>
    <w:p w14:paraId="6F390943">
      <w:pPr>
        <w:pStyle w:val="22"/>
        <w:numPr>
          <w:ilvl w:val="0"/>
          <w:numId w:val="23"/>
        </w:numPr>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本期间完成的计日工费用；</w:t>
      </w:r>
    </w:p>
    <w:p w14:paraId="116FA1A0">
      <w:pPr>
        <w:pStyle w:val="22"/>
        <w:numPr>
          <w:ilvl w:val="0"/>
          <w:numId w:val="23"/>
        </w:numPr>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本期间应支付的暂列金额价款；</w:t>
      </w:r>
    </w:p>
    <w:p w14:paraId="17C4C79F">
      <w:pPr>
        <w:pStyle w:val="22"/>
        <w:numPr>
          <w:ilvl w:val="0"/>
          <w:numId w:val="23"/>
        </w:numPr>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根据第66条规定本期间应扣除的误期赔偿费；</w:t>
      </w:r>
    </w:p>
    <w:p w14:paraId="007C8F6B">
      <w:pPr>
        <w:pStyle w:val="22"/>
        <w:numPr>
          <w:ilvl w:val="0"/>
          <w:numId w:val="23"/>
        </w:numPr>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根据第68条至第76条规定本期间应支付的调整工程款；</w:t>
      </w:r>
    </w:p>
    <w:p w14:paraId="0B5CF5E7">
      <w:pPr>
        <w:pStyle w:val="22"/>
        <w:numPr>
          <w:ilvl w:val="0"/>
          <w:numId w:val="23"/>
        </w:numPr>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根据第79条本期间应扣回的预付款；</w:t>
      </w:r>
    </w:p>
    <w:p w14:paraId="5B33D247">
      <w:pPr>
        <w:pStyle w:val="22"/>
        <w:numPr>
          <w:ilvl w:val="0"/>
          <w:numId w:val="23"/>
        </w:numPr>
        <w:tabs>
          <w:tab w:val="left" w:pos="2160"/>
        </w:tabs>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根据第80条规定本期间应支付或扣回的绿色施工安全防护费；</w:t>
      </w:r>
    </w:p>
    <w:p w14:paraId="646F6F93">
      <w:pPr>
        <w:pStyle w:val="22"/>
        <w:numPr>
          <w:ilvl w:val="0"/>
          <w:numId w:val="23"/>
        </w:numPr>
        <w:tabs>
          <w:tab w:val="left" w:pos="2160"/>
        </w:tabs>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根据第84条本期间应扣留的质量保证金；</w:t>
      </w:r>
    </w:p>
    <w:p w14:paraId="7F0865CF">
      <w:pPr>
        <w:pStyle w:val="22"/>
        <w:numPr>
          <w:ilvl w:val="0"/>
          <w:numId w:val="23"/>
        </w:numPr>
        <w:tabs>
          <w:tab w:val="left" w:pos="2160"/>
        </w:tabs>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根据合同约定，本期间应支付或扣留（回）的其他款项；</w:t>
      </w:r>
    </w:p>
    <w:p w14:paraId="0861BCFB">
      <w:pPr>
        <w:pStyle w:val="22"/>
        <w:numPr>
          <w:ilvl w:val="0"/>
          <w:numId w:val="23"/>
        </w:numPr>
        <w:tabs>
          <w:tab w:val="left" w:pos="2160"/>
        </w:tabs>
        <w:adjustRightInd w:val="0"/>
        <w:snapToGrid w:val="0"/>
        <w:spacing w:line="420" w:lineRule="exact"/>
        <w:ind w:left="1620" w:firstLine="0"/>
        <w:rPr>
          <w:rFonts w:hAnsi="宋体"/>
          <w:color w:val="auto"/>
          <w:sz w:val="22"/>
          <w:szCs w:val="22"/>
          <w:highlight w:val="none"/>
        </w:rPr>
      </w:pPr>
      <w:r>
        <w:rPr>
          <w:rFonts w:hint="eastAsia" w:hAnsi="宋体"/>
          <w:color w:val="auto"/>
          <w:sz w:val="22"/>
          <w:szCs w:val="22"/>
          <w:highlight w:val="none"/>
        </w:rPr>
        <w:t>本期间应支付的工程款。</w:t>
      </w:r>
    </w:p>
    <w:p w14:paraId="032DE601">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81.2 </w:t>
      </w:r>
      <w:r>
        <w:rPr>
          <w:rFonts w:hint="eastAsia" w:hAnsi="宋体"/>
          <w:b/>
          <w:bCs/>
          <w:color w:val="auto"/>
          <w:sz w:val="22"/>
          <w:szCs w:val="22"/>
          <w:highlight w:val="none"/>
          <w:u w:val="dotted"/>
        </w:rPr>
        <w:t xml:space="preserve">                                                                                                         </w:t>
      </w:r>
    </w:p>
    <w:p w14:paraId="3224719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348" name="文本框 352"/>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a:effectLst/>
                      </wps:spPr>
                      <wps:txbx>
                        <w:txbxContent>
                          <w:p w14:paraId="1026F6FE">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352" o:spid="_x0000_s1026" o:spt="202" type="#_x0000_t202" style="position:absolute;left:0pt;margin-left:-9pt;margin-top:0pt;height:52.8pt;width:72pt;z-index:252017664;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dhSwnUAAAACAEAAA8AAAAAAAAAAQAgAAAAIgAAAGRycy9kb3ducmV2LnhtbFBLAQIU&#10;ABQAAAAIAIdO4kBh7ocfvgEAAG0DAAAOAAAAAAAAAAEAIAAAACMBAABkcnMvZTJvRG9jLnhtbFBL&#10;BQYAAAAABgAGAFkBAABTBQAAAAA=&#10;">
                <v:fill on="f" focussize="0,0"/>
                <v:stroke on="f"/>
                <v:imagedata o:title=""/>
                <o:lock v:ext="edit" aspectratio="f"/>
                <v:textbox>
                  <w:txbxContent>
                    <w:p w14:paraId="1026F6FE">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hAnsi="宋体"/>
          <w:color w:val="auto"/>
          <w:sz w:val="22"/>
          <w:szCs w:val="22"/>
          <w:highlight w:val="none"/>
        </w:rPr>
        <w:t>造价工程师在收到上述资料后，应按照第62条的规定进行计量，并根据计量结果和合同约定对资料内容予以核实。在收到上述资料后的28天内报发包人确认后向发包人签发期中支付证书，同时抄送承包人。</w:t>
      </w:r>
      <w:r>
        <w:rPr>
          <w:rFonts w:hint="eastAsia" w:hAnsi="宋体"/>
          <w:color w:val="auto"/>
          <w:sz w:val="22"/>
          <w:szCs w:val="22"/>
          <w:highlight w:val="none"/>
        </w:rPr>
        <w:br w:type="textWrapping"/>
      </w:r>
      <w:r>
        <w:rPr>
          <w:rFonts w:hint="eastAsia" w:hAnsi="宋体"/>
          <w:color w:val="auto"/>
          <w:sz w:val="22"/>
          <w:szCs w:val="22"/>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4EB4452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造价工程师签发期中支付证书，不应视为发包人已同意、批准或接受了承包人完成该部分工作。</w:t>
      </w:r>
    </w:p>
    <w:p w14:paraId="0F2EF0C6">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81.3  </w:t>
      </w:r>
      <w:r>
        <w:rPr>
          <w:rFonts w:hint="eastAsia" w:hAnsi="宋体"/>
          <w:b/>
          <w:bCs/>
          <w:color w:val="auto"/>
          <w:sz w:val="22"/>
          <w:szCs w:val="22"/>
          <w:highlight w:val="none"/>
          <w:u w:val="dotted"/>
        </w:rPr>
        <w:t xml:space="preserve">                                                                                                        </w:t>
      </w:r>
    </w:p>
    <w:p w14:paraId="4DBD9B49">
      <w:pPr>
        <w:pStyle w:val="22"/>
        <w:adjustRightInd w:val="0"/>
        <w:snapToGrid w:val="0"/>
        <w:spacing w:line="420" w:lineRule="exact"/>
        <w:ind w:left="1619" w:leftChars="771"/>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349" name="文本框 353"/>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a:effectLst/>
                      </wps:spPr>
                      <wps:txbx>
                        <w:txbxContent>
                          <w:p w14:paraId="30768A30">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353" o:spid="_x0000_s1026" o:spt="202" type="#_x0000_t202" style="position:absolute;left:0pt;margin-left:-9pt;margin-top:0.5pt;height:21.1pt;width:81pt;z-index:252018688;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GrMutQAAAAIAQAADwAAAAAAAAABACAAAAAiAAAAZHJzL2Rvd25yZXYueG1sUEsB&#10;AhQAFAAAAAgAh07iQEWFdQnAAQAAbgMAAA4AAAAAAAAAAQAgAAAAIwEAAGRycy9lMm9Eb2MueG1s&#10;UEsFBgAAAAAGAAYAWQEAAFUFAAAAAA==&#10;">
                <v:fill on="f" focussize="0,0"/>
                <v:stroke on="f"/>
                <v:imagedata o:title=""/>
                <o:lock v:ext="edit" aspectratio="f"/>
                <v:textbox>
                  <w:txbxContent>
                    <w:p w14:paraId="30768A30">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hAnsi="宋体"/>
          <w:color w:val="auto"/>
          <w:sz w:val="22"/>
          <w:szCs w:val="22"/>
          <w:highlight w:val="none"/>
        </w:rPr>
        <w:t>发包人应在造价工程师签发期中支付证书后的14天内，按照期中支付证书列明的金额向承包人支付进度款，并通知造价工程师。</w:t>
      </w:r>
    </w:p>
    <w:p w14:paraId="7ED88500">
      <w:pPr>
        <w:pStyle w:val="22"/>
        <w:tabs>
          <w:tab w:val="left" w:pos="1320"/>
        </w:tabs>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81.4</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48770ADD">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350" name="文本框 354"/>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a:effectLst/>
                      </wps:spPr>
                      <wps:txbx>
                        <w:txbxContent>
                          <w:p w14:paraId="63F99AA0">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wps:txbx>
                      <wps:bodyPr wrap="square" upright="1"/>
                    </wps:wsp>
                  </a:graphicData>
                </a:graphic>
              </wp:anchor>
            </w:drawing>
          </mc:Choice>
          <mc:Fallback>
            <w:pict>
              <v:shape id="文本框 354" o:spid="_x0000_s1026" o:spt="202" type="#_x0000_t202" style="position:absolute;left:0pt;margin-left:-9pt;margin-top:0.65pt;height:51pt;width:72pt;z-index:252019712;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d92fLVAAAACQEAAA8AAAAAAAAAAQAgAAAAIgAAAGRycy9kb3ducmV2LnhtbFBLAQIU&#10;ABQAAAAIAIdO4kDPbBEvvQEAAG0DAAAOAAAAAAAAAAEAIAAAACQBAABkcnMvZTJvRG9jLnhtbFBL&#10;BQYAAAAABgAGAFkBAABTBQAAAAA=&#10;">
                <v:fill on="f" focussize="0,0"/>
                <v:stroke on="f"/>
                <v:imagedata o:title=""/>
                <o:lock v:ext="edit" aspectratio="f"/>
                <v:textbox>
                  <w:txbxContent>
                    <w:p w14:paraId="63F99AA0">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hAnsi="宋体"/>
          <w:color w:val="auto"/>
          <w:sz w:val="22"/>
          <w:szCs w:val="22"/>
          <w:highlight w:val="none"/>
        </w:rPr>
        <w:t>如果造价工程师未在第81.2款规定的期限内签发期中支付证书的，则视为承包人提交的支付申请已被认可，承包人应及时向发包人发出要求支付的通知。发包人应在收到通知后的14天内，按照承包人支付申请列明的金额向承包人支付进度款。</w:t>
      </w:r>
    </w:p>
    <w:p w14:paraId="7979EBEE">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81.5  </w:t>
      </w:r>
      <w:r>
        <w:rPr>
          <w:rFonts w:hint="eastAsia" w:hAnsi="宋体"/>
          <w:b/>
          <w:bCs/>
          <w:color w:val="auto"/>
          <w:sz w:val="22"/>
          <w:szCs w:val="22"/>
          <w:highlight w:val="none"/>
          <w:u w:val="dotted"/>
        </w:rPr>
        <w:t xml:space="preserve">                                                                                                        </w:t>
      </w:r>
    </w:p>
    <w:p w14:paraId="282843EA">
      <w:pPr>
        <w:pStyle w:val="12"/>
        <w:adjustRightInd w:val="0"/>
        <w:snapToGrid w:val="0"/>
        <w:spacing w:line="420" w:lineRule="exact"/>
        <w:ind w:left="1619" w:leftChars="771" w:firstLine="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351" name="文本框 355"/>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a:effectLst/>
                      </wps:spPr>
                      <wps:txbx>
                        <w:txbxContent>
                          <w:p w14:paraId="7DB72875">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355" o:spid="_x0000_s1026" o:spt="202" type="#_x0000_t202" style="position:absolute;left:0pt;margin-left:-9pt;margin-top:0.95pt;height:50.95pt;width:72pt;z-index:252020736;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6Yxle1QAAAAkBAAAPAAAAAAAAAAEAIAAAACIAAABkcnMvZG93bnJldi54bWxQSwEC&#10;FAAUAAAACACHTuJApryFyr4BAABtAwAADgAAAAAAAAABACAAAAAkAQAAZHJzL2Uyb0RvYy54bWxQ&#10;SwUGAAAAAAYABgBZAQAAVAUAAAAA&#10;">
                <v:fill on="f" focussize="0,0"/>
                <v:stroke on="f"/>
                <v:imagedata o:title=""/>
                <o:lock v:ext="edit" aspectratio="f"/>
                <v:textbox>
                  <w:txbxContent>
                    <w:p w14:paraId="7DB72875">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宋体" w:hAnsi="宋体" w:cs="宋体"/>
          <w:color w:val="auto"/>
          <w:sz w:val="22"/>
          <w:szCs w:val="22"/>
          <w:highlight w:val="none"/>
        </w:rPr>
        <w:t>发包人未按照第81.3款和第81.4款规定支付进度款的，承包人应及时向发包人发出要求支付的通知；发包人收到通知后仍不按要求支付的，可与承包人协商签订延期支付协议，经承包人同意后可延期支付，承包人有权按照第78.2款规定获得延期支付的利息。</w:t>
      </w:r>
    </w:p>
    <w:p w14:paraId="64E376B1">
      <w:pPr>
        <w:pStyle w:val="12"/>
        <w:adjustRightInd w:val="0"/>
        <w:snapToGrid w:val="0"/>
        <w:spacing w:line="420" w:lineRule="exact"/>
        <w:ind w:left="1640" w:leftChars="781" w:firstLine="0"/>
        <w:rPr>
          <w:rFonts w:ascii="宋体" w:hAnsi="宋体" w:cs="宋体"/>
          <w:color w:val="auto"/>
          <w:sz w:val="22"/>
          <w:szCs w:val="22"/>
          <w:highlight w:val="none"/>
        </w:rPr>
      </w:pPr>
      <w:r>
        <w:rPr>
          <w:rFonts w:hint="eastAsia" w:ascii="宋体" w:hAnsi="宋体" w:cs="宋体"/>
          <w:color w:val="auto"/>
          <w:sz w:val="22"/>
          <w:szCs w:val="22"/>
          <w:highlight w:val="none"/>
        </w:rPr>
        <w:t>发包人未按照按照合同约定支付进度款，合同双方当事人又未达成延期支付协议，导致无法施工的，承包人可停止施工。发包人应承担由此增加的费用和（或）延误的工期，并向承包人支付合理利润。</w:t>
      </w:r>
    </w:p>
    <w:p w14:paraId="7CB7D717">
      <w:pPr>
        <w:pStyle w:val="22"/>
        <w:tabs>
          <w:tab w:val="left" w:pos="1320"/>
        </w:tabs>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81.6</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1AB8B11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352" name="文本框 356"/>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a:effectLst/>
                      </wps:spPr>
                      <wps:txbx>
                        <w:txbxContent>
                          <w:p w14:paraId="17D1BDA6">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356" o:spid="_x0000_s1026" o:spt="202" type="#_x0000_t202" style="position:absolute;left:0pt;margin-left:-9pt;margin-top:1.25pt;height:20.95pt;width:81pt;z-index:252021760;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udBUx1QAAAAgBAAAPAAAAAAAAAAEAIAAAACIAAABkcnMvZG93bnJldi54bWxQSwEC&#10;FAAUAAAACACHTuJAPlNcc74BAABuAwAADgAAAAAAAAABACAAAAAkAQAAZHJzL2Uyb0RvYy54bWxQ&#10;SwUGAAAAAAYABgBZAQAAVAUAAAAA&#10;">
                <v:fill on="f" focussize="0,0"/>
                <v:stroke on="f"/>
                <v:imagedata o:title=""/>
                <o:lock v:ext="edit" aspectratio="f"/>
                <v:textbox>
                  <w:txbxContent>
                    <w:p w14:paraId="17D1BDA6">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hAnsi="宋体"/>
          <w:color w:val="auto"/>
          <w:sz w:val="22"/>
          <w:szCs w:val="22"/>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14:paraId="632359C9">
      <w:pPr>
        <w:pStyle w:val="22"/>
        <w:adjustRightInd w:val="0"/>
        <w:snapToGrid w:val="0"/>
        <w:spacing w:line="420" w:lineRule="exact"/>
        <w:ind w:right="-238"/>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39EF22F1">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41" w:name="_Toc17683"/>
      <w:bookmarkStart w:id="442" w:name="_Toc469384066"/>
      <w:bookmarkStart w:id="443" w:name="_Toc1911"/>
      <w:r>
        <w:rPr>
          <w:rFonts w:hint="eastAsia" w:hAnsi="宋体"/>
          <w:b/>
          <w:bCs/>
          <w:color w:val="auto"/>
          <w:sz w:val="22"/>
          <w:szCs w:val="22"/>
          <w:highlight w:val="none"/>
        </w:rPr>
        <w:t>★82  竣工结算</w:t>
      </w:r>
      <w:bookmarkEnd w:id="441"/>
      <w:bookmarkEnd w:id="442"/>
      <w:bookmarkEnd w:id="443"/>
    </w:p>
    <w:p w14:paraId="7AA84208">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82.1      </w:t>
      </w:r>
    </w:p>
    <w:p w14:paraId="2A87647B">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353" name="文本框 35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73883F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357" o:spid="_x0000_s1026" o:spt="202" type="#_x0000_t202" style="position:absolute;left:0pt;margin-left:-9pt;margin-top:3.05pt;height:31.2pt;width:72pt;z-index:252022784;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wMFdQAAAAIAQAADwAAAAAAAAABACAAAAAiAAAAZHJzL2Rvd25yZXYueG1sUEsB&#10;AhQAFAAAAAgAh07iQKgIRqrAAQAAbQMAAA4AAAAAAAAAAQAgAAAAIwEAAGRycy9lMm9Eb2MueG1s&#10;UEsFBgAAAAAGAAYAWQEAAFUFAAAAAA==&#10;">
                <v:fill on="f" focussize="0,0"/>
                <v:stroke on="f"/>
                <v:imagedata o:title=""/>
                <o:lock v:ext="edit" aspectratio="f"/>
                <v:textbox>
                  <w:txbxContent>
                    <w:p w14:paraId="473883F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hAnsi="宋体"/>
          <w:color w:val="auto"/>
          <w:sz w:val="22"/>
          <w:szCs w:val="22"/>
          <w:highlight w:val="none"/>
        </w:rPr>
        <w:t>合同双方当事人应按照国家标准《建设工程工程量清单计价规范》（GBGB50500-2013）规定在专用条款中明确办理竣工结算的程序和时限。专用条款没有约定的，竣工结算按照第82.2款至第82.5款规定办理。</w:t>
      </w:r>
    </w:p>
    <w:p w14:paraId="26215E85">
      <w:pPr>
        <w:spacing w:line="420" w:lineRule="exact"/>
        <w:ind w:left="1760" w:hanging="1760" w:hangingChars="800"/>
        <w:rPr>
          <w:rFonts w:ascii="宋体" w:hAnsi="宋体" w:cs="宋体"/>
          <w:color w:val="auto"/>
          <w:sz w:val="22"/>
          <w:szCs w:val="22"/>
          <w:highlight w:val="none"/>
        </w:rPr>
      </w:pPr>
      <w:r>
        <w:rPr>
          <w:rFonts w:hint="eastAsia" w:ascii="宋体" w:hAnsi="宋体" w:cs="宋体"/>
          <w:color w:val="auto"/>
          <w:sz w:val="22"/>
          <w:szCs w:val="22"/>
          <w:highlight w:val="none"/>
        </w:rPr>
        <w:t xml:space="preserve">                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14:paraId="4E98A79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在办理竣工结算期间，发包人按照第78条规定应向承包人支付的工程款及其他款项不停止。</w:t>
      </w:r>
    </w:p>
    <w:p w14:paraId="695DFEC0">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82.2  </w:t>
      </w:r>
      <w:r>
        <w:rPr>
          <w:rFonts w:hint="eastAsia" w:hAnsi="宋体"/>
          <w:b/>
          <w:bCs/>
          <w:color w:val="auto"/>
          <w:sz w:val="22"/>
          <w:szCs w:val="22"/>
          <w:highlight w:val="none"/>
          <w:u w:val="dotted"/>
        </w:rPr>
        <w:t xml:space="preserve">                                                                                                       </w:t>
      </w:r>
    </w:p>
    <w:p w14:paraId="7D2F4F10">
      <w:pPr>
        <w:pStyle w:val="22"/>
        <w:tabs>
          <w:tab w:val="left" w:pos="2641"/>
        </w:tabs>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354" name="文本框 358"/>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a:effectLst/>
                      </wps:spPr>
                      <wps:txbx>
                        <w:txbxContent>
                          <w:p w14:paraId="4B30504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358" o:spid="_x0000_s1026" o:spt="202" type="#_x0000_t202" style="position:absolute;left:0pt;margin-left:-9pt;margin-top:1.85pt;height:36.15pt;width:72pt;z-index:252023808;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H8eK1QAAAAgBAAAPAAAAAAAAAAEAIAAAACIAAABkcnMvZG93bnJldi54bWxQSwEC&#10;FAAUAAAACACHTuJA+qae174BAABtAwAADgAAAAAAAAABACAAAAAkAQAAZHJzL2Uyb0RvYy54bWxQ&#10;SwUGAAAAAAYABgBZAQAAVAUAAAAA&#10;">
                <v:fill on="f" focussize="0,0"/>
                <v:stroke on="f"/>
                <v:imagedata o:title=""/>
                <o:lock v:ext="edit" aspectratio="f"/>
                <v:textbox>
                  <w:txbxContent>
                    <w:p w14:paraId="4B30504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hAnsi="宋体"/>
          <w:color w:val="auto"/>
          <w:sz w:val="22"/>
          <w:szCs w:val="22"/>
          <w:highlight w:val="none"/>
        </w:rPr>
        <w:t>承包人应在提交竣工验收申请报告前编制完成竣工结算文件，并在提交竣工验收申请报告的同时向造价工程师递交竣工结算文件。竣工结算文件清单由双方在专用条款中约定。</w:t>
      </w:r>
    </w:p>
    <w:p w14:paraId="411E0A94">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6C21746D">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rPr>
        <w:t xml:space="preserve">82.3  </w:t>
      </w:r>
      <w:r>
        <w:rPr>
          <w:rFonts w:hint="eastAsia" w:hAnsi="宋体"/>
          <w:b/>
          <w:bCs/>
          <w:color w:val="auto"/>
          <w:sz w:val="22"/>
          <w:szCs w:val="22"/>
          <w:highlight w:val="none"/>
          <w:u w:val="dotted"/>
        </w:rPr>
        <w:t xml:space="preserve">                                                                                                        </w:t>
      </w:r>
    </w:p>
    <w:p w14:paraId="4B5F22D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355" name="文本框 359"/>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a:effectLst/>
                      </wps:spPr>
                      <wps:txbx>
                        <w:txbxContent>
                          <w:p w14:paraId="4646A2A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359" o:spid="_x0000_s1026" o:spt="202" type="#_x0000_t202" style="position:absolute;left:0pt;margin-left:-9pt;margin-top:3.05pt;height:32.95pt;width:72pt;z-index:252024832;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UJJ49UAAAAIAQAADwAAAAAAAAABACAAAAAiAAAAZHJzL2Rvd25yZXYueG1sUEsB&#10;AhQAFAAAAAgAh07iQCWwUp2/AQAAbQMAAA4AAAAAAAAAAQAgAAAAJAEAAGRycy9lMm9Eb2MueG1s&#10;UEsFBgAAAAAGAAYAWQEAAFUFAAAAAA==&#10;">
                <v:fill on="f" focussize="0,0"/>
                <v:stroke on="f"/>
                <v:imagedata o:title=""/>
                <o:lock v:ext="edit" aspectratio="f"/>
                <v:textbox>
                  <w:txbxContent>
                    <w:p w14:paraId="4646A2A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hAnsi="宋体"/>
          <w:color w:val="auto"/>
          <w:sz w:val="22"/>
          <w:szCs w:val="22"/>
          <w:highlight w:val="none"/>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w:t>
      </w:r>
      <w:r>
        <w:rPr>
          <w:rFonts w:hint="eastAsia" w:hAnsi="宋体"/>
          <w:color w:val="auto"/>
          <w:sz w:val="22"/>
          <w:szCs w:val="22"/>
          <w:highlight w:val="none"/>
        </w:rPr>
        <w:br w:type="textWrapping"/>
      </w:r>
      <w:r>
        <w:rPr>
          <w:rFonts w:hint="eastAsia" w:hAnsi="宋体"/>
          <w:color w:val="auto"/>
          <w:sz w:val="22"/>
          <w:szCs w:val="22"/>
          <w:highlight w:val="none"/>
        </w:rPr>
        <w:t>造价工程师在收到竣工结算文件后的28天内，不核实竣工结算或未提出核实意见的，视为承包人递交的竣工结算已被认可。</w:t>
      </w:r>
    </w:p>
    <w:p w14:paraId="09608A08">
      <w:pPr>
        <w:pStyle w:val="22"/>
        <w:adjustRightInd w:val="0"/>
        <w:snapToGrid w:val="0"/>
        <w:spacing w:line="420" w:lineRule="exact"/>
        <w:ind w:left="1619" w:leftChars="771"/>
        <w:rPr>
          <w:rFonts w:hAnsi="宋体"/>
          <w:color w:val="auto"/>
          <w:sz w:val="22"/>
          <w:szCs w:val="22"/>
          <w:highlight w:val="none"/>
          <w:u w:val="single"/>
        </w:rPr>
      </w:pPr>
      <w:r>
        <w:rPr>
          <w:rFonts w:hint="eastAsia" w:hAnsi="宋体"/>
          <w:color w:val="auto"/>
          <w:sz w:val="22"/>
          <w:szCs w:val="22"/>
          <w:highlight w:val="none"/>
        </w:rPr>
        <w:t>承包人在收到造价工程师提出的核实意见后的28天内，不确认也未提出异议的，视为造价工程师提出的核实意见已被认可，竣工结算办理完毕。</w:t>
      </w:r>
    </w:p>
    <w:p w14:paraId="6D4781EF">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rPr>
        <w:t xml:space="preserve">82.4  </w:t>
      </w:r>
      <w:r>
        <w:rPr>
          <w:rFonts w:hint="eastAsia" w:hAnsi="宋体"/>
          <w:b/>
          <w:bCs/>
          <w:color w:val="auto"/>
          <w:sz w:val="22"/>
          <w:szCs w:val="22"/>
          <w:highlight w:val="none"/>
          <w:u w:val="dotted"/>
        </w:rPr>
        <w:t xml:space="preserve">                                                                                                        </w:t>
      </w:r>
    </w:p>
    <w:p w14:paraId="2BDA0511">
      <w:pPr>
        <w:pStyle w:val="22"/>
        <w:adjustRightInd w:val="0"/>
        <w:snapToGrid w:val="0"/>
        <w:spacing w:line="420" w:lineRule="exact"/>
        <w:ind w:left="1619" w:leftChars="771"/>
        <w:rPr>
          <w:rFonts w:hAnsi="宋体"/>
          <w:color w:val="auto"/>
          <w:sz w:val="22"/>
          <w:szCs w:val="22"/>
          <w:highlight w:val="none"/>
          <w:u w:val="single"/>
        </w:rPr>
      </w:pPr>
      <w:r>
        <w:rPr>
          <w:rFonts w:hint="eastAsia" w:hAnsi="宋体"/>
          <w:color w:val="auto"/>
          <w:sz w:val="22"/>
          <w:szCs w:val="22"/>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56" name="文本框 360"/>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a:effectLst/>
                      </wps:spPr>
                      <wps:txbx>
                        <w:txbxContent>
                          <w:p w14:paraId="10E460E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360" o:spid="_x0000_s1026" o:spt="202" type="#_x0000_t202" style="position:absolute;left:0pt;margin-left:-9pt;margin-top:1.25pt;height:56.55pt;width:72pt;z-index:252025856;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ZCALtYAAAAJAQAADwAAAAAAAAABACAAAAAiAAAAZHJzL2Rvd25yZXYueG1sUEsB&#10;AhQAFAAAAAgAh07iQJAM6ki+AQAAbQMAAA4AAAAAAAAAAQAgAAAAJQEAAGRycy9lMm9Eb2MueG1s&#10;UEsFBgAAAAAGAAYAWQEAAFUFAAAAAA==&#10;">
                <v:fill on="f" focussize="0,0"/>
                <v:stroke on="f"/>
                <v:imagedata o:title=""/>
                <o:lock v:ext="edit" aspectratio="f"/>
                <v:textbox>
                  <w:txbxContent>
                    <w:p w14:paraId="10E460E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hAnsi="宋体"/>
          <w:color w:val="auto"/>
          <w:sz w:val="22"/>
          <w:szCs w:val="22"/>
          <w:highlight w:val="none"/>
        </w:rPr>
        <w:t>造价工程师应在收到承包人按照第82.3款规定再次递交的竣工结算文件后的28天内予以复核，并将复核结果通知承包人、抄报发包人。</w:t>
      </w:r>
    </w:p>
    <w:p w14:paraId="43CAB02C">
      <w:pPr>
        <w:pStyle w:val="22"/>
        <w:adjustRightInd w:val="0"/>
        <w:snapToGrid w:val="0"/>
        <w:spacing w:line="420" w:lineRule="exact"/>
        <w:ind w:left="1615"/>
        <w:rPr>
          <w:rFonts w:hAnsi="宋体"/>
          <w:color w:val="auto"/>
          <w:sz w:val="22"/>
          <w:szCs w:val="22"/>
          <w:highlight w:val="none"/>
        </w:rPr>
      </w:pPr>
      <w:r>
        <w:rPr>
          <w:rFonts w:hint="eastAsia" w:hAnsi="宋体"/>
          <w:color w:val="auto"/>
          <w:sz w:val="22"/>
          <w:szCs w:val="22"/>
          <w:highlight w:val="none"/>
        </w:rPr>
        <w:t>（1）经复核无误的，除属于第86条规定的争议外，发包人应在7天内在竣工结算文件上签字确认，竣工结算办理完毕。</w:t>
      </w:r>
    </w:p>
    <w:p w14:paraId="382BA210">
      <w:pPr>
        <w:pStyle w:val="22"/>
        <w:adjustRightInd w:val="0"/>
        <w:snapToGrid w:val="0"/>
        <w:spacing w:line="420" w:lineRule="exact"/>
        <w:ind w:left="1615"/>
        <w:rPr>
          <w:rFonts w:hAnsi="宋体"/>
          <w:color w:val="auto"/>
          <w:sz w:val="22"/>
          <w:szCs w:val="22"/>
          <w:highlight w:val="none"/>
          <w:u w:val="single"/>
        </w:rPr>
      </w:pPr>
      <w:r>
        <w:rPr>
          <w:rFonts w:hint="eastAsia" w:hAnsi="宋体"/>
          <w:color w:val="auto"/>
          <w:sz w:val="22"/>
          <w:szCs w:val="22"/>
          <w:highlight w:val="none"/>
        </w:rPr>
        <w:t>（2）经复核认为有误的：无误部分按照本款第(1)点规定办理不完全竣工结算；有误部分由造价工程师与合同双方当事人协商解决，或按照第86条规定处理。</w:t>
      </w:r>
    </w:p>
    <w:p w14:paraId="43939E25">
      <w:pPr>
        <w:pStyle w:val="22"/>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82.5</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2E203C47">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57" name="文本框 36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5C5932F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361" o:spid="_x0000_s1026" o:spt="202" type="#_x0000_t202" style="position:absolute;left:0pt;margin-left:-9pt;margin-top:0.45pt;height:31.2pt;width:72pt;z-index:252026880;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RApqXVAAAABwEAAA8AAAAAAAAAAQAgAAAAIgAAAGRycy9kb3ducmV2LnhtbFBL&#10;AQIUABQAAAAIAIdO4kBwHoSTwAEAAG0DAAAOAAAAAAAAAAEAIAAAACQBAABkcnMvZTJvRG9jLnht&#10;bFBLBQYAAAAABgAGAFkBAABWBQAAAAA=&#10;">
                <v:fill on="f" focussize="0,0"/>
                <v:stroke on="f"/>
                <v:imagedata o:title=""/>
                <o:lock v:ext="edit" aspectratio="f"/>
                <v:textbox>
                  <w:txbxContent>
                    <w:p w14:paraId="5C5932F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hAnsi="宋体"/>
          <w:color w:val="auto"/>
          <w:sz w:val="22"/>
          <w:szCs w:val="22"/>
          <w:highlight w:val="none"/>
        </w:rPr>
        <w:t>发包人应在已核实无误的竣工结算文件上签名确认，拒不签认的，承包人可不交付竣工工程。</w:t>
      </w:r>
    </w:p>
    <w:p w14:paraId="3DF85B2F">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承包人未及时递交竣工结算文件的，发包人要求交付竣工工程，承包人应当交付；发包人不要求交付竣工工程，承包人承担照管永久工程责任。</w:t>
      </w:r>
    </w:p>
    <w:p w14:paraId="7E983890">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4933E15C">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44" w:name="_Toc469384067"/>
      <w:bookmarkStart w:id="445" w:name="_Toc8282"/>
      <w:bookmarkStart w:id="446" w:name="_Toc15083"/>
      <w:r>
        <w:rPr>
          <w:rFonts w:hint="eastAsia" w:hAnsi="宋体"/>
          <w:b/>
          <w:bCs/>
          <w:color w:val="auto"/>
          <w:sz w:val="22"/>
          <w:szCs w:val="22"/>
          <w:highlight w:val="none"/>
        </w:rPr>
        <w:t>★83  结算款</w:t>
      </w:r>
      <w:bookmarkEnd w:id="444"/>
      <w:bookmarkEnd w:id="445"/>
      <w:bookmarkEnd w:id="446"/>
    </w:p>
    <w:p w14:paraId="06D36933">
      <w:pPr>
        <w:pStyle w:val="22"/>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 xml:space="preserve">83.1 </w:t>
      </w:r>
      <w:r>
        <w:rPr>
          <w:rFonts w:hint="eastAsia" w:hAnsi="宋体"/>
          <w:color w:val="auto"/>
          <w:sz w:val="22"/>
          <w:szCs w:val="22"/>
          <w:highlight w:val="none"/>
        </w:rPr>
        <w:t xml:space="preserve"> </w:t>
      </w:r>
    </w:p>
    <w:p w14:paraId="6933E5E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358" name="文本框 362"/>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a:effectLst/>
                      </wps:spPr>
                      <wps:txbx>
                        <w:txbxContent>
                          <w:p w14:paraId="29D9324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362" o:spid="_x0000_s1026" o:spt="202" type="#_x0000_t202" style="position:absolute;left:0pt;margin-left:-9pt;margin-top:2.85pt;height:36.15pt;width:72pt;z-index:252027904;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TKv0n1QAAAAgBAAAPAAAAAAAAAAEAIAAAACIAAABkcnMvZG93bnJldi54bWxQSwEC&#10;FAAUAAAACACHTuJAbPcFJb4BAABtAwAADgAAAAAAAAABACAAAAAkAQAAZHJzL2Uyb0RvYy54bWxQ&#10;SwUGAAAAAAYABgBZAQAAVAUAAAAA&#10;">
                <v:fill on="f" focussize="0,0"/>
                <v:stroke on="f"/>
                <v:imagedata o:title=""/>
                <o:lock v:ext="edit" aspectratio="f"/>
                <v:textbox>
                  <w:txbxContent>
                    <w:p w14:paraId="29D9324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hAnsi="宋体"/>
          <w:color w:val="auto"/>
          <w:sz w:val="22"/>
          <w:szCs w:val="22"/>
          <w:highlight w:val="none"/>
        </w:rPr>
        <w:t>合同双方当事人应在专用条款中明确结算款的支付时限。专用条款没有约定的，结算款支付按照第83.2款至第83.5款规定办理。涉及政府投资资金的工程,支付期、支付方法等需调整的，应在专用条款中约定。</w:t>
      </w:r>
    </w:p>
    <w:p w14:paraId="18B6F27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承包人应按照第82.2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14:paraId="78E4DA9C">
      <w:pPr>
        <w:pStyle w:val="22"/>
        <w:tabs>
          <w:tab w:val="left" w:pos="2641"/>
        </w:tabs>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（1）根据合同完成全部或所有工程的总造价；</w:t>
      </w:r>
    </w:p>
    <w:p w14:paraId="30032F5A">
      <w:pPr>
        <w:pStyle w:val="22"/>
        <w:tabs>
          <w:tab w:val="left" w:pos="2641"/>
        </w:tabs>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（2）根据合同约定发包人应付的所有款项。</w:t>
      </w:r>
    </w:p>
    <w:p w14:paraId="14F41D5C">
      <w:pPr>
        <w:pStyle w:val="22"/>
        <w:tabs>
          <w:tab w:val="left" w:pos="2641"/>
        </w:tabs>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rPr>
        <w:t xml:space="preserve">83.2  </w:t>
      </w:r>
      <w:r>
        <w:rPr>
          <w:rFonts w:hint="eastAsia" w:hAnsi="宋体"/>
          <w:b/>
          <w:bCs/>
          <w:color w:val="auto"/>
          <w:sz w:val="22"/>
          <w:szCs w:val="22"/>
          <w:highlight w:val="none"/>
          <w:u w:val="dotted"/>
        </w:rPr>
        <w:t xml:space="preserve">                                                                                                        </w:t>
      </w:r>
    </w:p>
    <w:p w14:paraId="6C554C6B">
      <w:pPr>
        <w:pStyle w:val="22"/>
        <w:adjustRightInd w:val="0"/>
        <w:snapToGrid w:val="0"/>
        <w:spacing w:line="420" w:lineRule="exact"/>
        <w:ind w:left="1619" w:leftChars="771"/>
        <w:rPr>
          <w:rFonts w:hAnsi="宋体"/>
          <w:color w:val="auto"/>
          <w:sz w:val="22"/>
          <w:szCs w:val="22"/>
          <w:highlight w:val="none"/>
          <w:u w:val="single"/>
        </w:rPr>
      </w:pPr>
      <w:r>
        <w:rPr>
          <w:rFonts w:hint="eastAsia" w:hAnsi="宋体"/>
          <w:color w:val="auto"/>
          <w:sz w:val="22"/>
          <w:szCs w:val="22"/>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59" name="文本框 363"/>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a:effectLst/>
                      </wps:spPr>
                      <wps:txbx>
                        <w:txbxContent>
                          <w:p w14:paraId="3B7485C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363" o:spid="_x0000_s1026" o:spt="202" type="#_x0000_t202" style="position:absolute;left:0pt;margin-left:-9pt;margin-top:1.25pt;height:56.55pt;width:72pt;z-index:252028928;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QgC7WAAAACQEAAA8AAAAAAAAAAQAgAAAAIgAAAGRycy9kb3ducmV2LnhtbFBL&#10;AQIUABQAAAAIAIdO4kB3/XmZvwEAAG0DAAAOAAAAAAAAAAEAIAAAACUBAABkcnMvZTJvRG9jLnht&#10;bFBLBQYAAAAABgAGAFkBAABWBQAAAAA=&#10;">
                <v:fill on="f" focussize="0,0"/>
                <v:stroke on="f"/>
                <v:imagedata o:title=""/>
                <o:lock v:ext="edit" aspectratio="f"/>
                <v:textbox>
                  <w:txbxContent>
                    <w:p w14:paraId="3B7485C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hAnsi="宋体"/>
          <w:color w:val="auto"/>
          <w:sz w:val="22"/>
          <w:szCs w:val="22"/>
          <w:highlight w:val="none"/>
        </w:rPr>
        <w:t>造价工程师在收到上述资料后，应按照第82.3款、第82.4款规定核实竣工结算文件，并在发包人签字确认竣工结算文件后的7天内，向发包人签发竣工结算支付证书，同时抄送承包人。</w:t>
      </w:r>
    </w:p>
    <w:p w14:paraId="16BA0E8D">
      <w:pPr>
        <w:pStyle w:val="22"/>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83.3</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76A8C8C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60" name="文本框 3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07AF0D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364" o:spid="_x0000_s1026" o:spt="202" type="#_x0000_t202" style="position:absolute;left:0pt;margin-left:-9pt;margin-top:0.45pt;height:31.2pt;width:72pt;z-index:252029952;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RApqXVAAAABwEAAA8AAAAAAAAAAQAgAAAAIgAAAGRycy9kb3ducmV2LnhtbFBLAQIU&#10;ABQAAAAIAIdO4kCu/KGBvQEAAG0DAAAOAAAAAAAAAAEAIAAAACQBAABkcnMvZTJvRG9jLnhtbFBL&#10;BQYAAAAABgAGAFkBAABTBQAAAAA=&#10;">
                <v:fill on="f" focussize="0,0"/>
                <v:stroke on="f"/>
                <v:imagedata o:title=""/>
                <o:lock v:ext="edit" aspectratio="f"/>
                <v:textbox>
                  <w:txbxContent>
                    <w:p w14:paraId="407AF0D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hAnsi="宋体"/>
          <w:color w:val="auto"/>
          <w:sz w:val="22"/>
          <w:szCs w:val="22"/>
          <w:highlight w:val="none"/>
        </w:rPr>
        <w:t>发包人应在造价工程师签发竣工结算支付证书后的28天内，按照竣工结算支付证书列明的金额向承包人支付结算款，并通知造价工程师。</w:t>
      </w:r>
    </w:p>
    <w:p w14:paraId="4254F9F1">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83.4  </w:t>
      </w:r>
      <w:r>
        <w:rPr>
          <w:rFonts w:hint="eastAsia" w:hAnsi="宋体"/>
          <w:b/>
          <w:bCs/>
          <w:color w:val="auto"/>
          <w:sz w:val="22"/>
          <w:szCs w:val="22"/>
          <w:highlight w:val="none"/>
          <w:u w:val="dotted"/>
        </w:rPr>
        <w:t xml:space="preserve">                                                                                                        </w:t>
      </w:r>
    </w:p>
    <w:p w14:paraId="6B8425A6">
      <w:pPr>
        <w:pStyle w:val="22"/>
        <w:adjustRightInd w:val="0"/>
        <w:snapToGrid w:val="0"/>
        <w:spacing w:line="420" w:lineRule="exact"/>
        <w:ind w:left="1678" w:leftChars="799" w:firstLine="2"/>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30976"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361" name="文本框 365"/>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a:effectLst/>
                      </wps:spPr>
                      <wps:txbx>
                        <w:txbxContent>
                          <w:p w14:paraId="18C7910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58CE494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7ABAB9F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wps:txbx>
                      <wps:bodyPr wrap="square" upright="1"/>
                    </wps:wsp>
                  </a:graphicData>
                </a:graphic>
              </wp:anchor>
            </w:drawing>
          </mc:Choice>
          <mc:Fallback>
            <w:pict>
              <v:shape id="文本框 365" o:spid="_x0000_s1026" o:spt="202" type="#_x0000_t202" style="position:absolute;left:0pt;margin-left:-5.25pt;margin-top:0.95pt;height:65.3pt;width:82.5pt;z-index:252030976;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Qap3VAAAACQEAAA8AAAAAAAAAAQAgAAAAIgAAAGRycy9kb3ducmV2LnhtbFBL&#10;AQIUABQAAAAIAIdO4kB2DccawAEAAG4DAAAOAAAAAAAAAAEAIAAAACQBAABkcnMvZTJvRG9jLnht&#10;bFBLBQYAAAAABgAGAFkBAABWBQAAAAA=&#10;">
                <v:fill on="f" focussize="0,0"/>
                <v:stroke on="f"/>
                <v:imagedata o:title=""/>
                <o:lock v:ext="edit" aspectratio="f"/>
                <v:textbox>
                  <w:txbxContent>
                    <w:p w14:paraId="18C7910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58CE494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7ABAB9F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hAnsi="宋体"/>
          <w:color w:val="auto"/>
          <w:sz w:val="22"/>
          <w:szCs w:val="22"/>
          <w:highlight w:val="none"/>
        </w:rPr>
        <w:t>如果造价工程师未在第83.2款规定的期限内签发竣工结算支付证书的，则视为承包人提交的竣工支付申请已被认可，承包人应及时向发包人发出要求支付竣工结算款的通知。发包人应在收到通知后的28天内，按照承包人支付申请列明的金额向承包人支付竣工结算款。</w:t>
      </w:r>
    </w:p>
    <w:p w14:paraId="0476B695">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83.5  </w:t>
      </w:r>
      <w:r>
        <w:rPr>
          <w:rFonts w:hint="eastAsia" w:hAnsi="宋体"/>
          <w:b/>
          <w:bCs/>
          <w:color w:val="auto"/>
          <w:sz w:val="22"/>
          <w:szCs w:val="22"/>
          <w:highlight w:val="none"/>
          <w:u w:val="dotted"/>
        </w:rPr>
        <w:t xml:space="preserve">                                                                                                        </w:t>
      </w:r>
    </w:p>
    <w:p w14:paraId="33B2239B">
      <w:pPr>
        <w:pStyle w:val="22"/>
        <w:adjustRightInd w:val="0"/>
        <w:snapToGrid w:val="0"/>
        <w:spacing w:line="420" w:lineRule="exact"/>
        <w:ind w:left="1680" w:leftChars="800"/>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362" name="文本框 366"/>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a:effectLst/>
                      </wps:spPr>
                      <wps:txbx>
                        <w:txbxContent>
                          <w:p w14:paraId="675759D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366" o:spid="_x0000_s1026" o:spt="202" type="#_x0000_t202" style="position:absolute;left:0pt;margin-left:-9pt;margin-top:4.6pt;height:32.1pt;width:72pt;z-index:252032000;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rLMuPWAAAACAEAAA8AAAAAAAAAAQAgAAAAIgAAAGRycy9kb3ducmV2LnhtbFBL&#10;AQIUABQAAAAIAIdO4kB9e56nvwEAAG0DAAAOAAAAAAAAAAEAIAAAACUBAABkcnMvZTJvRG9jLnht&#10;bFBLBQYAAAAABgAGAFkBAABWBQAAAAA=&#10;">
                <v:fill on="f" focussize="0,0"/>
                <v:stroke on="f"/>
                <v:imagedata o:title=""/>
                <o:lock v:ext="edit" aspectratio="f"/>
                <v:textbox>
                  <w:txbxContent>
                    <w:p w14:paraId="675759D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hAnsi="宋体"/>
          <w:color w:val="auto"/>
          <w:sz w:val="22"/>
          <w:szCs w:val="22"/>
          <w:highlight w:val="none"/>
        </w:rPr>
        <w:t>发包人未按照第83.3款和第83.4款规定支付竣工结算款的，承包人可催告发包人支付竣工结算款，如双方达成延期支付协议，承包人有权按照第78.2款规定获得延期支付的利息。</w:t>
      </w:r>
    </w:p>
    <w:p w14:paraId="77B6598B">
      <w:pPr>
        <w:pStyle w:val="22"/>
        <w:adjustRightInd w:val="0"/>
        <w:snapToGrid w:val="0"/>
        <w:spacing w:line="420" w:lineRule="exact"/>
        <w:ind w:left="1680" w:leftChars="800"/>
        <w:rPr>
          <w:rFonts w:hAnsi="宋体"/>
          <w:color w:val="auto"/>
          <w:sz w:val="22"/>
          <w:szCs w:val="22"/>
          <w:highlight w:val="none"/>
        </w:rPr>
      </w:pPr>
      <w:r>
        <w:rPr>
          <w:rFonts w:hint="eastAsia" w:hAnsi="宋体"/>
          <w:color w:val="auto"/>
          <w:sz w:val="22"/>
          <w:szCs w:val="22"/>
          <w:highlight w:val="none"/>
        </w:rPr>
        <w:t>发包人在收到竣工结算支付证书后的56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31AD467D">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7DFB6C71">
      <w:pPr>
        <w:tabs>
          <w:tab w:val="left" w:pos="1620"/>
        </w:tabs>
        <w:spacing w:before="100" w:line="420" w:lineRule="exact"/>
        <w:rPr>
          <w:rFonts w:ascii="宋体" w:hAnsi="宋体" w:cs="宋体"/>
          <w:b/>
          <w:bCs/>
          <w:color w:val="auto"/>
          <w:sz w:val="22"/>
          <w:szCs w:val="22"/>
          <w:highlight w:val="none"/>
        </w:rPr>
      </w:pPr>
    </w:p>
    <w:p w14:paraId="58D91E85">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47" w:name="_Toc11052"/>
      <w:bookmarkStart w:id="448" w:name="_Toc469384068"/>
      <w:bookmarkStart w:id="449" w:name="_Toc11793"/>
      <w:r>
        <w:rPr>
          <w:rFonts w:hint="eastAsia" w:hAnsi="宋体"/>
          <w:b/>
          <w:bCs/>
          <w:color w:val="auto"/>
          <w:sz w:val="22"/>
          <w:szCs w:val="22"/>
          <w:highlight w:val="none"/>
        </w:rPr>
        <w:t>★84  质量保证金</w:t>
      </w:r>
      <w:bookmarkEnd w:id="447"/>
      <w:bookmarkEnd w:id="448"/>
      <w:bookmarkEnd w:id="449"/>
    </w:p>
    <w:p w14:paraId="1252625B">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84.1     </w:t>
      </w:r>
    </w:p>
    <w:p w14:paraId="40CE35C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63" name="文本框 36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6C556A9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wps:txbx>
                      <wps:bodyPr wrap="square" upright="1"/>
                    </wps:wsp>
                  </a:graphicData>
                </a:graphic>
              </wp:anchor>
            </w:drawing>
          </mc:Choice>
          <mc:Fallback>
            <w:pict>
              <v:shape id="文本框 367" o:spid="_x0000_s1026" o:spt="202" type="#_x0000_t202" style="position:absolute;left:0pt;margin-left:-9pt;margin-top:0.65pt;height:31.2pt;width:72pt;z-index:252033024;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rdoltUAAAAIAQAADwAAAAAAAAABACAAAAAiAAAAZHJzL2Rvd25yZXYueG1sUEsB&#10;AhQAFAAAAAgAh07iQPn6l1+/AQAAbQMAAA4AAAAAAAAAAQAgAAAAJAEAAGRycy9lMm9Eb2MueG1s&#10;UEsFBgAAAAAGAAYAWQEAAFUFAAAAAA==&#10;">
                <v:fill on="f" focussize="0,0"/>
                <v:stroke on="f"/>
                <v:imagedata o:title=""/>
                <o:lock v:ext="edit" aspectratio="f"/>
                <v:textbox>
                  <w:txbxContent>
                    <w:p w14:paraId="6C556A9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hAnsi="宋体"/>
          <w:color w:val="auto"/>
          <w:sz w:val="22"/>
          <w:szCs w:val="22"/>
          <w:highlight w:val="none"/>
        </w:rPr>
        <w:t>质量保证金用于承包人对合同工程质量的担保。承包人未按照法律有关规定和合同约定履行质量保修义务的，发包人有权从质量保证金中扣留用于质量保修的各项支出。</w:t>
      </w:r>
    </w:p>
    <w:p w14:paraId="7FDB2ABA">
      <w:pPr>
        <w:pStyle w:val="22"/>
        <w:tabs>
          <w:tab w:val="left" w:pos="90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84.2  </w:t>
      </w:r>
      <w:r>
        <w:rPr>
          <w:rFonts w:hint="eastAsia" w:hAnsi="宋体"/>
          <w:b/>
          <w:bCs/>
          <w:color w:val="auto"/>
          <w:sz w:val="22"/>
          <w:szCs w:val="22"/>
          <w:highlight w:val="none"/>
          <w:u w:val="dotted"/>
        </w:rPr>
        <w:t xml:space="preserve">                                                                                                       </w:t>
      </w:r>
    </w:p>
    <w:p w14:paraId="26173DB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合同双方当事人应在专用条款中约定质量保证金金额</w:t>
      </w:r>
      <w:r>
        <w:rPr>
          <w:rFonts w:hint="eastAsia" w:hAnsi="宋体"/>
          <w:color w:val="auto"/>
          <w:sz w:val="22"/>
          <w:szCs w:val="22"/>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364" name="文本框 368"/>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a:effectLst/>
                      </wps:spPr>
                      <wps:txbx>
                        <w:txbxContent>
                          <w:p w14:paraId="169CABD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wps:txbx>
                      <wps:bodyPr wrap="square" upright="1"/>
                    </wps:wsp>
                  </a:graphicData>
                </a:graphic>
              </wp:anchor>
            </w:drawing>
          </mc:Choice>
          <mc:Fallback>
            <w:pict>
              <v:shape id="文本框 368" o:spid="_x0000_s1026" o:spt="202" type="#_x0000_t202" style="position:absolute;left:0pt;margin-left:-9pt;margin-top:1.6pt;height:40.9pt;width:72pt;z-index:252034048;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lFbxNUAAAAIAQAADwAAAAAAAAABACAAAAAiAAAAZHJzL2Rvd25yZXYueG1sUEsB&#10;AhQAFAAAAAgAh07iQJXx11G/AQAAbQMAAA4AAAAAAAAAAQAgAAAAJAEAAGRycy9lMm9Eb2MueG1s&#10;UEsFBgAAAAAGAAYAWQEAAFUFAAAAAA==&#10;">
                <v:fill on="f" focussize="0,0"/>
                <v:stroke on="f"/>
                <v:imagedata o:title=""/>
                <o:lock v:ext="edit" aspectratio="f"/>
                <v:textbox>
                  <w:txbxContent>
                    <w:p w14:paraId="169CABD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hAnsi="宋体"/>
          <w:color w:val="auto"/>
          <w:sz w:val="22"/>
          <w:szCs w:val="22"/>
          <w:highlight w:val="none"/>
        </w:rPr>
        <w:t>。除专用条款另有约定外，质量保证金为合同价款的3％（采取银行保函）。发包人应按照该比例从每支付期应支付给承包人的进度款或结算款中扣留，直到扣留的质量保证金总额达到专用条款约定的的金额为止。</w:t>
      </w:r>
    </w:p>
    <w:p w14:paraId="487C3750">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84.3  </w:t>
      </w:r>
      <w:r>
        <w:rPr>
          <w:rFonts w:hint="eastAsia" w:hAnsi="宋体"/>
          <w:b/>
          <w:bCs/>
          <w:color w:val="auto"/>
          <w:sz w:val="22"/>
          <w:szCs w:val="22"/>
          <w:highlight w:val="none"/>
          <w:u w:val="dotted"/>
        </w:rPr>
        <w:t xml:space="preserve">                                                                                                       </w:t>
      </w:r>
    </w:p>
    <w:p w14:paraId="621F1C9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5" name="文本框 369"/>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14:paraId="1CBACA3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369" o:spid="_x0000_s1026" o:spt="202" type="#_x0000_t202" style="position:absolute;left:0pt;margin-left:-9pt;margin-top:3.6pt;height:36.45pt;width:72pt;z-index:25203507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ldgVtUAAAAIAQAADwAAAAAAAAABACAAAAAiAAAAZHJzL2Rvd25yZXYueG1sUEsB&#10;AhQAFAAAAAgAh07iQNl/1c6/AQAAbQMAAA4AAAAAAAAAAQAgAAAAJAEAAGRycy9lMm9Eb2MueG1s&#10;UEsFBgAAAAAGAAYAWQEAAFUFAAAAAA==&#10;">
                <v:fill on="f" focussize="0,0"/>
                <v:stroke on="f"/>
                <v:imagedata o:title=""/>
                <o:lock v:ext="edit" aspectratio="f"/>
                <v:textbox>
                  <w:txbxContent>
                    <w:p w14:paraId="1CBACA3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hAnsi="宋体"/>
          <w:color w:val="auto"/>
          <w:sz w:val="22"/>
          <w:szCs w:val="22"/>
          <w:highlight w:val="none"/>
        </w:rPr>
        <w:t>缺陷责任期（包括第59.2款延长的期限）满时，承包人应向发包人申请到期应返还的剩余质量保证金金额。发包人如无异议，应在缺陷责任期满后的14天内将剩余的质量保证金返还给承包人。剩余质量保证金的返还，并不能免除承包人按照合同约定应承担的质量保修责任和应履行的质量保修义务。</w:t>
      </w:r>
      <w:r>
        <w:rPr>
          <w:rFonts w:hint="eastAsia" w:hAnsi="宋体"/>
          <w:color w:val="auto"/>
          <w:kern w:val="0"/>
          <w:sz w:val="22"/>
          <w:szCs w:val="22"/>
          <w:highlight w:val="none"/>
        </w:rPr>
        <w:t>发包人在退还质量保证金的同时按照中国人民银行发布的同期同类贷款基准利率支付利息。</w:t>
      </w:r>
    </w:p>
    <w:p w14:paraId="3F015EF8">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84.4  </w:t>
      </w:r>
      <w:r>
        <w:rPr>
          <w:rFonts w:hint="eastAsia" w:hAnsi="宋体"/>
          <w:b/>
          <w:bCs/>
          <w:color w:val="auto"/>
          <w:sz w:val="22"/>
          <w:szCs w:val="22"/>
          <w:highlight w:val="none"/>
          <w:u w:val="dotted"/>
        </w:rPr>
        <w:t xml:space="preserve">                                                                                                       </w:t>
      </w:r>
    </w:p>
    <w:p w14:paraId="49F756E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6" name="文本框 37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14:paraId="39E4F82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370" o:spid="_x0000_s1026" o:spt="202" type="#_x0000_t202" style="position:absolute;left:0pt;margin-left:-9pt;margin-top:3.6pt;height:36.45pt;width:72pt;z-index:252036096;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pXYFbVAAAACAEAAA8AAAAAAAAAAQAgAAAAIgAAAGRycy9kb3ducmV2LnhtbFBLAQIU&#10;ABQAAAAIAIdO4kA9BEYzvQEAAG0DAAAOAAAAAAAAAAEAIAAAACQBAABkcnMvZTJvRG9jLnhtbFBL&#10;BQYAAAAABgAGAFkBAABTBQAAAAA=&#10;">
                <v:fill on="f" focussize="0,0"/>
                <v:stroke on="f"/>
                <v:imagedata o:title=""/>
                <o:lock v:ext="edit" aspectratio="f"/>
                <v:textbox>
                  <w:txbxContent>
                    <w:p w14:paraId="39E4F82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hAnsi="宋体"/>
          <w:color w:val="auto"/>
          <w:sz w:val="22"/>
          <w:szCs w:val="22"/>
          <w:highlight w:val="none"/>
        </w:rPr>
        <w:t>缺陷责任期（包括第59.2款延长的期限）满时，承包人没有完成缺陷责任的，发包人有权扣留承包人未完成缺陷责任剩余工作所需的部分质量保证金余额，并有权根据第59.2款约定要求延长缺陷责任期，直到完成剩余工作为止。</w:t>
      </w:r>
    </w:p>
    <w:p w14:paraId="3A6847D8">
      <w:pPr>
        <w:pStyle w:val="22"/>
        <w:adjustRightInd w:val="0"/>
        <w:snapToGrid w:val="0"/>
        <w:spacing w:line="420" w:lineRule="exact"/>
        <w:ind w:right="-238"/>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2A3A46C3">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50" w:name="_Toc21686"/>
      <w:bookmarkStart w:id="451" w:name="_Toc8698"/>
      <w:r>
        <w:rPr>
          <w:rFonts w:hint="eastAsia" w:hAnsi="宋体"/>
          <w:b/>
          <w:bCs/>
          <w:color w:val="auto"/>
          <w:sz w:val="22"/>
          <w:szCs w:val="22"/>
          <w:highlight w:val="none"/>
        </w:rPr>
        <w:t>85  最终清算款</w:t>
      </w:r>
      <w:bookmarkEnd w:id="450"/>
      <w:bookmarkEnd w:id="451"/>
    </w:p>
    <w:p w14:paraId="38EC5F51">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85.1     </w:t>
      </w:r>
    </w:p>
    <w:p w14:paraId="469BAFF6">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367" name="文本框 37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772005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371" o:spid="_x0000_s1026" o:spt="202" type="#_x0000_t202" style="position:absolute;left:0pt;margin-left:-9pt;margin-top:5.85pt;height:31.2pt;width:72pt;z-index:252037120;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DyIFbWAAAACQEAAA8AAAAAAAAAAQAgAAAAIgAAAGRycy9kb3ducmV2LnhtbFBL&#10;AQIUABQAAAAIAIdO4kC0N864vwEAAG0DAAAOAAAAAAAAAAEAIAAAACUBAABkcnMvZTJvRG9jLnht&#10;bFBLBQYAAAAABgAGAFkBAABWBQAAAAA=&#10;">
                <v:fill on="f" focussize="0,0"/>
                <v:stroke on="f"/>
                <v:imagedata o:title=""/>
                <o:lock v:ext="edit" aspectratio="f"/>
                <v:textbox>
                  <w:txbxContent>
                    <w:p w14:paraId="4772005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宋体" w:hAnsi="宋体" w:cs="宋体"/>
          <w:color w:val="auto"/>
          <w:sz w:val="22"/>
          <w:szCs w:val="22"/>
          <w:highlight w:val="none"/>
        </w:rPr>
        <w:t>合同双方当事人应在专用条款中明确最终清算款的支付时限。专用条款没有约定的,最终清算款按照第85.2款至第85.5款规定办理。涉及政府投资资金的工程，支付期、支付方法等需调整的，应在专用条款中约定。</w:t>
      </w:r>
    </w:p>
    <w:p w14:paraId="1B35C378">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14:paraId="320FFC02">
      <w:pPr>
        <w:pStyle w:val="22"/>
        <w:tabs>
          <w:tab w:val="left" w:pos="900"/>
        </w:tabs>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85.2</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7574A04C">
      <w:pPr>
        <w:pStyle w:val="22"/>
        <w:adjustRightInd w:val="0"/>
        <w:snapToGrid w:val="0"/>
        <w:spacing w:line="420" w:lineRule="exact"/>
        <w:ind w:left="1619" w:leftChars="771"/>
        <w:rPr>
          <w:rFonts w:hAnsi="宋体"/>
          <w:color w:val="auto"/>
          <w:sz w:val="22"/>
          <w:szCs w:val="22"/>
          <w:highlight w:val="none"/>
          <w:u w:val="single"/>
        </w:rPr>
      </w:pPr>
      <w:r>
        <w:rPr>
          <w:rFonts w:hint="eastAsia" w:hAnsi="宋体"/>
          <w:color w:val="auto"/>
          <w:sz w:val="22"/>
          <w:szCs w:val="22"/>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368" name="文本框 372"/>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a:effectLst/>
                      </wps:spPr>
                      <wps:txbx>
                        <w:txbxContent>
                          <w:p w14:paraId="5F4D3DC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3E59AD6B">
                            <w:pPr>
                              <w:spacing w:line="240" w:lineRule="exact"/>
                              <w:rPr>
                                <w:rFonts w:ascii="宋体" w:hAnsi="Times New Roman" w:cs="Times New Roman"/>
                                <w:b/>
                                <w:bCs/>
                                <w:sz w:val="18"/>
                                <w:szCs w:val="18"/>
                              </w:rPr>
                            </w:pPr>
                            <w:r>
                              <w:rPr>
                                <w:rFonts w:hint="eastAsia" w:ascii="楷体_GB2312" w:hAnsi="宋体" w:eastAsia="楷体_GB2312" w:cs="楷体_GB2312"/>
                                <w:b/>
                                <w:bCs/>
                                <w:sz w:val="18"/>
                                <w:szCs w:val="18"/>
                              </w:rPr>
                              <w:t>支付证书</w:t>
                            </w:r>
                          </w:p>
                        </w:txbxContent>
                      </wps:txbx>
                      <wps:bodyPr wrap="square" upright="1"/>
                    </wps:wsp>
                  </a:graphicData>
                </a:graphic>
              </wp:anchor>
            </w:drawing>
          </mc:Choice>
          <mc:Fallback>
            <w:pict>
              <v:shape id="文本框 372" o:spid="_x0000_s1026" o:spt="202" type="#_x0000_t202" style="position:absolute;left:0pt;margin-left:-9pt;margin-top:0.7pt;height:36.45pt;width:81pt;z-index:252038144;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liTP1QAAAAgBAAAPAAAAAAAAAAEAIAAAACIAAABkcnMvZG93bnJldi54bWxQSwEC&#10;FAAUAAAACACHTuJAD8UfLb4BAABuAwAADgAAAAAAAAABACAAAAAkAQAAZHJzL2Uyb0RvYy54bWxQ&#10;SwUGAAAAAAYABgBZAQAAVAUAAAAA&#10;">
                <v:fill on="f" focussize="0,0"/>
                <v:stroke on="f"/>
                <v:imagedata o:title=""/>
                <o:lock v:ext="edit" aspectratio="f"/>
                <v:textbox>
                  <w:txbxContent>
                    <w:p w14:paraId="5F4D3DC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3E59AD6B">
                      <w:pPr>
                        <w:spacing w:line="240" w:lineRule="exact"/>
                        <w:rPr>
                          <w:rFonts w:ascii="宋体" w:hAnsi="Times New Roman" w:cs="Times New Roman"/>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hAnsi="宋体"/>
          <w:color w:val="auto"/>
          <w:sz w:val="22"/>
          <w:szCs w:val="22"/>
          <w:highlight w:val="none"/>
        </w:rPr>
        <w:t>造价工程师应在收到最终清算支付申请后的14天内予以计量、核实，并将核实结果通知承包人、抄报发包人。发包人应在收到核实结果后的7天内在最终清算文件上签字确认。造价工程师应在发包人签字确认最终清算文件后的7天内，向发包人签发最终清算支付证书，同时抄送承包人。</w:t>
      </w:r>
    </w:p>
    <w:p w14:paraId="796E2A98">
      <w:pPr>
        <w:pStyle w:val="22"/>
        <w:adjustRightInd w:val="0"/>
        <w:snapToGrid w:val="0"/>
        <w:spacing w:line="420" w:lineRule="exact"/>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369" name="文本框 373"/>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14:paraId="4DB3A2A6">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373" o:spid="_x0000_s1026" o:spt="202" type="#_x0000_t202" style="position:absolute;left:0pt;margin-left:-9pt;margin-top:18.15pt;height:36.45pt;width:72pt;z-index:252039168;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6WPPmdgAAAAKAQAADwAAAAAAAAABACAAAAAiAAAAZHJzL2Rvd25yZXYueG1s&#10;UEsBAhQAFAAAAAgAh07iQNr11eK/AQAAbQMAAA4AAAAAAAAAAQAgAAAAJwEAAGRycy9lMm9Eb2Mu&#10;eG1sUEsFBgAAAAAGAAYAWQEAAFgFAAAAAA==&#10;">
                <v:fill on="f" focussize="0,0"/>
                <v:stroke on="f"/>
                <v:imagedata o:title=""/>
                <o:lock v:ext="edit" aspectratio="f"/>
                <v:textbox>
                  <w:txbxContent>
                    <w:p w14:paraId="4DB3A2A6">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hAnsi="宋体"/>
          <w:b/>
          <w:bCs/>
          <w:color w:val="auto"/>
          <w:sz w:val="22"/>
          <w:szCs w:val="22"/>
          <w:highlight w:val="none"/>
        </w:rPr>
        <w:t>85.3</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638864D0">
      <w:pPr>
        <w:pStyle w:val="22"/>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w:t>发包人应在造价工程师签发最终清算支付证书后的14 天内，按照最终清算支付证书列明的金额向承包人支付最终清算款，并通知造价工程师。</w:t>
      </w:r>
    </w:p>
    <w:p w14:paraId="5618BEF0">
      <w:pPr>
        <w:pStyle w:val="22"/>
        <w:adjustRightInd w:val="0"/>
        <w:snapToGrid w:val="0"/>
        <w:spacing w:line="420" w:lineRule="exact"/>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370" name="文本框 37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14:paraId="596B2D39">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wps:txbx>
                      <wps:bodyPr wrap="square" upright="1"/>
                    </wps:wsp>
                  </a:graphicData>
                </a:graphic>
              </wp:anchor>
            </w:drawing>
          </mc:Choice>
          <mc:Fallback>
            <w:pict>
              <v:shape id="文本框 374" o:spid="_x0000_s1026" o:spt="202" type="#_x0000_t202" style="position:absolute;left:0pt;margin-left:-9pt;margin-top:18.45pt;height:36.45pt;width:72pt;z-index:252040192;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c/e3i2AAAAAoBAAAPAAAAAAAAAAEAIAAAACIAAABkcnMvZG93bnJldi54bWxQ&#10;SwECFAAUAAAACACHTuJAGmGkpb4BAABtAwAADgAAAAAAAAABACAAAAAnAQAAZHJzL2Uyb0RvYy54&#10;bWxQSwUGAAAAAAYABgBZAQAAVwUAAAAA&#10;">
                <v:fill on="f" focussize="0,0"/>
                <v:stroke on="f"/>
                <v:imagedata o:title=""/>
                <o:lock v:ext="edit" aspectratio="f"/>
                <v:textbox>
                  <w:txbxContent>
                    <w:p w14:paraId="596B2D39">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int="eastAsia" w:hAnsi="宋体"/>
          <w:b/>
          <w:bCs/>
          <w:color w:val="auto"/>
          <w:sz w:val="22"/>
          <w:szCs w:val="22"/>
          <w:highlight w:val="none"/>
        </w:rPr>
        <w:t xml:space="preserve">85.4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4A56D01B">
      <w:pPr>
        <w:pStyle w:val="22"/>
        <w:adjustRightInd w:val="0"/>
        <w:snapToGrid w:val="0"/>
        <w:spacing w:line="420" w:lineRule="exact"/>
        <w:ind w:left="1576" w:leftChars="750" w:hanging="1"/>
        <w:rPr>
          <w:rFonts w:hAnsi="宋体"/>
          <w:color w:val="auto"/>
          <w:sz w:val="22"/>
          <w:szCs w:val="22"/>
          <w:highlight w:val="none"/>
        </w:rPr>
      </w:pPr>
      <w:r>
        <w:rPr>
          <w:rFonts w:hint="eastAsia" w:hAnsi="宋体"/>
          <w:color w:val="auto"/>
          <w:sz w:val="22"/>
          <w:szCs w:val="22"/>
          <w:highlight w:val="none"/>
        </w:rPr>
        <w:t>如果造价工程师未在第85.2款规定的期限内签发最终清算支付证书的，则视为承包人提交的最终清算支付申请已被认可，承包人应及时向发包人发出要求支付最终清算款的通知。发包人应在收到通知后的14天内，按照承包人提交最终清算支付申请列明的金额向承包人支付最终清算款。</w:t>
      </w:r>
    </w:p>
    <w:p w14:paraId="1E35E177">
      <w:pPr>
        <w:pStyle w:val="22"/>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 xml:space="preserve">85.5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37D0B8EF">
      <w:pPr>
        <w:spacing w:line="420" w:lineRule="exact"/>
        <w:ind w:left="1576" w:leftChars="750" w:hanging="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371" name="文本框 375"/>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a:effectLst/>
                      </wps:spPr>
                      <wps:txbx>
                        <w:txbxContent>
                          <w:p w14:paraId="52318F9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53CCBDD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wps:txbx>
                      <wps:bodyPr wrap="square" upright="1"/>
                    </wps:wsp>
                  </a:graphicData>
                </a:graphic>
              </wp:anchor>
            </w:drawing>
          </mc:Choice>
          <mc:Fallback>
            <w:pict>
              <v:shape id="文本框 375" o:spid="_x0000_s1026" o:spt="202" type="#_x0000_t202" style="position:absolute;left:0pt;margin-left:-9pt;margin-top:0.65pt;height:32.1pt;width:81pt;z-index:252041216;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Qb19NUAAAAIAQAADwAAAAAAAAABACAAAAAiAAAAZHJzL2Rvd25yZXYueG1sUEsB&#10;AhQAFAAAAAgAh07iQCbEvcW/AQAAbgMAAA4AAAAAAAAAAQAgAAAAJAEAAGRycy9lMm9Eb2MueG1s&#10;UEsFBgAAAAAGAAYAWQEAAFUFAAAAAA==&#10;">
                <v:fill on="f" focussize="0,0"/>
                <v:stroke on="f"/>
                <v:imagedata o:title=""/>
                <o:lock v:ext="edit" aspectratio="f"/>
                <v:textbox>
                  <w:txbxContent>
                    <w:p w14:paraId="52318F9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53CCBDD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宋体" w:hAnsi="宋体" w:cs="宋体"/>
          <w:color w:val="auto"/>
          <w:sz w:val="22"/>
          <w:szCs w:val="22"/>
          <w:highlight w:val="none"/>
        </w:rPr>
        <w:t>发包人未按照第85.3款和第85.4款规定支付最终清算款的，承包人可催告发包人支付最终清算款，如双方达成延期支付协议，承包人有权按照第78.2款规定获得延期支付的利息。若该永久工程按照第83.5款规定进行折价或依法拍卖的，承包人就该工程折价或拍卖的价款优先受偿。</w:t>
      </w:r>
    </w:p>
    <w:p w14:paraId="659C825A">
      <w:pPr>
        <w:pStyle w:val="22"/>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 xml:space="preserve">85.6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42DB61A5">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72" name="文本框 376"/>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14:paraId="44F156C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376" o:spid="_x0000_s1026" o:spt="202" type="#_x0000_t202" style="position:absolute;left:0pt;margin-left:-9pt;margin-top:3.6pt;height:36.45pt;width:72pt;z-index:25204224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ldgVtUAAAAIAQAADwAAAAAAAAABACAAAAAiAAAAZHJzL2Rvd25yZXYueG1sUEsB&#10;AhQAFAAAAAgAh07iQL+YUIe/AQAAbQMAAA4AAAAAAAAAAQAgAAAAJAEAAGRycy9lMm9Eb2MueG1s&#10;UEsFBgAAAAAGAAYAWQEAAFUFAAAAAA==&#10;">
                <v:fill on="f" focussize="0,0"/>
                <v:stroke on="f"/>
                <v:imagedata o:title=""/>
                <o:lock v:ext="edit" aspectratio="f"/>
                <v:textbox>
                  <w:txbxContent>
                    <w:p w14:paraId="44F156C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宋体" w:hAnsi="宋体" w:cs="宋体"/>
          <w:color w:val="auto"/>
          <w:sz w:val="22"/>
          <w:szCs w:val="22"/>
          <w:highlight w:val="none"/>
        </w:rPr>
        <w:t>承包人对发包人支付的最终清算款有异议的，按照第86条约定的争议处理。</w:t>
      </w:r>
    </w:p>
    <w:p w14:paraId="4E0FACB5">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u w:val="single"/>
        </w:rPr>
        <w:t xml:space="preserve">                                                                                                              </w:t>
      </w:r>
    </w:p>
    <w:p w14:paraId="05EF22E8">
      <w:pPr>
        <w:pStyle w:val="22"/>
        <w:adjustRightInd w:val="0"/>
        <w:snapToGrid w:val="0"/>
        <w:spacing w:line="420" w:lineRule="exact"/>
        <w:jc w:val="center"/>
        <w:outlineLvl w:val="1"/>
        <w:rPr>
          <w:rFonts w:hAnsi="宋体"/>
          <w:b/>
          <w:bCs/>
          <w:color w:val="auto"/>
          <w:sz w:val="22"/>
          <w:szCs w:val="22"/>
          <w:highlight w:val="none"/>
        </w:rPr>
      </w:pPr>
      <w:bookmarkStart w:id="452" w:name="_Toc9877"/>
      <w:bookmarkStart w:id="453" w:name="_Toc28685"/>
      <w:bookmarkStart w:id="454" w:name="_Toc155166150"/>
      <w:bookmarkStart w:id="455" w:name="_Toc25845"/>
      <w:bookmarkStart w:id="456" w:name="_Toc469384069"/>
      <w:bookmarkStart w:id="457" w:name="_Toc10141"/>
      <w:r>
        <w:rPr>
          <w:rFonts w:hint="eastAsia" w:ascii="方正小标宋_GBK" w:hAnsi="方正小标宋_GBK" w:eastAsia="方正小标宋_GBK" w:cs="方正小标宋_GBK"/>
          <w:b/>
          <w:bCs/>
          <w:color w:val="auto"/>
          <w:sz w:val="24"/>
          <w:szCs w:val="24"/>
          <w:highlight w:val="none"/>
        </w:rPr>
        <w:t>七、合同争议、解除与终止</w:t>
      </w:r>
      <w:bookmarkEnd w:id="452"/>
      <w:bookmarkEnd w:id="453"/>
      <w:bookmarkEnd w:id="454"/>
      <w:bookmarkEnd w:id="455"/>
      <w:bookmarkEnd w:id="456"/>
      <w:bookmarkEnd w:id="457"/>
    </w:p>
    <w:p w14:paraId="272251E0">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58" w:name="_Toc4809"/>
      <w:bookmarkStart w:id="459" w:name="_Toc1"/>
      <w:bookmarkStart w:id="460" w:name="_Toc469384070"/>
      <w:r>
        <w:rPr>
          <w:rFonts w:hint="eastAsia" w:hAnsi="宋体"/>
          <w:b/>
          <w:bCs/>
          <w:color w:val="auto"/>
          <w:sz w:val="22"/>
          <w:szCs w:val="22"/>
          <w:highlight w:val="none"/>
        </w:rPr>
        <w:t>86  合同争议</w:t>
      </w:r>
      <w:bookmarkEnd w:id="458"/>
      <w:bookmarkEnd w:id="459"/>
      <w:bookmarkEnd w:id="460"/>
    </w:p>
    <w:p w14:paraId="0D12AFE3">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73" name="文本框 377"/>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a:effectLst/>
                      </wps:spPr>
                      <wps:txbx>
                        <w:txbxContent>
                          <w:p w14:paraId="59E15E1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wps:txbx>
                      <wps:bodyPr wrap="square" upright="1"/>
                    </wps:wsp>
                  </a:graphicData>
                </a:graphic>
              </wp:anchor>
            </w:drawing>
          </mc:Choice>
          <mc:Fallback>
            <w:pict>
              <v:shape id="文本框 377" o:spid="_x0000_s1026" o:spt="202" type="#_x0000_t202" style="position:absolute;left:0pt;margin-left:-9pt;margin-top:22.4pt;height:37pt;width:72pt;z-index:252043264;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CbDmrXAAAACgEAAA8AAAAAAAAAAQAgAAAAIgAAAGRycy9kb3ducmV2LnhtbFBL&#10;AQIUABQAAAAIAIdO4kBjtWvdvgEAAG0DAAAOAAAAAAAAAAEAIAAAACYBAABkcnMvZTJvRG9jLnht&#10;bFBLBQYAAAAABgAGAFkBAABWBQAAAAA=&#10;">
                <v:fill on="f" focussize="0,0"/>
                <v:stroke on="f"/>
                <v:imagedata o:title=""/>
                <o:lock v:ext="edit" aspectratio="f"/>
                <v:textbox>
                  <w:txbxContent>
                    <w:p w14:paraId="59E15E1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int="eastAsia" w:hAnsi="宋体"/>
          <w:b/>
          <w:bCs/>
          <w:color w:val="auto"/>
          <w:sz w:val="22"/>
          <w:szCs w:val="22"/>
          <w:highlight w:val="none"/>
        </w:rPr>
        <w:t xml:space="preserve">86.1    </w:t>
      </w:r>
    </w:p>
    <w:p w14:paraId="6BC722D0">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14:paraId="352EB25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合同双方当事人在收到监理工程师或造价工程师的暂定结果之日起，超过14天，未对暂定结果予以确认也未提出意见的，视为合同双方当事人已认可暂定结果。</w:t>
      </w:r>
    </w:p>
    <w:p w14:paraId="220D8A7C">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86.2  </w:t>
      </w:r>
      <w:r>
        <w:rPr>
          <w:rFonts w:hint="eastAsia" w:hAnsi="宋体"/>
          <w:b/>
          <w:bCs/>
          <w:color w:val="auto"/>
          <w:sz w:val="22"/>
          <w:szCs w:val="22"/>
          <w:highlight w:val="none"/>
          <w:u w:val="dotted"/>
        </w:rPr>
        <w:t xml:space="preserve">                                                                                                        </w:t>
      </w:r>
    </w:p>
    <w:p w14:paraId="432F88B9">
      <w:pPr>
        <w:pStyle w:val="22"/>
        <w:tabs>
          <w:tab w:val="left" w:pos="1320"/>
        </w:tabs>
        <w:adjustRightInd w:val="0"/>
        <w:snapToGrid w:val="0"/>
        <w:spacing w:line="420" w:lineRule="exact"/>
        <w:ind w:left="1680" w:leftChars="800"/>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374" name="文本框 378"/>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a:effectLst/>
                      </wps:spPr>
                      <wps:txbx>
                        <w:txbxContent>
                          <w:p w14:paraId="01093AA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378" o:spid="_x0000_s1026" o:spt="202" type="#_x0000_t202" style="position:absolute;left:0pt;margin-left:-9pt;margin-top:2.1pt;height:29.4pt;width:63pt;z-index:252044288;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v2ZadQAAAAIAQAADwAAAAAAAAABACAAAAAiAAAAZHJzL2Rvd25yZXYueG1sUEsBAhQA&#10;FAAAAAgAh07iQFqpVhu9AQAAbQMAAA4AAAAAAAAAAQAgAAAAIwEAAGRycy9lMm9Eb2MueG1sUEsF&#10;BgAAAAAGAAYAWQEAAFIFAAAAAA==&#10;">
                <v:fill on="f" focussize="0,0"/>
                <v:stroke on="f"/>
                <v:imagedata o:title=""/>
                <o:lock v:ext="edit" aspectratio="f"/>
                <v:textbox>
                  <w:txbxContent>
                    <w:p w14:paraId="01093AA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hAnsi="宋体"/>
          <w:color w:val="auto"/>
          <w:sz w:val="22"/>
          <w:szCs w:val="22"/>
          <w:highlight w:val="none"/>
        </w:rPr>
        <w:t>争议发生后的14天内，合同双方当事人可进一步进行协商。协商达成一致的，合同双方当事人应签订书面协议，并将结果抄送监理工程师或造价工程师；协商仍不能达成一致的，按照第86.3款至第86.6款规定进行调解或认定、仲裁或诉讼。</w:t>
      </w:r>
    </w:p>
    <w:p w14:paraId="3D33ED2E">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86.3  </w:t>
      </w:r>
      <w:r>
        <w:rPr>
          <w:rFonts w:hint="eastAsia" w:hAnsi="宋体"/>
          <w:b/>
          <w:bCs/>
          <w:color w:val="auto"/>
          <w:sz w:val="22"/>
          <w:szCs w:val="22"/>
          <w:highlight w:val="none"/>
          <w:u w:val="dotted"/>
        </w:rPr>
        <w:t xml:space="preserve">                                                                                                        </w:t>
      </w:r>
    </w:p>
    <w:p w14:paraId="4FBFE90D">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75" name="文本框 379"/>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a:effectLst/>
                      </wps:spPr>
                      <wps:txbx>
                        <w:txbxContent>
                          <w:p w14:paraId="3152120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379" o:spid="_x0000_s1026" o:spt="202" type="#_x0000_t202" style="position:absolute;left:0pt;margin-left:-9pt;margin-top:0.9pt;height:25.6pt;width:81pt;z-index:252045312;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V4CIdQAAAAIAQAADwAAAAAAAAABACAAAAAiAAAAZHJzL2Rvd25yZXYueG1sUEsB&#10;AhQAFAAAAAgAh07iQC13fC7AAQAAbgMAAA4AAAAAAAAAAQAgAAAAIwEAAGRycy9lMm9Eb2MueG1s&#10;UEsFBgAAAAAGAAYAWQEAAFUFAAAAAA==&#10;">
                <v:fill on="f" focussize="0,0"/>
                <v:stroke on="f"/>
                <v:imagedata o:title=""/>
                <o:lock v:ext="edit" aspectratio="f"/>
                <v:textbox>
                  <w:txbxContent>
                    <w:p w14:paraId="3152120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hAnsi="宋体"/>
          <w:color w:val="auto"/>
          <w:sz w:val="22"/>
          <w:szCs w:val="22"/>
          <w:highlight w:val="none"/>
        </w:rPr>
        <w:t>合同双方当事人没有按照第86.2款规定进一步协商的，或虽然协商但未在规定期限内达成一致的，合同双方或一方当事人可在争议发生后的28天内，将争议提交争议调解或认定机构处理，或直接按照专用条款第86.6款规定提请仲裁或诉讼。</w:t>
      </w:r>
    </w:p>
    <w:p w14:paraId="738779B1">
      <w:pPr>
        <w:pStyle w:val="22"/>
        <w:tabs>
          <w:tab w:val="left" w:pos="1320"/>
        </w:tabs>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 xml:space="preserve">86.4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357E067E">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76" name="文本框 380"/>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a:effectLst/>
                      </wps:spPr>
                      <wps:txbx>
                        <w:txbxContent>
                          <w:p w14:paraId="1397B20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380" o:spid="_x0000_s1026" o:spt="202" type="#_x0000_t202" style="position:absolute;left:0pt;margin-left:-9pt;margin-top:4.7pt;height:29.8pt;width:81pt;z-index:252046336;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OF+Z1QAAAAgBAAAPAAAAAAAAAAEAIAAAACIAAABkcnMvZG93bnJldi54bWxQSwEC&#10;FAAUAAAACACHTuJA9UHfK74BAABuAwAADgAAAAAAAAABACAAAAAkAQAAZHJzL2Uyb0RvYy54bWxQ&#10;SwUGAAAAAAYABgBZAQAAVAUAAAAA&#10;">
                <v:fill on="f" focussize="0,0"/>
                <v:stroke on="f"/>
                <v:imagedata o:title=""/>
                <o:lock v:ext="edit" aspectratio="f"/>
                <v:textbox>
                  <w:txbxContent>
                    <w:p w14:paraId="1397B20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hAnsi="宋体"/>
          <w:color w:val="auto"/>
          <w:sz w:val="22"/>
          <w:szCs w:val="22"/>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464FB16B">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(1) 建设工程安全监督机构，负责有关工程安全方面争议的调解或认定；</w:t>
      </w:r>
    </w:p>
    <w:p w14:paraId="2F8667A0">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(2) 建设工程质量监督机构，负责有关工程质量方面争议的调解或认定；</w:t>
      </w:r>
    </w:p>
    <w:p w14:paraId="74786B0D">
      <w:pPr>
        <w:pStyle w:val="22"/>
        <w:adjustRightInd w:val="0"/>
        <w:snapToGrid w:val="0"/>
        <w:spacing w:line="420" w:lineRule="exact"/>
        <w:ind w:left="1620"/>
        <w:rPr>
          <w:rFonts w:hAnsi="宋体"/>
          <w:b/>
          <w:bCs/>
          <w:color w:val="auto"/>
          <w:sz w:val="22"/>
          <w:szCs w:val="22"/>
          <w:highlight w:val="none"/>
        </w:rPr>
      </w:pPr>
      <w:r>
        <w:rPr>
          <w:rFonts w:hint="eastAsia" w:hAnsi="宋体"/>
          <w:color w:val="auto"/>
          <w:sz w:val="22"/>
          <w:szCs w:val="22"/>
          <w:highlight w:val="none"/>
        </w:rPr>
        <w:t>(3) 建设工程造价管理机构，负责有关工程造价方面争议的调解或认定。</w:t>
      </w:r>
    </w:p>
    <w:p w14:paraId="08589E97">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86.5  </w:t>
      </w:r>
      <w:r>
        <w:rPr>
          <w:rFonts w:hint="eastAsia" w:hAnsi="宋体"/>
          <w:b/>
          <w:bCs/>
          <w:color w:val="auto"/>
          <w:sz w:val="22"/>
          <w:szCs w:val="22"/>
          <w:highlight w:val="none"/>
          <w:u w:val="dotted"/>
        </w:rPr>
        <w:t xml:space="preserve">                                                                                                        </w:t>
      </w:r>
    </w:p>
    <w:p w14:paraId="580D4A7D">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77" name="文本框 381"/>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a:effectLst/>
                      </wps:spPr>
                      <wps:txbx>
                        <w:txbxContent>
                          <w:p w14:paraId="56AB782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381" o:spid="_x0000_s1026" o:spt="202" type="#_x0000_t202" style="position:absolute;left:0pt;margin-left:-9pt;margin-top:2.55pt;height:36.6pt;width:72pt;z-index:252047360;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ltrTdUAAAAIAQAADwAAAAAAAAABACAAAAAiAAAAZHJzL2Rvd25yZXYueG1sUEsB&#10;AhQAFAAAAAgAh07iQI8Ijfi/AQAAbQMAAA4AAAAAAAAAAQAgAAAAJAEAAGRycy9lMm9Eb2MueG1s&#10;UEsFBgAAAAAGAAYAWQEAAFUFAAAAAA==&#10;">
                <v:fill on="f" focussize="0,0"/>
                <v:stroke on="f"/>
                <v:imagedata o:title=""/>
                <o:lock v:ext="edit" aspectratio="f"/>
                <v:textbox>
                  <w:txbxContent>
                    <w:p w14:paraId="56AB782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hAnsi="宋体"/>
          <w:color w:val="auto"/>
          <w:sz w:val="22"/>
          <w:szCs w:val="22"/>
          <w:highlight w:val="none"/>
        </w:rPr>
        <w:t>合同双方当事人应在收到争议调解或认定机构书面结果后的28天内，对调解或认定结果以书面形式予以确认。</w:t>
      </w:r>
    </w:p>
    <w:p w14:paraId="63F83EB0">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86.6  </w:t>
      </w:r>
      <w:r>
        <w:rPr>
          <w:rFonts w:hint="eastAsia" w:hAnsi="宋体"/>
          <w:b/>
          <w:bCs/>
          <w:color w:val="auto"/>
          <w:sz w:val="22"/>
          <w:szCs w:val="22"/>
          <w:highlight w:val="none"/>
          <w:u w:val="dotted"/>
        </w:rPr>
        <w:t xml:space="preserve">                                                                                                        </w:t>
      </w:r>
    </w:p>
    <w:p w14:paraId="66AA8C02">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378" name="文本框 382"/>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a:effectLst/>
                      </wps:spPr>
                      <wps:txbx>
                        <w:txbxContent>
                          <w:p w14:paraId="753F00A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382" o:spid="_x0000_s1026" o:spt="202" type="#_x0000_t202" style="position:absolute;left:0pt;margin-left:-9pt;margin-top:0.95pt;height:26.35pt;width:81pt;z-index:252048384;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YJ+rI1QAAAAgBAAAPAAAAAAAAAAEAIAAAACIAAABkcnMvZG93bnJldi54bWxQSwEC&#10;FAAUAAAACACHTuJAuHIHsL4BAABuAwAADgAAAAAAAAABACAAAAAkAQAAZHJzL2Uyb0RvYy54bWxQ&#10;SwUGAAAAAAYABgBZAQAAVAUAAAAA&#10;">
                <v:fill on="f" focussize="0,0"/>
                <v:stroke on="f"/>
                <v:imagedata o:title=""/>
                <o:lock v:ext="edit" aspectratio="f"/>
                <v:textbox>
                  <w:txbxContent>
                    <w:p w14:paraId="753F00A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hAnsi="宋体"/>
          <w:color w:val="auto"/>
          <w:sz w:val="22"/>
          <w:szCs w:val="22"/>
          <w:highlight w:val="none"/>
        </w:rPr>
        <w:t>若合同双方或一方当事人在收到争议调解或认定机构的书面结果后明确表示不同意，或在28天内没有书面确认，任何一方均可按照专用条款约定的下列任一种方式解决争议：</w:t>
      </w:r>
    </w:p>
    <w:p w14:paraId="414585E0">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(1) 向约定的仲裁委员会申请仲裁；</w:t>
      </w:r>
    </w:p>
    <w:p w14:paraId="5F852C12">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(2) 向有管辖权的人民法院提起诉讼。</w:t>
      </w:r>
    </w:p>
    <w:p w14:paraId="64673C27">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86.7  </w:t>
      </w:r>
      <w:r>
        <w:rPr>
          <w:rFonts w:hint="eastAsia" w:hAnsi="宋体"/>
          <w:b/>
          <w:bCs/>
          <w:color w:val="auto"/>
          <w:sz w:val="22"/>
          <w:szCs w:val="22"/>
          <w:highlight w:val="none"/>
          <w:u w:val="dotted"/>
        </w:rPr>
        <w:t xml:space="preserve">                                                                                                        </w:t>
      </w:r>
    </w:p>
    <w:p w14:paraId="29A16ED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79" name="文本框 383"/>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a:effectLst/>
                      </wps:spPr>
                      <wps:txbx>
                        <w:txbxContent>
                          <w:p w14:paraId="3D7C9BC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383" o:spid="_x0000_s1026" o:spt="202" type="#_x0000_t202" style="position:absolute;left:0pt;margin-left:-9pt;margin-top:1.25pt;height:36.25pt;width:72pt;z-index:252049408;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K6g5U1QAAAAgBAAAPAAAAAAAAAAEAIAAAACIAAABkcnMvZG93bnJldi54bWxQSwEC&#10;FAAUAAAACACHTuJAm7wzar4BAABtAwAADgAAAAAAAAABACAAAAAkAQAAZHJzL2Uyb0RvYy54bWxQ&#10;SwUGAAAAAAYABgBZAQAAVAUAAAAA&#10;">
                <v:fill on="f" focussize="0,0"/>
                <v:stroke on="f"/>
                <v:imagedata o:title=""/>
                <o:lock v:ext="edit" aspectratio="f"/>
                <v:textbox>
                  <w:txbxContent>
                    <w:p w14:paraId="3D7C9BC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hAnsi="宋体"/>
          <w:color w:val="auto"/>
          <w:sz w:val="22"/>
          <w:szCs w:val="22"/>
          <w:highlight w:val="none"/>
        </w:rPr>
        <w:t>争议期间，除下列情况停止施工外，合同双方当事人都应继续履行合同，保持工程连续施工，保护好已完工程：</w:t>
      </w:r>
    </w:p>
    <w:p w14:paraId="43C9998F">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(1) 合同双方当事人协商同意；</w:t>
      </w:r>
    </w:p>
    <w:p w14:paraId="40B5B9E2">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(2) 合同一方当事人违约导致合同无法履行；</w:t>
      </w:r>
    </w:p>
    <w:p w14:paraId="0D7F9A27">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(3) 工程造价管理机构调解需要，且合同双方当事人同意；</w:t>
      </w:r>
    </w:p>
    <w:p w14:paraId="4169C564">
      <w:pPr>
        <w:pStyle w:val="22"/>
        <w:adjustRightInd w:val="0"/>
        <w:snapToGrid w:val="0"/>
        <w:spacing w:line="420" w:lineRule="exact"/>
        <w:ind w:left="1620"/>
        <w:rPr>
          <w:rFonts w:hAnsi="宋体"/>
          <w:color w:val="auto"/>
          <w:sz w:val="22"/>
          <w:szCs w:val="22"/>
          <w:highlight w:val="none"/>
        </w:rPr>
      </w:pPr>
      <w:r>
        <w:rPr>
          <w:rFonts w:hint="eastAsia" w:hAnsi="宋体"/>
          <w:color w:val="auto"/>
          <w:sz w:val="22"/>
          <w:szCs w:val="22"/>
          <w:highlight w:val="none"/>
        </w:rPr>
        <w:t>(4) 仲裁委员会仲裁需要，且合同双方当事人同意：</w:t>
      </w:r>
    </w:p>
    <w:p w14:paraId="3CEAABF6">
      <w:pPr>
        <w:pStyle w:val="22"/>
        <w:adjustRightInd w:val="0"/>
        <w:snapToGrid w:val="0"/>
        <w:spacing w:line="420" w:lineRule="exact"/>
        <w:ind w:firstLine="1430" w:firstLineChars="650"/>
        <w:rPr>
          <w:rFonts w:hAnsi="宋体"/>
          <w:color w:val="auto"/>
          <w:sz w:val="22"/>
          <w:szCs w:val="22"/>
          <w:highlight w:val="none"/>
        </w:rPr>
      </w:pPr>
      <w:r>
        <w:rPr>
          <w:rFonts w:hint="eastAsia" w:hAnsi="宋体"/>
          <w:color w:val="auto"/>
          <w:sz w:val="22"/>
          <w:szCs w:val="22"/>
          <w:highlight w:val="none"/>
        </w:rPr>
        <w:t>(5) 人民法院诉讼需要。</w:t>
      </w:r>
    </w:p>
    <w:p w14:paraId="3930AB52">
      <w:pPr>
        <w:pStyle w:val="22"/>
        <w:tabs>
          <w:tab w:val="left" w:pos="1620"/>
        </w:tabs>
        <w:adjustRightInd w:val="0"/>
        <w:snapToGrid w:val="0"/>
        <w:spacing w:line="420" w:lineRule="exact"/>
        <w:ind w:right="-240"/>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4E7132A5">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61" w:name="_Toc25940"/>
      <w:bookmarkStart w:id="462" w:name="_Toc469384071"/>
      <w:bookmarkStart w:id="463" w:name="_Toc22119"/>
      <w:r>
        <w:rPr>
          <w:rFonts w:hint="eastAsia" w:hAnsi="宋体"/>
          <w:b/>
          <w:bCs/>
          <w:color w:val="auto"/>
          <w:sz w:val="22"/>
          <w:szCs w:val="22"/>
          <w:highlight w:val="none"/>
        </w:rPr>
        <w:t>87  合同解除</w:t>
      </w:r>
      <w:bookmarkEnd w:id="461"/>
      <w:bookmarkEnd w:id="462"/>
      <w:bookmarkEnd w:id="463"/>
    </w:p>
    <w:p w14:paraId="11E9CF66">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87.1   </w:t>
      </w:r>
    </w:p>
    <w:p w14:paraId="6A2C072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80" name="文本框 384"/>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a:effectLst/>
                      </wps:spPr>
                      <wps:txbx>
                        <w:txbxContent>
                          <w:p w14:paraId="4E40253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384" o:spid="_x0000_s1026" o:spt="202" type="#_x0000_t202" style="position:absolute;left:0pt;margin-left:-9pt;margin-top:-0.3pt;height:20.75pt;width:81pt;z-index:252050432;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uybptQAAAAIAQAADwAAAAAAAAABACAAAAAiAAAAZHJzL2Rvd25yZXYueG1sUEsBAhQA&#10;FAAAAAgAh07iQHZ/Gbe9AQAAbgMAAA4AAAAAAAAAAQAgAAAAIwEAAGRycy9lMm9Eb2MueG1sUEsF&#10;BgAAAAAGAAYAWQEAAFIFAAAAAA==&#10;">
                <v:fill on="f" focussize="0,0"/>
                <v:stroke on="f"/>
                <v:imagedata o:title=""/>
                <o:lock v:ext="edit" aspectratio="f"/>
                <v:textbox>
                  <w:txbxContent>
                    <w:p w14:paraId="4E40253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hAnsi="宋体"/>
          <w:color w:val="auto"/>
          <w:sz w:val="22"/>
          <w:szCs w:val="22"/>
          <w:highlight w:val="none"/>
        </w:rPr>
        <w:t>合同双方当事人协商一致，可以解除合同。</w:t>
      </w:r>
    </w:p>
    <w:p w14:paraId="55BE1BE4">
      <w:pPr>
        <w:spacing w:line="420" w:lineRule="exact"/>
        <w:rPr>
          <w:rFonts w:ascii="宋体" w:hAnsi="宋体" w:cs="宋体"/>
          <w:color w:val="auto"/>
          <w:sz w:val="22"/>
          <w:szCs w:val="22"/>
          <w:highlight w:val="none"/>
        </w:rPr>
      </w:pPr>
    </w:p>
    <w:p w14:paraId="0659A4D0">
      <w:pPr>
        <w:pStyle w:val="22"/>
        <w:tabs>
          <w:tab w:val="left" w:pos="1320"/>
        </w:tabs>
        <w:adjustRightInd w:val="0"/>
        <w:snapToGrid w:val="0"/>
        <w:spacing w:line="420" w:lineRule="exact"/>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381" name="文本框 38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21EF624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385" o:spid="_x0000_s1026" o:spt="202" type="#_x0000_t202" style="position:absolute;left:0pt;margin-left:-9pt;margin-top:22.95pt;height:39pt;width:72pt;z-index:252051456;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7o+PnXAAAACgEAAA8AAAAAAAAAAQAgAAAAIgAAAGRycy9kb3ducmV2LnhtbFBL&#10;AQIUABQAAAAIAIdO4kAx3yEPvgEAAG0DAAAOAAAAAAAAAAEAIAAAACYBAABkcnMvZTJvRG9jLnht&#10;bFBLBQYAAAAABgAGAFkBAABWBQAAAAA=&#10;">
                <v:fill on="f" focussize="0,0"/>
                <v:stroke on="f"/>
                <v:imagedata o:title=""/>
                <o:lock v:ext="edit" aspectratio="f"/>
                <v:textbox>
                  <w:txbxContent>
                    <w:p w14:paraId="21EF624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hAnsi="宋体"/>
          <w:b/>
          <w:bCs/>
          <w:color w:val="auto"/>
          <w:sz w:val="22"/>
          <w:szCs w:val="22"/>
          <w:highlight w:val="none"/>
        </w:rPr>
        <w:t xml:space="preserve">87.2  </w:t>
      </w:r>
      <w:r>
        <w:rPr>
          <w:rFonts w:hint="eastAsia" w:hAnsi="宋体"/>
          <w:b/>
          <w:bCs/>
          <w:color w:val="auto"/>
          <w:sz w:val="22"/>
          <w:szCs w:val="22"/>
          <w:highlight w:val="none"/>
          <w:u w:val="dotted"/>
        </w:rPr>
        <w:t xml:space="preserve">  </w:t>
      </w:r>
      <w:r>
        <w:rPr>
          <w:rFonts w:hint="eastAsia" w:hAnsi="宋体"/>
          <w:color w:val="auto"/>
          <w:sz w:val="22"/>
          <w:szCs w:val="22"/>
          <w:highlight w:val="none"/>
          <w:u w:val="dotted"/>
        </w:rPr>
        <w:t xml:space="preserve">                                                                                                      </w:t>
      </w:r>
    </w:p>
    <w:p w14:paraId="628985F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因不可抗力事件致使合同无法继续履行的，合同双方当事人可以解除合同。</w:t>
      </w:r>
    </w:p>
    <w:p w14:paraId="0B9F1356">
      <w:pPr>
        <w:spacing w:line="420" w:lineRule="exact"/>
        <w:rPr>
          <w:rFonts w:ascii="宋体" w:hAnsi="宋体" w:cs="宋体"/>
          <w:color w:val="auto"/>
          <w:sz w:val="22"/>
          <w:szCs w:val="22"/>
          <w:highlight w:val="none"/>
        </w:rPr>
      </w:pPr>
    </w:p>
    <w:p w14:paraId="080EF771">
      <w:pPr>
        <w:pStyle w:val="22"/>
        <w:tabs>
          <w:tab w:val="left" w:pos="1320"/>
        </w:tabs>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 xml:space="preserve">87.3 </w:t>
      </w:r>
      <w:r>
        <w:rPr>
          <w:rFonts w:hint="eastAsia" w:hAnsi="宋体"/>
          <w:color w:val="auto"/>
          <w:sz w:val="22"/>
          <w:szCs w:val="22"/>
          <w:highlight w:val="none"/>
        </w:rPr>
        <w:t xml:space="preserve"> </w:t>
      </w:r>
      <w:r>
        <w:rPr>
          <w:rFonts w:hint="eastAsia" w:hAnsi="宋体"/>
          <w:color w:val="auto"/>
          <w:sz w:val="22"/>
          <w:szCs w:val="22"/>
          <w:highlight w:val="none"/>
          <w:u w:val="dotted"/>
        </w:rPr>
        <w:t xml:space="preserve">                                                                                                       </w:t>
      </w:r>
    </w:p>
    <w:p w14:paraId="7A09CBA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82" name="文本框 386"/>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a:effectLst/>
                      </wps:spPr>
                      <wps:txbx>
                        <w:txbxContent>
                          <w:p w14:paraId="0D0A0B2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386" o:spid="_x0000_s1026" o:spt="202" type="#_x0000_t202" style="position:absolute;left:0pt;margin-left:-9pt;margin-top:2.95pt;height:31.85pt;width:72pt;z-index:252052480;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K3/z51QAAAAgBAAAPAAAAAAAAAAEAIAAAACIAAABkcnMvZG93bnJldi54bWxQSwEC&#10;FAAUAAAACACHTuJATa6pEb4BAABtAwAADgAAAAAAAAABACAAAAAkAQAAZHJzL2Uyb0RvYy54bWxQ&#10;SwUGAAAAAAYABgBZAQAAVAUAAAAA&#10;">
                <v:fill on="f" focussize="0,0"/>
                <v:stroke on="f"/>
                <v:imagedata o:title=""/>
                <o:lock v:ext="edit" aspectratio="f"/>
                <v:textbox>
                  <w:txbxContent>
                    <w:p w14:paraId="0D0A0B2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hAnsi="宋体"/>
          <w:color w:val="auto"/>
          <w:sz w:val="22"/>
          <w:szCs w:val="22"/>
          <w:highlight w:val="none"/>
        </w:rPr>
        <w:t>承包人有下列情形之一者，发包人可以解除合同：</w:t>
      </w:r>
    </w:p>
    <w:p w14:paraId="587ADF29">
      <w:pPr>
        <w:pStyle w:val="22"/>
        <w:numPr>
          <w:ilvl w:val="0"/>
          <w:numId w:val="24"/>
        </w:numPr>
        <w:adjustRightInd w:val="0"/>
        <w:snapToGrid w:val="0"/>
        <w:spacing w:line="420" w:lineRule="exact"/>
        <w:ind w:left="1618" w:leftChars="770" w:hanging="1"/>
        <w:rPr>
          <w:rFonts w:hAnsi="宋体"/>
          <w:color w:val="auto"/>
          <w:sz w:val="22"/>
          <w:szCs w:val="22"/>
          <w:highlight w:val="none"/>
        </w:rPr>
      </w:pPr>
      <w:r>
        <w:rPr>
          <w:rFonts w:hint="eastAsia" w:hAnsi="宋体"/>
          <w:color w:val="auto"/>
          <w:sz w:val="22"/>
          <w:szCs w:val="22"/>
          <w:highlight w:val="none"/>
        </w:rPr>
        <w:t>承包人未能按照第34.2款规定的开工期限内开工，经监理工程师催告后的28天内仍未开工的；</w:t>
      </w:r>
    </w:p>
    <w:p w14:paraId="015E52A4">
      <w:pPr>
        <w:pStyle w:val="22"/>
        <w:numPr>
          <w:ilvl w:val="0"/>
          <w:numId w:val="24"/>
        </w:numPr>
        <w:adjustRightInd w:val="0"/>
        <w:snapToGrid w:val="0"/>
        <w:spacing w:line="420" w:lineRule="exact"/>
        <w:ind w:left="1621" w:leftChars="771" w:hanging="2"/>
        <w:rPr>
          <w:rFonts w:hAnsi="宋体"/>
          <w:color w:val="auto"/>
          <w:sz w:val="22"/>
          <w:szCs w:val="22"/>
          <w:highlight w:val="none"/>
        </w:rPr>
      </w:pPr>
      <w:r>
        <w:rPr>
          <w:rFonts w:hint="eastAsia" w:hAnsi="宋体"/>
          <w:color w:val="auto"/>
          <w:sz w:val="22"/>
          <w:szCs w:val="22"/>
          <w:highlight w:val="none"/>
        </w:rPr>
        <w:t>按照第33条规定的进度计划未表明有停工且监理工程师也未按照第35.1款规定发出暂停施工令，但承包人停止施工时间持续达56天或累计停止施工时间达70天的；</w:t>
      </w:r>
    </w:p>
    <w:p w14:paraId="257FB648">
      <w:pPr>
        <w:pStyle w:val="22"/>
        <w:numPr>
          <w:ilvl w:val="0"/>
          <w:numId w:val="24"/>
        </w:numPr>
        <w:tabs>
          <w:tab w:val="left" w:pos="1680"/>
          <w:tab w:val="clear" w:pos="1560"/>
        </w:tabs>
        <w:adjustRightInd w:val="0"/>
        <w:snapToGrid w:val="0"/>
        <w:spacing w:line="420" w:lineRule="exact"/>
        <w:ind w:left="1659" w:leftChars="770" w:hanging="42"/>
        <w:rPr>
          <w:rFonts w:hAnsi="宋体"/>
          <w:color w:val="auto"/>
          <w:sz w:val="22"/>
          <w:szCs w:val="22"/>
          <w:highlight w:val="none"/>
        </w:rPr>
      </w:pPr>
      <w:r>
        <w:rPr>
          <w:rFonts w:hint="eastAsia" w:hAnsi="宋体"/>
          <w:color w:val="auto"/>
          <w:sz w:val="22"/>
          <w:szCs w:val="22"/>
          <w:highlight w:val="none"/>
        </w:rPr>
        <w:t>承包人违反第18.1款或第51.4款规定未经监理工程师批准，私自将已按照合同约定进入施工现场的施工设备、临时设施或材料运出施工现场的；</w:t>
      </w:r>
    </w:p>
    <w:p w14:paraId="20F89B67">
      <w:pPr>
        <w:pStyle w:val="22"/>
        <w:numPr>
          <w:ilvl w:val="0"/>
          <w:numId w:val="24"/>
        </w:numPr>
        <w:adjustRightInd w:val="0"/>
        <w:snapToGrid w:val="0"/>
        <w:spacing w:line="420" w:lineRule="exact"/>
        <w:ind w:left="1678" w:leftChars="799" w:firstLine="2"/>
        <w:rPr>
          <w:rFonts w:hAnsi="宋体"/>
          <w:color w:val="auto"/>
          <w:sz w:val="22"/>
          <w:szCs w:val="22"/>
          <w:highlight w:val="none"/>
        </w:rPr>
      </w:pPr>
      <w:r>
        <w:rPr>
          <w:rFonts w:hint="eastAsia" w:hAnsi="宋体"/>
          <w:color w:val="auto"/>
          <w:sz w:val="22"/>
          <w:szCs w:val="22"/>
          <w:highlight w:val="none"/>
        </w:rPr>
        <w:t xml:space="preserve">承包人拖延完工且能偿付的误期赔偿费已达到专用条款约定最高限额的； </w:t>
      </w:r>
    </w:p>
    <w:p w14:paraId="777E7062">
      <w:pPr>
        <w:pStyle w:val="22"/>
        <w:numPr>
          <w:ilvl w:val="0"/>
          <w:numId w:val="24"/>
        </w:numPr>
        <w:adjustRightInd w:val="0"/>
        <w:snapToGrid w:val="0"/>
        <w:spacing w:line="420" w:lineRule="exact"/>
        <w:ind w:left="2056" w:leftChars="771" w:hanging="437" w:hangingChars="199"/>
        <w:rPr>
          <w:rFonts w:hAnsi="宋体"/>
          <w:color w:val="auto"/>
          <w:sz w:val="22"/>
          <w:szCs w:val="22"/>
          <w:highlight w:val="none"/>
        </w:rPr>
      </w:pPr>
      <w:r>
        <w:rPr>
          <w:rFonts w:hint="eastAsia" w:hAnsi="宋体"/>
          <w:color w:val="auto"/>
          <w:sz w:val="22"/>
          <w:szCs w:val="22"/>
          <w:highlight w:val="none"/>
        </w:rPr>
        <w:t>承包人转包工程、违法分包或未经许可擅自分包工程的；</w:t>
      </w:r>
    </w:p>
    <w:p w14:paraId="24D0BC01">
      <w:pPr>
        <w:pStyle w:val="22"/>
        <w:numPr>
          <w:ilvl w:val="0"/>
          <w:numId w:val="24"/>
        </w:numPr>
        <w:adjustRightInd w:val="0"/>
        <w:snapToGrid w:val="0"/>
        <w:spacing w:line="420" w:lineRule="exact"/>
        <w:ind w:left="1617" w:leftChars="770" w:firstLine="2"/>
        <w:rPr>
          <w:rFonts w:hAnsi="宋体"/>
          <w:color w:val="auto"/>
          <w:sz w:val="22"/>
          <w:szCs w:val="22"/>
          <w:highlight w:val="none"/>
        </w:rPr>
      </w:pPr>
      <w:r>
        <w:rPr>
          <w:rFonts w:hint="eastAsia" w:hAnsi="宋体"/>
          <w:color w:val="auto"/>
          <w:sz w:val="22"/>
          <w:szCs w:val="22"/>
          <w:highlight w:val="none"/>
        </w:rPr>
        <w:t>承包人未按照合同约定或监理工程师的指令，经监理工程师书面指出后仍未按要求改正的；</w:t>
      </w:r>
    </w:p>
    <w:p w14:paraId="3998FEA6">
      <w:pPr>
        <w:pStyle w:val="22"/>
        <w:numPr>
          <w:ilvl w:val="0"/>
          <w:numId w:val="24"/>
        </w:numPr>
        <w:adjustRightInd w:val="0"/>
        <w:snapToGrid w:val="0"/>
        <w:spacing w:line="420" w:lineRule="exact"/>
        <w:ind w:left="2056" w:leftChars="771" w:hanging="437" w:hangingChars="199"/>
        <w:rPr>
          <w:rFonts w:hAnsi="宋体"/>
          <w:color w:val="auto"/>
          <w:sz w:val="22"/>
          <w:szCs w:val="22"/>
          <w:highlight w:val="none"/>
        </w:rPr>
      </w:pPr>
      <w:r>
        <w:rPr>
          <w:rFonts w:hint="eastAsia" w:hAnsi="宋体"/>
          <w:color w:val="auto"/>
          <w:sz w:val="22"/>
          <w:szCs w:val="22"/>
          <w:highlight w:val="none"/>
        </w:rPr>
        <w:t>承包人履行合同期间有欺诈行为的；</w:t>
      </w:r>
    </w:p>
    <w:p w14:paraId="721EC965">
      <w:pPr>
        <w:pStyle w:val="22"/>
        <w:numPr>
          <w:ilvl w:val="0"/>
          <w:numId w:val="24"/>
        </w:numPr>
        <w:adjustRightInd w:val="0"/>
        <w:snapToGrid w:val="0"/>
        <w:spacing w:line="420" w:lineRule="exact"/>
        <w:ind w:left="1618" w:leftChars="770" w:hanging="1"/>
        <w:rPr>
          <w:rFonts w:hAnsi="宋体"/>
          <w:color w:val="auto"/>
          <w:sz w:val="22"/>
          <w:szCs w:val="22"/>
          <w:highlight w:val="none"/>
        </w:rPr>
      </w:pPr>
      <w:r>
        <w:rPr>
          <w:rFonts w:hint="eastAsia" w:hAnsi="宋体"/>
          <w:color w:val="auto"/>
          <w:sz w:val="22"/>
          <w:szCs w:val="22"/>
          <w:highlight w:val="none"/>
        </w:rPr>
        <w:t>承包人向任何人付给或企图付给任何贿赂、礼品、赏金、回扣或其他贵重物品，以引诱或报偿他人，但付给承包人相关人员的奖励则属例外；</w:t>
      </w:r>
    </w:p>
    <w:p w14:paraId="2F8A76DD">
      <w:pPr>
        <w:pStyle w:val="22"/>
        <w:adjustRightInd w:val="0"/>
        <w:snapToGrid w:val="0"/>
        <w:spacing w:line="420" w:lineRule="exact"/>
        <w:ind w:left="1617"/>
        <w:rPr>
          <w:rFonts w:hAnsi="宋体"/>
          <w:color w:val="auto"/>
          <w:sz w:val="22"/>
          <w:szCs w:val="22"/>
          <w:highlight w:val="none"/>
        </w:rPr>
      </w:pPr>
      <w:r>
        <w:rPr>
          <w:rFonts w:hint="eastAsia" w:hAnsi="宋体"/>
          <w:color w:val="auto"/>
          <w:sz w:val="22"/>
          <w:szCs w:val="22"/>
          <w:highlight w:val="none"/>
        </w:rPr>
        <w:t>(9)承包人在缺陷责任期内未能对发生的缺陷进行修复，且又拒绝按照监理工程师指令再进行修补的；</w:t>
      </w:r>
    </w:p>
    <w:p w14:paraId="594F7D82">
      <w:pPr>
        <w:pStyle w:val="22"/>
        <w:adjustRightInd w:val="0"/>
        <w:snapToGrid w:val="0"/>
        <w:spacing w:line="420" w:lineRule="exact"/>
        <w:ind w:left="1680" w:leftChars="800"/>
        <w:rPr>
          <w:rFonts w:hAnsi="宋体"/>
          <w:color w:val="auto"/>
          <w:sz w:val="22"/>
          <w:szCs w:val="22"/>
          <w:highlight w:val="none"/>
        </w:rPr>
      </w:pPr>
      <w:r>
        <w:rPr>
          <w:rFonts w:hint="eastAsia" w:hAnsi="宋体"/>
          <w:color w:val="auto"/>
          <w:sz w:val="22"/>
          <w:szCs w:val="22"/>
          <w:highlight w:val="none"/>
        </w:rPr>
        <w:t>(10)承包人无法继续履行、明确表示或以行为表明不履行合同约定主要义务的；</w:t>
      </w:r>
    </w:p>
    <w:p w14:paraId="6934F36D">
      <w:pPr>
        <w:pStyle w:val="22"/>
        <w:adjustRightInd w:val="0"/>
        <w:snapToGrid w:val="0"/>
        <w:spacing w:line="420" w:lineRule="exact"/>
        <w:ind w:left="1680"/>
        <w:rPr>
          <w:rFonts w:hAnsi="宋体"/>
          <w:color w:val="auto"/>
          <w:sz w:val="22"/>
          <w:szCs w:val="22"/>
          <w:highlight w:val="none"/>
        </w:rPr>
      </w:pPr>
      <w:r>
        <w:rPr>
          <w:rFonts w:hint="eastAsia" w:hAnsi="宋体"/>
          <w:color w:val="auto"/>
          <w:sz w:val="22"/>
          <w:szCs w:val="22"/>
          <w:highlight w:val="none"/>
        </w:rPr>
        <w:t>(11)承包人延迟履行合同约定主要义务，经催告后在合理期限内仍未履行的；</w:t>
      </w:r>
    </w:p>
    <w:p w14:paraId="30E5F83D">
      <w:pPr>
        <w:pStyle w:val="22"/>
        <w:adjustRightInd w:val="0"/>
        <w:snapToGrid w:val="0"/>
        <w:spacing w:line="420" w:lineRule="exact"/>
        <w:ind w:left="1619"/>
        <w:rPr>
          <w:rFonts w:hAnsi="宋体"/>
          <w:color w:val="auto"/>
          <w:sz w:val="22"/>
          <w:szCs w:val="22"/>
          <w:highlight w:val="none"/>
        </w:rPr>
      </w:pPr>
      <w:r>
        <w:rPr>
          <w:rFonts w:hint="eastAsia" w:hAnsi="宋体"/>
          <w:color w:val="auto"/>
          <w:sz w:val="22"/>
          <w:szCs w:val="22"/>
          <w:highlight w:val="none"/>
        </w:rPr>
        <w:t>(12)承包人破产或清偿的，但以机构重组或联合为目的的除外；</w:t>
      </w:r>
    </w:p>
    <w:p w14:paraId="4D1050F3">
      <w:pPr>
        <w:spacing w:line="420" w:lineRule="exact"/>
        <w:ind w:left="1760" w:hanging="1760" w:hangingChars="800"/>
        <w:rPr>
          <w:rFonts w:ascii="宋体" w:hAnsi="宋体" w:cs="宋体"/>
          <w:color w:val="auto"/>
          <w:sz w:val="22"/>
          <w:szCs w:val="22"/>
          <w:highlight w:val="none"/>
        </w:rPr>
      </w:pPr>
      <w:r>
        <w:rPr>
          <w:rFonts w:hint="eastAsia" w:ascii="宋体" w:hAnsi="宋体" w:cs="宋体"/>
          <w:color w:val="auto"/>
          <w:sz w:val="22"/>
          <w:szCs w:val="22"/>
          <w:highlight w:val="none"/>
        </w:rPr>
        <w:t xml:space="preserve">               (13)承包人被认为是严重违反合同的其他违约行为。</w:t>
      </w:r>
    </w:p>
    <w:p w14:paraId="50CB1EE2">
      <w:pPr>
        <w:pStyle w:val="22"/>
        <w:adjustRightInd w:val="0"/>
        <w:snapToGrid w:val="0"/>
        <w:spacing w:line="420" w:lineRule="exact"/>
        <w:ind w:left="1619" w:leftChars="771"/>
        <w:rPr>
          <w:rFonts w:hAnsi="宋体"/>
          <w:b/>
          <w:bCs/>
          <w:color w:val="auto"/>
          <w:sz w:val="22"/>
          <w:szCs w:val="22"/>
          <w:highlight w:val="none"/>
        </w:rPr>
      </w:pPr>
      <w:r>
        <w:rPr>
          <w:rFonts w:hint="eastAsia" w:hAnsi="宋体"/>
          <w:color w:val="auto"/>
          <w:sz w:val="22"/>
          <w:szCs w:val="22"/>
          <w:highlight w:val="none"/>
        </w:rPr>
        <w:t>在这种情况下，发包人可自行或委托第三方实施、完成合同工程或其任何部分，并可使用根据第18.2款留下的承包人临时工程，直至永久工程完工为止。</w:t>
      </w:r>
    </w:p>
    <w:p w14:paraId="49EEEAF7">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87.4  </w:t>
      </w:r>
      <w:r>
        <w:rPr>
          <w:rFonts w:hint="eastAsia" w:hAnsi="宋体"/>
          <w:b/>
          <w:bCs/>
          <w:color w:val="auto"/>
          <w:sz w:val="22"/>
          <w:szCs w:val="22"/>
          <w:highlight w:val="none"/>
          <w:u w:val="dotted"/>
        </w:rPr>
        <w:t xml:space="preserve">                                                                                                        </w:t>
      </w:r>
    </w:p>
    <w:p w14:paraId="012502EF">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383" name="文本框 387"/>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a:effectLst/>
                      </wps:spPr>
                      <wps:txbx>
                        <w:txbxContent>
                          <w:p w14:paraId="331AE91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387" o:spid="_x0000_s1026" o:spt="202" type="#_x0000_t202" style="position:absolute;left:0pt;margin-left:-9pt;margin-top:2.35pt;height:39.65pt;width:72pt;z-index:252053504;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jy441QAAAAgBAAAPAAAAAAAAAAEAIAAAACIAAABkcnMvZG93bnJldi54bWxQSwEC&#10;FAAUAAAACACHTuJAVi1skL4BAABtAwAADgAAAAAAAAABACAAAAAkAQAAZHJzL2Uyb0RvYy54bWxQ&#10;SwUGAAAAAAYABgBZAQAAVAUAAAAA&#10;">
                <v:fill on="f" focussize="0,0"/>
                <v:stroke on="f"/>
                <v:imagedata o:title=""/>
                <o:lock v:ext="edit" aspectratio="f"/>
                <v:textbox>
                  <w:txbxContent>
                    <w:p w14:paraId="331AE91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hAnsi="宋体"/>
          <w:color w:val="auto"/>
          <w:sz w:val="22"/>
          <w:szCs w:val="22"/>
          <w:highlight w:val="none"/>
        </w:rPr>
        <w:t>发包人有下列情形之一者，承包人可以解除合同：</w:t>
      </w:r>
    </w:p>
    <w:p w14:paraId="1A6E8E91">
      <w:pPr>
        <w:pStyle w:val="22"/>
        <w:numPr>
          <w:ilvl w:val="0"/>
          <w:numId w:val="25"/>
        </w:numPr>
        <w:tabs>
          <w:tab w:val="left" w:pos="2160"/>
        </w:tabs>
        <w:adjustRightInd w:val="0"/>
        <w:snapToGrid w:val="0"/>
        <w:spacing w:line="420" w:lineRule="exact"/>
        <w:ind w:left="1619" w:leftChars="771" w:firstLine="1"/>
        <w:rPr>
          <w:rFonts w:hAnsi="宋体"/>
          <w:color w:val="auto"/>
          <w:sz w:val="22"/>
          <w:szCs w:val="22"/>
          <w:highlight w:val="none"/>
        </w:rPr>
      </w:pPr>
      <w:r>
        <w:rPr>
          <w:rFonts w:hint="eastAsia" w:hAnsi="宋体"/>
          <w:color w:val="auto"/>
          <w:sz w:val="22"/>
          <w:szCs w:val="22"/>
          <w:highlight w:val="none"/>
        </w:rPr>
        <w:t>非承包人原因未按照第34.2款规定期限内发出开工令，经承包人催告后28天内仍未发出开工令的；</w:t>
      </w:r>
    </w:p>
    <w:p w14:paraId="57034D31">
      <w:pPr>
        <w:pStyle w:val="22"/>
        <w:numPr>
          <w:ilvl w:val="0"/>
          <w:numId w:val="25"/>
        </w:numPr>
        <w:tabs>
          <w:tab w:val="left" w:pos="2160"/>
        </w:tabs>
        <w:adjustRightInd w:val="0"/>
        <w:snapToGrid w:val="0"/>
        <w:spacing w:line="420" w:lineRule="exact"/>
        <w:ind w:left="1620" w:leftChars="771" w:hanging="1"/>
        <w:rPr>
          <w:rFonts w:hAnsi="宋体"/>
          <w:color w:val="auto"/>
          <w:sz w:val="22"/>
          <w:szCs w:val="22"/>
          <w:highlight w:val="none"/>
        </w:rPr>
      </w:pPr>
      <w:r>
        <w:rPr>
          <w:rFonts w:hint="eastAsia" w:hAnsi="宋体"/>
          <w:color w:val="auto"/>
          <w:sz w:val="22"/>
          <w:szCs w:val="22"/>
          <w:highlight w:val="none"/>
        </w:rPr>
        <w:t xml:space="preserve">按照第35.3款规定非承包人原因造成暂停施工持续56天以上或累计停工时间超过了70天的；           </w:t>
      </w:r>
    </w:p>
    <w:p w14:paraId="79C4E73C">
      <w:pPr>
        <w:pStyle w:val="22"/>
        <w:numPr>
          <w:ilvl w:val="0"/>
          <w:numId w:val="25"/>
        </w:numPr>
        <w:tabs>
          <w:tab w:val="left" w:pos="1800"/>
        </w:tabs>
        <w:adjustRightInd w:val="0"/>
        <w:snapToGrid w:val="0"/>
        <w:spacing w:line="420" w:lineRule="exact"/>
        <w:ind w:left="1620" w:leftChars="771" w:hanging="1"/>
        <w:rPr>
          <w:rFonts w:hAnsi="宋体"/>
          <w:color w:val="auto"/>
          <w:sz w:val="22"/>
          <w:szCs w:val="22"/>
          <w:highlight w:val="none"/>
        </w:rPr>
      </w:pPr>
      <w:r>
        <w:rPr>
          <w:rFonts w:hint="eastAsia" w:hAnsi="宋体"/>
          <w:color w:val="auto"/>
          <w:sz w:val="22"/>
          <w:szCs w:val="22"/>
          <w:highlight w:val="none"/>
        </w:rPr>
        <w:t>发包人按照第5条规定提供的施工设计图纸存在缺陷或按照第48条规定供应的材料和工程设备不符合强制性标准，致使承包人无法施工，经承包人催告后28天内仍未修正或更换的；</w:t>
      </w:r>
    </w:p>
    <w:p w14:paraId="6CB6BF64">
      <w:pPr>
        <w:pStyle w:val="22"/>
        <w:numPr>
          <w:ilvl w:val="0"/>
          <w:numId w:val="25"/>
        </w:numPr>
        <w:tabs>
          <w:tab w:val="left" w:pos="2160"/>
          <w:tab w:val="clear" w:pos="1560"/>
        </w:tabs>
        <w:adjustRightInd w:val="0"/>
        <w:snapToGrid w:val="0"/>
        <w:spacing w:line="420" w:lineRule="exact"/>
        <w:ind w:left="1620" w:leftChars="771" w:hanging="1"/>
        <w:rPr>
          <w:rFonts w:hAnsi="宋体"/>
          <w:color w:val="auto"/>
          <w:sz w:val="22"/>
          <w:szCs w:val="22"/>
          <w:highlight w:val="none"/>
        </w:rPr>
      </w:pPr>
      <w:r>
        <w:rPr>
          <w:rFonts w:hint="eastAsia" w:hAnsi="宋体"/>
          <w:color w:val="auto"/>
          <w:sz w:val="22"/>
          <w:szCs w:val="22"/>
          <w:highlight w:val="none"/>
        </w:rPr>
        <w:t xml:space="preserve">监理工程师未按照合同约定及时发出工作指令，导致承包人无法继续施工的； </w:t>
      </w:r>
    </w:p>
    <w:p w14:paraId="373FD4D3">
      <w:pPr>
        <w:pStyle w:val="22"/>
        <w:numPr>
          <w:ilvl w:val="0"/>
          <w:numId w:val="25"/>
        </w:numPr>
        <w:tabs>
          <w:tab w:val="left" w:pos="2160"/>
        </w:tabs>
        <w:adjustRightInd w:val="0"/>
        <w:snapToGrid w:val="0"/>
        <w:spacing w:line="420" w:lineRule="exact"/>
        <w:ind w:left="1620" w:leftChars="771" w:hanging="1"/>
        <w:rPr>
          <w:rFonts w:hAnsi="宋体"/>
          <w:color w:val="auto"/>
          <w:sz w:val="22"/>
          <w:szCs w:val="22"/>
          <w:highlight w:val="none"/>
        </w:rPr>
      </w:pPr>
      <w:r>
        <w:rPr>
          <w:rFonts w:hint="eastAsia" w:hAnsi="宋体"/>
          <w:color w:val="auto"/>
          <w:sz w:val="22"/>
          <w:szCs w:val="22"/>
          <w:highlight w:val="none"/>
        </w:rPr>
        <w:t>发包人未按照第78.1款规定向承包人支付工程款，经承包人催告后28天内仍未支付的；</w:t>
      </w:r>
    </w:p>
    <w:p w14:paraId="062D1C87">
      <w:pPr>
        <w:pStyle w:val="22"/>
        <w:numPr>
          <w:ilvl w:val="0"/>
          <w:numId w:val="25"/>
        </w:numPr>
        <w:tabs>
          <w:tab w:val="left" w:pos="2160"/>
        </w:tabs>
        <w:adjustRightInd w:val="0"/>
        <w:snapToGrid w:val="0"/>
        <w:spacing w:line="420" w:lineRule="exact"/>
        <w:ind w:left="1620" w:leftChars="771" w:hanging="1"/>
        <w:rPr>
          <w:rFonts w:hAnsi="宋体"/>
          <w:color w:val="auto"/>
          <w:sz w:val="22"/>
          <w:szCs w:val="22"/>
          <w:highlight w:val="none"/>
        </w:rPr>
      </w:pPr>
      <w:r>
        <w:rPr>
          <w:rFonts w:hint="eastAsia" w:hAnsi="宋体"/>
          <w:color w:val="auto"/>
          <w:sz w:val="22"/>
          <w:szCs w:val="22"/>
          <w:highlight w:val="none"/>
        </w:rPr>
        <w:t>发包人无法继续履行、明确表示或以行为表明不履行合同约定主要义务的；</w:t>
      </w:r>
    </w:p>
    <w:p w14:paraId="0C4F100C">
      <w:pPr>
        <w:pStyle w:val="22"/>
        <w:tabs>
          <w:tab w:val="left" w:pos="2160"/>
        </w:tabs>
        <w:adjustRightInd w:val="0"/>
        <w:snapToGrid w:val="0"/>
        <w:spacing w:line="420" w:lineRule="exact"/>
        <w:ind w:left="1619"/>
        <w:rPr>
          <w:rFonts w:hAnsi="宋体"/>
          <w:color w:val="auto"/>
          <w:sz w:val="22"/>
          <w:szCs w:val="22"/>
          <w:highlight w:val="none"/>
        </w:rPr>
      </w:pPr>
      <w:r>
        <w:rPr>
          <w:rFonts w:hint="eastAsia" w:hAnsi="宋体"/>
          <w:color w:val="auto"/>
          <w:sz w:val="22"/>
          <w:szCs w:val="22"/>
          <w:highlight w:val="none"/>
        </w:rPr>
        <w:t>(7)发包人延迟履行合同约定主要义务，经催告后在合理期限内仍未履行的；</w:t>
      </w:r>
    </w:p>
    <w:p w14:paraId="5EAD7D19">
      <w:pPr>
        <w:pStyle w:val="22"/>
        <w:tabs>
          <w:tab w:val="left" w:pos="2160"/>
        </w:tabs>
        <w:adjustRightInd w:val="0"/>
        <w:snapToGrid w:val="0"/>
        <w:spacing w:line="420" w:lineRule="exact"/>
        <w:ind w:left="1619"/>
        <w:rPr>
          <w:rFonts w:hAnsi="宋体"/>
          <w:color w:val="auto"/>
          <w:sz w:val="22"/>
          <w:szCs w:val="22"/>
          <w:highlight w:val="none"/>
        </w:rPr>
      </w:pPr>
      <w:r>
        <w:rPr>
          <w:rFonts w:hint="eastAsia" w:hAnsi="宋体"/>
          <w:color w:val="auto"/>
          <w:sz w:val="22"/>
          <w:szCs w:val="22"/>
          <w:highlight w:val="none"/>
        </w:rPr>
        <w:t>(8)发包人破产或清偿的，但以机构重组或联合为目的的除外；</w:t>
      </w:r>
    </w:p>
    <w:p w14:paraId="78DB17D0">
      <w:pPr>
        <w:pStyle w:val="22"/>
        <w:tabs>
          <w:tab w:val="left" w:pos="2160"/>
        </w:tabs>
        <w:adjustRightInd w:val="0"/>
        <w:snapToGrid w:val="0"/>
        <w:spacing w:line="420" w:lineRule="exact"/>
        <w:ind w:left="1619"/>
        <w:rPr>
          <w:rFonts w:hAnsi="宋体"/>
          <w:color w:val="auto"/>
          <w:sz w:val="22"/>
          <w:szCs w:val="22"/>
          <w:highlight w:val="none"/>
        </w:rPr>
      </w:pPr>
      <w:r>
        <w:rPr>
          <w:rFonts w:hint="eastAsia" w:hAnsi="宋体"/>
          <w:color w:val="auto"/>
          <w:sz w:val="22"/>
          <w:szCs w:val="22"/>
          <w:highlight w:val="none"/>
        </w:rPr>
        <w:t>(9)发包人被认为是严重违反合同的其他违约行为。</w:t>
      </w:r>
    </w:p>
    <w:p w14:paraId="7D534184">
      <w:pPr>
        <w:pStyle w:val="22"/>
        <w:tabs>
          <w:tab w:val="left" w:pos="1320"/>
        </w:tabs>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384" name="文本框 38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1C1C73E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388" o:spid="_x0000_s1026" o:spt="202" type="#_x0000_t202" style="position:absolute;left:0pt;margin-left:-9pt;margin-top:15.95pt;height:31.2pt;width:72pt;z-index:252054528;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ZDW4jXAAAACQEAAA8AAAAAAAAAAQAgAAAAIgAAAGRycy9kb3ducmV2LnhtbFBL&#10;AQIUABQAAAAIAIdO4kAIKmaCvgEAAG0DAAAOAAAAAAAAAAEAIAAAACYBAABkcnMvZTJvRG9jLnht&#10;bFBLBQYAAAAABgAGAFkBAABWBQAAAAA=&#10;">
                <v:fill on="f" focussize="0,0"/>
                <v:stroke on="f"/>
                <v:imagedata o:title=""/>
                <o:lock v:ext="edit" aspectratio="f"/>
                <v:textbox>
                  <w:txbxContent>
                    <w:p w14:paraId="1C1C73E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hAnsi="宋体"/>
          <w:b/>
          <w:bCs/>
          <w:color w:val="auto"/>
          <w:sz w:val="22"/>
          <w:szCs w:val="22"/>
          <w:highlight w:val="none"/>
        </w:rPr>
        <w:t xml:space="preserve">87.5  </w:t>
      </w:r>
      <w:r>
        <w:rPr>
          <w:rFonts w:hint="eastAsia" w:hAnsi="宋体"/>
          <w:b/>
          <w:bCs/>
          <w:color w:val="auto"/>
          <w:sz w:val="22"/>
          <w:szCs w:val="22"/>
          <w:highlight w:val="none"/>
          <w:u w:val="dotted"/>
        </w:rPr>
        <w:t xml:space="preserve">                                                                                                        </w:t>
      </w:r>
    </w:p>
    <w:p w14:paraId="1032C01A">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根据第87.2款至第87.4款规定要求解除合同的，解除方应以书面形式向另一方当事人发出解除合同的通知，另一方当事人收到通知时合同即告解除。对解除合同有争议的，应按照第86条规定处理。</w:t>
      </w:r>
    </w:p>
    <w:p w14:paraId="340C762A">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87.6  </w:t>
      </w:r>
      <w:r>
        <w:rPr>
          <w:rFonts w:hint="eastAsia" w:hAnsi="宋体"/>
          <w:b/>
          <w:bCs/>
          <w:color w:val="auto"/>
          <w:sz w:val="22"/>
          <w:szCs w:val="22"/>
          <w:highlight w:val="none"/>
          <w:u w:val="dotted"/>
        </w:rPr>
        <w:t xml:space="preserve">                                                                                                        </w:t>
      </w:r>
    </w:p>
    <w:p w14:paraId="5BB1D3BD">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385" name="文本框 389"/>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66276A9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wps:txbx>
                      <wps:bodyPr wrap="square" upright="1"/>
                    </wps:wsp>
                  </a:graphicData>
                </a:graphic>
              </wp:anchor>
            </w:drawing>
          </mc:Choice>
          <mc:Fallback>
            <w:pict>
              <v:shape id="文本框 389" o:spid="_x0000_s1026" o:spt="202" type="#_x0000_t202" style="position:absolute;left:0pt;margin-left:-9pt;margin-top:0.55pt;height:46.8pt;width:72pt;z-index:252055552;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DGpytQAAAAIAQAADwAAAAAAAAABACAAAAAiAAAAZHJzL2Rvd25yZXYueG1sUEsB&#10;AhQAFAAAAAgAh07iQG/jqE3AAQAAbQMAAA4AAAAAAAAAAQAgAAAAIwEAAGRycy9lMm9Eb2MueG1s&#10;UEsFBgAAAAAGAAYAWQEAAFUFAAAAAA==&#10;">
                <v:fill on="f" focussize="0,0"/>
                <v:stroke on="f"/>
                <v:imagedata o:title=""/>
                <o:lock v:ext="edit" aspectratio="f"/>
                <v:textbox>
                  <w:txbxContent>
                    <w:p w14:paraId="66276A9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hAnsi="宋体"/>
          <w:color w:val="auto"/>
          <w:sz w:val="22"/>
          <w:szCs w:val="22"/>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14:paraId="6D811774">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2511E92E">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64" w:name="_Toc1156"/>
      <w:bookmarkStart w:id="465" w:name="_Toc469384072"/>
      <w:bookmarkStart w:id="466" w:name="_Toc20491"/>
      <w:r>
        <w:rPr>
          <w:rFonts w:hint="eastAsia" w:hAnsi="宋体"/>
          <w:b/>
          <w:bCs/>
          <w:color w:val="auto"/>
          <w:sz w:val="22"/>
          <w:szCs w:val="22"/>
          <w:highlight w:val="none"/>
        </w:rPr>
        <w:t>88  合同解除的支付</w:t>
      </w:r>
      <w:bookmarkEnd w:id="464"/>
      <w:bookmarkEnd w:id="465"/>
      <w:bookmarkEnd w:id="466"/>
    </w:p>
    <w:p w14:paraId="677081DD">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56576"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386" name="文本框 39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233946A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390" o:spid="_x0000_s1026" o:spt="202" type="#_x0000_t202" style="position:absolute;left:0pt;margin-left:-5.25pt;margin-top:14.85pt;height:31.2pt;width:72pt;z-index:252056576;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ZEZdYAAAAJAQAADwAAAAAAAAABACAAAAAiAAAAZHJzL2Rvd25yZXYueG1sUEsB&#10;AhQAFAAAAAgAh07iQB6uN4O+AQAAbQMAAA4AAAAAAAAAAQAgAAAAJQEAAGRycy9lMm9Eb2MueG1s&#10;UEsFBgAAAAAGAAYAWQEAAFUFAAAAAA==&#10;">
                <v:fill on="f" focussize="0,0"/>
                <v:stroke on="f"/>
                <v:imagedata o:title=""/>
                <o:lock v:ext="edit" aspectratio="f"/>
                <v:textbox>
                  <w:txbxContent>
                    <w:p w14:paraId="233946A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hAnsi="宋体"/>
          <w:b/>
          <w:bCs/>
          <w:color w:val="auto"/>
          <w:sz w:val="22"/>
          <w:szCs w:val="22"/>
          <w:highlight w:val="none"/>
        </w:rPr>
        <w:t xml:space="preserve">88.1     </w:t>
      </w:r>
    </w:p>
    <w:p w14:paraId="5E451DF6">
      <w:pPr>
        <w:pStyle w:val="22"/>
        <w:adjustRightInd w:val="0"/>
        <w:snapToGrid w:val="0"/>
        <w:spacing w:line="420" w:lineRule="exact"/>
        <w:ind w:firstLine="1540" w:firstLineChars="700"/>
        <w:rPr>
          <w:rFonts w:hAnsi="宋体"/>
          <w:color w:val="auto"/>
          <w:sz w:val="22"/>
          <w:szCs w:val="22"/>
          <w:highlight w:val="none"/>
        </w:rPr>
      </w:pPr>
      <w:r>
        <w:rPr>
          <w:rFonts w:hint="eastAsia" w:hAnsi="宋体"/>
          <w:color w:val="auto"/>
          <w:sz w:val="22"/>
          <w:szCs w:val="22"/>
          <w:highlight w:val="none"/>
        </w:rPr>
        <w:t>根据第87.1款规定解除合同的，按照达成的协议办理结算和支付工程款。</w:t>
      </w:r>
    </w:p>
    <w:p w14:paraId="19D758DC">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88.2  </w:t>
      </w:r>
      <w:r>
        <w:rPr>
          <w:rFonts w:hint="eastAsia" w:hAnsi="宋体"/>
          <w:b/>
          <w:bCs/>
          <w:color w:val="auto"/>
          <w:sz w:val="22"/>
          <w:szCs w:val="22"/>
          <w:highlight w:val="none"/>
          <w:u w:val="dotted"/>
        </w:rPr>
        <w:t xml:space="preserve">                                                                                                        </w:t>
      </w:r>
    </w:p>
    <w:p w14:paraId="0FB6E7E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87" name="文本框 39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C59DF2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391" o:spid="_x0000_s1026" o:spt="202" type="#_x0000_t202" style="position:absolute;left:0pt;margin-left:-9pt;margin-top:1.25pt;height:54.6pt;width:72pt;z-index:252057600;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D7j7fWAAAACQEAAA8AAAAAAAAAAQAgAAAAIgAAAGRycy9kb3ducmV2LnhtbFBL&#10;AQIUABQAAAAIAIdO4kDTXW/EvwEAAG0DAAAOAAAAAAAAAAEAIAAAACUBAABkcnMvZTJvRG9jLnht&#10;bFBLBQYAAAAABgAGAFkBAABWBQAAAAA=&#10;">
                <v:fill on="f" focussize="0,0"/>
                <v:stroke on="f"/>
                <v:imagedata o:title=""/>
                <o:lock v:ext="edit" aspectratio="f"/>
                <v:textbox>
                  <w:txbxContent>
                    <w:p w14:paraId="6C59DF2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hAnsi="宋体"/>
          <w:color w:val="auto"/>
          <w:sz w:val="22"/>
          <w:szCs w:val="22"/>
          <w:highlight w:val="none"/>
        </w:rPr>
        <w:t>根据第87.2款规定解除合同的，发包人应向承包人支付合同解除之日前已完成工程但尚未支付的工程款。此外，发包人还应支付下列款项：</w:t>
      </w:r>
    </w:p>
    <w:p w14:paraId="070E8B4A">
      <w:pPr>
        <w:pStyle w:val="22"/>
        <w:numPr>
          <w:ilvl w:val="0"/>
          <w:numId w:val="26"/>
        </w:numPr>
        <w:adjustRightInd w:val="0"/>
        <w:snapToGrid w:val="0"/>
        <w:spacing w:line="420" w:lineRule="exact"/>
        <w:ind w:left="2056" w:leftChars="771" w:hanging="437" w:hangingChars="199"/>
        <w:rPr>
          <w:rFonts w:hAnsi="宋体"/>
          <w:color w:val="auto"/>
          <w:sz w:val="22"/>
          <w:szCs w:val="22"/>
          <w:highlight w:val="none"/>
        </w:rPr>
      </w:pPr>
      <w:r>
        <w:rPr>
          <w:rFonts w:hint="eastAsia" w:hAnsi="宋体"/>
          <w:color w:val="auto"/>
          <w:sz w:val="22"/>
          <w:szCs w:val="22"/>
          <w:highlight w:val="none"/>
        </w:rPr>
        <w:t>已实施或部分实施的措施项目应付款项；</w:t>
      </w:r>
    </w:p>
    <w:p w14:paraId="40DC83F4">
      <w:pPr>
        <w:pStyle w:val="22"/>
        <w:numPr>
          <w:ilvl w:val="0"/>
          <w:numId w:val="26"/>
        </w:numPr>
        <w:adjustRightInd w:val="0"/>
        <w:snapToGrid w:val="0"/>
        <w:spacing w:line="420" w:lineRule="exact"/>
        <w:ind w:left="1618" w:leftChars="770" w:hanging="1"/>
        <w:rPr>
          <w:rFonts w:hAnsi="宋体"/>
          <w:color w:val="auto"/>
          <w:sz w:val="22"/>
          <w:szCs w:val="22"/>
          <w:highlight w:val="none"/>
        </w:rPr>
      </w:pPr>
      <w:r>
        <w:rPr>
          <w:rFonts w:hint="eastAsia" w:hAnsi="宋体"/>
          <w:color w:val="auto"/>
          <w:sz w:val="22"/>
          <w:szCs w:val="22"/>
          <w:highlight w:val="none"/>
        </w:rPr>
        <w:t>承包人为合同工程合理订购且已交付的材料和工程设备货款。发包人一经支付此项货款，该材料和工程设备即成为发包人的财产；</w:t>
      </w:r>
    </w:p>
    <w:p w14:paraId="767873D5">
      <w:pPr>
        <w:pStyle w:val="22"/>
        <w:numPr>
          <w:ilvl w:val="0"/>
          <w:numId w:val="26"/>
        </w:numPr>
        <w:adjustRightInd w:val="0"/>
        <w:snapToGrid w:val="0"/>
        <w:spacing w:line="420" w:lineRule="exact"/>
        <w:ind w:left="1618" w:leftChars="770" w:hanging="1"/>
        <w:rPr>
          <w:rFonts w:hAnsi="宋体"/>
          <w:color w:val="auto"/>
          <w:sz w:val="22"/>
          <w:szCs w:val="22"/>
          <w:highlight w:val="none"/>
        </w:rPr>
      </w:pPr>
      <w:r>
        <w:rPr>
          <w:rFonts w:hint="eastAsia" w:hAnsi="宋体"/>
          <w:color w:val="auto"/>
          <w:sz w:val="22"/>
          <w:szCs w:val="22"/>
          <w:highlight w:val="none"/>
        </w:rPr>
        <w:t>承包人为完成合同工程而预期开支的任何合理款项，且该项款项未包括在本款其他各项支付之内；</w:t>
      </w:r>
    </w:p>
    <w:p w14:paraId="1019BC63">
      <w:pPr>
        <w:pStyle w:val="22"/>
        <w:numPr>
          <w:ilvl w:val="0"/>
          <w:numId w:val="26"/>
        </w:numPr>
        <w:adjustRightInd w:val="0"/>
        <w:snapToGrid w:val="0"/>
        <w:spacing w:line="420" w:lineRule="exact"/>
        <w:ind w:left="2056" w:leftChars="771" w:hanging="437" w:hangingChars="199"/>
        <w:rPr>
          <w:rFonts w:hAnsi="宋体"/>
          <w:color w:val="auto"/>
          <w:sz w:val="22"/>
          <w:szCs w:val="22"/>
          <w:highlight w:val="none"/>
        </w:rPr>
      </w:pPr>
      <w:r>
        <w:rPr>
          <w:rFonts w:hint="eastAsia" w:hAnsi="宋体"/>
          <w:color w:val="auto"/>
          <w:sz w:val="22"/>
          <w:szCs w:val="22"/>
          <w:highlight w:val="none"/>
        </w:rPr>
        <w:t>根据第31.3款规定的任何工作应支付的款项；</w:t>
      </w:r>
    </w:p>
    <w:p w14:paraId="7BDEE995">
      <w:pPr>
        <w:pStyle w:val="22"/>
        <w:numPr>
          <w:ilvl w:val="0"/>
          <w:numId w:val="26"/>
        </w:numPr>
        <w:tabs>
          <w:tab w:val="left" w:pos="1980"/>
        </w:tabs>
        <w:adjustRightInd w:val="0"/>
        <w:snapToGrid w:val="0"/>
        <w:spacing w:line="420" w:lineRule="exact"/>
        <w:ind w:left="1618" w:leftChars="770" w:hanging="1"/>
        <w:rPr>
          <w:rFonts w:hAnsi="宋体"/>
          <w:color w:val="auto"/>
          <w:sz w:val="22"/>
          <w:szCs w:val="22"/>
          <w:highlight w:val="none"/>
        </w:rPr>
      </w:pPr>
      <w:r>
        <w:rPr>
          <w:rFonts w:hint="eastAsia" w:hAnsi="宋体"/>
          <w:color w:val="auto"/>
          <w:sz w:val="22"/>
          <w:szCs w:val="22"/>
          <w:highlight w:val="none"/>
        </w:rPr>
        <w:t>根据第87.6款规定承包人撤离现场所需的合理款项，包括雇员遣送费和临时工程拆除、施工设备运离现场的款项。</w:t>
      </w:r>
    </w:p>
    <w:p w14:paraId="525F02F9">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14:paraId="2A4D71F6">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88.3  </w:t>
      </w:r>
      <w:r>
        <w:rPr>
          <w:rFonts w:hint="eastAsia" w:hAnsi="宋体"/>
          <w:b/>
          <w:bCs/>
          <w:color w:val="auto"/>
          <w:sz w:val="22"/>
          <w:szCs w:val="22"/>
          <w:highlight w:val="none"/>
          <w:u w:val="dotted"/>
        </w:rPr>
        <w:t xml:space="preserve">                                                                                                        </w:t>
      </w:r>
    </w:p>
    <w:p w14:paraId="2595062D">
      <w:pPr>
        <w:pStyle w:val="22"/>
        <w:adjustRightInd w:val="0"/>
        <w:snapToGrid w:val="0"/>
        <w:spacing w:line="420" w:lineRule="exact"/>
        <w:ind w:left="1619" w:leftChars="771"/>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388" name="文本框 39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9690BF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392" o:spid="_x0000_s1026" o:spt="202" type="#_x0000_t202" style="position:absolute;left:0pt;margin-left:-9pt;margin-top:3.9pt;height:54.6pt;width:72pt;z-index:252058624;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QGvndYAAAAJAQAADwAAAAAAAAABACAAAAAiAAAAZHJzL2Rvd25yZXYueG1sUEsB&#10;AhQAFAAAAAgAh07iQDSs/BW+AQAAbQMAAA4AAAAAAAAAAQAgAAAAJQEAAGRycy9lMm9Eb2MueG1s&#10;UEsFBgAAAAAGAAYAWQEAAFUFAAAAAA==&#10;">
                <v:fill on="f" focussize="0,0"/>
                <v:stroke on="f"/>
                <v:imagedata o:title=""/>
                <o:lock v:ext="edit" aspectratio="f"/>
                <v:textbox>
                  <w:txbxContent>
                    <w:p w14:paraId="69690BF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hAnsi="宋体"/>
          <w:color w:val="auto"/>
          <w:sz w:val="22"/>
          <w:szCs w:val="22"/>
          <w:highlight w:val="none"/>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14:paraId="71FD0C3D">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88.4  </w:t>
      </w:r>
      <w:r>
        <w:rPr>
          <w:rFonts w:hint="eastAsia" w:hAnsi="宋体"/>
          <w:b/>
          <w:bCs/>
          <w:color w:val="auto"/>
          <w:sz w:val="22"/>
          <w:szCs w:val="22"/>
          <w:highlight w:val="none"/>
          <w:u w:val="dotted"/>
        </w:rPr>
        <w:t xml:space="preserve">                                                                                                        </w:t>
      </w:r>
    </w:p>
    <w:p w14:paraId="0D3FA9EA">
      <w:pPr>
        <w:pStyle w:val="22"/>
        <w:adjustRightInd w:val="0"/>
        <w:snapToGrid w:val="0"/>
        <w:spacing w:line="420" w:lineRule="exact"/>
        <w:ind w:left="1619" w:leftChars="771"/>
        <w:jc w:val="left"/>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389" name="文本框 393"/>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a:effectLst/>
                      </wps:spPr>
                      <wps:txbx>
                        <w:txbxContent>
                          <w:p w14:paraId="1185D3A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wps:txbx>
                      <wps:bodyPr wrap="square" upright="1"/>
                    </wps:wsp>
                  </a:graphicData>
                </a:graphic>
              </wp:anchor>
            </w:drawing>
          </mc:Choice>
          <mc:Fallback>
            <w:pict>
              <v:shape id="文本框 393" o:spid="_x0000_s1026" o:spt="202" type="#_x0000_t202" style="position:absolute;left:0pt;margin-left:-9pt;margin-top:3.6pt;height:36.5pt;width:72pt;z-index:252059648;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9E29dUAAAAIAQAADwAAAAAAAAABACAAAAAiAAAAZHJzL2Rvd25yZXYueG1sUEsB&#10;AhQAFAAAAAgAh07iQATNgDy/AQAAbQMAAA4AAAAAAAAAAQAgAAAAJAEAAGRycy9lMm9Eb2MueG1s&#10;UEsFBgAAAAAGAAYAWQEAAFUFAAAAAA==&#10;">
                <v:fill on="f" focussize="0,0"/>
                <v:stroke on="f"/>
                <v:imagedata o:title=""/>
                <o:lock v:ext="edit" aspectratio="f"/>
                <v:textbox>
                  <w:txbxContent>
                    <w:p w14:paraId="1185D3A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hAnsi="宋体"/>
          <w:color w:val="auto"/>
          <w:sz w:val="22"/>
          <w:szCs w:val="22"/>
          <w:highlight w:val="none"/>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14:paraId="030B44F1">
      <w:pPr>
        <w:pStyle w:val="22"/>
        <w:adjustRightInd w:val="0"/>
        <w:snapToGrid w:val="0"/>
        <w:spacing w:line="420" w:lineRule="exact"/>
        <w:jc w:val="lef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72E1630B">
      <w:pPr>
        <w:pStyle w:val="22"/>
        <w:adjustRightInd w:val="0"/>
        <w:snapToGrid w:val="0"/>
        <w:spacing w:line="420" w:lineRule="exact"/>
        <w:jc w:val="left"/>
        <w:outlineLvl w:val="2"/>
        <w:rPr>
          <w:rFonts w:hAnsi="宋体"/>
          <w:b/>
          <w:bCs/>
          <w:color w:val="auto"/>
          <w:sz w:val="22"/>
          <w:szCs w:val="22"/>
          <w:highlight w:val="none"/>
        </w:rPr>
      </w:pPr>
      <w:bookmarkStart w:id="467" w:name="_Toc3500"/>
      <w:bookmarkStart w:id="468" w:name="_Toc469384073"/>
      <w:bookmarkStart w:id="469" w:name="_Toc32218"/>
      <w:r>
        <w:rPr>
          <w:rFonts w:hint="eastAsia" w:hAnsi="宋体"/>
          <w:b/>
          <w:bCs/>
          <w:color w:val="auto"/>
          <w:sz w:val="22"/>
          <w:szCs w:val="22"/>
          <w:highlight w:val="none"/>
        </w:rPr>
        <w:t>89  合同终止</w:t>
      </w:r>
      <w:bookmarkEnd w:id="467"/>
      <w:bookmarkEnd w:id="468"/>
      <w:bookmarkEnd w:id="469"/>
    </w:p>
    <w:p w14:paraId="235E49AB">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89.1    </w:t>
      </w:r>
    </w:p>
    <w:p w14:paraId="2CF2801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90" name="文本框 39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7CC382D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394" o:spid="_x0000_s1026" o:spt="202" type="#_x0000_t202" style="position:absolute;left:0pt;margin-left:-9pt;margin-top:1.25pt;height:31.2pt;width:72pt;z-index:25206067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z/Bw1QAAAAgBAAAPAAAAAAAAAAEAIAAAACIAAABkcnMvZG93bnJldi54bWxQSwEC&#10;FAAUAAAACACHTuJAOcvVFb4BAABtAwAADgAAAAAAAAABACAAAAAkAQAAZHJzL2Uyb0RvYy54bWxQ&#10;SwUGAAAAAAYABgBZAQAAVAUAAAAA&#10;">
                <v:fill on="f" focussize="0,0"/>
                <v:stroke on="f"/>
                <v:imagedata o:title=""/>
                <o:lock v:ext="edit" aspectratio="f"/>
                <v:textbox>
                  <w:txbxContent>
                    <w:p w14:paraId="7CC382D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hAnsi="宋体"/>
          <w:color w:val="auto"/>
          <w:sz w:val="22"/>
          <w:szCs w:val="22"/>
          <w:highlight w:val="none"/>
        </w:rPr>
        <w:t>合同解除后，除合同双方当事人享有第86条至第88条规定的权利外，本合同即告终止，但不因一方当事人在此以前的任何违约而损害另一方当事人应享有的权利，也不影响合同双方当事人履行本合同结算和清算条款的效力。</w:t>
      </w:r>
    </w:p>
    <w:p w14:paraId="55E3258E">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89.2  </w:t>
      </w:r>
      <w:r>
        <w:rPr>
          <w:rFonts w:hint="eastAsia" w:hAnsi="宋体"/>
          <w:b/>
          <w:bCs/>
          <w:color w:val="auto"/>
          <w:sz w:val="22"/>
          <w:szCs w:val="22"/>
          <w:highlight w:val="none"/>
          <w:u w:val="dotted"/>
        </w:rPr>
        <w:t xml:space="preserve">                                                                                                        </w:t>
      </w:r>
    </w:p>
    <w:p w14:paraId="704D4B18">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391" name="文本框 395"/>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a:effectLst/>
                      </wps:spPr>
                      <wps:txbx>
                        <w:txbxContent>
                          <w:p w14:paraId="12878AC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wps:txbx>
                      <wps:bodyPr wrap="square" upright="1"/>
                    </wps:wsp>
                  </a:graphicData>
                </a:graphic>
              </wp:anchor>
            </w:drawing>
          </mc:Choice>
          <mc:Fallback>
            <w:pict>
              <v:shape id="文本框 395" o:spid="_x0000_s1026" o:spt="202" type="#_x0000_t202" style="position:absolute;left:0pt;margin-left:-9pt;margin-top:0.05pt;height:67.05pt;width:72pt;z-index:252061696;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8KqftUAAAAIAQAADwAAAAAAAAABACAAAAAiAAAAZHJzL2Rvd25yZXYueG1sUEsB&#10;AhQAFAAAAAgAh07iQGRPw2q/AQAAbQMAAA4AAAAAAAAAAQAgAAAAJAEAAGRycy9lMm9Eb2MueG1s&#10;UEsFBgAAAAAGAAYAWQEAAFUFAAAAAA==&#10;">
                <v:fill on="f" focussize="0,0"/>
                <v:stroke on="f"/>
                <v:imagedata o:title=""/>
                <o:lock v:ext="edit" aspectratio="f"/>
                <v:textbox>
                  <w:txbxContent>
                    <w:p w14:paraId="12878AC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hAnsi="宋体"/>
          <w:color w:val="auto"/>
          <w:sz w:val="22"/>
          <w:szCs w:val="22"/>
          <w:highlight w:val="none"/>
        </w:rPr>
        <w:t>除第59条和第84条规定的质量保修条款外，合同双方当事人履行完本合同全部义务，发包人向承包人支付完竣工结算款，承包人向发包人交付竣工工程后，本合同即告终止。</w:t>
      </w:r>
    </w:p>
    <w:p w14:paraId="761718E7">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89.3  </w:t>
      </w:r>
      <w:r>
        <w:rPr>
          <w:rFonts w:hint="eastAsia" w:hAnsi="宋体"/>
          <w:b/>
          <w:bCs/>
          <w:color w:val="auto"/>
          <w:sz w:val="22"/>
          <w:szCs w:val="22"/>
          <w:highlight w:val="none"/>
          <w:u w:val="dotted"/>
        </w:rPr>
        <w:t xml:space="preserve">                                                                              </w:t>
      </w:r>
    </w:p>
    <w:p w14:paraId="27641A7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392" name="文本框 396"/>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14:paraId="1A5E7B1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396" o:spid="_x0000_s1026" o:spt="202" type="#_x0000_t202" style="position:absolute;left:0pt;margin-left:-9pt;margin-top:1.05pt;height:32.75pt;width:72pt;z-index:25206272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TJak1QAAAAgBAAAPAAAAAAAAAAEAIAAAACIAAABkcnMvZG93bnJldi54bWxQSwEC&#10;FAAUAAAACACHTuJAagHzLr4BAABtAwAADgAAAAAAAAABACAAAAAkAQAAZHJzL2Uyb0RvYy54bWxQ&#10;SwUGAAAAAAYABgBZAQAAVAUAAAAA&#10;">
                <v:fill on="f" focussize="0,0"/>
                <v:stroke on="f"/>
                <v:imagedata o:title=""/>
                <o:lock v:ext="edit" aspectratio="f"/>
                <v:textbox>
                  <w:txbxContent>
                    <w:p w14:paraId="1A5E7B1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hAnsi="宋体"/>
          <w:color w:val="auto"/>
          <w:sz w:val="22"/>
          <w:szCs w:val="22"/>
          <w:highlight w:val="none"/>
        </w:rPr>
        <w:t>本合同的权利义务终止后，合同双方当事人仍应遵循诚实信用原则，继续履行合同约定的通知、协助、保密等义务。</w:t>
      </w:r>
    </w:p>
    <w:p w14:paraId="4E19138D">
      <w:pPr>
        <w:pStyle w:val="22"/>
        <w:adjustRightInd w:val="0"/>
        <w:snapToGrid w:val="0"/>
        <w:spacing w:line="420" w:lineRule="exact"/>
        <w:ind w:right="-238"/>
        <w:rPr>
          <w:rFonts w:hAnsi="宋体"/>
          <w:color w:val="auto"/>
          <w:sz w:val="22"/>
          <w:szCs w:val="22"/>
          <w:highlight w:val="none"/>
          <w:u w:val="single"/>
        </w:rPr>
      </w:pPr>
      <w:r>
        <w:rPr>
          <w:rFonts w:hint="eastAsia" w:hAnsi="宋体"/>
          <w:color w:val="auto"/>
          <w:sz w:val="22"/>
          <w:szCs w:val="22"/>
          <w:highlight w:val="none"/>
          <w:u w:val="single"/>
        </w:rPr>
        <w:t xml:space="preserve">                                                                                             </w:t>
      </w:r>
    </w:p>
    <w:p w14:paraId="6D737CFE">
      <w:pPr>
        <w:pStyle w:val="22"/>
        <w:adjustRightInd w:val="0"/>
        <w:snapToGrid w:val="0"/>
        <w:spacing w:line="420" w:lineRule="exact"/>
        <w:ind w:right="-238"/>
        <w:jc w:val="center"/>
        <w:rPr>
          <w:rFonts w:ascii="方正小标宋_GBK" w:hAnsi="方正小标宋_GBK" w:eastAsia="方正小标宋_GBK" w:cs="方正小标宋_GBK"/>
          <w:b/>
          <w:bCs/>
          <w:color w:val="auto"/>
          <w:sz w:val="24"/>
          <w:szCs w:val="24"/>
          <w:highlight w:val="none"/>
        </w:rPr>
      </w:pPr>
      <w:r>
        <w:rPr>
          <w:rFonts w:hint="eastAsia" w:ascii="方正小标宋_GBK" w:hAnsi="方正小标宋_GBK" w:eastAsia="方正小标宋_GBK" w:cs="方正小标宋_GBK"/>
          <w:b/>
          <w:bCs/>
          <w:color w:val="auto"/>
          <w:sz w:val="24"/>
          <w:szCs w:val="24"/>
          <w:highlight w:val="none"/>
        </w:rPr>
        <w:t>八、违 约 责 任</w:t>
      </w:r>
    </w:p>
    <w:p w14:paraId="2036BB28">
      <w:pPr>
        <w:spacing w:line="420" w:lineRule="exact"/>
        <w:jc w:val="left"/>
        <w:rPr>
          <w:rFonts w:ascii="宋体" w:hAnsi="宋体" w:cs="宋体"/>
          <w:color w:val="auto"/>
          <w:sz w:val="22"/>
          <w:szCs w:val="22"/>
          <w:highlight w:val="none"/>
        </w:rPr>
      </w:pPr>
    </w:p>
    <w:p w14:paraId="4E0E0485">
      <w:pPr>
        <w:pStyle w:val="22"/>
        <w:adjustRightInd w:val="0"/>
        <w:snapToGrid w:val="0"/>
        <w:spacing w:line="420" w:lineRule="exact"/>
        <w:jc w:val="left"/>
        <w:outlineLvl w:val="2"/>
        <w:rPr>
          <w:rFonts w:hAnsi="宋体"/>
          <w:b/>
          <w:bCs/>
          <w:color w:val="auto"/>
          <w:sz w:val="22"/>
          <w:szCs w:val="22"/>
          <w:highlight w:val="none"/>
        </w:rPr>
      </w:pPr>
      <w:bookmarkStart w:id="470" w:name="_Toc375"/>
      <w:bookmarkStart w:id="471" w:name="_Toc11178"/>
      <w:r>
        <w:rPr>
          <w:rFonts w:hint="eastAsia" w:hAnsi="宋体"/>
          <w:color w:val="auto"/>
          <w:sz w:val="22"/>
          <w:szCs w:val="22"/>
          <w:highlight w:val="none"/>
        </w:rPr>
        <w:t>★</w:t>
      </w:r>
      <w:r>
        <w:rPr>
          <w:rFonts w:hint="eastAsia" w:hAnsi="宋体"/>
          <w:b/>
          <w:bCs/>
          <w:color w:val="auto"/>
          <w:sz w:val="22"/>
          <w:szCs w:val="22"/>
          <w:highlight w:val="none"/>
        </w:rPr>
        <w:t>90  承包人的违约责任</w:t>
      </w:r>
      <w:bookmarkEnd w:id="470"/>
      <w:bookmarkEnd w:id="471"/>
    </w:p>
    <w:p w14:paraId="2098A3E0">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90.1</w:t>
      </w:r>
    </w:p>
    <w:p w14:paraId="0ABC30A7">
      <w:pPr>
        <w:adjustRightInd w:val="0"/>
        <w:snapToGrid w:val="0"/>
        <w:spacing w:line="420" w:lineRule="exact"/>
        <w:ind w:left="2296" w:leftChars="98" w:hanging="2090" w:hangingChars="95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09" name="文本框 39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18C357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wps:txbx>
                      <wps:bodyPr wrap="square" upright="1"/>
                    </wps:wsp>
                  </a:graphicData>
                </a:graphic>
              </wp:anchor>
            </w:drawing>
          </mc:Choice>
          <mc:Fallback>
            <w:pict>
              <v:shape id="文本框 397" o:spid="_x0000_s1026" o:spt="202" type="#_x0000_t202" style="position:absolute;left:0pt;margin-left:-9pt;margin-top:1.25pt;height:31.2pt;width:72pt;z-index:25206374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8/wcNUAAAAIAQAADwAAAAAAAAABACAAAAAiAAAAZHJzL2Rvd25yZXYueG1sUEsB&#10;AhQAFAAAAAgAh07iQGcVEQG/AQAAbQMAAA4AAAAAAAAAAQAgAAAAJAEAAGRycy9lMm9Eb2MueG1s&#10;UEsFBgAAAAAGAAYAWQEAAFUFAAAAAA==&#10;">
                <v:fill on="f" focussize="0,0"/>
                <v:stroke on="f"/>
                <v:imagedata o:title=""/>
                <o:lock v:ext="edit" aspectratio="f"/>
                <v:textbox>
                  <w:txbxContent>
                    <w:p w14:paraId="418C357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宋体" w:hAnsi="宋体" w:cs="宋体"/>
          <w:color w:val="auto"/>
          <w:sz w:val="22"/>
          <w:szCs w:val="22"/>
          <w:highlight w:val="none"/>
        </w:rPr>
        <w:t xml:space="preserve">         因承包人违反本合同约定给发包人造成损失的，承包人应当赔偿发包人损失。</w:t>
      </w:r>
    </w:p>
    <w:p w14:paraId="00C2DB8B">
      <w:pPr>
        <w:adjustRightInd w:val="0"/>
        <w:snapToGrid w:val="0"/>
        <w:spacing w:line="420" w:lineRule="exact"/>
        <w:rPr>
          <w:rFonts w:ascii="宋体" w:hAnsi="宋体" w:cs="宋体"/>
          <w:b/>
          <w:bCs/>
          <w:color w:val="auto"/>
          <w:sz w:val="22"/>
          <w:szCs w:val="22"/>
          <w:highlight w:val="none"/>
        </w:rPr>
      </w:pPr>
    </w:p>
    <w:p w14:paraId="47B2137C">
      <w:pPr>
        <w:spacing w:line="420" w:lineRule="exact"/>
        <w:ind w:left="2113" w:leftChars="27" w:hanging="2056" w:hangingChars="931"/>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90.2  </w:t>
      </w:r>
      <w:r>
        <w:rPr>
          <w:rFonts w:hint="eastAsia" w:ascii="宋体" w:hAnsi="宋体" w:cs="宋体"/>
          <w:b/>
          <w:bCs/>
          <w:color w:val="auto"/>
          <w:sz w:val="22"/>
          <w:szCs w:val="22"/>
          <w:highlight w:val="none"/>
          <w:u w:val="dotted"/>
        </w:rPr>
        <w:t xml:space="preserve">                                                                                </w:t>
      </w:r>
    </w:p>
    <w:p w14:paraId="139680A2">
      <w:pPr>
        <w:spacing w:line="420" w:lineRule="exact"/>
        <w:ind w:left="2105" w:leftChars="27" w:hanging="2048" w:hangingChars="93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0" name="文本框 39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14:paraId="3D1440A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55CA591B">
                            <w:pPr>
                              <w:spacing w:line="240" w:lineRule="exact"/>
                              <w:rPr>
                                <w:rFonts w:ascii="楷体_GB2312" w:hAnsi="宋体" w:eastAsia="楷体_GB2312" w:cs="Times New Roman"/>
                                <w:b/>
                                <w:bCs/>
                                <w:sz w:val="18"/>
                                <w:szCs w:val="18"/>
                              </w:rPr>
                            </w:pPr>
                          </w:p>
                          <w:p w14:paraId="607803D3">
                            <w:pPr>
                              <w:spacing w:line="240" w:lineRule="exact"/>
                              <w:rPr>
                                <w:rFonts w:ascii="楷体_GB2312" w:hAnsi="宋体" w:eastAsia="楷体_GB2312" w:cs="Times New Roman"/>
                                <w:b/>
                                <w:bCs/>
                                <w:sz w:val="18"/>
                                <w:szCs w:val="18"/>
                              </w:rPr>
                            </w:pPr>
                          </w:p>
                        </w:txbxContent>
                      </wps:txbx>
                      <wps:bodyPr wrap="square" upright="1"/>
                    </wps:wsp>
                  </a:graphicData>
                </a:graphic>
              </wp:anchor>
            </w:drawing>
          </mc:Choice>
          <mc:Fallback>
            <w:pict>
              <v:shape id="文本框 398" o:spid="_x0000_s1026" o:spt="202" type="#_x0000_t202" style="position:absolute;left:0pt;margin-left:-9pt;margin-top:1.05pt;height:32.75pt;width:72pt;z-index:25206476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TJak1QAAAAgBAAAPAAAAAAAAAAEAIAAAACIAAABkcnMvZG93bnJldi54bWxQSwEC&#10;FAAUAAAACACHTuJA5fGn3r4BAABtAwAADgAAAAAAAAABACAAAAAkAQAAZHJzL2Uyb0RvYy54bWxQ&#10;SwUGAAAAAAYABgBZAQAAVAUAAAAA&#10;">
                <v:fill on="f" focussize="0,0"/>
                <v:stroke on="f"/>
                <v:imagedata o:title=""/>
                <o:lock v:ext="edit" aspectratio="f"/>
                <v:textbox>
                  <w:txbxContent>
                    <w:p w14:paraId="3D1440A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55CA591B">
                      <w:pPr>
                        <w:spacing w:line="240" w:lineRule="exact"/>
                        <w:rPr>
                          <w:rFonts w:ascii="楷体_GB2312" w:hAnsi="宋体" w:eastAsia="楷体_GB2312" w:cs="Times New Roman"/>
                          <w:b/>
                          <w:bCs/>
                          <w:sz w:val="18"/>
                          <w:szCs w:val="18"/>
                        </w:rPr>
                      </w:pPr>
                    </w:p>
                    <w:p w14:paraId="607803D3">
                      <w:pPr>
                        <w:spacing w:line="240" w:lineRule="exact"/>
                        <w:rPr>
                          <w:rFonts w:ascii="楷体_GB2312" w:hAnsi="宋体" w:eastAsia="楷体_GB2312" w:cs="Times New Roman"/>
                          <w:b/>
                          <w:bCs/>
                          <w:sz w:val="18"/>
                          <w:szCs w:val="18"/>
                        </w:rPr>
                      </w:pPr>
                    </w:p>
                  </w:txbxContent>
                </v:textbox>
              </v:shape>
            </w:pict>
          </mc:Fallback>
        </mc:AlternateContent>
      </w:r>
      <w:r>
        <w:rPr>
          <w:rFonts w:hint="eastAsia" w:ascii="宋体" w:hAnsi="宋体" w:cs="宋体"/>
          <w:color w:val="auto"/>
          <w:sz w:val="22"/>
          <w:szCs w:val="22"/>
          <w:highlight w:val="none"/>
        </w:rPr>
        <w:t xml:space="preserve">            承包人向发包人的索赔不成立时，承包人应赔偿发包人由此发生的费用。</w:t>
      </w:r>
    </w:p>
    <w:p w14:paraId="2069235E">
      <w:pPr>
        <w:spacing w:line="420" w:lineRule="exact"/>
        <w:ind w:left="2105" w:leftChars="27" w:hanging="2048" w:hangingChars="931"/>
        <w:rPr>
          <w:rFonts w:ascii="宋体" w:hAnsi="宋体" w:cs="宋体"/>
          <w:color w:val="auto"/>
          <w:sz w:val="22"/>
          <w:szCs w:val="22"/>
          <w:highlight w:val="none"/>
        </w:rPr>
      </w:pPr>
    </w:p>
    <w:p w14:paraId="3EF9D492">
      <w:pPr>
        <w:pStyle w:val="22"/>
        <w:adjustRightInd w:val="0"/>
        <w:snapToGrid w:val="0"/>
        <w:spacing w:line="420" w:lineRule="exact"/>
        <w:ind w:firstLine="110" w:firstLineChars="50"/>
        <w:jc w:val="left"/>
        <w:outlineLvl w:val="2"/>
        <w:rPr>
          <w:rFonts w:hAnsi="宋体"/>
          <w:b/>
          <w:bCs/>
          <w:color w:val="auto"/>
          <w:sz w:val="22"/>
          <w:szCs w:val="22"/>
          <w:highlight w:val="none"/>
        </w:rPr>
      </w:pPr>
      <w:bookmarkStart w:id="472" w:name="_Toc28162"/>
      <w:bookmarkStart w:id="473" w:name="_Toc9774"/>
      <w:bookmarkStart w:id="474" w:name="_Toc489260630"/>
      <w:r>
        <w:rPr>
          <w:rFonts w:hint="eastAsia" w:hAnsi="宋体"/>
          <w:color w:val="auto"/>
          <w:sz w:val="22"/>
          <w:szCs w:val="22"/>
          <w:highlight w:val="none"/>
        </w:rPr>
        <w:t>★</w:t>
      </w:r>
      <w:r>
        <w:rPr>
          <w:rFonts w:hint="eastAsia" w:hAnsi="宋体"/>
          <w:b/>
          <w:bCs/>
          <w:color w:val="auto"/>
          <w:sz w:val="22"/>
          <w:szCs w:val="22"/>
          <w:highlight w:val="none"/>
        </w:rPr>
        <w:t>91 发包人的违约责任</w:t>
      </w:r>
      <w:bookmarkEnd w:id="472"/>
      <w:bookmarkEnd w:id="473"/>
      <w:bookmarkEnd w:id="474"/>
    </w:p>
    <w:p w14:paraId="6F75F637">
      <w:pPr>
        <w:pStyle w:val="22"/>
        <w:adjustRightInd w:val="0"/>
        <w:snapToGrid w:val="0"/>
        <w:spacing w:line="420" w:lineRule="exact"/>
        <w:ind w:firstLine="108" w:firstLineChars="49"/>
        <w:rPr>
          <w:rFonts w:hAnsi="宋体"/>
          <w:b/>
          <w:bCs/>
          <w:color w:val="auto"/>
          <w:sz w:val="22"/>
          <w:szCs w:val="22"/>
          <w:highlight w:val="none"/>
        </w:rPr>
      </w:pPr>
      <w:r>
        <w:rPr>
          <w:rFonts w:hint="eastAsia" w:hAnsi="宋体"/>
          <w:b/>
          <w:bCs/>
          <w:color w:val="auto"/>
          <w:sz w:val="22"/>
          <w:szCs w:val="22"/>
          <w:highlight w:val="none"/>
        </w:rPr>
        <w:t xml:space="preserve">91.1 </w:t>
      </w:r>
    </w:p>
    <w:p w14:paraId="1A471C3E">
      <w:pPr>
        <w:adjustRightInd w:val="0"/>
        <w:snapToGrid w:val="0"/>
        <w:spacing w:line="420" w:lineRule="exact"/>
        <w:ind w:left="1035" w:leftChars="493"/>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1" name="文本框 39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3FD6B86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wps:txbx>
                      <wps:bodyPr wrap="square" upright="1"/>
                    </wps:wsp>
                  </a:graphicData>
                </a:graphic>
              </wp:anchor>
            </w:drawing>
          </mc:Choice>
          <mc:Fallback>
            <w:pict>
              <v:shape id="文本框 399" o:spid="_x0000_s1026" o:spt="202" type="#_x0000_t202" style="position:absolute;left:0pt;margin-left:-9pt;margin-top:1.25pt;height:31.2pt;width:72pt;z-index:25206579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8/wcNUAAAAIAQAADwAAAAAAAAABACAAAAAiAAAAZHJzL2Rvd25yZXYueG1sUEsB&#10;AhQAFAAAAAgAh07iQOE9tzu/AQAAbQMAAA4AAAAAAAAAAQAgAAAAJAEAAGRycy9lMm9Eb2MueG1s&#10;UEsFBgAAAAAGAAYAWQEAAFUFAAAAAA==&#10;">
                <v:fill on="f" focussize="0,0"/>
                <v:stroke on="f"/>
                <v:imagedata o:title=""/>
                <o:lock v:ext="edit" aspectratio="f"/>
                <v:textbox>
                  <w:txbxContent>
                    <w:p w14:paraId="3FD6B86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hint="eastAsia" w:ascii="宋体" w:hAnsi="宋体" w:cs="宋体"/>
          <w:color w:val="auto"/>
          <w:sz w:val="22"/>
          <w:szCs w:val="22"/>
          <w:highlight w:val="none"/>
        </w:rPr>
        <w:t xml:space="preserve">   因发包人违反本合同约定造成承包人损失的，发包人应予以赔偿。</w:t>
      </w:r>
    </w:p>
    <w:p w14:paraId="60AF9B29">
      <w:pPr>
        <w:adjustRightInd w:val="0"/>
        <w:snapToGrid w:val="0"/>
        <w:spacing w:line="420" w:lineRule="exact"/>
        <w:ind w:left="1035" w:leftChars="493" w:firstLine="331" w:firstLineChars="150"/>
        <w:rPr>
          <w:rFonts w:ascii="宋体" w:hAnsi="宋体" w:cs="宋体"/>
          <w:b/>
          <w:bCs/>
          <w:color w:val="auto"/>
          <w:sz w:val="22"/>
          <w:szCs w:val="22"/>
          <w:highlight w:val="none"/>
        </w:rPr>
      </w:pPr>
    </w:p>
    <w:p w14:paraId="460B497F">
      <w:pPr>
        <w:spacing w:line="420" w:lineRule="exact"/>
        <w:ind w:left="2113" w:leftChars="27" w:hanging="2056" w:hangingChars="931"/>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91.2  </w:t>
      </w:r>
      <w:r>
        <w:rPr>
          <w:rFonts w:hint="eastAsia" w:ascii="宋体" w:hAnsi="宋体" w:cs="宋体"/>
          <w:b/>
          <w:bCs/>
          <w:color w:val="auto"/>
          <w:sz w:val="22"/>
          <w:szCs w:val="22"/>
          <w:highlight w:val="none"/>
          <w:u w:val="dotted"/>
        </w:rPr>
        <w:t xml:space="preserve">                                                                                </w:t>
      </w:r>
    </w:p>
    <w:p w14:paraId="58EC6676">
      <w:pPr>
        <w:adjustRightInd w:val="0"/>
        <w:snapToGrid w:val="0"/>
        <w:spacing w:line="420" w:lineRule="exact"/>
        <w:ind w:left="214" w:leftChars="102"/>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2" name="文本框 40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14:paraId="0344809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wps:txbx>
                      <wps:bodyPr wrap="square" upright="1"/>
                    </wps:wsp>
                  </a:graphicData>
                </a:graphic>
              </wp:anchor>
            </w:drawing>
          </mc:Choice>
          <mc:Fallback>
            <w:pict>
              <v:shape id="文本框 400" o:spid="_x0000_s1026" o:spt="202" type="#_x0000_t202" style="position:absolute;left:0pt;margin-left:-9pt;margin-top:1.05pt;height:32.75pt;width:72pt;z-index:252066816;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cTJak1QAAAAgBAAAPAAAAAAAAAAEAIAAAACIAAABkcnMvZG93bnJldi54bWxQSwECFAAU&#10;AAAACACHTuJAXOubCbsBAABtAwAADgAAAAAAAAABACAAAAAkAQAAZHJzL2Uyb0RvYy54bWxQSwUG&#10;AAAAAAYABgBZAQAAUQUAAAAA&#10;">
                <v:fill on="f" focussize="0,0"/>
                <v:stroke on="f"/>
                <v:imagedata o:title=""/>
                <o:lock v:ext="edit" aspectratio="f"/>
                <v:textbox>
                  <w:txbxContent>
                    <w:p w14:paraId="0344809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hint="eastAsia" w:ascii="宋体" w:hAnsi="宋体" w:cs="宋体"/>
          <w:color w:val="auto"/>
          <w:sz w:val="22"/>
          <w:szCs w:val="22"/>
          <w:highlight w:val="none"/>
        </w:rPr>
        <w:t xml:space="preserve">            发包人向承包人的索赔不成立时，发包人应赔偿承包人由此发生的费用。</w:t>
      </w:r>
    </w:p>
    <w:p w14:paraId="656A4C98">
      <w:pPr>
        <w:adjustRightInd w:val="0"/>
        <w:snapToGrid w:val="0"/>
        <w:spacing w:line="420" w:lineRule="exact"/>
        <w:rPr>
          <w:rFonts w:ascii="宋体" w:hAnsi="宋体" w:cs="宋体"/>
          <w:b/>
          <w:bCs/>
          <w:color w:val="auto"/>
          <w:sz w:val="22"/>
          <w:szCs w:val="22"/>
          <w:highlight w:val="none"/>
          <w:u w:val="dotted"/>
        </w:rPr>
      </w:pPr>
    </w:p>
    <w:p w14:paraId="402160AA">
      <w:pPr>
        <w:spacing w:line="420" w:lineRule="exact"/>
        <w:ind w:left="210" w:leftChars="100"/>
        <w:outlineLvl w:val="2"/>
        <w:rPr>
          <w:rFonts w:ascii="宋体" w:hAnsi="宋体" w:cs="宋体"/>
          <w:b/>
          <w:bCs/>
          <w:color w:val="auto"/>
          <w:sz w:val="22"/>
          <w:szCs w:val="22"/>
          <w:highlight w:val="none"/>
        </w:rPr>
      </w:pPr>
      <w:bookmarkStart w:id="475" w:name="_Toc12176"/>
      <w:bookmarkStart w:id="476" w:name="_Toc489260631"/>
      <w:bookmarkStart w:id="477" w:name="_Toc28087"/>
      <w:r>
        <w:rPr>
          <w:rFonts w:hint="eastAsia" w:ascii="宋体" w:hAnsi="宋体" w:cs="宋体"/>
          <w:color w:val="auto"/>
          <w:sz w:val="22"/>
          <w:szCs w:val="22"/>
          <w:highlight w:val="none"/>
        </w:rPr>
        <w:t>★</w:t>
      </w:r>
      <w:r>
        <w:rPr>
          <w:rFonts w:hint="eastAsia" w:ascii="宋体" w:hAnsi="宋体" w:cs="宋体"/>
          <w:b/>
          <w:bCs/>
          <w:color w:val="auto"/>
          <w:sz w:val="22"/>
          <w:szCs w:val="22"/>
          <w:highlight w:val="none"/>
        </w:rPr>
        <w:t>92  除外责任</w:t>
      </w:r>
      <w:bookmarkEnd w:id="475"/>
      <w:bookmarkEnd w:id="476"/>
      <w:bookmarkEnd w:id="477"/>
    </w:p>
    <w:p w14:paraId="11C86BAF">
      <w:pPr>
        <w:adjustRightInd w:val="0"/>
        <w:snapToGrid w:val="0"/>
        <w:spacing w:line="42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3" name="文本框 4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7606309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401" o:spid="_x0000_s1026" o:spt="202" type="#_x0000_t202" style="position:absolute;left:0pt;margin-left:-9pt;margin-top:1.25pt;height:31.2pt;width:72pt;z-index:25206784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8/wcNUAAAAIAQAADwAAAAAAAAABACAAAAAiAAAAZHJzL2Rvd25yZXYueG1sUEsB&#10;AhQAFAAAAAgAh07iQFgni+y/AQAAbQMAAA4AAAAAAAAAAQAgAAAAJAEAAGRycy9lMm9Eb2MueG1s&#10;UEsFBgAAAAAGAAYAWQEAAFUFAAAAAA==&#10;">
                <v:fill on="f" focussize="0,0"/>
                <v:stroke on="f"/>
                <v:imagedata o:title=""/>
                <o:lock v:ext="edit" aspectratio="f"/>
                <v:textbox>
                  <w:txbxContent>
                    <w:p w14:paraId="7606309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宋体" w:hAnsi="宋体" w:cs="宋体"/>
          <w:color w:val="auto"/>
          <w:sz w:val="22"/>
          <w:szCs w:val="22"/>
          <w:highlight w:val="none"/>
        </w:rPr>
        <w:t xml:space="preserve">      非承包人的原因，且承包人无过错，而产生的各类损失，承包人不承担赔偿责任。</w:t>
      </w:r>
    </w:p>
    <w:p w14:paraId="64C59B56">
      <w:pPr>
        <w:adjustRightInd w:val="0"/>
        <w:snapToGrid w:val="0"/>
        <w:spacing w:line="420" w:lineRule="exact"/>
        <w:ind w:left="1556" w:leftChars="741"/>
        <w:rPr>
          <w:rFonts w:ascii="宋体" w:hAnsi="宋体" w:cs="宋体"/>
          <w:color w:val="auto"/>
          <w:sz w:val="22"/>
          <w:szCs w:val="22"/>
          <w:highlight w:val="none"/>
        </w:rPr>
      </w:pPr>
      <w:r>
        <w:rPr>
          <w:rFonts w:hint="eastAsia" w:ascii="宋体" w:hAnsi="宋体" w:cs="宋体"/>
          <w:color w:val="auto"/>
          <w:sz w:val="22"/>
          <w:szCs w:val="22"/>
          <w:highlight w:val="none"/>
        </w:rPr>
        <w:t>因不可抗力导致本合同全部或部分不能履行时，双方各自承担其因此而造成的损失、损害。</w:t>
      </w:r>
    </w:p>
    <w:p w14:paraId="3A35C54D">
      <w:pPr>
        <w:spacing w:line="420" w:lineRule="exact"/>
        <w:rPr>
          <w:rFonts w:ascii="宋体" w:hAnsi="宋体" w:cs="宋体"/>
          <w:color w:val="auto"/>
          <w:sz w:val="22"/>
          <w:szCs w:val="22"/>
          <w:highlight w:val="none"/>
        </w:rPr>
      </w:pPr>
    </w:p>
    <w:p w14:paraId="5D149D8D">
      <w:pPr>
        <w:pStyle w:val="22"/>
        <w:adjustRightInd w:val="0"/>
        <w:snapToGrid w:val="0"/>
        <w:spacing w:line="420" w:lineRule="exact"/>
        <w:ind w:right="-238"/>
        <w:rPr>
          <w:rFonts w:hAnsi="宋体"/>
          <w:color w:val="auto"/>
          <w:sz w:val="22"/>
          <w:szCs w:val="22"/>
          <w:highlight w:val="none"/>
          <w:u w:val="single"/>
        </w:rPr>
      </w:pPr>
      <w:r>
        <w:rPr>
          <w:rFonts w:hint="eastAsia" w:hAnsi="宋体"/>
          <w:color w:val="auto"/>
          <w:sz w:val="22"/>
          <w:szCs w:val="22"/>
          <w:highlight w:val="none"/>
          <w:u w:val="single"/>
        </w:rPr>
        <w:t xml:space="preserve">                                                                                 </w:t>
      </w:r>
    </w:p>
    <w:p w14:paraId="51E81DE0">
      <w:pPr>
        <w:pStyle w:val="22"/>
        <w:adjustRightInd w:val="0"/>
        <w:snapToGrid w:val="0"/>
        <w:spacing w:line="420" w:lineRule="exact"/>
        <w:ind w:right="-238"/>
        <w:jc w:val="center"/>
        <w:rPr>
          <w:rFonts w:ascii="方正小标宋_GBK" w:hAnsi="方正小标宋_GBK" w:eastAsia="方正小标宋_GBK" w:cs="方正小标宋_GBK"/>
          <w:b/>
          <w:bCs/>
          <w:color w:val="auto"/>
          <w:sz w:val="24"/>
          <w:szCs w:val="24"/>
          <w:highlight w:val="none"/>
        </w:rPr>
      </w:pPr>
      <w:bookmarkStart w:id="478" w:name="_Toc469384074"/>
      <w:r>
        <w:rPr>
          <w:rFonts w:hint="eastAsia" w:ascii="方正小标宋_GBK" w:hAnsi="方正小标宋_GBK" w:eastAsia="方正小标宋_GBK" w:cs="方正小标宋_GBK"/>
          <w:b/>
          <w:bCs/>
          <w:color w:val="auto"/>
          <w:sz w:val="24"/>
          <w:szCs w:val="24"/>
          <w:highlight w:val="none"/>
        </w:rPr>
        <w:t>九、其  他</w:t>
      </w:r>
      <w:bookmarkEnd w:id="478"/>
    </w:p>
    <w:p w14:paraId="7DC784FF">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79" w:name="_Toc26896"/>
      <w:bookmarkStart w:id="480" w:name="_Toc469384075"/>
      <w:bookmarkStart w:id="481" w:name="_Toc30857"/>
      <w:r>
        <w:rPr>
          <w:rFonts w:hint="eastAsia" w:hAnsi="宋体"/>
          <w:b/>
          <w:bCs/>
          <w:color w:val="auto"/>
          <w:sz w:val="22"/>
          <w:szCs w:val="22"/>
          <w:highlight w:val="none"/>
        </w:rPr>
        <w:t>93  缴纳税费</w:t>
      </w:r>
      <w:bookmarkEnd w:id="479"/>
      <w:bookmarkEnd w:id="480"/>
      <w:bookmarkEnd w:id="481"/>
    </w:p>
    <w:p w14:paraId="6A92F4F8">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93.1      </w:t>
      </w:r>
    </w:p>
    <w:p w14:paraId="5680DC7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w:t>合同双方当事人</w:t>
      </w:r>
      <w:r>
        <w:rPr>
          <w:rFonts w:hint="eastAsia" w:hAnsi="宋体"/>
          <w:color w:val="auto"/>
          <w:sz w:val="22"/>
          <w:szCs w:val="22"/>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393" name="文本框 402"/>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a:effectLst/>
                      </wps:spPr>
                      <wps:txbx>
                        <w:txbxContent>
                          <w:p w14:paraId="3D5A207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402" o:spid="_x0000_s1026" o:spt="202" type="#_x0000_t202" style="position:absolute;left:0pt;margin-left:-9pt;margin-top:0.05pt;height:38.15pt;width:72pt;z-index:252068864;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ApaCvUAAAABwEAAA8AAAAAAAAAAQAgAAAAIgAAAGRycy9kb3ducmV2LnhtbFBLAQIU&#10;ABQAAAAIAIdO4kBWQd9+vgEAAG0DAAAOAAAAAAAAAAEAIAAAACMBAABkcnMvZTJvRG9jLnhtbFBL&#10;BQYAAAAABgAGAFkBAABTBQAAAAA=&#10;">
                <v:fill on="f" focussize="0,0"/>
                <v:stroke on="f"/>
                <v:imagedata o:title=""/>
                <o:lock v:ext="edit" aspectratio="f"/>
                <v:textbox>
                  <w:txbxContent>
                    <w:p w14:paraId="3D5A207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hAnsi="宋体"/>
          <w:color w:val="auto"/>
          <w:sz w:val="22"/>
          <w:szCs w:val="22"/>
          <w:highlight w:val="none"/>
        </w:rPr>
        <w:t>应按照国家现行税法和有关部门现行规定缴纳合同工程需缴的一切税费。</w:t>
      </w:r>
    </w:p>
    <w:p w14:paraId="56BA4085">
      <w:pPr>
        <w:pStyle w:val="22"/>
        <w:tabs>
          <w:tab w:val="left" w:pos="1320"/>
        </w:tabs>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93.2  </w:t>
      </w:r>
      <w:r>
        <w:rPr>
          <w:rFonts w:hint="eastAsia" w:hAnsi="宋体"/>
          <w:b/>
          <w:bCs/>
          <w:color w:val="auto"/>
          <w:sz w:val="22"/>
          <w:szCs w:val="22"/>
          <w:highlight w:val="none"/>
          <w:u w:val="dotted"/>
        </w:rPr>
        <w:t xml:space="preserve">                                                                                                        </w:t>
      </w:r>
    </w:p>
    <w:p w14:paraId="4ADDD627">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394" name="文本框 40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BBF88F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403" o:spid="_x0000_s1026" o:spt="202" type="#_x0000_t202" style="position:absolute;left:0pt;margin-left:-9pt;margin-top:2.55pt;height:31.2pt;width:72pt;z-index:252069888;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qPyM9UAAAAIAQAADwAAAAAAAAABACAAAAAiAAAAZHJzL2Rvd25yZXYueG1sUEsB&#10;AhQAFAAAAAgAh07iQI2ze9m/AQAAbQMAAA4AAAAAAAAAAQAgAAAAJAEAAGRycy9lMm9Eb2MueG1s&#10;UEsFBgAAAAAGAAYAWQEAAFUFAAAAAA==&#10;">
                <v:fill on="f" focussize="0,0"/>
                <v:stroke on="f"/>
                <v:imagedata o:title=""/>
                <o:lock v:ext="edit" aspectratio="f"/>
                <v:textbox>
                  <w:txbxContent>
                    <w:p w14:paraId="4BBF88F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hAnsi="宋体"/>
          <w:color w:val="auto"/>
          <w:sz w:val="22"/>
          <w:szCs w:val="22"/>
          <w:highlight w:val="none"/>
        </w:rPr>
        <w:t>合同任何一方当事人没交或少交合同工程需缴税费的，违法方应足额补交，并承担相应的法律责任；给另一方当事人造成损失的，违法方应赔偿损失。</w:t>
      </w:r>
    </w:p>
    <w:p w14:paraId="7832D45F">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512916A2">
      <w:pPr>
        <w:pStyle w:val="22"/>
        <w:tabs>
          <w:tab w:val="left" w:pos="540"/>
        </w:tabs>
        <w:adjustRightInd w:val="0"/>
        <w:snapToGrid w:val="0"/>
        <w:spacing w:before="240" w:beforeLines="100" w:line="420" w:lineRule="exact"/>
        <w:rPr>
          <w:rFonts w:hAnsi="宋体"/>
          <w:b/>
          <w:bCs/>
          <w:color w:val="auto"/>
          <w:sz w:val="22"/>
          <w:szCs w:val="22"/>
          <w:highlight w:val="none"/>
        </w:rPr>
      </w:pPr>
    </w:p>
    <w:p w14:paraId="5F8E34C0">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82" w:name="_Toc23448"/>
      <w:bookmarkStart w:id="483" w:name="_Toc469384076"/>
      <w:bookmarkStart w:id="484" w:name="_Toc19237"/>
      <w:r>
        <w:rPr>
          <w:rFonts w:hint="eastAsia" w:hAnsi="宋体"/>
          <w:b/>
          <w:bCs/>
          <w:color w:val="auto"/>
          <w:sz w:val="22"/>
          <w:szCs w:val="22"/>
          <w:highlight w:val="none"/>
        </w:rPr>
        <w:t>94  保密要求</w:t>
      </w:r>
      <w:bookmarkEnd w:id="482"/>
      <w:bookmarkEnd w:id="483"/>
      <w:bookmarkEnd w:id="484"/>
    </w:p>
    <w:p w14:paraId="0A5F0848">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94.1    </w:t>
      </w:r>
    </w:p>
    <w:p w14:paraId="1D585EC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395" name="文本框 40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733D35D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wps:txbx>
                      <wps:bodyPr wrap="square" upright="1"/>
                    </wps:wsp>
                  </a:graphicData>
                </a:graphic>
              </wp:anchor>
            </w:drawing>
          </mc:Choice>
          <mc:Fallback>
            <w:pict>
              <v:shape id="文本框 404" o:spid="_x0000_s1026" o:spt="202" type="#_x0000_t202" style="position:absolute;left:0pt;margin-left:-9pt;margin-top:2.7pt;height:46.8pt;width:72pt;z-index:252070912;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2a19dUAAAAIAQAADwAAAAAAAAABACAAAAAiAAAAZHJzL2Rvd25yZXYueG1sUEsB&#10;AhQAFAAAAAgAh07iQN2Lena/AQAAbQMAAA4AAAAAAAAAAQAgAAAAJAEAAGRycy9lMm9Eb2MueG1s&#10;UEsFBgAAAAAGAAYAWQEAAFUFAAAAAA==&#10;">
                <v:fill on="f" focussize="0,0"/>
                <v:stroke on="f"/>
                <v:imagedata o:title=""/>
                <o:lock v:ext="edit" aspectratio="f"/>
                <v:textbox>
                  <w:txbxContent>
                    <w:p w14:paraId="733D35D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hAnsi="宋体"/>
          <w:color w:val="auto"/>
          <w:sz w:val="22"/>
          <w:szCs w:val="22"/>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14:paraId="7D802CA2">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94.2  </w:t>
      </w:r>
      <w:r>
        <w:rPr>
          <w:rFonts w:hint="eastAsia" w:hAnsi="宋体"/>
          <w:b/>
          <w:bCs/>
          <w:color w:val="auto"/>
          <w:sz w:val="22"/>
          <w:szCs w:val="22"/>
          <w:highlight w:val="none"/>
          <w:u w:val="dotted"/>
        </w:rPr>
        <w:t xml:space="preserve">                                                                                                        </w:t>
      </w:r>
    </w:p>
    <w:p w14:paraId="6B361C81">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396" name="文本框 40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66C4BE6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405" o:spid="_x0000_s1026" o:spt="202" type="#_x0000_t202" style="position:absolute;left:0pt;margin-left:-9pt;margin-top:5.4pt;height:39pt;width:72pt;z-index:252071936;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WKC71QAAAAkBAAAPAAAAAAAAAAEAIAAAACIAAABkcnMvZG93bnJldi54bWxQSwEC&#10;FAAUAAAACACHTuJAx1F8Dr4BAABtAwAADgAAAAAAAAABACAAAAAkAQAAZHJzL2Uyb0RvYy54bWxQ&#10;SwUGAAAAAAYABgBZAQAAVAUAAAAA&#10;">
                <v:fill on="f" focussize="0,0"/>
                <v:stroke on="f"/>
                <v:imagedata o:title=""/>
                <o:lock v:ext="edit" aspectratio="f"/>
                <v:textbox>
                  <w:txbxContent>
                    <w:p w14:paraId="66C4BE6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hAnsi="宋体"/>
          <w:color w:val="auto"/>
          <w:sz w:val="22"/>
          <w:szCs w:val="22"/>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2014BCCC">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94.3  </w:t>
      </w:r>
      <w:r>
        <w:rPr>
          <w:rFonts w:hint="eastAsia" w:hAnsi="宋体"/>
          <w:b/>
          <w:bCs/>
          <w:color w:val="auto"/>
          <w:sz w:val="22"/>
          <w:szCs w:val="22"/>
          <w:highlight w:val="none"/>
          <w:u w:val="dotted"/>
        </w:rPr>
        <w:t xml:space="preserve">                                                                                                       </w:t>
      </w:r>
    </w:p>
    <w:p w14:paraId="10C887A3">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397" name="文本框 406"/>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a:effectLst/>
                      </wps:spPr>
                      <wps:txbx>
                        <w:txbxContent>
                          <w:p w14:paraId="70F7DAE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406" o:spid="_x0000_s1026" o:spt="202" type="#_x0000_t202" style="position:absolute;left:0pt;margin-left:-9pt;margin-top:0.25pt;height:23.7pt;width:81pt;z-index:252072960;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cmCo1AAAAAcBAAAPAAAAAAAAAAEAIAAAACIAAABkcnMvZG93bnJldi54bWxQSwEC&#10;FAAUAAAACACHTuJAUzM4E78BAABuAwAADgAAAAAAAAABACAAAAAjAQAAZHJzL2Uyb0RvYy54bWxQ&#10;SwUGAAAAAAYABgBZAQAAVAUAAAAA&#10;">
                <v:fill on="f" focussize="0,0"/>
                <v:stroke on="f"/>
                <v:imagedata o:title=""/>
                <o:lock v:ext="edit" aspectratio="f"/>
                <v:textbox>
                  <w:txbxContent>
                    <w:p w14:paraId="70F7DAE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hAnsi="宋体"/>
          <w:color w:val="auto"/>
          <w:sz w:val="22"/>
          <w:szCs w:val="22"/>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7E2BA336">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94.4  </w:t>
      </w:r>
      <w:r>
        <w:rPr>
          <w:rFonts w:hint="eastAsia" w:hAnsi="宋体"/>
          <w:b/>
          <w:bCs/>
          <w:color w:val="auto"/>
          <w:sz w:val="22"/>
          <w:szCs w:val="22"/>
          <w:highlight w:val="none"/>
          <w:u w:val="dotted"/>
        </w:rPr>
        <w:t xml:space="preserve">                                                                                                      </w:t>
      </w:r>
    </w:p>
    <w:p w14:paraId="7CB112F0">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398" name="文本框 407"/>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a:effectLst/>
                      </wps:spPr>
                      <wps:txbx>
                        <w:txbxContent>
                          <w:p w14:paraId="60DBAB1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407" o:spid="_x0000_s1026" o:spt="202" type="#_x0000_t202" style="position:absolute;left:0pt;margin-left:-9pt;margin-top:5.15pt;height:57.3pt;width:72pt;z-index:252073984;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nob2fWAAAACgEAAA8AAAAAAAAAAQAgAAAAIgAAAGRycy9kb3ducmV2LnhtbFBL&#10;AQIUABQAAAAIAIdO4kDoHmN8vwEAAG0DAAAOAAAAAAAAAAEAIAAAACUBAABkcnMvZTJvRG9jLnht&#10;bFBLBQYAAAAABgAGAFkBAABWBQAAAAA=&#10;">
                <v:fill on="f" focussize="0,0"/>
                <v:stroke on="f"/>
                <v:imagedata o:title=""/>
                <o:lock v:ext="edit" aspectratio="f"/>
                <v:textbox>
                  <w:txbxContent>
                    <w:p w14:paraId="60DBAB1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hAnsi="宋体"/>
          <w:color w:val="auto"/>
          <w:sz w:val="22"/>
          <w:szCs w:val="22"/>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747687D8">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94.5  </w:t>
      </w:r>
      <w:r>
        <w:rPr>
          <w:rFonts w:hint="eastAsia" w:hAnsi="宋体"/>
          <w:b/>
          <w:bCs/>
          <w:color w:val="auto"/>
          <w:sz w:val="22"/>
          <w:szCs w:val="22"/>
          <w:highlight w:val="none"/>
          <w:u w:val="dotted"/>
        </w:rPr>
        <w:t xml:space="preserve">                                                                                                        </w:t>
      </w:r>
    </w:p>
    <w:p w14:paraId="6EF5DBA5">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399" name="文本框 40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3B56987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408" o:spid="_x0000_s1026" o:spt="202" type="#_x0000_t202" style="position:absolute;left:0pt;margin-left:-9pt;margin-top:1.75pt;height:39pt;width:72pt;z-index:252075008;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FIzo1QAAAAgBAAAPAAAAAAAAAAEAIAAAACIAAABkcnMvZG93bnJldi54bWxQSwEC&#10;FAAUAAAACACHTuJAoxI1Pr4BAABtAwAADgAAAAAAAAABACAAAAAkAQAAZHJzL2Uyb0RvYy54bWxQ&#10;SwUGAAAAAAYABgBZAQAAVAUAAAAA&#10;">
                <v:fill on="f" focussize="0,0"/>
                <v:stroke on="f"/>
                <v:imagedata o:title=""/>
                <o:lock v:ext="edit" aspectratio="f"/>
                <v:textbox>
                  <w:txbxContent>
                    <w:p w14:paraId="3B56987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hAnsi="宋体"/>
          <w:color w:val="auto"/>
          <w:sz w:val="22"/>
          <w:szCs w:val="22"/>
          <w:highlight w:val="none"/>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14:paraId="62B35125">
      <w:pPr>
        <w:pStyle w:val="22"/>
        <w:numPr>
          <w:ilvl w:val="0"/>
          <w:numId w:val="27"/>
        </w:numPr>
        <w:tabs>
          <w:tab w:val="left" w:pos="1620"/>
          <w:tab w:val="left" w:pos="2340"/>
          <w:tab w:val="left" w:pos="2700"/>
        </w:tabs>
        <w:adjustRightInd w:val="0"/>
        <w:snapToGrid w:val="0"/>
        <w:spacing w:line="420" w:lineRule="exact"/>
        <w:rPr>
          <w:rFonts w:hAnsi="宋体"/>
          <w:color w:val="auto"/>
          <w:sz w:val="22"/>
          <w:szCs w:val="22"/>
          <w:highlight w:val="none"/>
        </w:rPr>
      </w:pPr>
      <w:r>
        <w:rPr>
          <w:rFonts w:hint="eastAsia" w:hAnsi="宋体"/>
          <w:color w:val="auto"/>
          <w:sz w:val="22"/>
          <w:szCs w:val="22"/>
          <w:highlight w:val="none"/>
        </w:rPr>
        <w:t>提供前已由合同双方当事人所持有的；</w:t>
      </w:r>
    </w:p>
    <w:p w14:paraId="6F15B440">
      <w:pPr>
        <w:pStyle w:val="22"/>
        <w:numPr>
          <w:ilvl w:val="0"/>
          <w:numId w:val="27"/>
        </w:numPr>
        <w:tabs>
          <w:tab w:val="left" w:pos="1620"/>
          <w:tab w:val="left" w:pos="2340"/>
          <w:tab w:val="left" w:pos="2700"/>
        </w:tabs>
        <w:adjustRightInd w:val="0"/>
        <w:snapToGrid w:val="0"/>
        <w:spacing w:line="420" w:lineRule="exact"/>
        <w:rPr>
          <w:rFonts w:hAnsi="宋体"/>
          <w:color w:val="auto"/>
          <w:sz w:val="22"/>
          <w:szCs w:val="22"/>
          <w:highlight w:val="none"/>
        </w:rPr>
      </w:pPr>
      <w:r>
        <w:rPr>
          <w:rFonts w:hint="eastAsia" w:hAnsi="宋体"/>
          <w:color w:val="auto"/>
          <w:sz w:val="22"/>
          <w:szCs w:val="22"/>
          <w:highlight w:val="none"/>
        </w:rPr>
        <w:t>已公开发表或非对方当事人原因向公众公开的；</w:t>
      </w:r>
    </w:p>
    <w:p w14:paraId="44E023DE">
      <w:pPr>
        <w:pStyle w:val="22"/>
        <w:numPr>
          <w:ilvl w:val="0"/>
          <w:numId w:val="27"/>
        </w:numPr>
        <w:tabs>
          <w:tab w:val="left" w:pos="1620"/>
          <w:tab w:val="left" w:pos="2340"/>
          <w:tab w:val="left" w:pos="2700"/>
        </w:tabs>
        <w:adjustRightInd w:val="0"/>
        <w:snapToGrid w:val="0"/>
        <w:spacing w:line="420" w:lineRule="exact"/>
        <w:rPr>
          <w:rFonts w:hAnsi="宋体"/>
          <w:color w:val="auto"/>
          <w:sz w:val="22"/>
          <w:szCs w:val="22"/>
          <w:highlight w:val="none"/>
        </w:rPr>
      </w:pPr>
      <w:r>
        <w:rPr>
          <w:rFonts w:hint="eastAsia" w:hAnsi="宋体"/>
          <w:color w:val="auto"/>
          <w:sz w:val="22"/>
          <w:szCs w:val="22"/>
          <w:highlight w:val="none"/>
        </w:rPr>
        <w:t>已由各相关方书面同意其公开的；</w:t>
      </w:r>
    </w:p>
    <w:p w14:paraId="5CBC24DD">
      <w:pPr>
        <w:pStyle w:val="22"/>
        <w:numPr>
          <w:ilvl w:val="0"/>
          <w:numId w:val="27"/>
        </w:numPr>
        <w:tabs>
          <w:tab w:val="left" w:pos="1620"/>
          <w:tab w:val="left" w:pos="2340"/>
          <w:tab w:val="left" w:pos="2700"/>
        </w:tabs>
        <w:adjustRightInd w:val="0"/>
        <w:snapToGrid w:val="0"/>
        <w:spacing w:line="420" w:lineRule="exact"/>
        <w:rPr>
          <w:rFonts w:hAnsi="宋体"/>
          <w:color w:val="auto"/>
          <w:sz w:val="22"/>
          <w:szCs w:val="22"/>
          <w:highlight w:val="none"/>
        </w:rPr>
      </w:pPr>
      <w:r>
        <w:rPr>
          <w:rFonts w:hint="eastAsia" w:hAnsi="宋体"/>
          <w:color w:val="auto"/>
          <w:sz w:val="22"/>
          <w:szCs w:val="22"/>
          <w:highlight w:val="none"/>
        </w:rPr>
        <w:t>在未获取保密信息前由对方当事人独立开发的；</w:t>
      </w:r>
    </w:p>
    <w:p w14:paraId="555637F6">
      <w:pPr>
        <w:pStyle w:val="22"/>
        <w:numPr>
          <w:ilvl w:val="0"/>
          <w:numId w:val="27"/>
        </w:numPr>
        <w:tabs>
          <w:tab w:val="left" w:pos="1620"/>
          <w:tab w:val="left" w:pos="2340"/>
          <w:tab w:val="left" w:pos="2700"/>
        </w:tabs>
        <w:adjustRightInd w:val="0"/>
        <w:snapToGrid w:val="0"/>
        <w:spacing w:line="420" w:lineRule="exact"/>
        <w:rPr>
          <w:rFonts w:hAnsi="宋体"/>
          <w:color w:val="auto"/>
          <w:sz w:val="22"/>
          <w:szCs w:val="22"/>
          <w:highlight w:val="none"/>
        </w:rPr>
      </w:pPr>
      <w:r>
        <w:rPr>
          <w:rFonts w:hint="eastAsia" w:hAnsi="宋体"/>
          <w:color w:val="auto"/>
          <w:sz w:val="22"/>
          <w:szCs w:val="22"/>
          <w:highlight w:val="none"/>
        </w:rPr>
        <w:t>对方当事人从对保密信息不承担保密义务的第三方处合法获得的。</w:t>
      </w:r>
    </w:p>
    <w:p w14:paraId="0CC959EE">
      <w:pPr>
        <w:pStyle w:val="22"/>
        <w:tabs>
          <w:tab w:val="left" w:pos="1620"/>
        </w:tabs>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788FC5DB">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85" w:name="_Toc469384077"/>
      <w:bookmarkStart w:id="486" w:name="_Toc1778"/>
      <w:bookmarkStart w:id="487" w:name="_Toc1898"/>
      <w:r>
        <w:rPr>
          <w:rFonts w:hint="eastAsia" w:hAnsi="宋体"/>
          <w:b/>
          <w:bCs/>
          <w:color w:val="auto"/>
          <w:sz w:val="22"/>
          <w:szCs w:val="22"/>
          <w:highlight w:val="none"/>
        </w:rPr>
        <w:t>95 廉政建设</w:t>
      </w:r>
      <w:bookmarkEnd w:id="485"/>
      <w:bookmarkEnd w:id="486"/>
      <w:bookmarkEnd w:id="487"/>
    </w:p>
    <w:p w14:paraId="6BA2B99E">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95.1     </w:t>
      </w:r>
    </w:p>
    <w:p w14:paraId="3BEB4386">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0" name="文本框 409"/>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1765A99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409" o:spid="_x0000_s1026" o:spt="202" type="#_x0000_t202" style="position:absolute;left:0pt;margin-left:-9pt;margin-top:1.25pt;height:23.4pt;width:63pt;z-index:252076032;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YdskdUAAAAIAQAADwAAAAAAAAABACAAAAAiAAAAZHJzL2Rvd25yZXYueG1sUEsBAhQA&#10;FAAAAAgAh07iQC7+yZy8AQAAbQMAAA4AAAAAAAAAAQAgAAAAJAEAAGRycy9lMm9Eb2MueG1sUEsF&#10;BgAAAAAGAAYAWQEAAFIFAAAAAA==&#10;">
                <v:fill on="f" focussize="0,0"/>
                <v:stroke on="f"/>
                <v:imagedata o:title=""/>
                <o:lock v:ext="edit" aspectratio="f"/>
                <v:textbox>
                  <w:txbxContent>
                    <w:p w14:paraId="1765A99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hAnsi="宋体"/>
          <w:color w:val="auto"/>
          <w:sz w:val="22"/>
          <w:szCs w:val="22"/>
          <w:highlight w:val="none"/>
        </w:rPr>
        <w:t>合同双方当事人在签订本合同时，应同时签订廉政合同，作为本合同的附件。合同双方当事人在合同履行期间应遵守国家和政府有关廉政方面的规定和要求，禁止任何腐败行为。</w:t>
      </w:r>
    </w:p>
    <w:p w14:paraId="7917416F">
      <w:pPr>
        <w:pStyle w:val="22"/>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95.2  </w:t>
      </w:r>
      <w:r>
        <w:rPr>
          <w:rFonts w:hint="eastAsia" w:hAnsi="宋体"/>
          <w:b/>
          <w:bCs/>
          <w:color w:val="auto"/>
          <w:sz w:val="22"/>
          <w:szCs w:val="22"/>
          <w:highlight w:val="none"/>
          <w:u w:val="dotted"/>
        </w:rPr>
        <w:t xml:space="preserve">                                                                                                       </w:t>
      </w:r>
    </w:p>
    <w:p w14:paraId="2A43BF97">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401" name="文本框 410"/>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a:effectLst/>
                      </wps:spPr>
                      <wps:txbx>
                        <w:txbxContent>
                          <w:p w14:paraId="300A621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410" o:spid="_x0000_s1026" o:spt="202" type="#_x0000_t202" style="position:absolute;left:0pt;margin-left:-9pt;margin-top:4.25pt;height:24.95pt;width:63pt;z-index:252077056;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cx2CfUAAAACAEAAA8AAAAAAAAAAQAgAAAAIgAAAGRycy9kb3ducmV2LnhtbFBLAQIUABQA&#10;AAAIAIdO4kBE/GIKuwEAAG0DAAAOAAAAAAAAAAEAIAAAACMBAABkcnMvZTJvRG9jLnhtbFBLBQYA&#10;AAAABgAGAFkBAABQBQAAAAA=&#10;">
                <v:fill on="f" focussize="0,0"/>
                <v:stroke on="f"/>
                <v:imagedata o:title=""/>
                <o:lock v:ext="edit" aspectratio="f"/>
                <v:textbox>
                  <w:txbxContent>
                    <w:p w14:paraId="300A621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hAnsi="宋体"/>
          <w:color w:val="auto"/>
          <w:sz w:val="22"/>
          <w:szCs w:val="22"/>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14:paraId="256D3D72">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29710A80">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88" w:name="_Toc10748"/>
      <w:bookmarkStart w:id="489" w:name="_Toc469384078"/>
      <w:bookmarkStart w:id="490" w:name="_Toc16447"/>
      <w:r>
        <w:rPr>
          <w:rFonts w:hint="eastAsia" w:hAnsi="宋体"/>
          <w:b/>
          <w:bCs/>
          <w:color w:val="auto"/>
          <w:sz w:val="22"/>
          <w:szCs w:val="22"/>
          <w:highlight w:val="none"/>
        </w:rPr>
        <w:t>96  禁止转让</w:t>
      </w:r>
      <w:bookmarkEnd w:id="488"/>
      <w:bookmarkEnd w:id="489"/>
      <w:bookmarkEnd w:id="490"/>
    </w:p>
    <w:p w14:paraId="43577302">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rPr>
        <w:t xml:space="preserve">96.1     </w:t>
      </w:r>
    </w:p>
    <w:p w14:paraId="50A78102">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2" name="文本框 41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223132E7">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411" o:spid="_x0000_s1026" o:spt="202" type="#_x0000_t202" style="position:absolute;left:0pt;margin-left:-9pt;margin-top:1.25pt;height:23.4pt;width:63pt;z-index:25207808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WHbJHVAAAACAEAAA8AAAAAAAAAAQAgAAAAIgAAAGRycy9kb3ducmV2LnhtbFBLAQIU&#10;ABQAAAAIAIdO4kA4epidvQEAAG0DAAAOAAAAAAAAAAEAIAAAACQBAABkcnMvZTJvRG9jLnhtbFBL&#10;BQYAAAAABgAGAFkBAABTBQAAAAA=&#10;">
                <v:fill on="f" focussize="0,0"/>
                <v:stroke on="f"/>
                <v:imagedata o:title=""/>
                <o:lock v:ext="edit" aspectratio="f"/>
                <v:textbox>
                  <w:txbxContent>
                    <w:p w14:paraId="223132E7">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宋体" w:hAnsi="宋体" w:cs="宋体"/>
          <w:color w:val="auto"/>
          <w:sz w:val="22"/>
          <w:szCs w:val="22"/>
          <w:highlight w:val="none"/>
        </w:rPr>
        <w:t>本合同一经签署，合同双方当事人均应按照本合同规定行使各自的权利、履行各自的义务。</w:t>
      </w:r>
    </w:p>
    <w:p w14:paraId="30B0A2BD">
      <w:pPr>
        <w:pStyle w:val="22"/>
        <w:adjustRightInd w:val="0"/>
        <w:snapToGrid w:val="0"/>
        <w:spacing w:line="420" w:lineRule="exact"/>
        <w:rPr>
          <w:rFonts w:hAnsi="宋体"/>
          <w:b/>
          <w:bCs/>
          <w:color w:val="auto"/>
          <w:sz w:val="22"/>
          <w:szCs w:val="22"/>
          <w:highlight w:val="none"/>
          <w:u w:val="dotted"/>
        </w:rPr>
      </w:pPr>
      <w:r>
        <w:rPr>
          <w:rFonts w:hint="eastAsia" w:hAnsi="宋体"/>
          <w:b/>
          <w:bCs/>
          <w:color w:val="auto"/>
          <w:sz w:val="22"/>
          <w:szCs w:val="22"/>
          <w:highlight w:val="none"/>
        </w:rPr>
        <w:t xml:space="preserve">96.2  </w:t>
      </w:r>
      <w:r>
        <w:rPr>
          <w:rFonts w:hint="eastAsia" w:hAnsi="宋体"/>
          <w:b/>
          <w:bCs/>
          <w:color w:val="auto"/>
          <w:sz w:val="22"/>
          <w:szCs w:val="22"/>
          <w:highlight w:val="none"/>
          <w:u w:val="dotted"/>
        </w:rPr>
        <w:t xml:space="preserve">                                                                                                       </w:t>
      </w:r>
    </w:p>
    <w:p w14:paraId="29F703EB">
      <w:pPr>
        <w:spacing w:line="420" w:lineRule="exact"/>
        <w:ind w:left="1619" w:leftChars="771"/>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403" name="文本框 41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767E26C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412" o:spid="_x0000_s1026" o:spt="202" type="#_x0000_t202" style="position:absolute;left:0pt;margin-left:-9pt;margin-top:7.75pt;height:23.4pt;width:63pt;z-index:252079104;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EeyaNYAAAAJAQAADwAAAAAAAAABACAAAAAiAAAAZHJzL2Rvd25yZXYueG1sUEsB&#10;AhQAFAAAAAgAh07iQCfVH0G+AQAAbQMAAA4AAAAAAAAAAQAgAAAAJQEAAGRycy9lMm9Eb2MueG1s&#10;UEsFBgAAAAAGAAYAWQEAAFUFAAAAAA==&#10;">
                <v:fill on="f" focussize="0,0"/>
                <v:stroke on="f"/>
                <v:imagedata o:title=""/>
                <o:lock v:ext="edit" aspectratio="f"/>
                <v:textbox>
                  <w:txbxContent>
                    <w:p w14:paraId="767E26C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宋体" w:hAnsi="宋体" w:cs="宋体"/>
          <w:color w:val="auto"/>
          <w:sz w:val="22"/>
          <w:szCs w:val="22"/>
          <w:highlight w:val="none"/>
        </w:rPr>
        <w:t>除合同另有约定外，未经另一方当事人同意，合同一方当事人不得将本合同的全部或部分权利、义务转让给第三方。</w:t>
      </w:r>
    </w:p>
    <w:p w14:paraId="156B6002">
      <w:pPr>
        <w:pStyle w:val="22"/>
        <w:adjustRightInd w:val="0"/>
        <w:snapToGrid w:val="0"/>
        <w:spacing w:line="420" w:lineRule="exact"/>
        <w:rPr>
          <w:rFonts w:hAnsi="宋体"/>
          <w:b/>
          <w:bCs/>
          <w:color w:val="auto"/>
          <w:sz w:val="22"/>
          <w:szCs w:val="22"/>
          <w:highlight w:val="none"/>
        </w:rPr>
      </w:pPr>
      <w:r>
        <w:rPr>
          <w:rFonts w:hint="eastAsia" w:hAnsi="宋体"/>
          <w:b/>
          <w:bCs/>
          <w:color w:val="auto"/>
          <w:sz w:val="22"/>
          <w:szCs w:val="22"/>
          <w:highlight w:val="none"/>
          <w:u w:val="single"/>
        </w:rPr>
        <w:t xml:space="preserve">                                                                                </w:t>
      </w:r>
    </w:p>
    <w:p w14:paraId="5D660505">
      <w:pPr>
        <w:pStyle w:val="22"/>
        <w:tabs>
          <w:tab w:val="left" w:pos="540"/>
        </w:tabs>
        <w:adjustRightInd w:val="0"/>
        <w:snapToGrid w:val="0"/>
        <w:spacing w:before="240" w:beforeLines="100" w:line="420" w:lineRule="exact"/>
        <w:outlineLvl w:val="2"/>
        <w:rPr>
          <w:rFonts w:hAnsi="宋体"/>
          <w:b/>
          <w:bCs/>
          <w:color w:val="auto"/>
          <w:sz w:val="22"/>
          <w:szCs w:val="22"/>
          <w:highlight w:val="none"/>
        </w:rPr>
      </w:pPr>
      <w:bookmarkStart w:id="491" w:name="_Toc28423"/>
      <w:bookmarkStart w:id="492" w:name="_Toc1991"/>
      <w:bookmarkStart w:id="493" w:name="_Toc469384079"/>
      <w:r>
        <w:rPr>
          <w:rFonts w:hint="eastAsia" w:hAnsi="宋体"/>
          <w:b/>
          <w:bCs/>
          <w:color w:val="auto"/>
          <w:sz w:val="22"/>
          <w:szCs w:val="22"/>
          <w:highlight w:val="none"/>
        </w:rPr>
        <w:t>97  合同份数</w:t>
      </w:r>
      <w:bookmarkEnd w:id="491"/>
      <w:bookmarkEnd w:id="492"/>
      <w:bookmarkEnd w:id="493"/>
    </w:p>
    <w:p w14:paraId="46EF7349">
      <w:pPr>
        <w:pStyle w:val="22"/>
        <w:adjustRightInd w:val="0"/>
        <w:snapToGrid w:val="0"/>
        <w:spacing w:line="420" w:lineRule="exact"/>
        <w:ind w:left="1449" w:hanging="1449" w:hangingChars="656"/>
        <w:rPr>
          <w:rFonts w:hAnsi="宋体"/>
          <w:b/>
          <w:bCs/>
          <w:color w:val="auto"/>
          <w:sz w:val="22"/>
          <w:szCs w:val="22"/>
          <w:highlight w:val="none"/>
        </w:rPr>
      </w:pPr>
      <w:r>
        <w:rPr>
          <w:rFonts w:hint="eastAsia" w:hAnsi="宋体"/>
          <w:b/>
          <w:bCs/>
          <w:color w:val="auto"/>
          <w:sz w:val="22"/>
          <w:szCs w:val="22"/>
          <w:highlight w:val="none"/>
        </w:rPr>
        <w:t xml:space="preserve">97.1        </w:t>
      </w:r>
    </w:p>
    <w:p w14:paraId="57A48602">
      <w:pPr>
        <w:pStyle w:val="22"/>
        <w:adjustRightInd w:val="0"/>
        <w:snapToGrid w:val="0"/>
        <w:spacing w:line="420" w:lineRule="exact"/>
        <w:ind w:left="1682" w:leftChars="800" w:hanging="2"/>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80128"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404" name="文本框 41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3D37D57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413" o:spid="_x0000_s1026" o:spt="202" type="#_x0000_t202" style="position:absolute;left:0pt;margin-left:-5.25pt;margin-top:0.8pt;height:31.2pt;width:72pt;z-index:252080128;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JYh/HUAAAACAEAAA8AAAAAAAAAAQAgAAAAIgAAAGRycy9kb3ducmV2LnhtbFBLAQIU&#10;ABQAAAAIAIdO4kAGCQuZvgEAAG0DAAAOAAAAAAAAAAEAIAAAACMBAABkcnMvZTJvRG9jLnhtbFBL&#10;BQYAAAAABgAGAFkBAABTBQAAAAA=&#10;">
                <v:fill on="f" focussize="0,0"/>
                <v:stroke on="f"/>
                <v:imagedata o:title=""/>
                <o:lock v:ext="edit" aspectratio="f"/>
                <v:textbox>
                  <w:txbxContent>
                    <w:p w14:paraId="3D37D57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hAnsi="宋体"/>
          <w:color w:val="auto"/>
          <w:sz w:val="22"/>
          <w:szCs w:val="22"/>
          <w:highlight w:val="none"/>
        </w:rPr>
        <w:t>除专用条款另有约定外，发包人应按照第94.2款规定的份数免费为承包人提供合同文本。</w:t>
      </w:r>
    </w:p>
    <w:p w14:paraId="547AB209">
      <w:pPr>
        <w:pStyle w:val="22"/>
        <w:adjustRightInd w:val="0"/>
        <w:snapToGrid w:val="0"/>
        <w:spacing w:line="420" w:lineRule="exact"/>
        <w:rPr>
          <w:rFonts w:hAnsi="宋体"/>
          <w:color w:val="auto"/>
          <w:sz w:val="22"/>
          <w:szCs w:val="22"/>
          <w:highlight w:val="none"/>
        </w:rPr>
      </w:pPr>
      <w:r>
        <w:rPr>
          <w:rFonts w:hint="eastAsia" w:hAnsi="宋体"/>
          <w:b/>
          <w:bCs/>
          <w:color w:val="auto"/>
          <w:sz w:val="22"/>
          <w:szCs w:val="22"/>
          <w:highlight w:val="none"/>
        </w:rPr>
        <w:t xml:space="preserve">97.2  </w:t>
      </w:r>
      <w:r>
        <w:rPr>
          <w:rFonts w:hint="eastAsia" w:hAnsi="宋体"/>
          <w:b/>
          <w:bCs/>
          <w:color w:val="auto"/>
          <w:sz w:val="22"/>
          <w:szCs w:val="22"/>
          <w:highlight w:val="none"/>
          <w:u w:val="dotted"/>
        </w:rPr>
        <w:t xml:space="preserve"> </w:t>
      </w:r>
      <w:r>
        <w:rPr>
          <w:rFonts w:hint="eastAsia" w:hAnsi="宋体"/>
          <w:color w:val="auto"/>
          <w:sz w:val="22"/>
          <w:szCs w:val="22"/>
          <w:highlight w:val="none"/>
          <w:u w:val="dotted"/>
        </w:rPr>
        <w:t xml:space="preserve">                                                                                                       </w:t>
      </w:r>
    </w:p>
    <w:p w14:paraId="4D9EB5EC">
      <w:pPr>
        <w:pStyle w:val="22"/>
        <w:adjustRightInd w:val="0"/>
        <w:snapToGrid w:val="0"/>
        <w:spacing w:line="420" w:lineRule="exact"/>
        <w:ind w:left="1619" w:leftChars="771"/>
        <w:rPr>
          <w:rFonts w:hAnsi="宋体"/>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405" name="文本框 414"/>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a:effectLst/>
                      </wps:spPr>
                      <wps:txbx>
                        <w:txbxContent>
                          <w:p w14:paraId="6FF2BB5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414" o:spid="_x0000_s1026" o:spt="202" type="#_x0000_t202" style="position:absolute;left:0pt;margin-left:-9pt;margin-top:0.65pt;height:23.6pt;width:63pt;z-index:252081152;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x/dvrUAAAACAEAAA8AAAAAAAAAAQAgAAAAIgAAAGRycy9kb3ducmV2LnhtbFBLAQIU&#10;ABQAAAAIAIdO4kDdTPj8vgEAAG0DAAAOAAAAAAAAAAEAIAAAACMBAABkcnMvZTJvRG9jLnhtbFBL&#10;BQYAAAAABgAGAFkBAABTBQAAAAA=&#10;">
                <v:fill on="f" focussize="0,0"/>
                <v:stroke on="f"/>
                <v:imagedata o:title=""/>
                <o:lock v:ext="edit" aspectratio="f"/>
                <v:textbox>
                  <w:txbxContent>
                    <w:p w14:paraId="6FF2BB5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hAnsi="宋体"/>
          <w:color w:val="auto"/>
          <w:sz w:val="22"/>
          <w:szCs w:val="22"/>
          <w:highlight w:val="none"/>
        </w:rPr>
        <w:t>本合同正、副本份数，由合同双方当事人根据需要在专用条款中约定。正本与副本具有同等效力，当正本与副本不一致时，以正本为准。</w:t>
      </w:r>
    </w:p>
    <w:p w14:paraId="1AE32FF7">
      <w:pPr>
        <w:pStyle w:val="22"/>
        <w:adjustRightInd w:val="0"/>
        <w:snapToGrid w:val="0"/>
        <w:spacing w:line="420" w:lineRule="exac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133BDD80">
      <w:pPr>
        <w:pStyle w:val="22"/>
        <w:adjustRightInd w:val="0"/>
        <w:snapToGrid w:val="0"/>
        <w:spacing w:line="420" w:lineRule="exact"/>
        <w:outlineLvl w:val="2"/>
        <w:rPr>
          <w:rFonts w:hAnsi="宋体"/>
          <w:b/>
          <w:bCs/>
          <w:color w:val="auto"/>
          <w:sz w:val="22"/>
          <w:szCs w:val="22"/>
          <w:highlight w:val="none"/>
        </w:rPr>
      </w:pPr>
      <w:bookmarkStart w:id="494" w:name="_Toc469384080"/>
      <w:bookmarkStart w:id="495" w:name="_Toc12359"/>
      <w:bookmarkStart w:id="496" w:name="_Toc14110"/>
      <w:r>
        <w:rPr>
          <w:rFonts w:hint="eastAsia" w:hAnsi="宋体"/>
          <w:b/>
          <w:bCs/>
          <w:color w:val="auto"/>
          <w:sz w:val="22"/>
          <w:szCs w:val="22"/>
          <w:highlight w:val="none"/>
        </w:rPr>
        <w:t>98  合同</w:t>
      </w:r>
      <w:bookmarkEnd w:id="494"/>
      <w:r>
        <w:rPr>
          <w:rFonts w:hint="eastAsia" w:hAnsi="宋体"/>
          <w:b/>
          <w:bCs/>
          <w:color w:val="auto"/>
          <w:sz w:val="22"/>
          <w:szCs w:val="22"/>
          <w:highlight w:val="none"/>
        </w:rPr>
        <w:t>管理</w:t>
      </w:r>
      <w:bookmarkEnd w:id="495"/>
      <w:bookmarkEnd w:id="496"/>
    </w:p>
    <w:p w14:paraId="38117DBA">
      <w:pPr>
        <w:pStyle w:val="22"/>
        <w:adjustRightInd w:val="0"/>
        <w:snapToGrid w:val="0"/>
        <w:spacing w:line="420" w:lineRule="exact"/>
        <w:rPr>
          <w:rFonts w:hAnsi="宋体"/>
          <w:b/>
          <w:bCs/>
          <w:color w:val="auto"/>
          <w:sz w:val="22"/>
          <w:szCs w:val="22"/>
          <w:highlight w:val="none"/>
        </w:rPr>
      </w:pPr>
      <w:r>
        <w:rPr>
          <w:rFonts w:hint="eastAsia" w:hAnsi="宋体"/>
          <w:color w:val="auto"/>
          <w:sz w:val="22"/>
          <w:szCs w:val="22"/>
          <w:highlight w:val="none"/>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406" name="文本框 415"/>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a:effectLst/>
                      </wps:spPr>
                      <wps:txbx>
                        <w:txbxContent>
                          <w:p w14:paraId="5D0B091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3F7DF7E4">
                            <w:pPr>
                              <w:spacing w:line="240" w:lineRule="exact"/>
                              <w:rPr>
                                <w:rFonts w:ascii="楷体_GB2312" w:hAnsi="宋体" w:eastAsia="楷体_GB2312" w:cs="Times New Roman"/>
                                <w:b/>
                                <w:bCs/>
                                <w:sz w:val="18"/>
                                <w:szCs w:val="18"/>
                              </w:rPr>
                            </w:pPr>
                          </w:p>
                        </w:txbxContent>
                      </wps:txbx>
                      <wps:bodyPr wrap="square" upright="1"/>
                    </wps:wsp>
                  </a:graphicData>
                </a:graphic>
              </wp:anchor>
            </w:drawing>
          </mc:Choice>
          <mc:Fallback>
            <w:pict>
              <v:shape id="文本框 415" o:spid="_x0000_s1026" o:spt="202" type="#_x0000_t202" style="position:absolute;left:0pt;margin-left:-9pt;margin-top:16.45pt;height:41.7pt;width:81.85pt;z-index:252082176;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u6rNjYAAAACgEAAA8AAAAAAAAAAQAgAAAAIgAAAGRycy9kb3ducmV2Lnht&#10;bFBLAQIUABQAAAAIAIdO4kCJu7zTwAEAAG4DAAAOAAAAAAAAAAEAIAAAACcBAABkcnMvZTJvRG9j&#10;LnhtbFBLBQYAAAAABgAGAFkBAABZBQAAAAA=&#10;">
                <v:fill on="f" focussize="0,0"/>
                <v:stroke on="f"/>
                <v:imagedata o:title=""/>
                <o:lock v:ext="edit" aspectratio="f"/>
                <v:textbox>
                  <w:txbxContent>
                    <w:p w14:paraId="5D0B091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3F7DF7E4">
                      <w:pPr>
                        <w:spacing w:line="240" w:lineRule="exact"/>
                        <w:rPr>
                          <w:rFonts w:ascii="楷体_GB2312" w:hAnsi="宋体" w:eastAsia="楷体_GB2312" w:cs="Times New Roman"/>
                          <w:b/>
                          <w:bCs/>
                          <w:sz w:val="18"/>
                          <w:szCs w:val="18"/>
                        </w:rPr>
                      </w:pPr>
                    </w:p>
                  </w:txbxContent>
                </v:textbox>
              </v:shape>
            </w:pict>
          </mc:Fallback>
        </mc:AlternateContent>
      </w:r>
      <w:r>
        <w:rPr>
          <w:rFonts w:hint="eastAsia" w:hAnsi="宋体"/>
          <w:b/>
          <w:bCs/>
          <w:color w:val="auto"/>
          <w:sz w:val="22"/>
          <w:szCs w:val="22"/>
          <w:highlight w:val="none"/>
        </w:rPr>
        <w:t xml:space="preserve">98.1  </w:t>
      </w:r>
    </w:p>
    <w:p w14:paraId="668FF9DE">
      <w:pPr>
        <w:spacing w:line="420" w:lineRule="exact"/>
        <w:ind w:left="2054" w:leftChars="798" w:hanging="378" w:hangingChars="172"/>
        <w:rPr>
          <w:rFonts w:ascii="宋体" w:hAnsi="宋体" w:cs="宋体"/>
          <w:color w:val="auto"/>
          <w:sz w:val="22"/>
          <w:szCs w:val="22"/>
          <w:highlight w:val="none"/>
        </w:rPr>
      </w:pPr>
      <w:r>
        <w:rPr>
          <w:rFonts w:hint="eastAsia" w:ascii="宋体" w:hAnsi="宋体" w:cs="宋体"/>
          <w:color w:val="auto"/>
          <w:sz w:val="22"/>
          <w:szCs w:val="22"/>
          <w:highlight w:val="none"/>
        </w:rPr>
        <w:t>合同双方当事人应按照第22条至第25条的职责划分，督促各自人员认真履行合同</w:t>
      </w:r>
    </w:p>
    <w:p w14:paraId="1E9CF3BC">
      <w:pPr>
        <w:spacing w:line="420" w:lineRule="exact"/>
        <w:ind w:firstLine="1540" w:firstLineChars="700"/>
        <w:rPr>
          <w:rFonts w:ascii="宋体" w:hAnsi="宋体" w:cs="宋体"/>
          <w:color w:val="auto"/>
          <w:sz w:val="22"/>
          <w:szCs w:val="22"/>
          <w:highlight w:val="none"/>
        </w:rPr>
      </w:pPr>
      <w:r>
        <w:rPr>
          <w:rFonts w:hint="eastAsia" w:ascii="宋体" w:hAnsi="宋体" w:cs="宋体"/>
          <w:color w:val="auto"/>
          <w:sz w:val="22"/>
          <w:szCs w:val="22"/>
          <w:highlight w:val="none"/>
        </w:rPr>
        <w:t>管理职责，加强合同管理。</w:t>
      </w:r>
    </w:p>
    <w:p w14:paraId="65E92B60">
      <w:pPr>
        <w:spacing w:line="420" w:lineRule="exact"/>
        <w:ind w:left="1690" w:leftChars="700" w:hanging="220" w:hangingChars="100"/>
        <w:rPr>
          <w:rFonts w:ascii="宋体" w:hAnsi="宋体" w:cs="宋体"/>
          <w:color w:val="auto"/>
          <w:sz w:val="22"/>
          <w:szCs w:val="22"/>
          <w:highlight w:val="none"/>
        </w:rPr>
      </w:pPr>
      <w:r>
        <w:rPr>
          <w:rFonts w:hint="eastAsia" w:ascii="宋体" w:hAnsi="宋体" w:cs="宋体"/>
          <w:color w:val="auto"/>
          <w:sz w:val="22"/>
          <w:szCs w:val="22"/>
          <w:highlight w:val="none"/>
        </w:rPr>
        <w:t xml:space="preserve">  涉及国有资金投资的工程，建设行政主管部门、工程造价管理机构应依据建设行政主管部门存档合同实施合同监督管理；合同双方当事人应随时接受执法人员对本合同的监督管理，并为监督管理活动提供配合和协助。   </w:t>
      </w:r>
    </w:p>
    <w:p w14:paraId="419066DA">
      <w:pPr>
        <w:pStyle w:val="22"/>
        <w:adjustRightInd w:val="0"/>
        <w:snapToGrid w:val="0"/>
        <w:spacing w:line="420" w:lineRule="exact"/>
        <w:jc w:val="left"/>
        <w:rPr>
          <w:rFonts w:hAnsi="宋体"/>
          <w:b/>
          <w:bCs/>
          <w:color w:val="auto"/>
          <w:sz w:val="22"/>
          <w:szCs w:val="22"/>
          <w:highlight w:val="none"/>
          <w:u w:val="single"/>
        </w:rPr>
      </w:pPr>
      <w:r>
        <w:rPr>
          <w:rFonts w:hint="eastAsia" w:hAnsi="宋体"/>
          <w:b/>
          <w:bCs/>
          <w:color w:val="auto"/>
          <w:sz w:val="22"/>
          <w:szCs w:val="22"/>
          <w:highlight w:val="none"/>
          <w:u w:val="single"/>
        </w:rPr>
        <w:t xml:space="preserve">                                                                                                                                                              </w:t>
      </w:r>
    </w:p>
    <w:p w14:paraId="60878E6F">
      <w:pPr>
        <w:spacing w:line="420" w:lineRule="exact"/>
        <w:rPr>
          <w:rFonts w:ascii="宋体" w:hAnsi="宋体" w:cs="宋体"/>
          <w:b/>
          <w:bCs/>
          <w:color w:val="auto"/>
          <w:kern w:val="0"/>
          <w:sz w:val="22"/>
          <w:szCs w:val="22"/>
          <w:highlight w:val="none"/>
        </w:rPr>
      </w:pPr>
    </w:p>
    <w:p w14:paraId="7997349E">
      <w:pPr>
        <w:spacing w:line="420" w:lineRule="exact"/>
        <w:rPr>
          <w:rFonts w:ascii="宋体" w:hAnsi="宋体" w:cs="宋体"/>
          <w:b/>
          <w:bCs/>
          <w:color w:val="auto"/>
          <w:kern w:val="0"/>
          <w:sz w:val="22"/>
          <w:szCs w:val="22"/>
          <w:highlight w:val="none"/>
        </w:rPr>
      </w:pPr>
    </w:p>
    <w:p w14:paraId="273C1CA5">
      <w:pPr>
        <w:spacing w:line="420" w:lineRule="exact"/>
        <w:rPr>
          <w:rFonts w:ascii="宋体" w:hAnsi="宋体" w:cs="宋体"/>
          <w:b/>
          <w:bCs/>
          <w:color w:val="auto"/>
          <w:kern w:val="0"/>
          <w:sz w:val="22"/>
          <w:szCs w:val="22"/>
          <w:highlight w:val="none"/>
        </w:rPr>
      </w:pPr>
    </w:p>
    <w:p w14:paraId="3EDB6BC1">
      <w:pPr>
        <w:spacing w:line="420" w:lineRule="exact"/>
        <w:rPr>
          <w:rFonts w:ascii="宋体" w:hAnsi="宋体" w:cs="宋体"/>
          <w:b/>
          <w:bCs/>
          <w:color w:val="auto"/>
          <w:kern w:val="0"/>
          <w:sz w:val="22"/>
          <w:szCs w:val="22"/>
          <w:highlight w:val="none"/>
        </w:rPr>
      </w:pPr>
    </w:p>
    <w:p w14:paraId="5870310C">
      <w:pPr>
        <w:widowControl/>
        <w:jc w:val="left"/>
        <w:rPr>
          <w:rFonts w:ascii="方正黑体_GBK" w:hAnsi="方正黑体_GBK" w:eastAsia="方正黑体_GBK" w:cs="方正黑体_GBK"/>
          <w:b/>
          <w:bCs/>
          <w:color w:val="auto"/>
          <w:kern w:val="0"/>
          <w:sz w:val="28"/>
          <w:szCs w:val="28"/>
          <w:highlight w:val="none"/>
        </w:rPr>
      </w:pPr>
      <w:bookmarkStart w:id="497" w:name="_Toc469384081"/>
      <w:r>
        <w:rPr>
          <w:rFonts w:ascii="方正黑体_GBK" w:hAnsi="方正黑体_GBK" w:eastAsia="方正黑体_GBK" w:cs="方正黑体_GBK"/>
          <w:b/>
          <w:bCs/>
          <w:color w:val="auto"/>
          <w:highlight w:val="none"/>
        </w:rPr>
        <w:br w:type="page"/>
      </w:r>
    </w:p>
    <w:p w14:paraId="4810611B">
      <w:pPr>
        <w:pStyle w:val="2"/>
        <w:tabs>
          <w:tab w:val="left" w:pos="420"/>
          <w:tab w:val="clear" w:pos="432"/>
        </w:tabs>
        <w:spacing w:line="420" w:lineRule="exact"/>
        <w:ind w:left="433" w:leftChars="206" w:firstLine="137" w:firstLineChars="49"/>
        <w:jc w:val="center"/>
        <w:rPr>
          <w:rFonts w:ascii="方正黑体_GBK" w:hAnsi="方正黑体_GBK" w:eastAsia="方正黑体_GBK" w:cs="方正黑体_GBK"/>
          <w:b/>
          <w:bCs/>
          <w:color w:val="auto"/>
          <w:highlight w:val="none"/>
        </w:rPr>
      </w:pPr>
      <w:bookmarkStart w:id="498" w:name="_Toc13991"/>
      <w:bookmarkStart w:id="499" w:name="_Toc23825"/>
      <w:bookmarkStart w:id="500" w:name="_Toc14194"/>
      <w:bookmarkStart w:id="501" w:name="_Toc14187"/>
      <w:bookmarkStart w:id="502" w:name="_Toc10308"/>
      <w:bookmarkStart w:id="503" w:name="_Toc155166151"/>
      <w:bookmarkStart w:id="504" w:name="_Toc25008"/>
      <w:r>
        <w:rPr>
          <w:rFonts w:hint="eastAsia" w:ascii="方正黑体_GBK" w:hAnsi="方正黑体_GBK" w:eastAsia="方正黑体_GBK" w:cs="方正黑体_GBK"/>
          <w:b/>
          <w:bCs/>
          <w:color w:val="auto"/>
          <w:highlight w:val="none"/>
        </w:rPr>
        <w:t>第三部分    专用条款</w:t>
      </w:r>
      <w:bookmarkEnd w:id="497"/>
      <w:bookmarkEnd w:id="498"/>
      <w:bookmarkEnd w:id="499"/>
      <w:bookmarkEnd w:id="500"/>
      <w:bookmarkEnd w:id="501"/>
      <w:bookmarkEnd w:id="502"/>
      <w:bookmarkEnd w:id="503"/>
      <w:bookmarkEnd w:id="504"/>
    </w:p>
    <w:p w14:paraId="22DD3EAD">
      <w:pPr>
        <w:spacing w:line="420" w:lineRule="exact"/>
        <w:jc w:val="center"/>
        <w:rPr>
          <w:rFonts w:ascii="宋体" w:hAnsi="宋体" w:cs="宋体"/>
          <w:b/>
          <w:bCs/>
          <w:color w:val="auto"/>
          <w:sz w:val="22"/>
          <w:szCs w:val="22"/>
          <w:highlight w:val="none"/>
        </w:rPr>
      </w:pPr>
    </w:p>
    <w:p w14:paraId="311805BB">
      <w:pPr>
        <w:pStyle w:val="3"/>
        <w:numPr>
          <w:ilvl w:val="0"/>
          <w:numId w:val="0"/>
        </w:numPr>
        <w:tabs>
          <w:tab w:val="left" w:pos="420"/>
        </w:tabs>
        <w:spacing w:line="420" w:lineRule="exact"/>
        <w:rPr>
          <w:rFonts w:hAnsi="宋体"/>
          <w:b/>
          <w:bCs/>
          <w:color w:val="auto"/>
          <w:sz w:val="22"/>
          <w:szCs w:val="22"/>
          <w:highlight w:val="none"/>
        </w:rPr>
      </w:pPr>
      <w:bookmarkStart w:id="505" w:name="_Toc155166152"/>
      <w:bookmarkStart w:id="506" w:name="_Toc6226"/>
      <w:bookmarkStart w:id="507" w:name="_Toc469384082"/>
      <w:bookmarkStart w:id="508" w:name="_Toc10769"/>
      <w:bookmarkStart w:id="509" w:name="_Toc24406"/>
      <w:bookmarkStart w:id="510" w:name="_Toc26177"/>
      <w:r>
        <w:rPr>
          <w:rFonts w:hint="eastAsia" w:hAnsi="宋体"/>
          <w:b/>
          <w:bCs/>
          <w:color w:val="auto"/>
          <w:sz w:val="22"/>
          <w:szCs w:val="22"/>
          <w:highlight w:val="none"/>
        </w:rPr>
        <w:t>1．定义</w:t>
      </w:r>
      <w:bookmarkEnd w:id="505"/>
      <w:bookmarkEnd w:id="506"/>
      <w:bookmarkEnd w:id="507"/>
      <w:bookmarkEnd w:id="508"/>
      <w:bookmarkEnd w:id="509"/>
      <w:bookmarkEnd w:id="510"/>
      <w:r>
        <w:rPr>
          <w:rFonts w:hint="eastAsia" w:hAnsi="宋体"/>
          <w:b/>
          <w:bCs/>
          <w:color w:val="auto"/>
          <w:sz w:val="22"/>
          <w:szCs w:val="22"/>
          <w:highlight w:val="none"/>
        </w:rPr>
        <w:t xml:space="preserve"> </w:t>
      </w:r>
    </w:p>
    <w:p w14:paraId="65F6D703">
      <w:pPr>
        <w:spacing w:line="420" w:lineRule="exact"/>
        <w:ind w:firstLine="220" w:firstLineChars="100"/>
        <w:rPr>
          <w:rFonts w:ascii="宋体" w:hAnsi="宋体" w:cs="宋体"/>
          <w:color w:val="auto"/>
          <w:sz w:val="22"/>
          <w:szCs w:val="22"/>
          <w:highlight w:val="none"/>
        </w:rPr>
      </w:pPr>
    </w:p>
    <w:p w14:paraId="420B9214">
      <w:pPr>
        <w:spacing w:line="42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1</w:t>
      </w:r>
      <w:r>
        <w:rPr>
          <w:rFonts w:ascii="宋体" w:hAnsi="宋体" w:cs="宋体"/>
          <w:color w:val="auto"/>
          <w:sz w:val="22"/>
          <w:szCs w:val="22"/>
          <w:highlight w:val="none"/>
        </w:rPr>
        <w:t>.43单位工程：</w:t>
      </w:r>
      <w:r>
        <w:rPr>
          <w:rFonts w:ascii="宋体" w:hAnsi="宋体" w:cs="宋体"/>
          <w:color w:val="auto"/>
          <w:sz w:val="22"/>
          <w:szCs w:val="22"/>
          <w:highlight w:val="none"/>
          <w:u w:val="single"/>
        </w:rPr>
        <w:t xml:space="preserve">                     </w:t>
      </w:r>
    </w:p>
    <w:p w14:paraId="10882805">
      <w:pPr>
        <w:autoSpaceDE w:val="0"/>
        <w:autoSpaceDN w:val="0"/>
        <w:adjustRightInd w:val="0"/>
        <w:spacing w:line="420" w:lineRule="exact"/>
        <w:ind w:firstLine="330" w:firstLineChars="150"/>
        <w:jc w:val="lef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名称：</w:t>
      </w:r>
      <w:r>
        <w:rPr>
          <w:rFonts w:hint="eastAsia" w:ascii="宋体" w:hAnsi="宋体" w:cs="宋体"/>
          <w:color w:val="auto"/>
          <w:kern w:val="0"/>
          <w:sz w:val="22"/>
          <w:szCs w:val="22"/>
          <w:highlight w:val="none"/>
          <w:u w:val="single"/>
        </w:rPr>
        <w:t xml:space="preserve">                                                                             </w:t>
      </w:r>
    </w:p>
    <w:p w14:paraId="122408C5">
      <w:pPr>
        <w:autoSpaceDE w:val="0"/>
        <w:autoSpaceDN w:val="0"/>
        <w:adjustRightInd w:val="0"/>
        <w:spacing w:line="420" w:lineRule="exact"/>
        <w:ind w:firstLine="330" w:firstLineChars="1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内容：</w:t>
      </w:r>
      <w:r>
        <w:rPr>
          <w:rFonts w:hint="eastAsia" w:ascii="宋体" w:hAnsi="宋体" w:cs="宋体"/>
          <w:color w:val="auto"/>
          <w:kern w:val="0"/>
          <w:sz w:val="22"/>
          <w:szCs w:val="22"/>
          <w:highlight w:val="none"/>
          <w:u w:val="single"/>
        </w:rPr>
        <w:t xml:space="preserve">                                                                            </w:t>
      </w:r>
    </w:p>
    <w:p w14:paraId="0D3351A3">
      <w:pPr>
        <w:autoSpaceDE w:val="0"/>
        <w:autoSpaceDN w:val="0"/>
        <w:adjustRightInd w:val="0"/>
        <w:spacing w:line="420" w:lineRule="exact"/>
        <w:ind w:firstLine="330" w:firstLineChars="1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范围：</w:t>
      </w:r>
      <w:r>
        <w:rPr>
          <w:rFonts w:hint="eastAsia" w:ascii="宋体" w:hAnsi="宋体" w:cs="宋体"/>
          <w:color w:val="auto"/>
          <w:kern w:val="0"/>
          <w:sz w:val="22"/>
          <w:szCs w:val="22"/>
          <w:highlight w:val="none"/>
          <w:u w:val="single"/>
        </w:rPr>
        <w:t xml:space="preserve">                                                                            </w:t>
      </w:r>
    </w:p>
    <w:p w14:paraId="7D6CCCBF">
      <w:pPr>
        <w:spacing w:line="42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1</w:t>
      </w:r>
      <w:r>
        <w:rPr>
          <w:rFonts w:ascii="宋体" w:hAnsi="宋体" w:cs="宋体"/>
          <w:color w:val="auto"/>
          <w:sz w:val="22"/>
          <w:szCs w:val="22"/>
          <w:highlight w:val="none"/>
        </w:rPr>
        <w:t>.55临时占地：</w:t>
      </w:r>
      <w:r>
        <w:rPr>
          <w:rFonts w:hint="eastAsia" w:ascii="宋体" w:hAnsi="宋体" w:cs="宋体"/>
          <w:color w:val="auto"/>
          <w:sz w:val="22"/>
          <w:szCs w:val="22"/>
          <w:highlight w:val="none"/>
          <w:u w:val="single"/>
        </w:rPr>
        <w:t>工程建设临时使用且可恢复原用途的土地</w:t>
      </w:r>
      <w:r>
        <w:rPr>
          <w:rFonts w:ascii="宋体" w:hAnsi="宋体" w:cs="宋体"/>
          <w:color w:val="auto"/>
          <w:sz w:val="22"/>
          <w:szCs w:val="22"/>
          <w:highlight w:val="none"/>
          <w:u w:val="single"/>
        </w:rPr>
        <w:t>。</w:t>
      </w:r>
    </w:p>
    <w:p w14:paraId="74C64A4F">
      <w:pPr>
        <w:autoSpaceDE w:val="0"/>
        <w:autoSpaceDN w:val="0"/>
        <w:adjustRightInd w:val="0"/>
        <w:spacing w:line="420" w:lineRule="exact"/>
        <w:ind w:firstLine="220" w:firstLineChars="1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1.53  所采用的书面形式包括： </w:t>
      </w:r>
    </w:p>
    <w:p w14:paraId="35FA1AEE">
      <w:pPr>
        <w:autoSpaceDE w:val="0"/>
        <w:autoSpaceDN w:val="0"/>
        <w:adjustRightInd w:val="0"/>
        <w:spacing w:line="420" w:lineRule="exact"/>
        <w:ind w:firstLine="330" w:firstLineChars="1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文书； </w:t>
      </w:r>
    </w:p>
    <w:p w14:paraId="7FAF3A5D">
      <w:pPr>
        <w:autoSpaceDE w:val="0"/>
        <w:autoSpaceDN w:val="0"/>
        <w:adjustRightInd w:val="0"/>
        <w:spacing w:line="420" w:lineRule="exact"/>
        <w:ind w:firstLine="330" w:firstLineChars="1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信件； </w:t>
      </w:r>
    </w:p>
    <w:p w14:paraId="7569F4F1">
      <w:pPr>
        <w:autoSpaceDE w:val="0"/>
        <w:autoSpaceDN w:val="0"/>
        <w:adjustRightInd w:val="0"/>
        <w:spacing w:line="420" w:lineRule="exact"/>
        <w:ind w:firstLine="330" w:firstLineChars="1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电报； </w:t>
      </w:r>
    </w:p>
    <w:p w14:paraId="13495C18">
      <w:pPr>
        <w:autoSpaceDE w:val="0"/>
        <w:autoSpaceDN w:val="0"/>
        <w:adjustRightInd w:val="0"/>
        <w:spacing w:line="420" w:lineRule="exact"/>
        <w:ind w:firstLine="330" w:firstLineChars="1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传真； </w:t>
      </w:r>
    </w:p>
    <w:p w14:paraId="39841EE7">
      <w:pPr>
        <w:autoSpaceDE w:val="0"/>
        <w:autoSpaceDN w:val="0"/>
        <w:adjustRightInd w:val="0"/>
        <w:spacing w:line="420" w:lineRule="exact"/>
        <w:ind w:firstLine="330" w:firstLineChars="1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电子邮件； </w:t>
      </w:r>
    </w:p>
    <w:p w14:paraId="250EA350">
      <w:pPr>
        <w:autoSpaceDE w:val="0"/>
        <w:autoSpaceDN w:val="0"/>
        <w:adjustRightInd w:val="0"/>
        <w:spacing w:line="420" w:lineRule="exact"/>
        <w:ind w:firstLine="330" w:firstLineChars="150"/>
        <w:jc w:val="lef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其他：</w:t>
      </w:r>
      <w:r>
        <w:rPr>
          <w:rFonts w:hint="eastAsia" w:ascii="宋体" w:hAnsi="宋体" w:cs="宋体"/>
          <w:color w:val="auto"/>
          <w:kern w:val="0"/>
          <w:sz w:val="22"/>
          <w:szCs w:val="22"/>
          <w:highlight w:val="none"/>
          <w:u w:val="single"/>
        </w:rPr>
        <w:t xml:space="preserve">                                                                           </w:t>
      </w:r>
    </w:p>
    <w:p w14:paraId="3C379BA3">
      <w:pPr>
        <w:autoSpaceDE w:val="0"/>
        <w:autoSpaceDN w:val="0"/>
        <w:adjustRightInd w:val="0"/>
        <w:spacing w:line="420" w:lineRule="exact"/>
        <w:ind w:firstLine="330" w:firstLineChars="150"/>
        <w:jc w:val="lef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1</w:t>
      </w:r>
      <w:r>
        <w:rPr>
          <w:rFonts w:ascii="宋体" w:hAnsi="宋体" w:cs="宋体"/>
          <w:color w:val="auto"/>
          <w:kern w:val="0"/>
          <w:sz w:val="22"/>
          <w:szCs w:val="22"/>
          <w:highlight w:val="none"/>
          <w:u w:val="single"/>
        </w:rPr>
        <w:t>.55</w:t>
      </w:r>
      <w:r>
        <w:rPr>
          <w:rFonts w:hint="eastAsia" w:ascii="宋体" w:hAnsi="宋体" w:cs="宋体"/>
          <w:color w:val="auto"/>
          <w:kern w:val="0"/>
          <w:sz w:val="22"/>
          <w:szCs w:val="22"/>
          <w:highlight w:val="none"/>
          <w:u w:val="single"/>
        </w:rPr>
        <w:t>绿色施工安全防护费：本合同所称“绿色施工安全防护费”指“安全生产措施费”。</w:t>
      </w:r>
    </w:p>
    <w:p w14:paraId="79AD56EC">
      <w:pPr>
        <w:spacing w:line="420" w:lineRule="exact"/>
        <w:rPr>
          <w:rFonts w:ascii="宋体" w:hAnsi="宋体" w:cs="宋体"/>
          <w:b/>
          <w:bCs/>
          <w:color w:val="auto"/>
          <w:sz w:val="22"/>
          <w:szCs w:val="22"/>
          <w:highlight w:val="none"/>
        </w:rPr>
      </w:pPr>
    </w:p>
    <w:p w14:paraId="596DAD0B">
      <w:pPr>
        <w:pStyle w:val="3"/>
        <w:numPr>
          <w:ilvl w:val="0"/>
          <w:numId w:val="0"/>
        </w:numPr>
        <w:tabs>
          <w:tab w:val="left" w:pos="420"/>
        </w:tabs>
        <w:spacing w:before="0" w:line="420" w:lineRule="exact"/>
        <w:rPr>
          <w:rFonts w:hAnsi="宋体"/>
          <w:b/>
          <w:bCs/>
          <w:color w:val="auto"/>
          <w:sz w:val="22"/>
          <w:szCs w:val="22"/>
          <w:highlight w:val="none"/>
        </w:rPr>
      </w:pPr>
      <w:bookmarkStart w:id="511" w:name="_Toc10068"/>
      <w:bookmarkStart w:id="512" w:name="_Toc155166153"/>
      <w:bookmarkStart w:id="513" w:name="_Toc24104"/>
      <w:bookmarkStart w:id="514" w:name="_Toc30634"/>
      <w:bookmarkStart w:id="515" w:name="_Toc469384083"/>
      <w:bookmarkStart w:id="516" w:name="_Toc12433"/>
      <w:r>
        <w:rPr>
          <w:rFonts w:hint="eastAsia" w:hAnsi="宋体"/>
          <w:b/>
          <w:bCs/>
          <w:color w:val="auto"/>
          <w:sz w:val="22"/>
          <w:szCs w:val="22"/>
          <w:highlight w:val="none"/>
        </w:rPr>
        <w:t>2．合同文件及解释</w:t>
      </w:r>
      <w:bookmarkEnd w:id="511"/>
      <w:bookmarkEnd w:id="512"/>
      <w:bookmarkEnd w:id="513"/>
      <w:bookmarkEnd w:id="514"/>
      <w:bookmarkEnd w:id="515"/>
      <w:bookmarkEnd w:id="516"/>
      <w:r>
        <w:rPr>
          <w:rFonts w:hint="eastAsia" w:hAnsi="宋体"/>
          <w:b/>
          <w:bCs/>
          <w:color w:val="auto"/>
          <w:sz w:val="22"/>
          <w:szCs w:val="22"/>
          <w:highlight w:val="none"/>
        </w:rPr>
        <w:t xml:space="preserve"> </w:t>
      </w:r>
    </w:p>
    <w:p w14:paraId="3F9411DF">
      <w:pPr>
        <w:spacing w:line="420" w:lineRule="exact"/>
        <w:ind w:firstLine="220" w:firstLineChars="100"/>
        <w:rPr>
          <w:rFonts w:ascii="宋体" w:hAnsi="宋体" w:cs="宋体"/>
          <w:color w:val="auto"/>
          <w:sz w:val="22"/>
          <w:szCs w:val="22"/>
          <w:highlight w:val="none"/>
        </w:rPr>
      </w:pPr>
    </w:p>
    <w:p w14:paraId="635836C5">
      <w:pPr>
        <w:spacing w:line="420" w:lineRule="exact"/>
        <w:ind w:firstLine="220" w:firstLineChars="100"/>
        <w:rPr>
          <w:rFonts w:ascii="宋体" w:hAnsi="宋体" w:cs="宋体"/>
          <w:color w:val="auto"/>
          <w:sz w:val="22"/>
          <w:szCs w:val="22"/>
          <w:highlight w:val="none"/>
        </w:rPr>
      </w:pPr>
      <w:bookmarkStart w:id="517" w:name="_Toc469384084"/>
      <w:r>
        <w:rPr>
          <w:rFonts w:hint="eastAsia" w:ascii="宋体" w:hAnsi="宋体" w:cs="宋体"/>
          <w:color w:val="auto"/>
          <w:sz w:val="22"/>
          <w:szCs w:val="22"/>
          <w:highlight w:val="none"/>
        </w:rPr>
        <w:t>2.2（1</w:t>
      </w:r>
      <w:r>
        <w:rPr>
          <w:rFonts w:ascii="宋体" w:hAnsi="宋体" w:cs="宋体"/>
          <w:color w:val="auto"/>
          <w:sz w:val="22"/>
          <w:szCs w:val="22"/>
          <w:highlight w:val="none"/>
        </w:rPr>
        <w:t>0</w:t>
      </w:r>
      <w:r>
        <w:rPr>
          <w:rFonts w:hint="eastAsia" w:ascii="宋体" w:hAnsi="宋体" w:cs="宋体"/>
          <w:color w:val="auto"/>
          <w:sz w:val="22"/>
          <w:szCs w:val="22"/>
          <w:highlight w:val="none"/>
        </w:rPr>
        <w:t xml:space="preserve">）专用条款约定的其他文件 </w:t>
      </w:r>
      <w:r>
        <w:rPr>
          <w:rFonts w:ascii="宋体" w:hAnsi="宋体" w:cs="宋体"/>
          <w:color w:val="auto"/>
          <w:sz w:val="22"/>
          <w:szCs w:val="22"/>
          <w:highlight w:val="none"/>
        </w:rPr>
        <w:t xml:space="preserve">          </w:t>
      </w:r>
    </w:p>
    <w:p w14:paraId="6C0F588B">
      <w:pPr>
        <w:spacing w:line="420" w:lineRule="exact"/>
        <w:ind w:firstLine="220" w:firstLineChars="100"/>
        <w:rPr>
          <w:rFonts w:ascii="宋体" w:hAnsi="宋体" w:cs="宋体"/>
          <w:color w:val="auto"/>
          <w:sz w:val="22"/>
          <w:szCs w:val="22"/>
          <w:highlight w:val="none"/>
        </w:rPr>
      </w:pPr>
      <w:r>
        <w:rPr>
          <w:rFonts w:ascii="宋体" w:hAnsi="宋体" w:cs="宋体"/>
          <w:color w:val="auto"/>
          <w:sz w:val="22"/>
          <w:szCs w:val="22"/>
          <w:highlight w:val="none"/>
        </w:rPr>
        <w:t xml:space="preserve"> </w:t>
      </w:r>
    </w:p>
    <w:p w14:paraId="444FF225">
      <w:pPr>
        <w:pStyle w:val="3"/>
        <w:numPr>
          <w:ilvl w:val="0"/>
          <w:numId w:val="0"/>
        </w:numPr>
        <w:tabs>
          <w:tab w:val="left" w:pos="420"/>
        </w:tabs>
        <w:spacing w:before="0" w:line="420" w:lineRule="exact"/>
        <w:rPr>
          <w:rFonts w:hAnsi="宋体"/>
          <w:b/>
          <w:bCs/>
          <w:color w:val="auto"/>
          <w:sz w:val="22"/>
          <w:szCs w:val="22"/>
          <w:highlight w:val="none"/>
        </w:rPr>
      </w:pPr>
      <w:bookmarkStart w:id="518" w:name="_Toc155166154"/>
      <w:bookmarkStart w:id="519" w:name="_Toc29658"/>
      <w:bookmarkStart w:id="520" w:name="_Toc13739"/>
      <w:bookmarkStart w:id="521" w:name="_Toc7431"/>
      <w:bookmarkStart w:id="522" w:name="_Toc30505"/>
      <w:r>
        <w:rPr>
          <w:rFonts w:hint="eastAsia" w:hAnsi="宋体"/>
          <w:b/>
          <w:bCs/>
          <w:color w:val="auto"/>
          <w:sz w:val="22"/>
          <w:szCs w:val="22"/>
          <w:highlight w:val="none"/>
        </w:rPr>
        <w:t>4．语言及适用的法律、标准与规范</w:t>
      </w:r>
      <w:bookmarkEnd w:id="517"/>
      <w:bookmarkEnd w:id="518"/>
      <w:bookmarkEnd w:id="519"/>
      <w:bookmarkEnd w:id="520"/>
      <w:bookmarkEnd w:id="521"/>
      <w:bookmarkEnd w:id="522"/>
      <w:r>
        <w:rPr>
          <w:rFonts w:hint="eastAsia" w:hAnsi="宋体"/>
          <w:b/>
          <w:bCs/>
          <w:color w:val="auto"/>
          <w:sz w:val="22"/>
          <w:szCs w:val="22"/>
          <w:highlight w:val="none"/>
        </w:rPr>
        <w:t xml:space="preserve"> </w:t>
      </w:r>
    </w:p>
    <w:p w14:paraId="76FEE9F8">
      <w:pPr>
        <w:autoSpaceDE w:val="0"/>
        <w:autoSpaceDN w:val="0"/>
        <w:adjustRightInd w:val="0"/>
        <w:spacing w:line="420" w:lineRule="exact"/>
        <w:ind w:firstLine="330" w:firstLineChars="150"/>
        <w:jc w:val="left"/>
        <w:rPr>
          <w:rFonts w:ascii="宋体" w:hAnsi="宋体" w:cs="宋体"/>
          <w:color w:val="auto"/>
          <w:kern w:val="0"/>
          <w:sz w:val="22"/>
          <w:szCs w:val="22"/>
          <w:highlight w:val="none"/>
        </w:rPr>
      </w:pPr>
    </w:p>
    <w:p w14:paraId="47F56D95">
      <w:pPr>
        <w:autoSpaceDE w:val="0"/>
        <w:autoSpaceDN w:val="0"/>
        <w:adjustRightInd w:val="0"/>
        <w:spacing w:line="420" w:lineRule="exact"/>
        <w:ind w:firstLine="330" w:firstLineChars="150"/>
        <w:jc w:val="left"/>
        <w:rPr>
          <w:rFonts w:ascii="宋体" w:hAnsi="宋体" w:cs="宋体"/>
          <w:color w:val="auto"/>
          <w:kern w:val="0"/>
          <w:sz w:val="22"/>
          <w:szCs w:val="22"/>
          <w:highlight w:val="none"/>
          <w:u w:val="single"/>
        </w:rPr>
      </w:pPr>
      <w:bookmarkStart w:id="523" w:name="_Toc469384085"/>
      <w:r>
        <w:rPr>
          <w:rFonts w:hint="eastAsia" w:ascii="宋体" w:hAnsi="宋体" w:cs="宋体"/>
          <w:color w:val="auto"/>
          <w:kern w:val="0"/>
          <w:sz w:val="22"/>
          <w:szCs w:val="22"/>
          <w:highlight w:val="none"/>
        </w:rPr>
        <w:t>4.3 约定适用的标准、规范的名称：</w:t>
      </w:r>
      <w:r>
        <w:rPr>
          <w:rFonts w:hint="eastAsia" w:ascii="宋体" w:hAnsi="宋体" w:cs="宋体"/>
          <w:color w:val="auto"/>
          <w:kern w:val="0"/>
          <w:sz w:val="22"/>
          <w:szCs w:val="22"/>
          <w:highlight w:val="none"/>
          <w:u w:val="single"/>
        </w:rPr>
        <w:t>需要明示的法律、行政法规：《中华人民共和国民法典》、《中华人民共和国建筑法》、《建设工程质量管理条例》、《建设工程安全生产管理条例》、《中华人民共和国招标投标法》及其它建设管理法律、法规及广州市、番禺区现行建设管理规定。</w:t>
      </w:r>
    </w:p>
    <w:p w14:paraId="1F503EC0">
      <w:pPr>
        <w:autoSpaceDE w:val="0"/>
        <w:autoSpaceDN w:val="0"/>
        <w:adjustRightInd w:val="0"/>
        <w:spacing w:line="420" w:lineRule="exact"/>
        <w:ind w:firstLine="330" w:firstLineChars="150"/>
        <w:jc w:val="left"/>
        <w:rPr>
          <w:rFonts w:ascii="宋体" w:hAnsi="宋体" w:cs="宋体"/>
          <w:color w:val="auto"/>
          <w:kern w:val="0"/>
          <w:sz w:val="22"/>
          <w:szCs w:val="22"/>
          <w:highlight w:val="none"/>
          <w:u w:val="single"/>
        </w:rPr>
      </w:pPr>
    </w:p>
    <w:p w14:paraId="1C302CA3">
      <w:pPr>
        <w:pStyle w:val="3"/>
        <w:numPr>
          <w:ilvl w:val="0"/>
          <w:numId w:val="0"/>
        </w:numPr>
        <w:tabs>
          <w:tab w:val="left" w:pos="420"/>
        </w:tabs>
        <w:spacing w:line="420" w:lineRule="exact"/>
        <w:rPr>
          <w:rFonts w:hAnsi="宋体"/>
          <w:b/>
          <w:bCs/>
          <w:color w:val="auto"/>
          <w:sz w:val="22"/>
          <w:szCs w:val="22"/>
          <w:highlight w:val="none"/>
        </w:rPr>
      </w:pPr>
      <w:bookmarkStart w:id="524" w:name="_Toc1168"/>
      <w:bookmarkStart w:id="525" w:name="_Toc12661"/>
      <w:bookmarkStart w:id="526" w:name="_Toc488"/>
      <w:bookmarkStart w:id="527" w:name="_Toc155166155"/>
      <w:bookmarkStart w:id="528" w:name="_Toc19501"/>
      <w:r>
        <w:rPr>
          <w:rFonts w:hint="eastAsia" w:hAnsi="宋体"/>
          <w:b/>
          <w:bCs/>
          <w:color w:val="auto"/>
          <w:sz w:val="22"/>
          <w:szCs w:val="22"/>
          <w:highlight w:val="none"/>
        </w:rPr>
        <w:t>5. 施工设计图纸</w:t>
      </w:r>
      <w:bookmarkEnd w:id="523"/>
      <w:bookmarkEnd w:id="524"/>
      <w:bookmarkEnd w:id="525"/>
      <w:bookmarkEnd w:id="526"/>
      <w:bookmarkEnd w:id="527"/>
      <w:bookmarkEnd w:id="528"/>
    </w:p>
    <w:p w14:paraId="6A2EB557">
      <w:pPr>
        <w:spacing w:line="420" w:lineRule="exact"/>
        <w:ind w:firstLine="220" w:firstLineChars="100"/>
        <w:rPr>
          <w:rFonts w:ascii="宋体" w:hAnsi="宋体" w:cs="宋体"/>
          <w:color w:val="auto"/>
          <w:sz w:val="22"/>
          <w:szCs w:val="22"/>
          <w:highlight w:val="none"/>
        </w:rPr>
      </w:pPr>
    </w:p>
    <w:p w14:paraId="39EF953C">
      <w:pPr>
        <w:spacing w:line="42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5.1 发包人提供施工设计图纸</w:t>
      </w:r>
    </w:p>
    <w:p w14:paraId="31F7F541">
      <w:pPr>
        <w:spacing w:line="420" w:lineRule="exact"/>
        <w:rPr>
          <w:rFonts w:ascii="宋体" w:hAnsi="宋体" w:cs="宋体"/>
          <w:color w:val="auto"/>
          <w:kern w:val="0"/>
          <w:sz w:val="22"/>
          <w:szCs w:val="22"/>
          <w:highlight w:val="none"/>
          <w:u w:val="single"/>
        </w:rPr>
      </w:pPr>
      <w:r>
        <w:rPr>
          <w:rFonts w:hint="eastAsia" w:ascii="宋体" w:hAnsi="宋体" w:cs="宋体"/>
          <w:color w:val="auto"/>
          <w:sz w:val="22"/>
          <w:szCs w:val="22"/>
          <w:highlight w:val="none"/>
        </w:rPr>
        <w:t xml:space="preserve">  （1）提供的时间：</w:t>
      </w:r>
      <w:r>
        <w:rPr>
          <w:rFonts w:hint="eastAsia" w:ascii="宋体" w:hAnsi="宋体" w:cs="宋体"/>
          <w:color w:val="auto"/>
          <w:kern w:val="0"/>
          <w:sz w:val="22"/>
          <w:szCs w:val="22"/>
          <w:highlight w:val="none"/>
          <w:u w:val="single"/>
        </w:rPr>
        <w:t>本合同签订后两个工作日内。</w:t>
      </w:r>
    </w:p>
    <w:p w14:paraId="1AC4E56B">
      <w:pPr>
        <w:spacing w:line="420" w:lineRule="exact"/>
        <w:rPr>
          <w:rFonts w:ascii="宋体" w:hAnsi="宋体" w:cs="宋体"/>
          <w:color w:val="auto"/>
          <w:kern w:val="0"/>
          <w:sz w:val="22"/>
          <w:szCs w:val="22"/>
          <w:highlight w:val="none"/>
          <w:u w:val="single"/>
        </w:rPr>
      </w:pPr>
      <w:r>
        <w:rPr>
          <w:rFonts w:hint="eastAsia" w:ascii="宋体" w:hAnsi="宋体" w:cs="宋体"/>
          <w:color w:val="auto"/>
          <w:sz w:val="22"/>
          <w:szCs w:val="22"/>
          <w:highlight w:val="none"/>
        </w:rPr>
        <w:t xml:space="preserve">  （2）提供的数量：</w:t>
      </w:r>
      <w:r>
        <w:rPr>
          <w:rFonts w:hint="eastAsia" w:ascii="宋体" w:hAnsi="宋体" w:cs="宋体"/>
          <w:color w:val="auto"/>
          <w:kern w:val="0"/>
          <w:sz w:val="22"/>
          <w:szCs w:val="22"/>
          <w:highlight w:val="none"/>
          <w:u w:val="single"/>
        </w:rPr>
        <w:t>4套。</w:t>
      </w:r>
    </w:p>
    <w:p w14:paraId="6F5A341E">
      <w:pPr>
        <w:spacing w:line="420" w:lineRule="exact"/>
        <w:ind w:firstLine="220" w:firstLineChars="100"/>
        <w:rPr>
          <w:rFonts w:ascii="宋体" w:hAnsi="宋体" w:cs="宋体"/>
          <w:color w:val="auto"/>
          <w:sz w:val="22"/>
          <w:szCs w:val="22"/>
          <w:highlight w:val="none"/>
        </w:rPr>
      </w:pPr>
      <w:r>
        <w:rPr>
          <w:rFonts w:ascii="宋体" w:hAnsi="宋体" w:cs="宋体"/>
          <w:color w:val="auto"/>
          <w:sz w:val="22"/>
          <w:szCs w:val="22"/>
          <w:highlight w:val="none"/>
        </w:rPr>
        <w:t>（</w:t>
      </w:r>
      <w:r>
        <w:rPr>
          <w:rFonts w:hint="eastAsia" w:ascii="宋体" w:hAnsi="宋体" w:cs="宋体"/>
          <w:color w:val="auto"/>
          <w:sz w:val="22"/>
          <w:szCs w:val="22"/>
          <w:highlight w:val="none"/>
        </w:rPr>
        <w:t>3</w:t>
      </w:r>
      <w:r>
        <w:rPr>
          <w:rFonts w:ascii="宋体" w:hAnsi="宋体" w:cs="宋体"/>
          <w:color w:val="auto"/>
          <w:sz w:val="22"/>
          <w:szCs w:val="22"/>
          <w:highlight w:val="none"/>
        </w:rPr>
        <w:t>）发包人按照合同条款本项的约定向承包人提供图纸。承包人需要增加图纸套数的，发包人应代为复制，复制费用由承包人承担。</w:t>
      </w:r>
    </w:p>
    <w:p w14:paraId="6FA57238">
      <w:pPr>
        <w:spacing w:line="420" w:lineRule="exact"/>
        <w:ind w:firstLine="220" w:firstLineChars="100"/>
        <w:rPr>
          <w:rFonts w:ascii="宋体" w:hAnsi="宋体" w:cs="宋体"/>
          <w:color w:val="auto"/>
          <w:sz w:val="22"/>
          <w:szCs w:val="22"/>
          <w:highlight w:val="none"/>
        </w:rPr>
      </w:pPr>
      <w:r>
        <w:rPr>
          <w:rFonts w:ascii="宋体" w:hAnsi="宋体" w:cs="宋体"/>
          <w:color w:val="auto"/>
          <w:sz w:val="22"/>
          <w:szCs w:val="22"/>
          <w:highlight w:val="none"/>
        </w:rPr>
        <w:t>（</w:t>
      </w:r>
      <w:r>
        <w:rPr>
          <w:rFonts w:hint="eastAsia" w:ascii="宋体" w:hAnsi="宋体" w:cs="宋体"/>
          <w:color w:val="auto"/>
          <w:sz w:val="22"/>
          <w:szCs w:val="22"/>
          <w:highlight w:val="none"/>
        </w:rPr>
        <w:t>4</w:t>
      </w:r>
      <w:r>
        <w:rPr>
          <w:rFonts w:ascii="宋体" w:hAnsi="宋体" w:cs="宋体"/>
          <w:color w:val="auto"/>
          <w:sz w:val="22"/>
          <w:szCs w:val="22"/>
          <w:highlight w:val="none"/>
        </w:rPr>
        <w:t>）在监理人批准合同条款第33.3款约定的合同进度计划或者合同条款33.3款约定的合同进度计划修改后7日历天内，承包人应当根据合同进度计划和本项约定的图纸提供期限和数量，编制或者修改图纸供应计划并报送监理人，其中应当载明承包人对各区段最新版本图纸（包括</w:t>
      </w:r>
      <w:r>
        <w:rPr>
          <w:rFonts w:hint="eastAsia" w:ascii="宋体" w:hAnsi="宋体" w:cs="宋体"/>
          <w:color w:val="auto"/>
          <w:sz w:val="22"/>
          <w:szCs w:val="22"/>
          <w:highlight w:val="none"/>
        </w:rPr>
        <w:t>通用</w:t>
      </w:r>
      <w:r>
        <w:rPr>
          <w:rFonts w:ascii="宋体" w:hAnsi="宋体" w:cs="宋体"/>
          <w:color w:val="auto"/>
          <w:sz w:val="22"/>
          <w:szCs w:val="22"/>
          <w:highlight w:val="none"/>
        </w:rPr>
        <w:t>条款第5.3项约定的图纸修改图）的最迟需求时间，监理人应当在收到图纸供应计划后7日历天内批复或提出修改意见，否则该图纸供应计划视为得到批准。经监理人批准的最新的图纸供应计划对合同双方有合同约束力，作为发包人或者监理人向承包人提供图纸的主要依据。发包人或者监理人不按照图纸供应计划提供图纸而导致承包人费用增加和（或）工期延误的，由发包人承担赔偿责任。承包人未按照本目约定的时间向监理人提交图纸供应计划，致使发包人或者监理人未能在合理的时间内提供相应图纸或者承包人未按照图纸供应计划组织施工所造成的费用增加和（或）工期延误由承包人承担。</w:t>
      </w:r>
    </w:p>
    <w:p w14:paraId="7547E50F">
      <w:pPr>
        <w:spacing w:line="420" w:lineRule="exact"/>
        <w:rPr>
          <w:rFonts w:ascii="宋体" w:hAnsi="宋体" w:cs="宋体"/>
          <w:color w:val="auto"/>
          <w:sz w:val="22"/>
          <w:szCs w:val="22"/>
          <w:highlight w:val="none"/>
        </w:rPr>
      </w:pPr>
    </w:p>
    <w:p w14:paraId="2067DCBC">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5.2 承包人提供施工设计图纸</w:t>
      </w:r>
    </w:p>
    <w:p w14:paraId="4726F3F1">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sz w:val="22"/>
          <w:szCs w:val="22"/>
          <w:highlight w:val="none"/>
        </w:rPr>
        <w:t>（1）提供的时间：</w:t>
      </w:r>
      <w:r>
        <w:rPr>
          <w:rFonts w:hint="eastAsia" w:ascii="宋体" w:hAnsi="宋体" w:cs="宋体"/>
          <w:color w:val="auto"/>
          <w:kern w:val="0"/>
          <w:sz w:val="22"/>
          <w:szCs w:val="22"/>
          <w:highlight w:val="none"/>
          <w:u w:val="single"/>
        </w:rPr>
        <w:t>收到中标通知书后七日历天内。</w:t>
      </w:r>
    </w:p>
    <w:p w14:paraId="44986CF3">
      <w:pPr>
        <w:spacing w:line="420" w:lineRule="exact"/>
        <w:rPr>
          <w:rFonts w:ascii="宋体" w:hAnsi="宋体" w:cs="宋体"/>
          <w:color w:val="auto"/>
          <w:kern w:val="0"/>
          <w:sz w:val="22"/>
          <w:szCs w:val="22"/>
          <w:highlight w:val="none"/>
          <w:u w:val="single"/>
        </w:rPr>
      </w:pPr>
      <w:r>
        <w:rPr>
          <w:rFonts w:hint="eastAsia" w:ascii="宋体" w:hAnsi="宋体" w:cs="宋体"/>
          <w:color w:val="auto"/>
          <w:sz w:val="22"/>
          <w:szCs w:val="22"/>
          <w:highlight w:val="none"/>
        </w:rPr>
        <w:t xml:space="preserve">  （2）提供的数量：</w:t>
      </w:r>
      <w:r>
        <w:rPr>
          <w:rFonts w:hint="eastAsia" w:ascii="宋体" w:hAnsi="宋体" w:cs="宋体"/>
          <w:color w:val="auto"/>
          <w:kern w:val="0"/>
          <w:sz w:val="22"/>
          <w:szCs w:val="22"/>
          <w:highlight w:val="none"/>
          <w:u w:val="single"/>
        </w:rPr>
        <w:t>一正三副</w:t>
      </w:r>
      <w:r>
        <w:rPr>
          <w:rFonts w:ascii="宋体" w:hAnsi="宋体" w:cs="宋体"/>
          <w:color w:val="auto"/>
          <w:kern w:val="0"/>
          <w:sz w:val="22"/>
          <w:szCs w:val="22"/>
          <w:highlight w:val="none"/>
          <w:u w:val="single"/>
        </w:rPr>
        <w:t>。</w:t>
      </w:r>
    </w:p>
    <w:p w14:paraId="3CF4213C">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sz w:val="22"/>
          <w:szCs w:val="22"/>
          <w:highlight w:val="none"/>
        </w:rPr>
        <w:t>（3）监理工程师答复的时间：</w:t>
      </w:r>
      <w:r>
        <w:rPr>
          <w:rFonts w:hint="eastAsia" w:ascii="宋体" w:hAnsi="宋体" w:cs="宋体"/>
          <w:color w:val="auto"/>
          <w:kern w:val="0"/>
          <w:sz w:val="22"/>
          <w:szCs w:val="22"/>
          <w:highlight w:val="none"/>
          <w:u w:val="single"/>
        </w:rPr>
        <w:t>收到承包人提供的资料后五个日历天内</w:t>
      </w:r>
      <w:r>
        <w:rPr>
          <w:rFonts w:ascii="宋体" w:hAnsi="宋体" w:cs="宋体"/>
          <w:color w:val="auto"/>
          <w:kern w:val="0"/>
          <w:sz w:val="22"/>
          <w:szCs w:val="22"/>
          <w:highlight w:val="none"/>
          <w:u w:val="single"/>
        </w:rPr>
        <w:t>。</w:t>
      </w:r>
    </w:p>
    <w:p w14:paraId="29C660F3">
      <w:pPr>
        <w:spacing w:line="420" w:lineRule="exact"/>
        <w:ind w:firstLine="220" w:firstLineChars="100"/>
        <w:rPr>
          <w:rFonts w:ascii="宋体" w:hAnsi="宋体" w:cs="宋体"/>
          <w:color w:val="auto"/>
          <w:sz w:val="22"/>
          <w:szCs w:val="22"/>
          <w:highlight w:val="none"/>
        </w:rPr>
      </w:pPr>
      <w:r>
        <w:rPr>
          <w:rFonts w:ascii="宋体" w:hAnsi="宋体" w:cs="宋体"/>
          <w:color w:val="auto"/>
          <w:sz w:val="22"/>
          <w:szCs w:val="22"/>
          <w:highlight w:val="none"/>
        </w:rPr>
        <w:t>（4）除通用条款第</w:t>
      </w:r>
      <w:r>
        <w:rPr>
          <w:rFonts w:hint="eastAsia" w:ascii="宋体" w:hAnsi="宋体" w:cs="宋体"/>
          <w:color w:val="auto"/>
          <w:sz w:val="22"/>
          <w:szCs w:val="22"/>
          <w:highlight w:val="none"/>
        </w:rPr>
        <w:t>5</w:t>
      </w:r>
      <w:r>
        <w:rPr>
          <w:rFonts w:ascii="宋体" w:hAnsi="宋体" w:cs="宋体"/>
          <w:color w:val="auto"/>
          <w:sz w:val="22"/>
          <w:szCs w:val="22"/>
          <w:highlight w:val="none"/>
        </w:rPr>
        <w:t>.2项的由承包人提供的设计图纸外，本项约定的其他应由承包人提供的文件，包括必要的</w:t>
      </w:r>
      <w:r>
        <w:rPr>
          <w:rFonts w:hint="eastAsia" w:ascii="宋体" w:hAnsi="宋体" w:cs="宋体"/>
          <w:color w:val="auto"/>
          <w:sz w:val="22"/>
          <w:szCs w:val="22"/>
          <w:highlight w:val="none"/>
        </w:rPr>
        <w:t>施工组织设计、专项方案、人员架构、联系方式等</w:t>
      </w:r>
      <w:r>
        <w:rPr>
          <w:rFonts w:ascii="宋体" w:hAnsi="宋体" w:cs="宋体"/>
          <w:color w:val="auto"/>
          <w:sz w:val="22"/>
          <w:szCs w:val="22"/>
          <w:highlight w:val="none"/>
        </w:rPr>
        <w:t>，均不是合同计量与支付的依据文件。</w:t>
      </w:r>
    </w:p>
    <w:p w14:paraId="68956323">
      <w:pPr>
        <w:spacing w:line="420" w:lineRule="exact"/>
        <w:rPr>
          <w:rFonts w:ascii="宋体" w:hAnsi="宋体" w:cs="宋体"/>
          <w:color w:val="auto"/>
          <w:sz w:val="22"/>
          <w:szCs w:val="22"/>
          <w:highlight w:val="none"/>
        </w:rPr>
      </w:pPr>
    </w:p>
    <w:p w14:paraId="61FFAAC2">
      <w:pPr>
        <w:pStyle w:val="3"/>
        <w:numPr>
          <w:ilvl w:val="0"/>
          <w:numId w:val="0"/>
        </w:numPr>
        <w:tabs>
          <w:tab w:val="left" w:pos="420"/>
        </w:tabs>
        <w:spacing w:line="420" w:lineRule="exact"/>
        <w:rPr>
          <w:rFonts w:hAnsi="宋体"/>
          <w:b/>
          <w:bCs/>
          <w:color w:val="auto"/>
          <w:sz w:val="22"/>
          <w:szCs w:val="22"/>
          <w:highlight w:val="none"/>
        </w:rPr>
      </w:pPr>
      <w:bookmarkStart w:id="529" w:name="_Toc21634"/>
      <w:bookmarkStart w:id="530" w:name="_Toc14988"/>
      <w:bookmarkStart w:id="531" w:name="_Toc469384086"/>
      <w:bookmarkStart w:id="532" w:name="_Toc155166156"/>
      <w:bookmarkStart w:id="533" w:name="_Toc24948"/>
      <w:bookmarkStart w:id="534" w:name="_Toc26097"/>
      <w:r>
        <w:rPr>
          <w:rFonts w:hint="eastAsia" w:hAnsi="宋体"/>
          <w:b/>
          <w:bCs/>
          <w:color w:val="auto"/>
          <w:sz w:val="22"/>
          <w:szCs w:val="22"/>
          <w:highlight w:val="none"/>
        </w:rPr>
        <w:t>6. 通信联络</w:t>
      </w:r>
      <w:bookmarkEnd w:id="529"/>
      <w:bookmarkEnd w:id="530"/>
      <w:bookmarkEnd w:id="531"/>
      <w:bookmarkEnd w:id="532"/>
      <w:bookmarkEnd w:id="533"/>
      <w:bookmarkEnd w:id="534"/>
    </w:p>
    <w:p w14:paraId="2AE16EA8">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0F51CA3F">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6.2各方通讯地址、收件人及其他送达方式</w:t>
      </w:r>
    </w:p>
    <w:p w14:paraId="07805751">
      <w:pPr>
        <w:numPr>
          <w:ilvl w:val="0"/>
          <w:numId w:val="28"/>
        </w:num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各方通讯地址和收件人：</w:t>
      </w:r>
    </w:p>
    <w:p w14:paraId="1762C94C">
      <w:pPr>
        <w:spacing w:line="42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发包人：</w:t>
      </w:r>
      <w:r>
        <w:rPr>
          <w:rFonts w:hint="eastAsia" w:ascii="宋体" w:hAnsi="宋体" w:cs="宋体"/>
          <w:color w:val="auto"/>
          <w:sz w:val="22"/>
          <w:szCs w:val="22"/>
          <w:highlight w:val="none"/>
          <w:u w:val="single"/>
        </w:rPr>
        <w:t xml:space="preserve">                                                                            </w:t>
      </w:r>
    </w:p>
    <w:p w14:paraId="77572A3F">
      <w:pPr>
        <w:spacing w:line="42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通讯地址：</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收件人：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邮政编码：</w:t>
      </w:r>
      <w:r>
        <w:rPr>
          <w:rFonts w:hint="eastAsia" w:ascii="宋体" w:hAnsi="宋体" w:cs="宋体"/>
          <w:color w:val="auto"/>
          <w:sz w:val="22"/>
          <w:szCs w:val="22"/>
          <w:highlight w:val="none"/>
          <w:u w:val="single"/>
        </w:rPr>
        <w:t xml:space="preserve">                  </w:t>
      </w:r>
    </w:p>
    <w:p w14:paraId="5E3E666F">
      <w:pPr>
        <w:spacing w:line="42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 xml:space="preserve">承包人： </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p>
    <w:p w14:paraId="2C4236E1">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rPr>
        <w:t>通讯地址：</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收件人：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邮政编码：</w:t>
      </w:r>
      <w:r>
        <w:rPr>
          <w:rFonts w:hint="eastAsia" w:ascii="宋体" w:hAnsi="宋体" w:cs="宋体"/>
          <w:color w:val="auto"/>
          <w:sz w:val="22"/>
          <w:szCs w:val="22"/>
          <w:highlight w:val="none"/>
          <w:u w:val="single"/>
        </w:rPr>
        <w:t xml:space="preserve">                   </w:t>
      </w:r>
    </w:p>
    <w:p w14:paraId="34EF9D18">
      <w:pPr>
        <w:spacing w:line="42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监理人：</w:t>
      </w:r>
      <w:r>
        <w:rPr>
          <w:rFonts w:hint="eastAsia" w:ascii="宋体" w:hAnsi="宋体" w:cs="宋体"/>
          <w:color w:val="auto"/>
          <w:sz w:val="22"/>
          <w:szCs w:val="22"/>
          <w:highlight w:val="none"/>
          <w:u w:val="single"/>
        </w:rPr>
        <w:t>（另详本项目《委托监理合同》）</w:t>
      </w:r>
      <w:r>
        <w:rPr>
          <w:rFonts w:hint="eastAsia" w:ascii="宋体" w:hAnsi="宋体" w:cs="宋体"/>
          <w:color w:val="auto"/>
          <w:sz w:val="22"/>
          <w:szCs w:val="22"/>
          <w:highlight w:val="none"/>
        </w:rPr>
        <w:t xml:space="preserve"> </w:t>
      </w:r>
    </w:p>
    <w:p w14:paraId="7B91873E">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rPr>
        <w:t>通讯地址：</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收件人：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邮政编码：</w:t>
      </w:r>
      <w:r>
        <w:rPr>
          <w:rFonts w:hint="eastAsia" w:ascii="宋体" w:hAnsi="宋体" w:cs="宋体"/>
          <w:color w:val="auto"/>
          <w:sz w:val="22"/>
          <w:szCs w:val="22"/>
          <w:highlight w:val="none"/>
          <w:u w:val="single"/>
        </w:rPr>
        <w:t xml:space="preserve">                   </w:t>
      </w:r>
    </w:p>
    <w:p w14:paraId="7959E970">
      <w:pPr>
        <w:spacing w:line="42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 xml:space="preserve">工程造价咨询人（如有）： </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p>
    <w:p w14:paraId="74E5FA95">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rPr>
        <w:t>通讯地址：</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收件人：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邮政编码：</w:t>
      </w:r>
      <w:r>
        <w:rPr>
          <w:rFonts w:hint="eastAsia" w:ascii="宋体" w:hAnsi="宋体" w:cs="宋体"/>
          <w:color w:val="auto"/>
          <w:sz w:val="22"/>
          <w:szCs w:val="22"/>
          <w:highlight w:val="none"/>
          <w:u w:val="single"/>
        </w:rPr>
        <w:t xml:space="preserve">                   </w:t>
      </w:r>
    </w:p>
    <w:p w14:paraId="0134A32B">
      <w:pPr>
        <w:numPr>
          <w:ilvl w:val="0"/>
          <w:numId w:val="28"/>
        </w:num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视为送达的其他方式：</w:t>
      </w:r>
      <w:r>
        <w:rPr>
          <w:rFonts w:hint="eastAsia" w:ascii="宋体" w:hAnsi="宋体" w:cs="宋体"/>
          <w:color w:val="auto"/>
          <w:sz w:val="22"/>
          <w:szCs w:val="22"/>
          <w:highlight w:val="none"/>
          <w:u w:val="single"/>
        </w:rPr>
        <w:t xml:space="preserve">                                                             </w:t>
      </w:r>
    </w:p>
    <w:p w14:paraId="3121CF72">
      <w:pPr>
        <w:numPr>
          <w:ilvl w:val="0"/>
          <w:numId w:val="29"/>
        </w:numPr>
        <w:tabs>
          <w:tab w:val="left" w:pos="720"/>
        </w:tabs>
        <w:spacing w:line="420" w:lineRule="exact"/>
        <w:rPr>
          <w:rFonts w:ascii="宋体" w:hAnsi="宋体" w:cs="宋体"/>
          <w:color w:val="auto"/>
          <w:sz w:val="22"/>
          <w:szCs w:val="22"/>
          <w:highlight w:val="none"/>
        </w:rPr>
      </w:pPr>
      <w:r>
        <w:rPr>
          <w:rFonts w:ascii="宋体" w:hAnsi="宋体" w:cs="宋体"/>
          <w:color w:val="auto"/>
          <w:sz w:val="22"/>
          <w:szCs w:val="22"/>
          <w:highlight w:val="none"/>
        </w:rPr>
        <w:t>联络来往信函的送达期限：合同约定了发出期限的，送达期限为合同约定的发出期限后的24小时内；合同约定了通知、提供或者报送期限的，通知、提供或者报送期限即为送达期限。</w:t>
      </w:r>
    </w:p>
    <w:p w14:paraId="2C7BF2DB">
      <w:pPr>
        <w:numPr>
          <w:ilvl w:val="0"/>
          <w:numId w:val="29"/>
        </w:numPr>
        <w:tabs>
          <w:tab w:val="left" w:pos="720"/>
        </w:tabs>
        <w:spacing w:line="420" w:lineRule="exact"/>
        <w:rPr>
          <w:rFonts w:ascii="宋体" w:hAnsi="宋体" w:cs="宋体"/>
          <w:color w:val="auto"/>
          <w:sz w:val="22"/>
          <w:szCs w:val="22"/>
          <w:highlight w:val="none"/>
        </w:rPr>
      </w:pPr>
      <w:r>
        <w:rPr>
          <w:rFonts w:ascii="宋体" w:hAnsi="宋体" w:cs="宋体"/>
          <w:color w:val="auto"/>
          <w:sz w:val="22"/>
          <w:szCs w:val="22"/>
          <w:highlight w:val="none"/>
        </w:rPr>
        <w:t>承包人指定的接收人为合同协议书中载明的承包人</w:t>
      </w:r>
      <w:r>
        <w:rPr>
          <w:rFonts w:hint="eastAsia" w:ascii="宋体" w:hAnsi="宋体" w:cs="宋体"/>
          <w:color w:val="auto"/>
          <w:sz w:val="22"/>
          <w:szCs w:val="22"/>
          <w:highlight w:val="none"/>
        </w:rPr>
        <w:t>代表</w:t>
      </w:r>
      <w:r>
        <w:rPr>
          <w:rFonts w:ascii="宋体" w:hAnsi="宋体" w:cs="宋体"/>
          <w:color w:val="auto"/>
          <w:sz w:val="22"/>
          <w:szCs w:val="22"/>
          <w:highlight w:val="none"/>
        </w:rPr>
        <w:t>本人或者承包人代表的授权代表。承包人应在收到开工通知后7个日历天内，将授权代表其接收来往信函的承包人代表的授权代表姓名和授权范围通知监理人。除合同另有约定外，承包人施工场地管理机构的办公地点即为承包人指定的接收地点。</w:t>
      </w:r>
    </w:p>
    <w:p w14:paraId="14E83D8B">
      <w:pPr>
        <w:numPr>
          <w:ilvl w:val="0"/>
          <w:numId w:val="29"/>
        </w:numPr>
        <w:tabs>
          <w:tab w:val="left" w:pos="720"/>
        </w:tabs>
        <w:spacing w:line="420" w:lineRule="exact"/>
        <w:rPr>
          <w:rFonts w:ascii="宋体" w:hAnsi="宋体" w:cs="宋体"/>
          <w:color w:val="auto"/>
          <w:sz w:val="22"/>
          <w:szCs w:val="22"/>
          <w:highlight w:val="none"/>
        </w:rPr>
      </w:pPr>
      <w:r>
        <w:rPr>
          <w:rFonts w:ascii="宋体" w:hAnsi="宋体" w:cs="宋体"/>
          <w:color w:val="auto"/>
          <w:sz w:val="22"/>
          <w:szCs w:val="22"/>
          <w:highlight w:val="none"/>
        </w:rPr>
        <w:t>发包人（包括监理人）和承包人中任何一方指定的接收人或者接收地点发生变动，应当在实际变动前提前至少一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p>
    <w:p w14:paraId="18EE5A34">
      <w:pPr>
        <w:numPr>
          <w:ilvl w:val="0"/>
          <w:numId w:val="29"/>
        </w:numPr>
        <w:tabs>
          <w:tab w:val="left" w:pos="720"/>
        </w:tabs>
        <w:spacing w:line="420" w:lineRule="exact"/>
        <w:rPr>
          <w:rFonts w:ascii="宋体" w:hAnsi="宋体" w:cs="宋体"/>
          <w:color w:val="auto"/>
          <w:sz w:val="22"/>
          <w:szCs w:val="22"/>
          <w:highlight w:val="none"/>
        </w:rPr>
      </w:pPr>
      <w:r>
        <w:rPr>
          <w:rFonts w:ascii="宋体" w:hAnsi="宋体" w:cs="宋体"/>
          <w:color w:val="auto"/>
          <w:sz w:val="22"/>
          <w:szCs w:val="22"/>
          <w:highlight w:val="none"/>
        </w:rPr>
        <w:t>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14:paraId="43BE33DB">
      <w:pPr>
        <w:spacing w:line="420" w:lineRule="exact"/>
        <w:ind w:left="120"/>
        <w:rPr>
          <w:rFonts w:ascii="宋体" w:hAnsi="宋体" w:cs="宋体"/>
          <w:color w:val="auto"/>
          <w:sz w:val="22"/>
          <w:szCs w:val="22"/>
          <w:highlight w:val="none"/>
        </w:rPr>
      </w:pPr>
    </w:p>
    <w:p w14:paraId="3A4433AE">
      <w:pPr>
        <w:pStyle w:val="3"/>
        <w:numPr>
          <w:ilvl w:val="0"/>
          <w:numId w:val="0"/>
        </w:numPr>
        <w:tabs>
          <w:tab w:val="left" w:pos="420"/>
        </w:tabs>
        <w:spacing w:before="0" w:line="420" w:lineRule="exact"/>
        <w:rPr>
          <w:rFonts w:hAnsi="宋体"/>
          <w:b/>
          <w:bCs/>
          <w:color w:val="auto"/>
          <w:sz w:val="22"/>
          <w:szCs w:val="22"/>
          <w:highlight w:val="none"/>
        </w:rPr>
      </w:pPr>
      <w:bookmarkStart w:id="535" w:name="_Toc23989"/>
      <w:bookmarkStart w:id="536" w:name="_Toc469384087"/>
      <w:bookmarkStart w:id="537" w:name="_Toc4970"/>
      <w:bookmarkStart w:id="538" w:name="_Toc155166157"/>
      <w:bookmarkStart w:id="539" w:name="_Toc4174"/>
      <w:bookmarkStart w:id="540" w:name="_Toc18276"/>
      <w:r>
        <w:rPr>
          <w:rFonts w:hint="eastAsia" w:hAnsi="宋体"/>
          <w:b/>
          <w:bCs/>
          <w:color w:val="auto"/>
          <w:sz w:val="22"/>
          <w:szCs w:val="22"/>
          <w:highlight w:val="none"/>
        </w:rPr>
        <w:t>7. 工程分包</w:t>
      </w:r>
      <w:bookmarkEnd w:id="535"/>
      <w:bookmarkEnd w:id="536"/>
      <w:bookmarkEnd w:id="537"/>
      <w:bookmarkEnd w:id="538"/>
      <w:bookmarkEnd w:id="539"/>
      <w:bookmarkEnd w:id="540"/>
    </w:p>
    <w:p w14:paraId="7935ED27">
      <w:pPr>
        <w:spacing w:line="420" w:lineRule="exact"/>
        <w:ind w:firstLine="220" w:firstLineChars="100"/>
        <w:rPr>
          <w:rFonts w:ascii="宋体" w:hAnsi="宋体" w:cs="宋体"/>
          <w:color w:val="auto"/>
          <w:sz w:val="22"/>
          <w:szCs w:val="22"/>
          <w:highlight w:val="none"/>
        </w:rPr>
      </w:pPr>
    </w:p>
    <w:p w14:paraId="359E45CF">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w:t>
      </w:r>
      <w:r>
        <w:rPr>
          <w:rFonts w:ascii="宋体" w:hAnsi="宋体" w:cs="宋体"/>
          <w:color w:val="auto"/>
          <w:sz w:val="22"/>
          <w:szCs w:val="22"/>
          <w:highlight w:val="none"/>
        </w:rPr>
        <w:t>7.1</w:t>
      </w:r>
      <w:r>
        <w:rPr>
          <w:rFonts w:hint="eastAsia" w:ascii="宋体" w:hAnsi="宋体" w:cs="宋体"/>
          <w:color w:val="auto"/>
          <w:sz w:val="22"/>
          <w:szCs w:val="22"/>
          <w:highlight w:val="none"/>
        </w:rPr>
        <w:t>分包工程的要求：</w:t>
      </w:r>
      <w:r>
        <w:rPr>
          <w:rFonts w:hint="eastAsia" w:ascii="宋体" w:hAnsi="宋体" w:cs="宋体"/>
          <w:color w:val="auto"/>
          <w:sz w:val="22"/>
          <w:szCs w:val="22"/>
          <w:highlight w:val="none"/>
          <w:u w:val="single"/>
        </w:rPr>
        <w:t>发</w:t>
      </w:r>
      <w:r>
        <w:rPr>
          <w:rFonts w:ascii="宋体" w:hAnsi="宋体" w:cs="宋体"/>
          <w:color w:val="auto"/>
          <w:sz w:val="22"/>
          <w:szCs w:val="22"/>
          <w:highlight w:val="none"/>
          <w:u w:val="single"/>
        </w:rPr>
        <w:t>包人同意承包人分包的非主体、非关键性工作</w:t>
      </w:r>
      <w:r>
        <w:rPr>
          <w:rFonts w:hint="eastAsia" w:ascii="宋体" w:hAnsi="宋体" w:cs="宋体"/>
          <w:color w:val="auto"/>
          <w:sz w:val="22"/>
          <w:szCs w:val="22"/>
          <w:highlight w:val="none"/>
          <w:u w:val="single"/>
        </w:rPr>
        <w:t>为：</w:t>
      </w:r>
      <w:r>
        <w:rPr>
          <w:rFonts w:ascii="宋体" w:hAnsi="宋体" w:cs="宋体"/>
          <w:color w:val="auto"/>
          <w:sz w:val="22"/>
          <w:szCs w:val="22"/>
          <w:highlight w:val="none"/>
          <w:u w:val="single"/>
        </w:rPr>
        <w:t>除通用合同条款第7.1款的约定外，分包还应遵循以下约定：</w:t>
      </w:r>
    </w:p>
    <w:p w14:paraId="4DBC9091">
      <w:pPr>
        <w:spacing w:line="420" w:lineRule="exact"/>
        <w:ind w:firstLine="220" w:firstLineChars="100"/>
        <w:rPr>
          <w:rFonts w:hint="eastAsia" w:ascii="宋体" w:hAnsi="宋体" w:cs="宋体"/>
          <w:color w:val="auto"/>
          <w:sz w:val="22"/>
          <w:szCs w:val="22"/>
          <w:highlight w:val="none"/>
          <w:u w:val="single"/>
        </w:rPr>
      </w:pPr>
      <w:r>
        <w:rPr>
          <w:rFonts w:ascii="宋体" w:hAnsi="宋体" w:cs="宋体"/>
          <w:color w:val="auto"/>
          <w:sz w:val="22"/>
          <w:szCs w:val="22"/>
          <w:highlight w:val="none"/>
          <w:u w:val="single"/>
        </w:rPr>
        <w:t>（1）除</w:t>
      </w:r>
      <w:r>
        <w:rPr>
          <w:rFonts w:hint="eastAsia" w:ascii="宋体" w:hAnsi="宋体" w:cs="宋体"/>
          <w:color w:val="auto"/>
          <w:sz w:val="22"/>
          <w:szCs w:val="22"/>
          <w:highlight w:val="none"/>
          <w:u w:val="single"/>
        </w:rPr>
        <w:t>上述</w:t>
      </w:r>
      <w:r>
        <w:rPr>
          <w:rFonts w:ascii="宋体" w:hAnsi="宋体" w:cs="宋体"/>
          <w:color w:val="auto"/>
          <w:sz w:val="22"/>
          <w:szCs w:val="22"/>
          <w:highlight w:val="none"/>
          <w:u w:val="single"/>
        </w:rPr>
        <w:t>约定的分包内容外，</w:t>
      </w:r>
      <w:r>
        <w:rPr>
          <w:rFonts w:hint="eastAsia" w:ascii="宋体" w:hAnsi="宋体" w:cs="宋体"/>
          <w:color w:val="auto"/>
          <w:sz w:val="22"/>
          <w:szCs w:val="22"/>
          <w:highlight w:val="none"/>
          <w:u w:val="single"/>
        </w:rPr>
        <w:t>本工程主体内容不允许分包或转包，次要内容可进行专业分包。专业分包单位要符合相应资质要求，经业主同意，并通过专项验收。例如：供配电施工、防雷施工、自动化设施及操作系统等。</w:t>
      </w:r>
    </w:p>
    <w:p w14:paraId="644F621E">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（2）涉及到分包的工程，总包单位要对主要关键设备进行延保，如泵站、液压设备、启闭机设备、自动化操作系统及控制柜等。延保期较长的，可以按原要求退回履约保函，但总包单位必须提交延保合同。</w:t>
      </w:r>
    </w:p>
    <w:p w14:paraId="2154F00D">
      <w:pPr>
        <w:spacing w:line="420" w:lineRule="exact"/>
        <w:ind w:firstLine="220" w:firstLineChars="100"/>
        <w:rPr>
          <w:rFonts w:ascii="宋体" w:hAnsi="宋体" w:cs="宋体"/>
          <w:color w:val="auto"/>
          <w:sz w:val="22"/>
          <w:szCs w:val="22"/>
          <w:highlight w:val="none"/>
          <w:u w:val="single"/>
        </w:rPr>
      </w:pPr>
      <w:r>
        <w:rPr>
          <w:rFonts w:ascii="宋体" w:hAnsi="宋体" w:cs="宋体"/>
          <w:color w:val="auto"/>
          <w:sz w:val="22"/>
          <w:szCs w:val="22"/>
          <w:highlight w:val="none"/>
          <w:u w:val="single"/>
        </w:rPr>
        <w:t>（3）在相关分包合同签订并报送有关建设行政主管部门备案后7日历天内，承包人应当将一份副本提交给监理人，承包人应保障分包工作不得再次分包。</w:t>
      </w:r>
    </w:p>
    <w:p w14:paraId="3B6FFE8F">
      <w:pPr>
        <w:spacing w:line="420" w:lineRule="exact"/>
        <w:ind w:firstLine="220" w:firstLineChars="100"/>
        <w:rPr>
          <w:rFonts w:ascii="宋体" w:hAnsi="宋体" w:cs="宋体"/>
          <w:color w:val="auto"/>
          <w:sz w:val="22"/>
          <w:szCs w:val="22"/>
          <w:highlight w:val="none"/>
          <w:u w:val="single"/>
        </w:rPr>
      </w:pPr>
      <w:r>
        <w:rPr>
          <w:rFonts w:ascii="宋体" w:hAnsi="宋体" w:cs="宋体"/>
          <w:color w:val="auto"/>
          <w:sz w:val="22"/>
          <w:szCs w:val="22"/>
          <w:highlight w:val="none"/>
          <w:u w:val="single"/>
        </w:rPr>
        <w:t>（4）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03E12CF3">
      <w:pPr>
        <w:spacing w:line="420" w:lineRule="exact"/>
        <w:ind w:firstLine="220" w:firstLineChars="100"/>
        <w:rPr>
          <w:rFonts w:ascii="宋体" w:hAnsi="宋体" w:cs="宋体"/>
          <w:color w:val="auto"/>
          <w:sz w:val="22"/>
          <w:szCs w:val="22"/>
          <w:highlight w:val="none"/>
          <w:u w:val="single"/>
        </w:rPr>
      </w:pPr>
      <w:r>
        <w:rPr>
          <w:rFonts w:ascii="宋体" w:hAnsi="宋体" w:cs="宋体"/>
          <w:color w:val="auto"/>
          <w:sz w:val="22"/>
          <w:szCs w:val="22"/>
          <w:highlight w:val="none"/>
          <w:u w:val="single"/>
        </w:rPr>
        <w:t>（5）未经发包人和监理人审批同意的分包工程和分包人，发包人有权拒绝验收分包工程和支付相应款项，由此引起的发包人费用增加和（或）延误的工期由</w:t>
      </w:r>
      <w:r>
        <w:rPr>
          <w:rFonts w:hint="eastAsia" w:ascii="宋体" w:hAnsi="宋体" w:cs="宋体"/>
          <w:color w:val="auto"/>
          <w:sz w:val="22"/>
          <w:szCs w:val="22"/>
          <w:highlight w:val="none"/>
          <w:u w:val="single"/>
        </w:rPr>
        <w:t>承</w:t>
      </w:r>
      <w:r>
        <w:rPr>
          <w:rFonts w:ascii="宋体" w:hAnsi="宋体" w:cs="宋体"/>
          <w:color w:val="auto"/>
          <w:sz w:val="22"/>
          <w:szCs w:val="22"/>
          <w:highlight w:val="none"/>
          <w:u w:val="single"/>
        </w:rPr>
        <w:t>包人承担。</w:t>
      </w:r>
    </w:p>
    <w:p w14:paraId="4ACDBD68">
      <w:pPr>
        <w:spacing w:line="420" w:lineRule="exact"/>
        <w:ind w:left="120"/>
        <w:rPr>
          <w:rFonts w:ascii="宋体" w:hAnsi="宋体" w:cs="宋体"/>
          <w:color w:val="auto"/>
          <w:sz w:val="22"/>
          <w:szCs w:val="22"/>
          <w:highlight w:val="none"/>
        </w:rPr>
      </w:pPr>
    </w:p>
    <w:p w14:paraId="6BDAFCA5">
      <w:pPr>
        <w:spacing w:line="420" w:lineRule="exact"/>
        <w:ind w:left="120"/>
        <w:rPr>
          <w:rFonts w:ascii="宋体" w:hAnsi="宋体" w:cs="宋体"/>
          <w:color w:val="auto"/>
          <w:sz w:val="22"/>
          <w:szCs w:val="22"/>
          <w:highlight w:val="none"/>
          <w:u w:val="single"/>
        </w:rPr>
      </w:pPr>
      <w:r>
        <w:rPr>
          <w:rFonts w:hint="eastAsia" w:ascii="宋体" w:hAnsi="宋体" w:cs="宋体"/>
          <w:color w:val="auto"/>
          <w:sz w:val="22"/>
          <w:szCs w:val="22"/>
          <w:highlight w:val="none"/>
        </w:rPr>
        <w:t>7.2 指定分包工程名称：</w:t>
      </w:r>
      <w:r>
        <w:rPr>
          <w:rFonts w:hint="eastAsia" w:ascii="宋体" w:hAnsi="宋体" w:cs="宋体"/>
          <w:color w:val="auto"/>
          <w:sz w:val="22"/>
          <w:szCs w:val="22"/>
          <w:highlight w:val="none"/>
          <w:u w:val="single"/>
        </w:rPr>
        <w:t xml:space="preserve">                                                       </w:t>
      </w:r>
    </w:p>
    <w:p w14:paraId="2456B85C">
      <w:pPr>
        <w:spacing w:line="420" w:lineRule="exact"/>
        <w:ind w:left="120"/>
        <w:rPr>
          <w:rFonts w:ascii="宋体" w:hAnsi="宋体" w:cs="宋体"/>
          <w:color w:val="auto"/>
          <w:sz w:val="22"/>
          <w:szCs w:val="22"/>
          <w:highlight w:val="none"/>
          <w:u w:val="single"/>
        </w:rPr>
      </w:pPr>
    </w:p>
    <w:p w14:paraId="74CAEF08">
      <w:pPr>
        <w:spacing w:line="420" w:lineRule="exact"/>
        <w:ind w:left="120"/>
        <w:rPr>
          <w:rFonts w:ascii="宋体" w:hAnsi="宋体" w:cs="宋体"/>
          <w:color w:val="auto"/>
          <w:sz w:val="22"/>
          <w:szCs w:val="22"/>
          <w:highlight w:val="none"/>
        </w:rPr>
      </w:pPr>
      <w:r>
        <w:rPr>
          <w:rFonts w:hint="eastAsia" w:ascii="宋体" w:hAnsi="宋体" w:cs="宋体"/>
          <w:color w:val="auto"/>
          <w:sz w:val="22"/>
          <w:szCs w:val="22"/>
          <w:highlight w:val="none"/>
        </w:rPr>
        <w:t>7.4 分包工程款的支付方式：</w:t>
      </w:r>
      <w:r>
        <w:rPr>
          <w:rFonts w:hint="eastAsia" w:ascii="宋体" w:hAnsi="宋体" w:cs="宋体"/>
          <w:color w:val="auto"/>
          <w:sz w:val="22"/>
          <w:szCs w:val="22"/>
          <w:highlight w:val="none"/>
          <w:u w:val="single"/>
        </w:rPr>
        <w:t xml:space="preserve">                                                               </w:t>
      </w:r>
    </w:p>
    <w:p w14:paraId="2BF6A904">
      <w:pPr>
        <w:spacing w:line="420" w:lineRule="exact"/>
        <w:ind w:left="120"/>
        <w:rPr>
          <w:rFonts w:ascii="宋体" w:hAnsi="宋体" w:cs="宋体"/>
          <w:color w:val="auto"/>
          <w:sz w:val="22"/>
          <w:szCs w:val="22"/>
          <w:highlight w:val="none"/>
        </w:rPr>
      </w:pPr>
    </w:p>
    <w:p w14:paraId="129D9323">
      <w:pPr>
        <w:pStyle w:val="3"/>
        <w:numPr>
          <w:ilvl w:val="0"/>
          <w:numId w:val="0"/>
        </w:numPr>
        <w:tabs>
          <w:tab w:val="left" w:pos="420"/>
        </w:tabs>
        <w:spacing w:before="0" w:line="420" w:lineRule="exact"/>
        <w:rPr>
          <w:rFonts w:hAnsi="宋体"/>
          <w:color w:val="auto"/>
          <w:sz w:val="22"/>
          <w:szCs w:val="22"/>
          <w:highlight w:val="none"/>
        </w:rPr>
      </w:pPr>
      <w:bookmarkStart w:id="541" w:name="_Toc12135"/>
      <w:bookmarkStart w:id="542" w:name="_Toc24418"/>
      <w:bookmarkStart w:id="543" w:name="_Toc155166158"/>
      <w:bookmarkStart w:id="544" w:name="_Toc469384088"/>
      <w:bookmarkStart w:id="545" w:name="_Toc21429"/>
      <w:bookmarkStart w:id="546" w:name="_Toc26381"/>
      <w:r>
        <w:rPr>
          <w:rFonts w:hint="eastAsia" w:hAnsi="宋体"/>
          <w:b/>
          <w:bCs/>
          <w:color w:val="auto"/>
          <w:sz w:val="22"/>
          <w:szCs w:val="22"/>
          <w:highlight w:val="none"/>
        </w:rPr>
        <w:t>13. 交通运输</w:t>
      </w:r>
      <w:bookmarkEnd w:id="541"/>
      <w:bookmarkEnd w:id="542"/>
      <w:bookmarkEnd w:id="543"/>
      <w:bookmarkEnd w:id="544"/>
      <w:bookmarkEnd w:id="545"/>
      <w:bookmarkEnd w:id="546"/>
      <w:r>
        <w:rPr>
          <w:rFonts w:hint="eastAsia" w:hAnsi="宋体"/>
          <w:color w:val="auto"/>
          <w:sz w:val="22"/>
          <w:szCs w:val="22"/>
          <w:highlight w:val="none"/>
        </w:rPr>
        <w:t xml:space="preserve"> </w:t>
      </w:r>
    </w:p>
    <w:p w14:paraId="5414B449">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rPr>
        <w:t>13.1 办理道路通行权和修建场外设施的费用：</w:t>
      </w:r>
      <w:r>
        <w:rPr>
          <w:rFonts w:hint="eastAsia" w:ascii="宋体" w:hAnsi="宋体" w:cs="宋体"/>
          <w:color w:val="auto"/>
          <w:sz w:val="22"/>
          <w:szCs w:val="22"/>
          <w:highlight w:val="none"/>
          <w:u w:val="single"/>
        </w:rPr>
        <w:t>承包人</w:t>
      </w:r>
      <w:r>
        <w:rPr>
          <w:rFonts w:ascii="宋体" w:hAnsi="宋体" w:cs="宋体"/>
          <w:color w:val="auto"/>
          <w:sz w:val="22"/>
          <w:szCs w:val="22"/>
          <w:highlight w:val="none"/>
          <w:u w:val="single"/>
        </w:rPr>
        <w:t>，其相关费用由</w:t>
      </w:r>
      <w:r>
        <w:rPr>
          <w:rFonts w:hint="eastAsia" w:ascii="宋体" w:hAnsi="宋体" w:cs="宋体"/>
          <w:color w:val="auto"/>
          <w:sz w:val="22"/>
          <w:szCs w:val="22"/>
          <w:highlight w:val="none"/>
          <w:u w:val="single"/>
        </w:rPr>
        <w:t>承</w:t>
      </w:r>
      <w:r>
        <w:rPr>
          <w:rFonts w:ascii="宋体" w:hAnsi="宋体" w:cs="宋体"/>
          <w:color w:val="auto"/>
          <w:sz w:val="22"/>
          <w:szCs w:val="22"/>
          <w:highlight w:val="none"/>
          <w:u w:val="single"/>
        </w:rPr>
        <w:t>包人承担。</w:t>
      </w:r>
    </w:p>
    <w:p w14:paraId="41B0B169">
      <w:pPr>
        <w:spacing w:line="420" w:lineRule="exact"/>
        <w:ind w:left="120"/>
        <w:rPr>
          <w:rFonts w:ascii="宋体" w:hAnsi="宋体" w:cs="宋体"/>
          <w:color w:val="auto"/>
          <w:sz w:val="22"/>
          <w:szCs w:val="22"/>
          <w:highlight w:val="none"/>
          <w:u w:val="single"/>
        </w:rPr>
      </w:pPr>
    </w:p>
    <w:p w14:paraId="7DA73FCA">
      <w:pPr>
        <w:spacing w:line="360" w:lineRule="auto"/>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13.2 修建场内临时道路和交通设施的费用：</w:t>
      </w:r>
    </w:p>
    <w:p w14:paraId="31275409">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（1）</w:t>
      </w:r>
      <w:r>
        <w:rPr>
          <w:rFonts w:ascii="宋体" w:hAnsi="宋体" w:cs="宋体"/>
          <w:color w:val="auto"/>
          <w:sz w:val="22"/>
          <w:szCs w:val="22"/>
          <w:highlight w:val="none"/>
          <w:u w:val="single"/>
        </w:rPr>
        <w:t xml:space="preserve">施工所需的场内临时道路和交通设施的修建、维护、养护和管理人： </w:t>
      </w:r>
      <w:r>
        <w:rPr>
          <w:rFonts w:hint="eastAsia" w:ascii="宋体" w:hAnsi="宋体" w:cs="宋体"/>
          <w:color w:val="auto"/>
          <w:sz w:val="22"/>
          <w:szCs w:val="22"/>
          <w:highlight w:val="none"/>
          <w:u w:val="single"/>
        </w:rPr>
        <w:t>承包人</w:t>
      </w:r>
      <w:r>
        <w:rPr>
          <w:rFonts w:ascii="宋体" w:hAnsi="宋体" w:cs="宋体"/>
          <w:color w:val="auto"/>
          <w:sz w:val="22"/>
          <w:szCs w:val="22"/>
          <w:highlight w:val="none"/>
          <w:u w:val="single"/>
        </w:rPr>
        <w:t xml:space="preserve"> ，相关费用由</w:t>
      </w:r>
      <w:r>
        <w:rPr>
          <w:rFonts w:hint="eastAsia" w:ascii="宋体" w:hAnsi="宋体" w:cs="宋体"/>
          <w:color w:val="auto"/>
          <w:sz w:val="22"/>
          <w:szCs w:val="22"/>
          <w:highlight w:val="none"/>
          <w:u w:val="single"/>
        </w:rPr>
        <w:t>承包人</w:t>
      </w:r>
      <w:r>
        <w:rPr>
          <w:rFonts w:ascii="宋体" w:hAnsi="宋体" w:cs="宋体"/>
          <w:color w:val="auto"/>
          <w:sz w:val="22"/>
          <w:szCs w:val="22"/>
          <w:highlight w:val="none"/>
          <w:u w:val="single"/>
        </w:rPr>
        <w:t>承担。</w:t>
      </w:r>
    </w:p>
    <w:p w14:paraId="0E8D33F9">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（2）</w:t>
      </w:r>
      <w:r>
        <w:rPr>
          <w:rFonts w:ascii="宋体" w:hAnsi="宋体" w:cs="宋体"/>
          <w:color w:val="auto"/>
          <w:sz w:val="22"/>
          <w:szCs w:val="22"/>
          <w:highlight w:val="none"/>
          <w:u w:val="single"/>
        </w:rPr>
        <w:t>发包人和监理人有权无偿使用承包人修建的临时道路和交通设施，不需要交纳任何费用。</w:t>
      </w:r>
    </w:p>
    <w:p w14:paraId="3B4AB6E3">
      <w:pPr>
        <w:spacing w:line="420" w:lineRule="exact"/>
        <w:ind w:left="120"/>
        <w:rPr>
          <w:rFonts w:ascii="宋体" w:hAnsi="宋体" w:cs="宋体"/>
          <w:color w:val="auto"/>
          <w:sz w:val="22"/>
          <w:szCs w:val="22"/>
          <w:highlight w:val="none"/>
          <w:u w:val="single"/>
        </w:rPr>
      </w:pPr>
    </w:p>
    <w:p w14:paraId="55F5666D">
      <w:pPr>
        <w:spacing w:line="420" w:lineRule="exact"/>
        <w:ind w:left="120"/>
        <w:rPr>
          <w:rFonts w:ascii="宋体" w:hAnsi="宋体" w:cs="宋体"/>
          <w:color w:val="auto"/>
          <w:sz w:val="22"/>
          <w:szCs w:val="22"/>
          <w:highlight w:val="none"/>
          <w:u w:val="single"/>
        </w:rPr>
      </w:pPr>
      <w:r>
        <w:rPr>
          <w:rFonts w:hint="eastAsia" w:ascii="宋体" w:hAnsi="宋体" w:cs="宋体"/>
          <w:color w:val="auto"/>
          <w:sz w:val="22"/>
          <w:szCs w:val="22"/>
          <w:highlight w:val="none"/>
        </w:rPr>
        <w:t>13.4 运输超大件和超重件的费用：</w:t>
      </w:r>
      <w:r>
        <w:rPr>
          <w:rFonts w:ascii="宋体" w:hAnsi="宋体" w:cs="宋体"/>
          <w:color w:val="auto"/>
          <w:sz w:val="22"/>
          <w:szCs w:val="22"/>
          <w:highlight w:val="none"/>
          <w:u w:val="single"/>
        </w:rPr>
        <w:t>运输超大件或超重件所需的道路和桥梁临时加固改造等费用的承担人</w:t>
      </w:r>
      <w:r>
        <w:rPr>
          <w:rFonts w:hint="eastAsia" w:ascii="宋体" w:hAnsi="宋体" w:cs="宋体"/>
          <w:color w:val="auto"/>
          <w:sz w:val="22"/>
          <w:szCs w:val="22"/>
          <w:highlight w:val="none"/>
          <w:u w:val="single"/>
        </w:rPr>
        <w:t>为承包人</w:t>
      </w:r>
      <w:r>
        <w:rPr>
          <w:rFonts w:ascii="宋体" w:hAnsi="宋体" w:cs="宋体"/>
          <w:color w:val="auto"/>
          <w:sz w:val="22"/>
          <w:szCs w:val="22"/>
          <w:highlight w:val="none"/>
          <w:u w:val="single"/>
        </w:rPr>
        <w:t xml:space="preserve"> 。</w:t>
      </w:r>
    </w:p>
    <w:p w14:paraId="78C986CD">
      <w:pPr>
        <w:spacing w:line="420" w:lineRule="exact"/>
        <w:ind w:left="120"/>
        <w:rPr>
          <w:rFonts w:ascii="宋体" w:hAnsi="宋体" w:cs="宋体"/>
          <w:color w:val="auto"/>
          <w:sz w:val="22"/>
          <w:szCs w:val="22"/>
          <w:highlight w:val="none"/>
        </w:rPr>
      </w:pPr>
    </w:p>
    <w:p w14:paraId="74071BFF">
      <w:pPr>
        <w:pStyle w:val="3"/>
        <w:numPr>
          <w:ilvl w:val="0"/>
          <w:numId w:val="0"/>
        </w:numPr>
        <w:tabs>
          <w:tab w:val="left" w:pos="420"/>
        </w:tabs>
        <w:spacing w:line="420" w:lineRule="exact"/>
        <w:rPr>
          <w:rFonts w:hAnsi="宋体"/>
          <w:b/>
          <w:bCs/>
          <w:color w:val="auto"/>
          <w:sz w:val="22"/>
          <w:szCs w:val="22"/>
          <w:highlight w:val="none"/>
        </w:rPr>
      </w:pPr>
      <w:bookmarkStart w:id="547" w:name="_Toc9744"/>
      <w:bookmarkStart w:id="548" w:name="_Toc155166159"/>
      <w:bookmarkStart w:id="549" w:name="_Toc469384089"/>
      <w:bookmarkStart w:id="550" w:name="_Toc10589"/>
      <w:bookmarkStart w:id="551" w:name="_Toc22193"/>
      <w:bookmarkStart w:id="552" w:name="_Toc4350"/>
      <w:r>
        <w:rPr>
          <w:rFonts w:hint="eastAsia" w:hAnsi="宋体"/>
          <w:b/>
          <w:bCs/>
          <w:color w:val="auto"/>
          <w:sz w:val="22"/>
          <w:szCs w:val="22"/>
          <w:highlight w:val="none"/>
        </w:rPr>
        <w:t>14. 专项批准事件的签认</w:t>
      </w:r>
      <w:bookmarkEnd w:id="547"/>
      <w:bookmarkEnd w:id="548"/>
      <w:bookmarkEnd w:id="549"/>
      <w:bookmarkEnd w:id="550"/>
      <w:bookmarkEnd w:id="551"/>
      <w:bookmarkEnd w:id="552"/>
    </w:p>
    <w:p w14:paraId="5620EC0A">
      <w:pPr>
        <w:spacing w:line="420" w:lineRule="exact"/>
        <w:ind w:left="120"/>
        <w:rPr>
          <w:rFonts w:ascii="宋体" w:hAnsi="宋体" w:cs="宋体"/>
          <w:color w:val="auto"/>
          <w:sz w:val="22"/>
          <w:szCs w:val="22"/>
          <w:highlight w:val="none"/>
        </w:rPr>
      </w:pPr>
    </w:p>
    <w:p w14:paraId="48332D9F">
      <w:pPr>
        <w:spacing w:line="420" w:lineRule="exact"/>
        <w:ind w:left="120"/>
        <w:rPr>
          <w:rFonts w:ascii="宋体" w:hAnsi="宋体" w:cs="宋体"/>
          <w:color w:val="auto"/>
          <w:sz w:val="22"/>
          <w:szCs w:val="22"/>
          <w:highlight w:val="none"/>
        </w:rPr>
      </w:pPr>
      <w:r>
        <w:rPr>
          <w:rFonts w:hint="eastAsia" w:ascii="宋体" w:hAnsi="宋体" w:cs="宋体"/>
          <w:color w:val="auto"/>
          <w:sz w:val="22"/>
          <w:szCs w:val="22"/>
          <w:highlight w:val="none"/>
        </w:rPr>
        <w:t xml:space="preserve"> 14.2 专项批准事件的签认人选</w:t>
      </w:r>
    </w:p>
    <w:p w14:paraId="0CA4EB16">
      <w:pPr>
        <w:spacing w:line="420" w:lineRule="exact"/>
        <w:ind w:left="120"/>
        <w:rPr>
          <w:rFonts w:ascii="宋体" w:hAnsi="宋体" w:cs="宋体"/>
          <w:color w:val="auto"/>
          <w:sz w:val="22"/>
          <w:szCs w:val="22"/>
          <w:highlight w:val="none"/>
        </w:rPr>
      </w:pPr>
    </w:p>
    <w:p w14:paraId="14EED265">
      <w:pPr>
        <w:numPr>
          <w:ilvl w:val="0"/>
          <w:numId w:val="30"/>
        </w:num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监理工程师</w:t>
      </w:r>
      <w:r>
        <w:rPr>
          <w:rFonts w:hint="eastAsia" w:ascii="宋体" w:hAnsi="宋体" w:cs="宋体"/>
          <w:color w:val="auto"/>
          <w:sz w:val="22"/>
          <w:szCs w:val="22"/>
          <w:highlight w:val="none"/>
          <w:u w:val="single"/>
        </w:rPr>
        <w:t>（另详本项目《委托监理合同》）</w:t>
      </w:r>
      <w:r>
        <w:rPr>
          <w:rFonts w:hint="eastAsia" w:ascii="宋体" w:hAnsi="宋体" w:cs="宋体"/>
          <w:color w:val="auto"/>
          <w:sz w:val="22"/>
          <w:szCs w:val="22"/>
          <w:highlight w:val="none"/>
        </w:rPr>
        <w:t>：</w:t>
      </w:r>
    </w:p>
    <w:p w14:paraId="64879DDE">
      <w:pPr>
        <w:spacing w:line="420" w:lineRule="exact"/>
        <w:ind w:left="240"/>
        <w:rPr>
          <w:rFonts w:ascii="宋体" w:hAnsi="宋体" w:cs="宋体"/>
          <w:color w:val="auto"/>
          <w:sz w:val="22"/>
          <w:szCs w:val="22"/>
          <w:highlight w:val="none"/>
        </w:rPr>
      </w:pPr>
    </w:p>
    <w:p w14:paraId="6CBC176F">
      <w:pPr>
        <w:spacing w:line="420" w:lineRule="exact"/>
        <w:ind w:left="240"/>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姓名：</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印章样式：                签字样式：</w:t>
      </w:r>
      <w:r>
        <w:rPr>
          <w:rFonts w:hint="eastAsia" w:ascii="宋体" w:hAnsi="宋体" w:cs="宋体"/>
          <w:color w:val="auto"/>
          <w:sz w:val="22"/>
          <w:szCs w:val="22"/>
          <w:highlight w:val="none"/>
          <w:u w:val="single"/>
        </w:rPr>
        <w:t xml:space="preserve">                </w:t>
      </w:r>
    </w:p>
    <w:p w14:paraId="56FA65E7">
      <w:pPr>
        <w:spacing w:line="420" w:lineRule="exact"/>
        <w:ind w:left="240"/>
        <w:rPr>
          <w:rFonts w:ascii="宋体" w:hAnsi="宋体" w:cs="宋体"/>
          <w:color w:val="auto"/>
          <w:sz w:val="22"/>
          <w:szCs w:val="22"/>
          <w:highlight w:val="none"/>
        </w:rPr>
      </w:pPr>
    </w:p>
    <w:p w14:paraId="1F404B5D">
      <w:pPr>
        <w:numPr>
          <w:ilvl w:val="0"/>
          <w:numId w:val="30"/>
        </w:num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造价工程师：</w:t>
      </w:r>
    </w:p>
    <w:p w14:paraId="6A335FBA">
      <w:pPr>
        <w:spacing w:line="420" w:lineRule="exact"/>
        <w:ind w:left="240"/>
        <w:rPr>
          <w:rFonts w:ascii="宋体" w:hAnsi="宋体" w:cs="宋体"/>
          <w:color w:val="auto"/>
          <w:sz w:val="22"/>
          <w:szCs w:val="22"/>
          <w:highlight w:val="none"/>
        </w:rPr>
      </w:pPr>
    </w:p>
    <w:p w14:paraId="29EFD7F6">
      <w:pPr>
        <w:spacing w:line="420" w:lineRule="exact"/>
        <w:ind w:left="239" w:leftChars="114"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rPr>
        <w:t>姓名：</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印章样式：                签字样式：</w:t>
      </w:r>
      <w:r>
        <w:rPr>
          <w:rFonts w:hint="eastAsia" w:ascii="宋体" w:hAnsi="宋体" w:cs="宋体"/>
          <w:color w:val="auto"/>
          <w:sz w:val="22"/>
          <w:szCs w:val="22"/>
          <w:highlight w:val="none"/>
          <w:u w:val="single"/>
        </w:rPr>
        <w:t xml:space="preserve">                 </w:t>
      </w:r>
    </w:p>
    <w:p w14:paraId="4AC97771">
      <w:pPr>
        <w:spacing w:line="420" w:lineRule="exact"/>
        <w:ind w:left="239" w:leftChars="114" w:firstLine="110" w:firstLineChars="50"/>
        <w:rPr>
          <w:rFonts w:ascii="宋体" w:hAnsi="宋体" w:cs="宋体"/>
          <w:color w:val="auto"/>
          <w:sz w:val="22"/>
          <w:szCs w:val="22"/>
          <w:highlight w:val="none"/>
        </w:rPr>
      </w:pPr>
    </w:p>
    <w:p w14:paraId="2E5EFB6B">
      <w:pPr>
        <w:numPr>
          <w:ilvl w:val="0"/>
          <w:numId w:val="30"/>
        </w:num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建造师：</w:t>
      </w:r>
    </w:p>
    <w:p w14:paraId="1FF787F7">
      <w:pPr>
        <w:spacing w:line="420" w:lineRule="exact"/>
        <w:ind w:left="240"/>
        <w:rPr>
          <w:rFonts w:ascii="宋体" w:hAnsi="宋体" w:cs="宋体"/>
          <w:color w:val="auto"/>
          <w:sz w:val="22"/>
          <w:szCs w:val="22"/>
          <w:highlight w:val="none"/>
        </w:rPr>
      </w:pPr>
    </w:p>
    <w:p w14:paraId="0557CD40">
      <w:pPr>
        <w:spacing w:line="420" w:lineRule="exact"/>
        <w:ind w:left="239" w:leftChars="114"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姓名：</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印章样式：                签字样式：</w:t>
      </w:r>
      <w:r>
        <w:rPr>
          <w:rFonts w:hint="eastAsia" w:ascii="宋体" w:hAnsi="宋体" w:cs="宋体"/>
          <w:color w:val="auto"/>
          <w:sz w:val="22"/>
          <w:szCs w:val="22"/>
          <w:highlight w:val="none"/>
          <w:u w:val="single"/>
        </w:rPr>
        <w:t xml:space="preserve">                  </w:t>
      </w:r>
    </w:p>
    <w:p w14:paraId="3460D06D">
      <w:pPr>
        <w:spacing w:line="420" w:lineRule="exact"/>
        <w:ind w:left="239" w:leftChars="114" w:firstLine="110" w:firstLineChars="50"/>
        <w:rPr>
          <w:rFonts w:ascii="宋体" w:hAnsi="宋体" w:cs="宋体"/>
          <w:color w:val="auto"/>
          <w:sz w:val="22"/>
          <w:szCs w:val="22"/>
          <w:highlight w:val="none"/>
        </w:rPr>
      </w:pPr>
    </w:p>
    <w:p w14:paraId="4265B57F">
      <w:pPr>
        <w:pStyle w:val="3"/>
        <w:numPr>
          <w:ilvl w:val="0"/>
          <w:numId w:val="0"/>
        </w:numPr>
        <w:tabs>
          <w:tab w:val="left" w:pos="420"/>
        </w:tabs>
        <w:spacing w:line="420" w:lineRule="exact"/>
        <w:rPr>
          <w:rFonts w:hAnsi="宋体"/>
          <w:b/>
          <w:bCs/>
          <w:color w:val="auto"/>
          <w:sz w:val="22"/>
          <w:szCs w:val="22"/>
          <w:highlight w:val="none"/>
        </w:rPr>
      </w:pPr>
      <w:bookmarkStart w:id="553" w:name="_Toc469384090"/>
      <w:bookmarkStart w:id="554" w:name="_Toc25294"/>
      <w:bookmarkStart w:id="555" w:name="_Toc149"/>
      <w:bookmarkStart w:id="556" w:name="_Toc29702"/>
      <w:bookmarkStart w:id="557" w:name="_Toc25088"/>
      <w:bookmarkStart w:id="558" w:name="_Toc155166160"/>
      <w:r>
        <w:rPr>
          <w:rFonts w:hint="eastAsia" w:hAnsi="宋体"/>
          <w:b/>
          <w:bCs/>
          <w:color w:val="auto"/>
          <w:sz w:val="22"/>
          <w:szCs w:val="22"/>
          <w:highlight w:val="none"/>
        </w:rPr>
        <w:t>19. 发包人</w:t>
      </w:r>
      <w:bookmarkEnd w:id="553"/>
      <w:bookmarkEnd w:id="554"/>
      <w:bookmarkEnd w:id="555"/>
      <w:bookmarkEnd w:id="556"/>
      <w:bookmarkEnd w:id="557"/>
      <w:bookmarkEnd w:id="558"/>
    </w:p>
    <w:p w14:paraId="2822384A">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0A4E2B82">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19.2 发包人完成下列工作的约定</w:t>
      </w:r>
    </w:p>
    <w:p w14:paraId="4237A2B4">
      <w:pPr>
        <w:spacing w:line="420" w:lineRule="exact"/>
        <w:ind w:firstLine="110" w:firstLineChars="50"/>
        <w:rPr>
          <w:rFonts w:ascii="宋体" w:hAnsi="宋体" w:cs="宋体"/>
          <w:color w:val="auto"/>
          <w:sz w:val="22"/>
          <w:szCs w:val="22"/>
          <w:highlight w:val="none"/>
        </w:rPr>
      </w:pPr>
    </w:p>
    <w:p w14:paraId="701F821F">
      <w:pPr>
        <w:numPr>
          <w:ilvl w:val="0"/>
          <w:numId w:val="31"/>
        </w:num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办理土地征用、拆迁、平整施工场地等工作的时间：</w:t>
      </w:r>
      <w:r>
        <w:rPr>
          <w:rFonts w:hint="eastAsia" w:ascii="宋体" w:hAnsi="宋体" w:cs="宋体"/>
          <w:color w:val="auto"/>
          <w:sz w:val="22"/>
          <w:szCs w:val="22"/>
          <w:highlight w:val="none"/>
          <w:u w:val="single"/>
        </w:rPr>
        <w:t xml:space="preserve">                       </w:t>
      </w:r>
    </w:p>
    <w:p w14:paraId="3255A0F2">
      <w:pPr>
        <w:numPr>
          <w:ilvl w:val="0"/>
          <w:numId w:val="31"/>
        </w:numPr>
        <w:spacing w:line="420" w:lineRule="exact"/>
        <w:rPr>
          <w:rFonts w:ascii="宋体" w:hAnsi="宋体" w:cs="宋体"/>
          <w:color w:val="auto"/>
          <w:sz w:val="22"/>
          <w:szCs w:val="22"/>
          <w:highlight w:val="none"/>
          <w:u w:val="single"/>
        </w:rPr>
      </w:pPr>
      <w:r>
        <w:rPr>
          <w:rFonts w:hint="eastAsia" w:ascii="宋体" w:hAnsi="宋体" w:cs="宋体"/>
          <w:color w:val="auto"/>
          <w:sz w:val="22"/>
          <w:szCs w:val="22"/>
          <w:highlight w:val="none"/>
        </w:rPr>
        <w:t>完成施工所需水、电、通讯线路接驳的时间及地点：</w:t>
      </w:r>
      <w:r>
        <w:rPr>
          <w:rFonts w:hint="eastAsia" w:ascii="宋体" w:hAnsi="宋体" w:cs="宋体"/>
          <w:color w:val="auto"/>
          <w:sz w:val="22"/>
          <w:szCs w:val="22"/>
          <w:highlight w:val="none"/>
          <w:u w:val="single"/>
        </w:rPr>
        <w:t>将施工所需的水、电、电讯线路接至施工场地的时间、地点和供应要求：发包人不提供水、电接驳点，由承包人自行解决，通讯由承包人自行负责。施工场地内接驳水、电管线和用电、用水、通讯等费用已包含在本签约合同价内，承包人安装独立的施工用水、用电计量表，按水表、电表实际用量缴回水电费给供给单位。承包人为保证工期和质量而采取的其他措施（包括自行发电、自行供水等）所发生的相关费用发包人不再补偿。</w:t>
      </w:r>
    </w:p>
    <w:p w14:paraId="4B3CCFCA">
      <w:pPr>
        <w:numPr>
          <w:ilvl w:val="0"/>
          <w:numId w:val="31"/>
        </w:num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开通施工现场与城乡公共道路间的通道的时间：</w:t>
      </w:r>
      <w:r>
        <w:rPr>
          <w:rFonts w:hint="eastAsia" w:ascii="宋体" w:hAnsi="宋体" w:cs="宋体"/>
          <w:color w:val="auto"/>
          <w:sz w:val="22"/>
          <w:szCs w:val="22"/>
          <w:highlight w:val="none"/>
          <w:u w:val="single"/>
        </w:rPr>
        <w:t>按现状提供施工场地。由承包人根据当地政府部门及村民要求自行协调解决通行事宜，并承担因使用而引起的相关法律责任及纠纷，相关手续、费用由承包人在投标报价（中标价）中自行考虑，发包人不再另行补偿。</w:t>
      </w:r>
    </w:p>
    <w:p w14:paraId="667DAB35">
      <w:pPr>
        <w:numPr>
          <w:ilvl w:val="0"/>
          <w:numId w:val="31"/>
        </w:num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提供施工所需的有关资料的时间：</w:t>
      </w:r>
      <w:r>
        <w:rPr>
          <w:rFonts w:hint="eastAsia" w:ascii="宋体" w:hAnsi="宋体" w:cs="宋体"/>
          <w:color w:val="auto"/>
          <w:sz w:val="22"/>
          <w:szCs w:val="22"/>
          <w:highlight w:val="none"/>
          <w:u w:val="single"/>
        </w:rPr>
        <w:t xml:space="preserve">工程地质和地下管线资料的提供时间：开工前三个日历天内，提供地质资料；提供地下管线资料仅供参考，承包人需自行勘查复核，有关费用已包含在本签约合同价内。   </w:t>
      </w:r>
    </w:p>
    <w:p w14:paraId="436C147A">
      <w:pPr>
        <w:numPr>
          <w:ilvl w:val="0"/>
          <w:numId w:val="31"/>
        </w:numPr>
        <w:spacing w:line="420" w:lineRule="exact"/>
        <w:rPr>
          <w:rFonts w:ascii="宋体" w:hAnsi="宋体" w:cs="宋体"/>
          <w:color w:val="auto"/>
          <w:sz w:val="22"/>
          <w:szCs w:val="22"/>
          <w:highlight w:val="none"/>
          <w:u w:val="single"/>
        </w:rPr>
      </w:pPr>
      <w:r>
        <w:rPr>
          <w:rFonts w:hint="eastAsia" w:ascii="宋体" w:hAnsi="宋体" w:cs="宋体"/>
          <w:color w:val="auto"/>
          <w:sz w:val="22"/>
          <w:szCs w:val="22"/>
          <w:highlight w:val="none"/>
        </w:rPr>
        <w:t>办理施工所需的有关证件和批准手续的时间：</w:t>
      </w:r>
      <w:r>
        <w:rPr>
          <w:rFonts w:hint="eastAsia" w:ascii="宋体" w:hAnsi="宋体" w:cs="宋体"/>
          <w:color w:val="auto"/>
          <w:sz w:val="22"/>
          <w:szCs w:val="22"/>
          <w:highlight w:val="none"/>
          <w:u w:val="single"/>
        </w:rPr>
        <w:t xml:space="preserve">开工前三个日历天内，该工作委托承包人办理完成，相关配合办理的费用已包含在签约合同价内（不包含合理工期内应由发包人支付的路产赔偿费，占道施工费，航道封航费及法律法规明确由发包人承担的费用），发包人只提供立项批文等施工所需证件。其中施工临时用地、停水、停电、中断道路交通、爆破作业等申请批准手续由承包人自行办理。   </w:t>
      </w:r>
    </w:p>
    <w:p w14:paraId="5FFC2E55">
      <w:pPr>
        <w:numPr>
          <w:ilvl w:val="0"/>
          <w:numId w:val="31"/>
        </w:numPr>
        <w:spacing w:line="420" w:lineRule="exact"/>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水准点与座标控制点交验要求：开工前三个</w:t>
      </w:r>
      <w:r>
        <w:rPr>
          <w:rFonts w:hint="eastAsia" w:ascii="宋体" w:hAnsi="宋体" w:cs="宋体"/>
          <w:color w:val="auto"/>
          <w:sz w:val="22"/>
          <w:szCs w:val="22"/>
          <w:highlight w:val="none"/>
          <w:u w:val="single"/>
          <w:lang w:val="en-US" w:eastAsia="zh-CN"/>
        </w:rPr>
        <w:t>工作日</w:t>
      </w:r>
      <w:r>
        <w:rPr>
          <w:rFonts w:hint="eastAsia" w:ascii="宋体" w:hAnsi="宋体" w:cs="宋体"/>
          <w:color w:val="auto"/>
          <w:sz w:val="22"/>
          <w:szCs w:val="22"/>
          <w:highlight w:val="none"/>
          <w:u w:val="single"/>
        </w:rPr>
        <w:t>内以书面形式交验。</w:t>
      </w:r>
    </w:p>
    <w:p w14:paraId="29F0312E">
      <w:pPr>
        <w:numPr>
          <w:ilvl w:val="0"/>
          <w:numId w:val="31"/>
        </w:num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提供标准与规范的时间：</w:t>
      </w:r>
      <w:r>
        <w:rPr>
          <w:rFonts w:hint="eastAsia" w:ascii="宋体" w:hAnsi="宋体" w:cs="宋体"/>
          <w:color w:val="auto"/>
          <w:sz w:val="22"/>
          <w:szCs w:val="22"/>
          <w:highlight w:val="none"/>
          <w:u w:val="single"/>
        </w:rPr>
        <w:t>按照国家有关规定、规范执行。及区政府、区水务局、区水务工程建管中心最新规定执行。</w:t>
      </w:r>
    </w:p>
    <w:p w14:paraId="405E014B">
      <w:pPr>
        <w:numPr>
          <w:ilvl w:val="0"/>
          <w:numId w:val="31"/>
        </w:numPr>
        <w:spacing w:line="420" w:lineRule="exact"/>
        <w:rPr>
          <w:rFonts w:ascii="宋体" w:hAnsi="宋体" w:cs="宋体"/>
          <w:color w:val="auto"/>
          <w:sz w:val="22"/>
          <w:szCs w:val="22"/>
          <w:highlight w:val="none"/>
          <w:u w:val="single"/>
        </w:rPr>
      </w:pPr>
      <w:r>
        <w:rPr>
          <w:rFonts w:hint="eastAsia" w:ascii="宋体" w:hAnsi="宋体" w:cs="宋体"/>
          <w:color w:val="auto"/>
          <w:sz w:val="22"/>
          <w:szCs w:val="22"/>
          <w:highlight w:val="none"/>
        </w:rPr>
        <w:t>组织图纸会审和设计交底的时间：</w:t>
      </w:r>
      <w:r>
        <w:rPr>
          <w:rFonts w:ascii="宋体" w:hAnsi="宋体" w:cs="宋体"/>
          <w:color w:val="auto"/>
          <w:sz w:val="22"/>
          <w:szCs w:val="22"/>
          <w:highlight w:val="none"/>
          <w:u w:val="single"/>
        </w:rPr>
        <w:t>发包人应当</w:t>
      </w:r>
      <w:r>
        <w:rPr>
          <w:rFonts w:hint="eastAsia" w:ascii="宋体" w:hAnsi="宋体" w:cs="宋体"/>
          <w:color w:val="auto"/>
          <w:sz w:val="22"/>
          <w:szCs w:val="22"/>
          <w:highlight w:val="none"/>
          <w:u w:val="single"/>
        </w:rPr>
        <w:t>在开工通知中载明的开工日期</w:t>
      </w:r>
      <w:r>
        <w:rPr>
          <w:rFonts w:ascii="宋体" w:hAnsi="宋体" w:cs="宋体"/>
          <w:color w:val="auto"/>
          <w:sz w:val="22"/>
          <w:szCs w:val="22"/>
          <w:highlight w:val="none"/>
          <w:u w:val="single"/>
        </w:rPr>
        <w:t>前组织设计人向承包人进行合同工程总体设计交底（包括图纸会审）。发包人还应按照合同进度计划中载明的阶段性设计交底时间组织和安排阶段工程设计交底（包括图纸会审）。承包人可以书面方式通过监理人向发包人申请增加紧急的设计交底，发包人在认为确有必要且条件许可时，应当尽快组织这类设计交底。</w:t>
      </w:r>
    </w:p>
    <w:p w14:paraId="5F4BE4CD">
      <w:pPr>
        <w:numPr>
          <w:ilvl w:val="0"/>
          <w:numId w:val="31"/>
        </w:num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协调处理施工周围场地系问题和邻近建筑物等保护工作的约定：</w:t>
      </w:r>
      <w:r>
        <w:rPr>
          <w:rFonts w:hint="eastAsia" w:ascii="宋体" w:hAnsi="宋体" w:cs="宋体"/>
          <w:color w:val="auto"/>
          <w:sz w:val="22"/>
          <w:szCs w:val="22"/>
          <w:highlight w:val="none"/>
          <w:u w:val="single"/>
        </w:rPr>
        <w:t>协调处理施工场地周围地下管线和邻近建筑物、构筑物（含文物保护建筑）、绿化、古树名木的保护工作：由承包人自行勘查和负责保护，有关费用已包含在本签约合同价内，发包人不再承担任何费用。</w:t>
      </w:r>
      <w:r>
        <w:rPr>
          <w:rFonts w:hint="eastAsia" w:ascii="宋体" w:hAnsi="宋体" w:cs="宋体"/>
          <w:color w:val="auto"/>
          <w:sz w:val="22"/>
          <w:szCs w:val="22"/>
          <w:highlight w:val="none"/>
        </w:rPr>
        <w:t xml:space="preserve"> </w:t>
      </w:r>
    </w:p>
    <w:p w14:paraId="6CEBEA8D">
      <w:pPr>
        <w:spacing w:line="420" w:lineRule="exact"/>
        <w:rPr>
          <w:rFonts w:ascii="宋体" w:hAnsi="宋体" w:cs="宋体"/>
          <w:color w:val="auto"/>
          <w:sz w:val="22"/>
          <w:szCs w:val="22"/>
          <w:highlight w:val="none"/>
        </w:rPr>
      </w:pPr>
    </w:p>
    <w:p w14:paraId="66291C13">
      <w:pPr>
        <w:spacing w:line="420" w:lineRule="exact"/>
        <w:ind w:firstLine="110" w:firstLineChars="5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 委托承包人办理的工作有：</w:t>
      </w:r>
    </w:p>
    <w:p w14:paraId="62D4E6A1">
      <w:pPr>
        <w:spacing w:line="360" w:lineRule="auto"/>
        <w:ind w:firstLine="440" w:firstLineChars="200"/>
        <w:rPr>
          <w:rFonts w:ascii="宋体" w:hAnsi="宋体" w:cs="宋体"/>
          <w:color w:val="auto"/>
          <w:sz w:val="22"/>
          <w:szCs w:val="22"/>
          <w:highlight w:val="none"/>
          <w:u w:val="single"/>
        </w:rPr>
      </w:pPr>
      <w:r>
        <w:rPr>
          <w:rFonts w:ascii="宋体" w:hAnsi="宋体" w:cs="宋体"/>
          <w:color w:val="auto"/>
          <w:sz w:val="22"/>
          <w:szCs w:val="22"/>
          <w:highlight w:val="none"/>
          <w:u w:val="single"/>
        </w:rPr>
        <w:t>（</w:t>
      </w:r>
      <w:r>
        <w:rPr>
          <w:rFonts w:hint="eastAsia" w:ascii="宋体" w:hAnsi="宋体" w:cs="宋体"/>
          <w:color w:val="auto"/>
          <w:sz w:val="22"/>
          <w:szCs w:val="22"/>
          <w:highlight w:val="none"/>
          <w:u w:val="single"/>
        </w:rPr>
        <w:t>1</w:t>
      </w:r>
      <w:r>
        <w:rPr>
          <w:rFonts w:ascii="宋体" w:hAnsi="宋体" w:cs="宋体"/>
          <w:color w:val="auto"/>
          <w:sz w:val="22"/>
          <w:szCs w:val="22"/>
          <w:highlight w:val="none"/>
          <w:u w:val="single"/>
        </w:rPr>
        <w:t>）协助承包人按有关规定及时办理工程施工许可证</w:t>
      </w: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质量</w:t>
      </w:r>
      <w:r>
        <w:rPr>
          <w:rFonts w:hint="eastAsia" w:ascii="宋体" w:hAnsi="宋体" w:cs="宋体"/>
          <w:color w:val="auto"/>
          <w:sz w:val="22"/>
          <w:szCs w:val="22"/>
          <w:highlight w:val="none"/>
          <w:u w:val="single"/>
        </w:rPr>
        <w:t>安全</w:t>
      </w:r>
      <w:r>
        <w:rPr>
          <w:rFonts w:ascii="宋体" w:hAnsi="宋体" w:cs="宋体"/>
          <w:color w:val="auto"/>
          <w:sz w:val="22"/>
          <w:szCs w:val="22"/>
          <w:highlight w:val="none"/>
          <w:u w:val="single"/>
        </w:rPr>
        <w:t>监督手续。</w:t>
      </w:r>
    </w:p>
    <w:p w14:paraId="050DE78C">
      <w:pPr>
        <w:spacing w:line="360" w:lineRule="auto"/>
        <w:ind w:firstLine="440" w:firstLineChars="200"/>
        <w:rPr>
          <w:rFonts w:ascii="宋体" w:hAnsi="宋体" w:cs="宋体"/>
          <w:color w:val="auto"/>
          <w:sz w:val="22"/>
          <w:szCs w:val="22"/>
          <w:highlight w:val="none"/>
          <w:u w:val="single"/>
        </w:rPr>
      </w:pPr>
      <w:r>
        <w:rPr>
          <w:rFonts w:ascii="宋体" w:hAnsi="宋体" w:cs="宋体"/>
          <w:color w:val="auto"/>
          <w:sz w:val="22"/>
          <w:szCs w:val="22"/>
          <w:highlight w:val="none"/>
          <w:u w:val="single"/>
        </w:rPr>
        <w:t>（</w:t>
      </w:r>
      <w:r>
        <w:rPr>
          <w:rFonts w:hint="eastAsia" w:ascii="宋体" w:hAnsi="宋体" w:cs="宋体"/>
          <w:color w:val="auto"/>
          <w:sz w:val="22"/>
          <w:szCs w:val="22"/>
          <w:highlight w:val="none"/>
          <w:u w:val="single"/>
        </w:rPr>
        <w:t>2</w:t>
      </w:r>
      <w:r>
        <w:rPr>
          <w:rFonts w:ascii="宋体" w:hAnsi="宋体" w:cs="宋体"/>
          <w:color w:val="auto"/>
          <w:sz w:val="22"/>
          <w:szCs w:val="22"/>
          <w:highlight w:val="none"/>
          <w:u w:val="single"/>
        </w:rPr>
        <w:t>）根据建设行政主管部门和（或）城市建设档案管理机构的规定，收集、整理、立卷、归档工程资料，并按规定时间向建设行政主管部门或者城市建设档案管理机构移交规定的工程档案</w:t>
      </w:r>
      <w:r>
        <w:rPr>
          <w:rFonts w:hint="eastAsia" w:ascii="宋体" w:hAnsi="宋体" w:cs="宋体"/>
          <w:color w:val="auto"/>
          <w:sz w:val="22"/>
          <w:szCs w:val="22"/>
          <w:highlight w:val="none"/>
          <w:u w:val="single"/>
        </w:rPr>
        <w:t>。</w:t>
      </w:r>
    </w:p>
    <w:p w14:paraId="39EEB2C8">
      <w:pPr>
        <w:spacing w:line="360" w:lineRule="auto"/>
        <w:ind w:firstLine="440" w:firstLineChars="200"/>
        <w:rPr>
          <w:rFonts w:ascii="宋体" w:hAnsi="宋体" w:cs="宋体"/>
          <w:color w:val="auto"/>
          <w:sz w:val="22"/>
          <w:szCs w:val="22"/>
          <w:highlight w:val="none"/>
          <w:u w:val="single"/>
        </w:rPr>
      </w:pPr>
      <w:r>
        <w:rPr>
          <w:rFonts w:ascii="宋体" w:hAnsi="宋体" w:cs="宋体"/>
          <w:color w:val="auto"/>
          <w:sz w:val="22"/>
          <w:szCs w:val="22"/>
          <w:highlight w:val="none"/>
          <w:u w:val="single"/>
        </w:rPr>
        <w:t>（</w:t>
      </w:r>
      <w:r>
        <w:rPr>
          <w:rFonts w:hint="eastAsia" w:ascii="宋体" w:hAnsi="宋体" w:cs="宋体"/>
          <w:color w:val="auto"/>
          <w:sz w:val="22"/>
          <w:szCs w:val="22"/>
          <w:highlight w:val="none"/>
          <w:u w:val="single"/>
        </w:rPr>
        <w:t>3</w:t>
      </w:r>
      <w:r>
        <w:rPr>
          <w:rFonts w:ascii="宋体" w:hAnsi="宋体" w:cs="宋体"/>
          <w:color w:val="auto"/>
          <w:sz w:val="22"/>
          <w:szCs w:val="22"/>
          <w:highlight w:val="none"/>
          <w:u w:val="single"/>
        </w:rPr>
        <w:t>）批准和确认：按合同约定应当由监理人</w:t>
      </w:r>
      <w:r>
        <w:rPr>
          <w:rFonts w:hint="eastAsia" w:ascii="宋体" w:hAnsi="宋体" w:cs="宋体"/>
          <w:color w:val="auto"/>
          <w:sz w:val="22"/>
          <w:szCs w:val="22"/>
          <w:highlight w:val="none"/>
          <w:u w:val="single"/>
        </w:rPr>
        <w:t>和</w:t>
      </w:r>
      <w:r>
        <w:rPr>
          <w:rFonts w:ascii="宋体" w:hAnsi="宋体" w:cs="宋体"/>
          <w:color w:val="auto"/>
          <w:sz w:val="22"/>
          <w:szCs w:val="22"/>
          <w:highlight w:val="none"/>
          <w:u w:val="single"/>
        </w:rPr>
        <w:t>发包人回复、批复、批准、确认或提出修改意见的承包人的要求、请求、申请和报批等，自监理人</w:t>
      </w:r>
      <w:r>
        <w:rPr>
          <w:rFonts w:hint="eastAsia" w:ascii="宋体" w:hAnsi="宋体" w:cs="宋体"/>
          <w:color w:val="auto"/>
          <w:sz w:val="22"/>
          <w:szCs w:val="22"/>
          <w:highlight w:val="none"/>
          <w:u w:val="single"/>
        </w:rPr>
        <w:t>和</w:t>
      </w:r>
      <w:r>
        <w:rPr>
          <w:rFonts w:ascii="宋体" w:hAnsi="宋体" w:cs="宋体"/>
          <w:color w:val="auto"/>
          <w:sz w:val="22"/>
          <w:szCs w:val="22"/>
          <w:highlight w:val="none"/>
          <w:u w:val="single"/>
        </w:rPr>
        <w:t>发包人指定的接收人收到承包人发出的相应要求、请求、申请和报批之日起，如果监理人</w:t>
      </w:r>
      <w:r>
        <w:rPr>
          <w:rFonts w:hint="eastAsia" w:ascii="宋体" w:hAnsi="宋体" w:cs="宋体"/>
          <w:color w:val="auto"/>
          <w:sz w:val="22"/>
          <w:szCs w:val="22"/>
          <w:highlight w:val="none"/>
          <w:u w:val="single"/>
        </w:rPr>
        <w:t>和</w:t>
      </w:r>
      <w:r>
        <w:rPr>
          <w:rFonts w:ascii="宋体" w:hAnsi="宋体" w:cs="宋体"/>
          <w:color w:val="auto"/>
          <w:sz w:val="22"/>
          <w:szCs w:val="22"/>
          <w:highlight w:val="none"/>
          <w:u w:val="single"/>
        </w:rPr>
        <w:t>发包人在合同约定的期限内未予回复、批复、批准、确认或提出修改意见的，视为监理人和发包人已经同意、确认或者批准。</w:t>
      </w:r>
    </w:p>
    <w:p w14:paraId="531154C5">
      <w:pPr>
        <w:spacing w:line="360" w:lineRule="auto"/>
        <w:ind w:firstLine="440" w:firstLineChars="20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4</w:t>
      </w:r>
      <w:r>
        <w:rPr>
          <w:rFonts w:hint="eastAsia" w:ascii="宋体" w:hAnsi="宋体" w:cs="宋体"/>
          <w:color w:val="auto"/>
          <w:sz w:val="22"/>
          <w:szCs w:val="22"/>
          <w:highlight w:val="none"/>
          <w:u w:val="single"/>
        </w:rPr>
        <w:t>）对施工扬尘污染防治负总责，督促承包人：编制建设工程施工扬尘污染防治专项方案、落实施工现场各项扬尘防治措施及建立扬尘污染防治检查制度；办理工程渣土消纳处置手续。施工扬尘防治相关费用包含在本签约合同价内。</w:t>
      </w:r>
    </w:p>
    <w:p w14:paraId="29CB89D6">
      <w:pPr>
        <w:spacing w:line="360" w:lineRule="auto"/>
        <w:ind w:firstLine="440" w:firstLineChars="20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5</w:t>
      </w:r>
      <w:r>
        <w:rPr>
          <w:rFonts w:hint="eastAsia" w:ascii="宋体" w:hAnsi="宋体" w:cs="宋体"/>
          <w:color w:val="auto"/>
          <w:sz w:val="22"/>
          <w:szCs w:val="22"/>
          <w:highlight w:val="none"/>
          <w:u w:val="single"/>
        </w:rPr>
        <w:t>）发包人保留对用于本合同工程的材料和工程设备的品质、质量提交质量监督检验机构（包括本合同约定的质量监督检验机构和法律法规规定的质量监督检验机构）审查确认的权利</w:t>
      </w:r>
      <w:r>
        <w:rPr>
          <w:rFonts w:ascii="宋体" w:hAnsi="宋体" w:cs="宋体"/>
          <w:color w:val="auto"/>
          <w:sz w:val="22"/>
          <w:szCs w:val="22"/>
          <w:highlight w:val="none"/>
          <w:u w:val="single"/>
        </w:rPr>
        <w:t>。</w:t>
      </w:r>
    </w:p>
    <w:p w14:paraId="223507CB">
      <w:pPr>
        <w:spacing w:line="360" w:lineRule="auto"/>
        <w:ind w:firstLine="440" w:firstLineChars="20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6</w:t>
      </w:r>
      <w:r>
        <w:rPr>
          <w:rFonts w:hint="eastAsia" w:ascii="宋体" w:hAnsi="宋体" w:cs="宋体"/>
          <w:color w:val="auto"/>
          <w:sz w:val="22"/>
          <w:szCs w:val="22"/>
          <w:highlight w:val="none"/>
          <w:u w:val="single"/>
        </w:rPr>
        <w:t>）发包人委托承包人办理的工作：对通用条款中应由发包人承担的工作而发包人委托承包人承担的，承包人已在投标时审慎报价，有关费用已包含在签约合同价中，发包人不再作补偿。</w:t>
      </w:r>
    </w:p>
    <w:p w14:paraId="3D6E45DA">
      <w:pPr>
        <w:spacing w:line="420" w:lineRule="exact"/>
        <w:ind w:left="120"/>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67125F7D">
      <w:pPr>
        <w:spacing w:line="420" w:lineRule="exact"/>
        <w:ind w:left="120"/>
        <w:rPr>
          <w:rFonts w:ascii="宋体" w:hAnsi="宋体" w:cs="宋体"/>
          <w:color w:val="auto"/>
          <w:sz w:val="22"/>
          <w:szCs w:val="22"/>
          <w:highlight w:val="none"/>
          <w:u w:val="single"/>
        </w:rPr>
      </w:pPr>
      <w:r>
        <w:rPr>
          <w:rFonts w:hint="eastAsia" w:ascii="宋体" w:hAnsi="宋体" w:cs="宋体"/>
          <w:color w:val="auto"/>
          <w:sz w:val="22"/>
          <w:szCs w:val="22"/>
          <w:highlight w:val="none"/>
        </w:rPr>
        <w:t>19.3 提供施工场地的时间：</w:t>
      </w:r>
      <w:r>
        <w:rPr>
          <w:rFonts w:hint="eastAsia" w:ascii="宋体" w:hAnsi="宋体" w:cs="宋体"/>
          <w:color w:val="auto"/>
          <w:sz w:val="22"/>
          <w:szCs w:val="22"/>
          <w:highlight w:val="none"/>
          <w:u w:val="single"/>
        </w:rPr>
        <w:t>施工场地应当在监理人发出的开工通知中载明的开工日期前7天基本具备施工条件，发包人最迟应当在合同预定的开工日期向承包人移交部分施工场地，并根据工程的进展情况，视情况分期移交剩余施工场地给承包人，以便承包人能按进度计划进行施工，承包人应据此调整施工进度计划,因推迟移交场地并经双方共同认定耽误施工时间的，应根据实际情况相应推迟完工日期；双方无法达成一致意见的，由发包人上级主管部门裁定。</w:t>
      </w:r>
    </w:p>
    <w:p w14:paraId="0DA7492F">
      <w:pPr>
        <w:spacing w:line="420" w:lineRule="exact"/>
        <w:ind w:left="120"/>
        <w:rPr>
          <w:rFonts w:ascii="宋体" w:hAnsi="宋体" w:cs="宋体"/>
          <w:color w:val="auto"/>
          <w:sz w:val="22"/>
          <w:szCs w:val="22"/>
          <w:highlight w:val="none"/>
          <w:u w:val="single"/>
        </w:rPr>
      </w:pPr>
    </w:p>
    <w:p w14:paraId="32AB758A">
      <w:pPr>
        <w:spacing w:line="420" w:lineRule="exact"/>
        <w:ind w:left="120"/>
        <w:rPr>
          <w:rFonts w:ascii="宋体" w:hAnsi="宋体" w:cs="宋体"/>
          <w:color w:val="auto"/>
          <w:sz w:val="22"/>
          <w:szCs w:val="22"/>
          <w:highlight w:val="none"/>
        </w:rPr>
      </w:pPr>
      <w:r>
        <w:rPr>
          <w:rFonts w:hint="eastAsia" w:ascii="宋体" w:hAnsi="宋体" w:cs="宋体"/>
          <w:color w:val="auto"/>
          <w:sz w:val="22"/>
          <w:szCs w:val="22"/>
          <w:highlight w:val="none"/>
        </w:rPr>
        <w:t>19.4 支付款项</w:t>
      </w:r>
    </w:p>
    <w:p w14:paraId="6FE2718E">
      <w:pPr>
        <w:spacing w:line="420" w:lineRule="exact"/>
        <w:ind w:left="120"/>
        <w:rPr>
          <w:rFonts w:ascii="宋体" w:hAnsi="宋体" w:cs="宋体"/>
          <w:color w:val="auto"/>
          <w:sz w:val="22"/>
          <w:szCs w:val="22"/>
          <w:highlight w:val="none"/>
        </w:rPr>
      </w:pPr>
    </w:p>
    <w:p w14:paraId="5FF12492">
      <w:pPr>
        <w:spacing w:line="420" w:lineRule="exact"/>
        <w:ind w:left="120"/>
        <w:rPr>
          <w:rFonts w:ascii="宋体" w:hAnsi="宋体" w:cs="宋体"/>
          <w:color w:val="auto"/>
          <w:sz w:val="22"/>
          <w:szCs w:val="22"/>
          <w:highlight w:val="none"/>
        </w:rPr>
      </w:pPr>
      <w:r>
        <w:rPr>
          <w:rFonts w:hint="eastAsia" w:ascii="宋体" w:hAnsi="宋体" w:cs="宋体"/>
          <w:color w:val="auto"/>
          <w:sz w:val="22"/>
          <w:szCs w:val="22"/>
          <w:highlight w:val="none"/>
        </w:rPr>
        <w:t>（1） 工程款支付期限</w:t>
      </w:r>
    </w:p>
    <w:p w14:paraId="2D10012F">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按通用条款第80.3款、第81.3款、第83.3款等规定期限支付。</w:t>
      </w:r>
    </w:p>
    <w:p w14:paraId="339661CE">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kern w:val="0"/>
          <w:sz w:val="22"/>
          <w:szCs w:val="22"/>
          <w:highlight w:val="none"/>
        </w:rPr>
        <w:t>■ 另作约定：</w:t>
      </w:r>
      <w:r>
        <w:rPr>
          <w:rFonts w:hint="eastAsia" w:ascii="宋体" w:hAnsi="宋体" w:cs="宋体"/>
          <w:color w:val="auto"/>
          <w:sz w:val="22"/>
          <w:szCs w:val="22"/>
          <w:highlight w:val="none"/>
          <w:u w:val="single"/>
        </w:rPr>
        <w:t>若本合同工程是财政</w:t>
      </w:r>
      <w:r>
        <w:rPr>
          <w:rFonts w:ascii="宋体" w:hAnsi="宋体" w:cs="宋体"/>
          <w:color w:val="auto"/>
          <w:sz w:val="22"/>
          <w:szCs w:val="22"/>
          <w:highlight w:val="none"/>
          <w:u w:val="single"/>
        </w:rPr>
        <w:t>投资项目</w:t>
      </w: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付款</w:t>
      </w:r>
      <w:r>
        <w:rPr>
          <w:rFonts w:hint="eastAsia" w:ascii="宋体" w:hAnsi="宋体" w:cs="宋体"/>
          <w:color w:val="auto"/>
          <w:sz w:val="22"/>
          <w:szCs w:val="22"/>
          <w:highlight w:val="none"/>
          <w:u w:val="single"/>
        </w:rPr>
        <w:t>的具体</w:t>
      </w:r>
      <w:r>
        <w:rPr>
          <w:rFonts w:ascii="宋体" w:hAnsi="宋体" w:cs="宋体"/>
          <w:color w:val="auto"/>
          <w:sz w:val="22"/>
          <w:szCs w:val="22"/>
          <w:highlight w:val="none"/>
          <w:u w:val="single"/>
        </w:rPr>
        <w:t>时间以财政部门批准为准</w:t>
      </w:r>
      <w:r>
        <w:rPr>
          <w:rFonts w:hint="eastAsia" w:ascii="宋体" w:hAnsi="宋体" w:cs="宋体"/>
          <w:color w:val="auto"/>
          <w:sz w:val="22"/>
          <w:szCs w:val="22"/>
          <w:highlight w:val="none"/>
          <w:u w:val="single"/>
        </w:rPr>
        <w:t>。</w:t>
      </w:r>
      <w:r>
        <w:rPr>
          <w:rFonts w:hint="eastAsia" w:ascii="宋体" w:hAnsi="宋体" w:cs="宋体"/>
          <w:color w:val="auto"/>
          <w:kern w:val="0"/>
          <w:sz w:val="22"/>
          <w:szCs w:val="22"/>
          <w:highlight w:val="none"/>
          <w:u w:val="single"/>
        </w:rPr>
        <w:t>因政府相关部门财政审批迟延支付工程款的，发包人不承担违约责任。</w:t>
      </w:r>
    </w:p>
    <w:p w14:paraId="3C8CEF4B">
      <w:pPr>
        <w:spacing w:line="420" w:lineRule="exact"/>
        <w:ind w:firstLine="330" w:firstLineChars="150"/>
        <w:rPr>
          <w:rFonts w:ascii="宋体" w:hAnsi="宋体" w:cs="宋体"/>
          <w:color w:val="auto"/>
          <w:kern w:val="0"/>
          <w:sz w:val="22"/>
          <w:szCs w:val="22"/>
          <w:highlight w:val="none"/>
        </w:rPr>
      </w:pPr>
    </w:p>
    <w:p w14:paraId="5C1C9FF1">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（2） 工程款支付方式</w:t>
      </w:r>
    </w:p>
    <w:p w14:paraId="2AAF0D75">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按协议书所注明的银行账户转账。根据番府〔2014〕106号文精神，承包人在施工合同签订前需在我区内银行机构设立本工程合同的工程项目帐户。当工程款到承包人银行账户之后，承包人必须提供有关发票给发包人才能支付使用。</w:t>
      </w:r>
    </w:p>
    <w:p w14:paraId="0A9FCC06">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支票支付。</w:t>
      </w:r>
    </w:p>
    <w:p w14:paraId="545755BF">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其他方式：</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7E212D1E">
      <w:pPr>
        <w:spacing w:line="420" w:lineRule="exact"/>
        <w:rPr>
          <w:rFonts w:ascii="宋体" w:hAnsi="宋体" w:cs="宋体"/>
          <w:color w:val="auto"/>
          <w:kern w:val="0"/>
          <w:sz w:val="22"/>
          <w:szCs w:val="22"/>
          <w:highlight w:val="none"/>
        </w:rPr>
      </w:pPr>
    </w:p>
    <w:p w14:paraId="1A7E7031">
      <w:pPr>
        <w:spacing w:line="420" w:lineRule="exact"/>
        <w:ind w:left="120"/>
        <w:rPr>
          <w:rFonts w:ascii="宋体" w:hAnsi="宋体" w:cs="宋体"/>
          <w:color w:val="auto"/>
          <w:sz w:val="22"/>
          <w:szCs w:val="22"/>
          <w:highlight w:val="none"/>
        </w:rPr>
      </w:pPr>
      <w:r>
        <w:rPr>
          <w:rFonts w:hint="eastAsia" w:ascii="宋体" w:hAnsi="宋体" w:cs="宋体"/>
          <w:color w:val="auto"/>
          <w:sz w:val="22"/>
          <w:szCs w:val="22"/>
          <w:highlight w:val="none"/>
        </w:rPr>
        <w:t>1</w:t>
      </w:r>
      <w:r>
        <w:rPr>
          <w:rFonts w:ascii="宋体" w:hAnsi="宋体" w:cs="宋体"/>
          <w:color w:val="auto"/>
          <w:sz w:val="22"/>
          <w:szCs w:val="22"/>
          <w:highlight w:val="none"/>
        </w:rPr>
        <w:t>9.5</w:t>
      </w:r>
      <w:r>
        <w:rPr>
          <w:rFonts w:hint="eastAsia" w:ascii="宋体" w:hAnsi="宋体" w:cs="宋体"/>
          <w:color w:val="auto"/>
          <w:sz w:val="22"/>
          <w:szCs w:val="22"/>
          <w:highlight w:val="none"/>
        </w:rPr>
        <w:t>发包人组织竣工验收的补充：</w:t>
      </w:r>
    </w:p>
    <w:p w14:paraId="7A1219A3">
      <w:pPr>
        <w:spacing w:line="420" w:lineRule="exact"/>
        <w:ind w:left="120"/>
        <w:rPr>
          <w:rFonts w:ascii="宋体" w:hAnsi="宋体" w:cs="宋体"/>
          <w:color w:val="auto"/>
          <w:sz w:val="22"/>
          <w:szCs w:val="22"/>
          <w:highlight w:val="none"/>
        </w:rPr>
      </w:pPr>
      <w:r>
        <w:rPr>
          <w:rFonts w:hint="eastAsia" w:ascii="宋体" w:hAnsi="宋体" w:cs="宋体"/>
          <w:color w:val="auto"/>
          <w:sz w:val="22"/>
          <w:szCs w:val="22"/>
          <w:highlight w:val="none"/>
        </w:rPr>
        <w:t>本工程法人验收包括：单位工程验收；</w:t>
      </w:r>
    </w:p>
    <w:p w14:paraId="2BE4C469">
      <w:pPr>
        <w:spacing w:line="420" w:lineRule="exact"/>
        <w:ind w:left="120"/>
        <w:rPr>
          <w:rFonts w:ascii="宋体" w:hAnsi="宋体" w:cs="宋体"/>
          <w:color w:val="auto"/>
          <w:sz w:val="22"/>
          <w:szCs w:val="22"/>
          <w:highlight w:val="none"/>
        </w:rPr>
      </w:pPr>
      <w:r>
        <w:rPr>
          <w:rFonts w:hint="eastAsia" w:ascii="宋体" w:hAnsi="宋体" w:cs="宋体"/>
          <w:color w:val="auto"/>
          <w:sz w:val="22"/>
          <w:szCs w:val="22"/>
          <w:highlight w:val="none"/>
        </w:rPr>
        <w:t>政府验收包括：竣工验收。</w:t>
      </w:r>
    </w:p>
    <w:p w14:paraId="1FC05EC1">
      <w:pPr>
        <w:spacing w:line="420" w:lineRule="exact"/>
        <w:ind w:left="120"/>
        <w:rPr>
          <w:rFonts w:hint="eastAsia" w:ascii="宋体" w:hAnsi="宋体" w:cs="宋体"/>
          <w:color w:val="auto"/>
          <w:sz w:val="22"/>
          <w:szCs w:val="22"/>
          <w:highlight w:val="none"/>
        </w:rPr>
      </w:pPr>
      <w:r>
        <w:rPr>
          <w:rFonts w:hint="eastAsia" w:ascii="宋体" w:hAnsi="宋体" w:cs="宋体"/>
          <w:color w:val="auto"/>
          <w:sz w:val="22"/>
          <w:szCs w:val="22"/>
          <w:highlight w:val="none"/>
        </w:rPr>
        <w:t>验收条件及程序参照通用条款，并结合广州市番禺区水务局关于水务工程验收的相关规定执行。重要分部工程验收由发包人主持，其余由监理人主持。</w:t>
      </w:r>
    </w:p>
    <w:p w14:paraId="6C0192A2">
      <w:pPr>
        <w:spacing w:line="420" w:lineRule="exact"/>
        <w:rPr>
          <w:rFonts w:hint="eastAsia" w:ascii="宋体" w:hAnsi="宋体" w:cs="宋体"/>
          <w:color w:val="auto"/>
          <w:kern w:val="0"/>
          <w:sz w:val="22"/>
          <w:szCs w:val="22"/>
          <w:highlight w:val="none"/>
        </w:rPr>
      </w:pPr>
    </w:p>
    <w:p w14:paraId="29860C9D">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1</w:t>
      </w:r>
      <w:r>
        <w:rPr>
          <w:rFonts w:ascii="宋体" w:hAnsi="宋体" w:cs="宋体"/>
          <w:color w:val="auto"/>
          <w:kern w:val="0"/>
          <w:sz w:val="22"/>
          <w:szCs w:val="22"/>
          <w:highlight w:val="none"/>
        </w:rPr>
        <w:t>9.7</w:t>
      </w:r>
      <w:r>
        <w:rPr>
          <w:rFonts w:hint="eastAsia" w:ascii="宋体" w:hAnsi="宋体" w:cs="宋体"/>
          <w:color w:val="auto"/>
          <w:kern w:val="0"/>
          <w:sz w:val="22"/>
          <w:szCs w:val="22"/>
          <w:highlight w:val="none"/>
        </w:rPr>
        <w:t>发包人未尽义务的责任：</w:t>
      </w:r>
      <w:r>
        <w:rPr>
          <w:rFonts w:ascii="宋体" w:hAnsi="宋体" w:cs="宋体"/>
          <w:color w:val="auto"/>
          <w:kern w:val="0"/>
          <w:sz w:val="22"/>
          <w:szCs w:val="22"/>
          <w:highlight w:val="none"/>
          <w:u w:val="single"/>
        </w:rPr>
        <w:t xml:space="preserve">                </w:t>
      </w:r>
    </w:p>
    <w:p w14:paraId="35C16BDE">
      <w:pPr>
        <w:pStyle w:val="3"/>
        <w:numPr>
          <w:ilvl w:val="0"/>
          <w:numId w:val="0"/>
        </w:numPr>
        <w:tabs>
          <w:tab w:val="left" w:pos="420"/>
        </w:tabs>
        <w:spacing w:line="420" w:lineRule="exact"/>
        <w:rPr>
          <w:rFonts w:hAnsi="宋体"/>
          <w:b/>
          <w:bCs/>
          <w:color w:val="auto"/>
          <w:sz w:val="22"/>
          <w:szCs w:val="22"/>
          <w:highlight w:val="none"/>
        </w:rPr>
      </w:pPr>
      <w:bookmarkStart w:id="559" w:name="_Toc999"/>
      <w:bookmarkStart w:id="560" w:name="_Toc31297"/>
      <w:bookmarkStart w:id="561" w:name="_Toc13542"/>
      <w:bookmarkStart w:id="562" w:name="_Toc469384091"/>
      <w:bookmarkStart w:id="563" w:name="_Toc20418"/>
      <w:bookmarkStart w:id="564" w:name="_Toc155166161"/>
      <w:r>
        <w:rPr>
          <w:rFonts w:hint="eastAsia" w:hAnsi="宋体"/>
          <w:b/>
          <w:bCs/>
          <w:color w:val="auto"/>
          <w:sz w:val="22"/>
          <w:szCs w:val="22"/>
          <w:highlight w:val="none"/>
        </w:rPr>
        <w:t>20. 承包人</w:t>
      </w:r>
      <w:bookmarkEnd w:id="559"/>
      <w:bookmarkEnd w:id="560"/>
      <w:bookmarkEnd w:id="561"/>
      <w:bookmarkEnd w:id="562"/>
      <w:bookmarkEnd w:id="563"/>
      <w:bookmarkEnd w:id="564"/>
    </w:p>
    <w:p w14:paraId="5D2D39DD">
      <w:pPr>
        <w:spacing w:line="420" w:lineRule="exact"/>
        <w:rPr>
          <w:rFonts w:ascii="宋体" w:hAnsi="宋体" w:cs="宋体"/>
          <w:b/>
          <w:bCs/>
          <w:color w:val="auto"/>
          <w:kern w:val="0"/>
          <w:sz w:val="22"/>
          <w:szCs w:val="22"/>
          <w:highlight w:val="none"/>
        </w:rPr>
      </w:pPr>
    </w:p>
    <w:p w14:paraId="3FDD0FF8">
      <w:pPr>
        <w:spacing w:line="420" w:lineRule="exact"/>
        <w:rPr>
          <w:rFonts w:ascii="宋体" w:hAnsi="宋体" w:cs="宋体"/>
          <w:color w:val="auto"/>
          <w:kern w:val="0"/>
          <w:sz w:val="22"/>
          <w:szCs w:val="22"/>
          <w:highlight w:val="none"/>
        </w:rPr>
      </w:pPr>
      <w:bookmarkStart w:id="565" w:name="_Hlk142816904"/>
      <w:r>
        <w:rPr>
          <w:rFonts w:hint="eastAsia" w:ascii="宋体" w:hAnsi="宋体" w:cs="宋体"/>
          <w:color w:val="auto"/>
          <w:kern w:val="0"/>
          <w:sz w:val="22"/>
          <w:szCs w:val="22"/>
          <w:highlight w:val="none"/>
        </w:rPr>
        <w:t>20.1 遵守法律</w:t>
      </w:r>
    </w:p>
    <w:p w14:paraId="3DCF4616">
      <w:pPr>
        <w:spacing w:line="420" w:lineRule="exact"/>
        <w:rPr>
          <w:rFonts w:ascii="宋体" w:hAnsi="宋体" w:cs="宋体"/>
          <w:b/>
          <w:bCs/>
          <w:color w:val="auto"/>
          <w:kern w:val="0"/>
          <w:sz w:val="22"/>
          <w:szCs w:val="22"/>
          <w:highlight w:val="none"/>
        </w:rPr>
      </w:pPr>
    </w:p>
    <w:p w14:paraId="171E12D8">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承包人在本项目发包人的工程项目中存在通用条款20.1所列行为的，将被拒绝参与发包人后续工程投标。拒绝投标时限：</w:t>
      </w:r>
      <w:r>
        <w:rPr>
          <w:rFonts w:hint="eastAsia" w:ascii="宋体" w:hAnsi="宋体" w:cs="宋体"/>
          <w:color w:val="auto"/>
          <w:kern w:val="0"/>
          <w:sz w:val="22"/>
          <w:szCs w:val="22"/>
          <w:highlight w:val="none"/>
          <w:u w:val="single"/>
        </w:rPr>
        <w:t>两年</w:t>
      </w:r>
      <w:r>
        <w:rPr>
          <w:rFonts w:hint="eastAsia" w:ascii="宋体" w:hAnsi="宋体" w:cs="宋体"/>
          <w:color w:val="auto"/>
          <w:kern w:val="0"/>
          <w:sz w:val="22"/>
          <w:szCs w:val="22"/>
          <w:highlight w:val="none"/>
        </w:rPr>
        <w:t>。</w:t>
      </w:r>
    </w:p>
    <w:bookmarkEnd w:id="565"/>
    <w:p w14:paraId="3B54437D">
      <w:pPr>
        <w:spacing w:line="420" w:lineRule="exact"/>
        <w:rPr>
          <w:rFonts w:ascii="宋体" w:hAnsi="宋体" w:cs="宋体"/>
          <w:color w:val="auto"/>
          <w:kern w:val="0"/>
          <w:sz w:val="22"/>
          <w:szCs w:val="22"/>
          <w:highlight w:val="none"/>
          <w:u w:val="single"/>
        </w:rPr>
      </w:pPr>
    </w:p>
    <w:p w14:paraId="0A81C33A">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20.2 承包人完成下列工作的约定</w:t>
      </w:r>
    </w:p>
    <w:p w14:paraId="6E236CE7">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p>
    <w:p w14:paraId="74C59DB7">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（3） 提交支付申请和工程款额报告期限</w:t>
      </w:r>
    </w:p>
    <w:p w14:paraId="4A6768B3">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按通用条款第80.2款、第81.1款、第83.1款等规定期限提交。</w:t>
      </w:r>
    </w:p>
    <w:p w14:paraId="70120F6A">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p>
    <w:p w14:paraId="2E44F86F">
      <w:pPr>
        <w:spacing w:line="420" w:lineRule="exact"/>
        <w:rPr>
          <w:rFonts w:ascii="宋体" w:hAnsi="宋体" w:cs="宋体"/>
          <w:color w:val="auto"/>
          <w:kern w:val="0"/>
          <w:sz w:val="22"/>
          <w:szCs w:val="22"/>
          <w:highlight w:val="none"/>
          <w:u w:val="single"/>
        </w:rPr>
      </w:pPr>
    </w:p>
    <w:p w14:paraId="2A4984D5">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（4）承担施工安全保卫工作及非夜间施工照明的责任和要求：</w:t>
      </w:r>
      <w:r>
        <w:rPr>
          <w:rFonts w:hint="eastAsia" w:ascii="宋体" w:hAnsi="宋体" w:cs="宋体"/>
          <w:color w:val="auto"/>
          <w:kern w:val="0"/>
          <w:sz w:val="22"/>
          <w:szCs w:val="22"/>
          <w:highlight w:val="none"/>
          <w:u w:val="single"/>
        </w:rPr>
        <w:t>由承包人提供和维修白天或夜间施工使用的照明、围栏设施，并负责安全保卫。若承包人未履行上述义务造成工程、财产、人身损害等，由承包人承担责任及因此所发生的一切费用，该项费用已包含在签约合同价内。</w:t>
      </w:r>
    </w:p>
    <w:p w14:paraId="5F53F07C">
      <w:pPr>
        <w:spacing w:line="420" w:lineRule="exact"/>
        <w:rPr>
          <w:rFonts w:ascii="宋体" w:hAnsi="宋体" w:cs="宋体"/>
          <w:color w:val="auto"/>
          <w:kern w:val="0"/>
          <w:sz w:val="22"/>
          <w:szCs w:val="22"/>
          <w:highlight w:val="none"/>
        </w:rPr>
      </w:pPr>
    </w:p>
    <w:p w14:paraId="603C76EE">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（5）</w:t>
      </w:r>
      <w:r>
        <w:rPr>
          <w:rFonts w:hint="eastAsia" w:ascii="宋体" w:hAnsi="宋体" w:cs="宋体"/>
          <w:color w:val="auto"/>
          <w:kern w:val="0"/>
          <w:sz w:val="22"/>
          <w:szCs w:val="22"/>
          <w:highlight w:val="none"/>
          <w:u w:val="single"/>
        </w:rPr>
        <w:t>承包人要为发包人现场办公和交通提供便利，且提供1名人员到发包人指定的地点驻场办公, 按照发包人要求开展工程管理有关工作。该人员需自备办公设备（包括但不限于电脑等)，具体违约处罚按附件十八《番禺区水务工程参建单位管理人员考核要求》处理。（此条仅适用于最高投标限价5</w:t>
      </w:r>
      <w:r>
        <w:rPr>
          <w:rFonts w:ascii="宋体" w:hAnsi="宋体" w:cs="宋体"/>
          <w:color w:val="auto"/>
          <w:kern w:val="0"/>
          <w:sz w:val="22"/>
          <w:szCs w:val="22"/>
          <w:highlight w:val="none"/>
          <w:u w:val="single"/>
        </w:rPr>
        <w:t>000万</w:t>
      </w:r>
      <w:r>
        <w:rPr>
          <w:rFonts w:hint="eastAsia" w:ascii="宋体" w:hAnsi="宋体" w:cs="宋体"/>
          <w:color w:val="auto"/>
          <w:kern w:val="0"/>
          <w:sz w:val="22"/>
          <w:szCs w:val="22"/>
          <w:highlight w:val="none"/>
          <w:u w:val="single"/>
        </w:rPr>
        <w:t>（含）</w:t>
      </w:r>
      <w:r>
        <w:rPr>
          <w:rFonts w:ascii="宋体" w:hAnsi="宋体" w:cs="宋体"/>
          <w:color w:val="auto"/>
          <w:kern w:val="0"/>
          <w:sz w:val="22"/>
          <w:szCs w:val="22"/>
          <w:highlight w:val="none"/>
          <w:u w:val="single"/>
        </w:rPr>
        <w:t>以上项目</w:t>
      </w:r>
      <w:r>
        <w:rPr>
          <w:rFonts w:hint="eastAsia" w:ascii="宋体" w:hAnsi="宋体" w:cs="宋体"/>
          <w:color w:val="auto"/>
          <w:kern w:val="0"/>
          <w:sz w:val="22"/>
          <w:szCs w:val="22"/>
          <w:highlight w:val="none"/>
          <w:u w:val="single"/>
        </w:rPr>
        <w:t>）</w:t>
      </w:r>
    </w:p>
    <w:p w14:paraId="3075153A">
      <w:pPr>
        <w:spacing w:line="420" w:lineRule="exact"/>
        <w:rPr>
          <w:rFonts w:ascii="宋体" w:hAnsi="宋体" w:cs="宋体"/>
          <w:color w:val="auto"/>
          <w:kern w:val="0"/>
          <w:sz w:val="22"/>
          <w:szCs w:val="22"/>
          <w:highlight w:val="none"/>
          <w:u w:val="single"/>
        </w:rPr>
      </w:pPr>
    </w:p>
    <w:p w14:paraId="58ACC4C4">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（6） 办完施工场地交通、环境保护、施工噪声、</w:t>
      </w:r>
      <w:r>
        <w:rPr>
          <w:rFonts w:hint="eastAsia" w:ascii="宋体" w:hAnsi="宋体" w:cs="宋体"/>
          <w:color w:val="auto"/>
          <w:sz w:val="22"/>
          <w:szCs w:val="22"/>
          <w:highlight w:val="none"/>
        </w:rPr>
        <w:t>绿色施工安全防护</w:t>
      </w:r>
      <w:r>
        <w:rPr>
          <w:rFonts w:hint="eastAsia" w:ascii="宋体" w:hAnsi="宋体" w:cs="宋体"/>
          <w:color w:val="auto"/>
          <w:kern w:val="0"/>
          <w:sz w:val="22"/>
          <w:szCs w:val="22"/>
          <w:highlight w:val="none"/>
        </w:rPr>
        <w:t>等手续的时间：</w:t>
      </w:r>
      <w:r>
        <w:rPr>
          <w:rFonts w:hint="eastAsia" w:ascii="宋体" w:hAnsi="宋体" w:cs="宋体"/>
          <w:color w:val="auto"/>
          <w:kern w:val="0"/>
          <w:sz w:val="22"/>
          <w:szCs w:val="22"/>
          <w:highlight w:val="none"/>
          <w:u w:val="single"/>
        </w:rPr>
        <w:t>承包人负责办理的与工程有关的场地交通、环卫、余泥排放、环境保护、施工噪音、排污、绿色施工安全防护等施工许可手续和其它相关工作，工程所在地政府的规定办理，规定由承包人支付的费用，承包人需及时支付。若承包人未履行上述义务，由承包人承担责任及因此所发生的一切费用。</w:t>
      </w:r>
    </w:p>
    <w:p w14:paraId="017DA5B2">
      <w:pPr>
        <w:spacing w:line="420" w:lineRule="exact"/>
        <w:rPr>
          <w:rFonts w:ascii="宋体" w:hAnsi="宋体" w:cs="宋体"/>
          <w:color w:val="auto"/>
          <w:kern w:val="0"/>
          <w:sz w:val="22"/>
          <w:szCs w:val="22"/>
          <w:highlight w:val="none"/>
          <w:u w:val="single"/>
        </w:rPr>
      </w:pPr>
    </w:p>
    <w:p w14:paraId="12BF3E5A">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（7）除通用条款2</w:t>
      </w:r>
      <w:r>
        <w:rPr>
          <w:rFonts w:ascii="宋体" w:hAnsi="宋体" w:cs="宋体"/>
          <w:color w:val="auto"/>
          <w:kern w:val="0"/>
          <w:sz w:val="22"/>
          <w:szCs w:val="22"/>
          <w:highlight w:val="none"/>
        </w:rPr>
        <w:t>0.2</w:t>
      </w:r>
      <w:r>
        <w:rPr>
          <w:rFonts w:hint="eastAsia" w:ascii="宋体" w:hAnsi="宋体" w:cs="宋体"/>
          <w:color w:val="auto"/>
          <w:kern w:val="0"/>
          <w:sz w:val="22"/>
          <w:szCs w:val="22"/>
          <w:highlight w:val="none"/>
        </w:rPr>
        <w:t>（7）约定外，已完工程成品保护的特殊要求及费用承担：</w:t>
      </w:r>
      <w:r>
        <w:rPr>
          <w:rFonts w:hint="eastAsia" w:ascii="宋体" w:hAnsi="宋体" w:cs="宋体"/>
          <w:color w:val="auto"/>
          <w:kern w:val="0"/>
          <w:sz w:val="22"/>
          <w:szCs w:val="22"/>
          <w:highlight w:val="none"/>
          <w:u w:val="single"/>
        </w:rPr>
        <w:t>承包人须负全责保护所有成品，直至工程移交为止，其费用已包括在签约合同价内。</w:t>
      </w:r>
    </w:p>
    <w:p w14:paraId="41D0E2BA">
      <w:pPr>
        <w:spacing w:line="420" w:lineRule="exact"/>
        <w:ind w:left="420"/>
        <w:rPr>
          <w:rFonts w:ascii="宋体" w:hAnsi="宋体" w:cs="宋体"/>
          <w:color w:val="auto"/>
          <w:kern w:val="0"/>
          <w:sz w:val="22"/>
          <w:szCs w:val="22"/>
          <w:highlight w:val="none"/>
        </w:rPr>
      </w:pPr>
    </w:p>
    <w:p w14:paraId="4C6B688D">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（8） 做好施工场地地下管线和邻近建筑物、构筑物（包括文物保护建筑）、古树名木保护工作的约定：</w:t>
      </w:r>
      <w:r>
        <w:rPr>
          <w:rFonts w:hint="eastAsia" w:ascii="宋体" w:hAnsi="宋体" w:cs="宋体"/>
          <w:color w:val="auto"/>
          <w:kern w:val="0"/>
          <w:sz w:val="22"/>
          <w:szCs w:val="22"/>
          <w:highlight w:val="none"/>
          <w:u w:val="single"/>
        </w:rPr>
        <w:t xml:space="preserve">施工场地周围地下管线、架空线路和邻近建筑物、构筑物（含文物保护建筑）、绿化、古树名木的保护要求及费用承担：由承包人自行勘查和负责保护，因施工过程造成的破坏，由承包人负责其翻修或重建费用及其赔偿责任。 </w:t>
      </w:r>
    </w:p>
    <w:p w14:paraId="13A69294">
      <w:pPr>
        <w:spacing w:line="420" w:lineRule="exact"/>
        <w:rPr>
          <w:rFonts w:ascii="宋体" w:hAnsi="宋体" w:cs="宋体"/>
          <w:color w:val="auto"/>
          <w:kern w:val="0"/>
          <w:sz w:val="22"/>
          <w:szCs w:val="22"/>
          <w:highlight w:val="none"/>
        </w:rPr>
      </w:pPr>
    </w:p>
    <w:p w14:paraId="76C61CA0">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（9） 保证施工场地的清洁和做好交工前施工现场清理工作的约定：</w:t>
      </w:r>
      <w:r>
        <w:rPr>
          <w:rFonts w:ascii="宋体" w:hAnsi="宋体" w:cs="宋体"/>
          <w:color w:val="auto"/>
          <w:kern w:val="0"/>
          <w:sz w:val="22"/>
          <w:szCs w:val="22"/>
          <w:highlight w:val="none"/>
          <w:u w:val="single"/>
        </w:rPr>
        <w:t>负责施工场地及其周边环境与生态的保护工作</w:t>
      </w:r>
    </w:p>
    <w:p w14:paraId="6BF05B11">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（a）办理有关施工场地交通、环卫和施工噪音管理等手续；</w:t>
      </w:r>
    </w:p>
    <w:p w14:paraId="2A59AFFB">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b）施工场地清洁卫生的要求：承包人必须按广州市和番禺区文明施工管理有关规定执行，做好施工场地的文明施工措施，符合有关部门的文明施工要求；在竣工后搬走所有施工机械、垃圾及剩余材料，并使竣工现场干净、整齐。有关费用已包含在签约合同价内。</w:t>
      </w:r>
    </w:p>
    <w:p w14:paraId="2E4D17D4">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承包人文明施工措施不能满足施工合同约定，发包人不予支付文明施工措施费用。</w:t>
      </w:r>
    </w:p>
    <w:p w14:paraId="1533B9C1">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（c)承担工程期间工地旁边的农用排灌、水利泄洪设施的监督、管理和维护。因监督、管理和维护不当导致附近的民居、农作物等受损的，承包人自行对受害人进行协商赔偿。</w:t>
      </w:r>
    </w:p>
    <w:p w14:paraId="60A925D1">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（d)承担降雨等恶劣天气或地质灾害导致工地的设备、设施、杂物或工地排水损坏附近民居、农作物等的赔偿责任。</w:t>
      </w:r>
    </w:p>
    <w:p w14:paraId="2C4EDE61">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（e)负责缺陷责任期间工程的养护与清扫工作。</w:t>
      </w:r>
    </w:p>
    <w:p w14:paraId="4D1769FB">
      <w:pPr>
        <w:spacing w:line="420" w:lineRule="exact"/>
        <w:ind w:firstLine="110" w:firstLineChars="50"/>
        <w:rPr>
          <w:rFonts w:ascii="宋体" w:hAnsi="宋体" w:cs="宋体"/>
          <w:color w:val="auto"/>
          <w:kern w:val="0"/>
          <w:sz w:val="22"/>
          <w:szCs w:val="22"/>
          <w:highlight w:val="none"/>
          <w:u w:val="single"/>
        </w:rPr>
      </w:pPr>
    </w:p>
    <w:p w14:paraId="1E0E1BFB">
      <w:pPr>
        <w:numPr>
          <w:ilvl w:val="0"/>
          <w:numId w:val="31"/>
        </w:num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提交竣工验收申请报告和竣工结算文件</w:t>
      </w:r>
    </w:p>
    <w:p w14:paraId="541CB398">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按通用条款第82.2款规定提交。</w:t>
      </w:r>
    </w:p>
    <w:p w14:paraId="707229CD">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另作约定：</w:t>
      </w:r>
    </w:p>
    <w:p w14:paraId="4A65C863">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（1</w:t>
      </w:r>
      <w:r>
        <w:rPr>
          <w:rFonts w:ascii="宋体" w:hAnsi="宋体" w:cs="宋体"/>
          <w:color w:val="auto"/>
          <w:kern w:val="0"/>
          <w:sz w:val="22"/>
          <w:szCs w:val="22"/>
          <w:highlight w:val="none"/>
          <w:u w:val="single"/>
        </w:rPr>
        <w:t>0.1</w:t>
      </w:r>
      <w:r>
        <w:rPr>
          <w:rFonts w:hint="eastAsia" w:ascii="宋体" w:hAnsi="宋体" w:cs="宋体"/>
          <w:color w:val="auto"/>
          <w:kern w:val="0"/>
          <w:sz w:val="22"/>
          <w:szCs w:val="22"/>
          <w:highlight w:val="none"/>
          <w:u w:val="single"/>
        </w:rPr>
        <w:t>）提交竣工验收申请报告：</w:t>
      </w:r>
    </w:p>
    <w:p w14:paraId="419F2063">
      <w:pPr>
        <w:spacing w:line="420" w:lineRule="exact"/>
        <w:ind w:firstLine="330" w:firstLineChars="150"/>
        <w:rPr>
          <w:rFonts w:ascii="宋体" w:hAnsi="宋体" w:cs="宋体"/>
          <w:color w:val="auto"/>
          <w:kern w:val="0"/>
          <w:sz w:val="22"/>
          <w:szCs w:val="22"/>
          <w:highlight w:val="none"/>
          <w:u w:val="single"/>
        </w:rPr>
      </w:pPr>
      <w:r>
        <w:rPr>
          <w:rFonts w:ascii="宋体" w:hAnsi="宋体" w:cs="宋体"/>
          <w:color w:val="auto"/>
          <w:kern w:val="0"/>
          <w:sz w:val="22"/>
          <w:szCs w:val="22"/>
          <w:highlight w:val="none"/>
          <w:u w:val="single"/>
        </w:rPr>
        <w:t>承包人负责整理和提交的竣工验收资料应当符合工程所在地建设行政主管部门和（或）城市建设档案管理机构有关施工资料的要求，具体内容包括：</w:t>
      </w:r>
      <w:r>
        <w:rPr>
          <w:rFonts w:hint="eastAsia" w:ascii="宋体" w:hAnsi="宋体" w:cs="宋体"/>
          <w:color w:val="auto"/>
          <w:kern w:val="0"/>
          <w:sz w:val="22"/>
          <w:szCs w:val="22"/>
          <w:highlight w:val="none"/>
          <w:u w:val="single"/>
        </w:rPr>
        <w:t xml:space="preserve"> </w:t>
      </w:r>
    </w:p>
    <w:p w14:paraId="41044B76">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承包人在竣工验收后十个工作天内，向发包人提交。竣工备案手续由承包人办理，竣工验收资料须按工程档案管理的有关要求编制成册，竣工图纸应委托设计单位绘制。</w:t>
      </w:r>
    </w:p>
    <w:p w14:paraId="2DC9F0FF">
      <w:pPr>
        <w:spacing w:line="420" w:lineRule="exact"/>
        <w:ind w:firstLine="330" w:firstLineChars="150"/>
        <w:rPr>
          <w:rFonts w:ascii="宋体" w:hAnsi="宋体" w:cs="宋体"/>
          <w:color w:val="auto"/>
          <w:kern w:val="0"/>
          <w:sz w:val="22"/>
          <w:szCs w:val="22"/>
          <w:highlight w:val="none"/>
          <w:u w:val="single"/>
        </w:rPr>
      </w:pPr>
      <w:r>
        <w:rPr>
          <w:rFonts w:ascii="宋体" w:hAnsi="宋体" w:cs="宋体"/>
          <w:color w:val="auto"/>
          <w:kern w:val="0"/>
          <w:sz w:val="22"/>
          <w:szCs w:val="22"/>
          <w:highlight w:val="none"/>
          <w:u w:val="single"/>
        </w:rPr>
        <w:t xml:space="preserve">竣工验收资料的份数： </w:t>
      </w:r>
      <w:r>
        <w:rPr>
          <w:rFonts w:hint="eastAsia" w:ascii="宋体" w:hAnsi="宋体" w:cs="宋体"/>
          <w:color w:val="auto"/>
          <w:kern w:val="0"/>
          <w:sz w:val="22"/>
          <w:szCs w:val="22"/>
          <w:highlight w:val="none"/>
          <w:u w:val="single"/>
        </w:rPr>
        <w:t>竣工验收资料4套、安全文明施工管理竣工资料2套（按《广州市市政基础设施（水务工程部分）工程档案编制指南》要求编制），竣工验收报告8份、竣工图纸5套、竣工图电子文件光盘2套</w:t>
      </w:r>
      <w:r>
        <w:rPr>
          <w:rFonts w:ascii="宋体" w:hAnsi="宋体" w:cs="宋体"/>
          <w:color w:val="auto"/>
          <w:kern w:val="0"/>
          <w:sz w:val="22"/>
          <w:szCs w:val="22"/>
          <w:highlight w:val="none"/>
          <w:u w:val="single"/>
        </w:rPr>
        <w:t>。</w:t>
      </w:r>
    </w:p>
    <w:p w14:paraId="306CF904">
      <w:pPr>
        <w:spacing w:line="420" w:lineRule="exact"/>
        <w:ind w:firstLine="330" w:firstLineChars="150"/>
        <w:rPr>
          <w:rFonts w:ascii="宋体" w:hAnsi="宋体" w:cs="宋体"/>
          <w:color w:val="auto"/>
          <w:kern w:val="0"/>
          <w:sz w:val="22"/>
          <w:szCs w:val="22"/>
          <w:highlight w:val="none"/>
          <w:u w:val="single"/>
        </w:rPr>
      </w:pPr>
      <w:r>
        <w:rPr>
          <w:rFonts w:ascii="宋体" w:hAnsi="宋体" w:cs="宋体"/>
          <w:color w:val="auto"/>
          <w:kern w:val="0"/>
          <w:sz w:val="22"/>
          <w:szCs w:val="22"/>
          <w:highlight w:val="none"/>
          <w:u w:val="single"/>
        </w:rPr>
        <w:t>竣工验收资料的费用支付方式：</w:t>
      </w:r>
      <w:r>
        <w:rPr>
          <w:rFonts w:hint="eastAsia" w:ascii="宋体" w:hAnsi="宋体" w:cs="宋体"/>
          <w:color w:val="auto"/>
          <w:kern w:val="0"/>
          <w:sz w:val="22"/>
          <w:szCs w:val="22"/>
          <w:highlight w:val="none"/>
          <w:u w:val="single"/>
        </w:rPr>
        <w:t>制作费用已包含在签约合同价内</w:t>
      </w:r>
      <w:r>
        <w:rPr>
          <w:rFonts w:ascii="宋体" w:hAnsi="宋体" w:cs="宋体"/>
          <w:color w:val="auto"/>
          <w:kern w:val="0"/>
          <w:sz w:val="22"/>
          <w:szCs w:val="22"/>
          <w:highlight w:val="none"/>
          <w:u w:val="single"/>
        </w:rPr>
        <w:t>。</w:t>
      </w:r>
    </w:p>
    <w:p w14:paraId="7FEDA3C0">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（1</w:t>
      </w:r>
      <w:r>
        <w:rPr>
          <w:rFonts w:ascii="宋体" w:hAnsi="宋体" w:cs="宋体"/>
          <w:color w:val="auto"/>
          <w:kern w:val="0"/>
          <w:sz w:val="22"/>
          <w:szCs w:val="22"/>
          <w:highlight w:val="none"/>
          <w:u w:val="single"/>
        </w:rPr>
        <w:t>0.2</w:t>
      </w:r>
      <w:r>
        <w:rPr>
          <w:rFonts w:hint="eastAsia" w:ascii="宋体" w:hAnsi="宋体" w:cs="宋体"/>
          <w:color w:val="auto"/>
          <w:kern w:val="0"/>
          <w:sz w:val="22"/>
          <w:szCs w:val="22"/>
          <w:highlight w:val="none"/>
          <w:u w:val="single"/>
        </w:rPr>
        <w:t>）竣工结算文件：</w:t>
      </w:r>
    </w:p>
    <w:p w14:paraId="0DB85BE9">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①发包人收到竣工结算报告及结算资料后经评审，评审结果（即为本工程结算总价）确定后，承包人提出支付申请后28个日历天内发包人无正当理由不支付工程竣工结算价款，从第29个日历天起按当日由中国人民银行发布的同期同档次金融机构人民币贷款基准利率支付拖欠工程价款的利息，并承担违约责任。政府工程则以财政审批时间为准，因政府相关部门财政审批迟延支付工程款的，发包人不承担违约责任。</w:t>
      </w:r>
    </w:p>
    <w:p w14:paraId="7B3C6C14">
      <w:pPr>
        <w:spacing w:line="420" w:lineRule="exact"/>
        <w:ind w:firstLine="330" w:firstLineChars="150"/>
        <w:rPr>
          <w:rFonts w:ascii="宋体" w:hAnsi="宋体" w:cs="宋体"/>
          <w:strike/>
          <w:color w:val="auto"/>
          <w:kern w:val="0"/>
          <w:sz w:val="22"/>
          <w:szCs w:val="22"/>
          <w:highlight w:val="none"/>
          <w:u w:val="single"/>
          <w:shd w:val="clear" w:color="auto" w:fill="FFFF00"/>
        </w:rPr>
      </w:pPr>
      <w:r>
        <w:rPr>
          <w:rFonts w:hint="eastAsia" w:ascii="宋体" w:hAnsi="宋体" w:cs="宋体"/>
          <w:color w:val="auto"/>
          <w:kern w:val="0"/>
          <w:sz w:val="22"/>
          <w:szCs w:val="22"/>
          <w:highlight w:val="none"/>
          <w:u w:val="single"/>
        </w:rPr>
        <w:t>②发包人收到竣工结算报告及结算资料后经评审，评审结果确定后，承包人提出支付申请后28个日历天内发包人无正当理由不支付工程竣工结算价款，承包人可以催告发包人支付结算价款。</w:t>
      </w:r>
    </w:p>
    <w:p w14:paraId="0B8663E6">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③工程竣工验收报告经发包人认可后28个日历天内，承包人未能向发包人递交竣工结算报告及完整的结算资料，造成工程竣工结算不能正常进行或工程竣工结算价款不能及时支付，发包人要求交付工程的，承包人应当交付；发包人不要求交付工程的，承包人承担保管责任。若承包人在工程竣工验收后二年内不能向发包人递交竣工结算报告及完整的结算资料，则视为承包人放弃工程款及相关权利，发包人有权不予支付工程款。</w:t>
      </w:r>
    </w:p>
    <w:p w14:paraId="5361F5FA">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④</w:t>
      </w:r>
      <w:r>
        <w:rPr>
          <w:rFonts w:ascii="宋体" w:hAnsi="宋体" w:cs="宋体"/>
          <w:color w:val="auto"/>
          <w:kern w:val="0"/>
          <w:sz w:val="22"/>
          <w:szCs w:val="22"/>
          <w:highlight w:val="none"/>
          <w:u w:val="single"/>
        </w:rPr>
        <w:t>结算组织工作要求（见本合同附件十</w:t>
      </w:r>
      <w:r>
        <w:rPr>
          <w:rFonts w:hint="eastAsia" w:ascii="宋体" w:hAnsi="宋体" w:cs="宋体"/>
          <w:color w:val="auto"/>
          <w:kern w:val="0"/>
          <w:sz w:val="22"/>
          <w:szCs w:val="22"/>
          <w:highlight w:val="none"/>
          <w:u w:val="single"/>
        </w:rPr>
        <w:t>四</w:t>
      </w:r>
      <w:r>
        <w:rPr>
          <w:rFonts w:ascii="宋体" w:hAnsi="宋体" w:cs="宋体"/>
          <w:color w:val="auto"/>
          <w:kern w:val="0"/>
          <w:sz w:val="22"/>
          <w:szCs w:val="22"/>
          <w:highlight w:val="none"/>
          <w:u w:val="single"/>
        </w:rPr>
        <w:t>《工程结算工作协议书》）</w:t>
      </w:r>
      <w:r>
        <w:rPr>
          <w:rFonts w:hint="eastAsia" w:ascii="宋体" w:hAnsi="宋体" w:cs="宋体"/>
          <w:color w:val="auto"/>
          <w:kern w:val="0"/>
          <w:sz w:val="22"/>
          <w:szCs w:val="22"/>
          <w:highlight w:val="none"/>
          <w:u w:val="single"/>
        </w:rPr>
        <w:t>。</w:t>
      </w:r>
    </w:p>
    <w:p w14:paraId="32E2DB2C">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⑤发包人与承包人对工程竣工结算价款发生争议时，按本合同</w:t>
      </w:r>
      <w:r>
        <w:rPr>
          <w:rFonts w:ascii="宋体" w:hAnsi="宋体" w:cs="宋体"/>
          <w:color w:val="auto"/>
          <w:kern w:val="0"/>
          <w:sz w:val="22"/>
          <w:szCs w:val="22"/>
          <w:highlight w:val="none"/>
          <w:u w:val="single"/>
        </w:rPr>
        <w:t>附件十</w:t>
      </w:r>
      <w:r>
        <w:rPr>
          <w:rFonts w:hint="eastAsia" w:ascii="宋体" w:hAnsi="宋体" w:cs="宋体"/>
          <w:color w:val="auto"/>
          <w:kern w:val="0"/>
          <w:sz w:val="22"/>
          <w:szCs w:val="22"/>
          <w:highlight w:val="none"/>
          <w:u w:val="single"/>
        </w:rPr>
        <w:t>四</w:t>
      </w:r>
      <w:r>
        <w:rPr>
          <w:rFonts w:ascii="宋体" w:hAnsi="宋体" w:cs="宋体"/>
          <w:color w:val="auto"/>
          <w:kern w:val="0"/>
          <w:sz w:val="22"/>
          <w:szCs w:val="22"/>
          <w:highlight w:val="none"/>
          <w:u w:val="single"/>
        </w:rPr>
        <w:t>《工程结算工作协议书》</w:t>
      </w:r>
      <w:r>
        <w:rPr>
          <w:rFonts w:hint="eastAsia" w:ascii="宋体" w:hAnsi="宋体" w:cs="宋体"/>
          <w:color w:val="auto"/>
          <w:kern w:val="0"/>
          <w:sz w:val="22"/>
          <w:szCs w:val="22"/>
          <w:highlight w:val="none"/>
          <w:u w:val="single"/>
        </w:rPr>
        <w:t>关于争议的约定处理。</w:t>
      </w:r>
    </w:p>
    <w:p w14:paraId="6C124E3D">
      <w:pPr>
        <w:spacing w:line="420" w:lineRule="exact"/>
        <w:ind w:left="120"/>
        <w:rPr>
          <w:rFonts w:ascii="宋体" w:hAnsi="宋体" w:cs="宋体"/>
          <w:color w:val="auto"/>
          <w:kern w:val="0"/>
          <w:sz w:val="22"/>
          <w:szCs w:val="22"/>
          <w:highlight w:val="none"/>
        </w:rPr>
      </w:pPr>
    </w:p>
    <w:p w14:paraId="2F408513">
      <w:pPr>
        <w:tabs>
          <w:tab w:val="left" w:pos="840"/>
        </w:tabs>
        <w:spacing w:line="420" w:lineRule="exact"/>
        <w:ind w:left="120"/>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r>
        <w:rPr>
          <w:rFonts w:ascii="宋体" w:hAnsi="宋体" w:cs="宋体"/>
          <w:color w:val="auto"/>
          <w:kern w:val="0"/>
          <w:sz w:val="22"/>
          <w:szCs w:val="22"/>
          <w:highlight w:val="none"/>
        </w:rPr>
        <w:t>1</w:t>
      </w:r>
      <w:r>
        <w:rPr>
          <w:rFonts w:hint="eastAsia" w:ascii="宋体" w:hAnsi="宋体" w:cs="宋体"/>
          <w:color w:val="auto"/>
          <w:kern w:val="0"/>
          <w:sz w:val="22"/>
          <w:szCs w:val="22"/>
          <w:highlight w:val="none"/>
        </w:rPr>
        <w:t>）</w:t>
      </w:r>
      <w:r>
        <w:rPr>
          <w:rFonts w:ascii="宋体" w:hAnsi="宋体" w:cs="宋体"/>
          <w:color w:val="auto"/>
          <w:kern w:val="0"/>
          <w:sz w:val="22"/>
          <w:szCs w:val="22"/>
          <w:highlight w:val="none"/>
        </w:rPr>
        <w:t>其他义务</w:t>
      </w:r>
    </w:p>
    <w:p w14:paraId="5ED5EC9F">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a</w:t>
      </w:r>
      <w:r>
        <w:rPr>
          <w:rFonts w:ascii="宋体" w:hAnsi="宋体" w:cs="宋体"/>
          <w:color w:val="auto"/>
          <w:kern w:val="0"/>
          <w:sz w:val="22"/>
          <w:szCs w:val="22"/>
          <w:highlight w:val="none"/>
          <w:u w:val="single"/>
        </w:rPr>
        <w:t>）根据发包人委托，在其设计资质等级和业务允许的范围内，完成施工图设计或与工程配套的设计，经监理人确认后使用，发包人承担由此发生的费用和合理利润。由承包人负责完成的设计文件属于合同条款第5.2项约定的承包人提供的文件，承包人应按照专用合同条款第5.2项约定的期限和数量提交，由此发生的费用被认为已经包括在承包人的签约合同价（投标总报价）中。由承包人承担的施工图设计或与工程配套的设计工作内容：</w:t>
      </w:r>
      <w:r>
        <w:rPr>
          <w:rFonts w:hint="eastAsia" w:ascii="宋体" w:hAnsi="宋体" w:cs="宋体"/>
          <w:color w:val="auto"/>
          <w:kern w:val="0"/>
          <w:sz w:val="22"/>
          <w:szCs w:val="22"/>
          <w:highlight w:val="none"/>
          <w:u w:val="single"/>
        </w:rPr>
        <w:t>若发包人委托则另行约定</w:t>
      </w:r>
      <w:r>
        <w:rPr>
          <w:rFonts w:ascii="宋体" w:hAnsi="宋体" w:cs="宋体"/>
          <w:color w:val="auto"/>
          <w:kern w:val="0"/>
          <w:sz w:val="22"/>
          <w:szCs w:val="22"/>
          <w:highlight w:val="none"/>
          <w:u w:val="single"/>
        </w:rPr>
        <w:t>。</w:t>
      </w:r>
    </w:p>
    <w:p w14:paraId="67DC2148">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b</w:t>
      </w:r>
      <w:r>
        <w:rPr>
          <w:rFonts w:hint="eastAsia" w:ascii="宋体" w:hAnsi="宋体" w:cs="宋体"/>
          <w:color w:val="auto"/>
          <w:kern w:val="0"/>
          <w:sz w:val="22"/>
          <w:szCs w:val="22"/>
          <w:highlight w:val="none"/>
          <w:u w:val="single"/>
        </w:rPr>
        <w:t>）工程竣工后，承包人应按照合同约定提交工程竣工验收申请报告和竣工结算申请书文件，逾期或者不按规定提交的，发包人有权依据已有资料做出判断并报送给结算审核方，以保证结算的连续性。</w:t>
      </w:r>
    </w:p>
    <w:p w14:paraId="439360DB">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c</w:t>
      </w:r>
      <w:r>
        <w:rPr>
          <w:rFonts w:hint="eastAsia" w:ascii="宋体" w:hAnsi="宋体" w:cs="宋体"/>
          <w:color w:val="auto"/>
          <w:kern w:val="0"/>
          <w:sz w:val="22"/>
          <w:szCs w:val="22"/>
          <w:highlight w:val="none"/>
          <w:u w:val="single"/>
        </w:rPr>
        <w:t>）配合有关部门的检查、审计等工作，包括并不限于提供工程或账务资料和说明。</w:t>
      </w:r>
    </w:p>
    <w:p w14:paraId="191B6ECB">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d</w:t>
      </w:r>
      <w:r>
        <w:rPr>
          <w:rFonts w:hint="eastAsia" w:ascii="宋体" w:hAnsi="宋体" w:cs="宋体"/>
          <w:color w:val="auto"/>
          <w:kern w:val="0"/>
          <w:sz w:val="22"/>
          <w:szCs w:val="22"/>
          <w:highlight w:val="none"/>
          <w:u w:val="single"/>
        </w:rPr>
        <w:t>）定位点保护、资料交接、技术交底。</w:t>
      </w:r>
    </w:p>
    <w:p w14:paraId="74F223C1">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e</w:t>
      </w:r>
      <w:r>
        <w:rPr>
          <w:rFonts w:hint="eastAsia" w:ascii="宋体" w:hAnsi="宋体" w:cs="宋体"/>
          <w:color w:val="auto"/>
          <w:kern w:val="0"/>
          <w:sz w:val="22"/>
          <w:szCs w:val="22"/>
          <w:highlight w:val="none"/>
          <w:u w:val="single"/>
        </w:rPr>
        <w:t>）</w:t>
      </w:r>
      <w:r>
        <w:rPr>
          <w:rFonts w:hint="eastAsia" w:ascii="宋体" w:hAnsi="宋体" w:cs="宋体"/>
          <w:bCs/>
          <w:color w:val="auto"/>
          <w:kern w:val="0"/>
          <w:sz w:val="22"/>
          <w:szCs w:val="22"/>
          <w:highlight w:val="none"/>
          <w:u w:val="single"/>
        </w:rPr>
        <w:t>承包人应当对在施工场地或者附近实施与合同工程有关的其他工作的独立承包人履行管理、协调、配合、照管和服务义务，由此发生的费用被认为已经包括在承包人的签约合同价（投标总报价）中。承包人还应按监理人指示为独立承包人以外的他人在施工场地或者附近实施与合同工程有关的其他工作提供可能的条件，可能发生费用由监理人按通用合同条款商定或者确定。</w:t>
      </w:r>
    </w:p>
    <w:p w14:paraId="3E59B827">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f</w:t>
      </w:r>
      <w:r>
        <w:rPr>
          <w:rFonts w:hint="eastAsia" w:ascii="宋体" w:hAnsi="宋体" w:cs="宋体"/>
          <w:color w:val="auto"/>
          <w:kern w:val="0"/>
          <w:sz w:val="22"/>
          <w:szCs w:val="22"/>
          <w:highlight w:val="none"/>
          <w:u w:val="single"/>
        </w:rPr>
        <w:t>）在发包人协助下收到中标通知书后30个日历天内，办理完成质监安监手续及开工前应办理完成的相关审批手续（如：镇街、公路、水利、桥梁、地铁及相关管线等报批；专项施工方案的编制及评审等）。</w:t>
      </w:r>
    </w:p>
    <w:p w14:paraId="57373E71">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g</w:t>
      </w:r>
      <w:r>
        <w:rPr>
          <w:rFonts w:hint="eastAsia" w:ascii="宋体" w:hAnsi="宋体" w:cs="宋体"/>
          <w:color w:val="auto"/>
          <w:kern w:val="0"/>
          <w:sz w:val="22"/>
          <w:szCs w:val="22"/>
          <w:highlight w:val="none"/>
          <w:u w:val="single"/>
        </w:rPr>
        <w:t>）进场后每周按审定格式申报人材机投入量及实物工程量完成量，以此作为工程款（进度款）支付的依据。承包人应当清楚地预计到施工期间对外界可能产生的不可避免的干扰，并保证主动努力减少这些干扰对外界的影响，积极主动与外界进行协调。</w:t>
      </w:r>
    </w:p>
    <w:p w14:paraId="557B46B5">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h</w:t>
      </w:r>
      <w:r>
        <w:rPr>
          <w:rFonts w:hint="eastAsia" w:ascii="宋体" w:hAnsi="宋体" w:cs="宋体"/>
          <w:color w:val="auto"/>
          <w:kern w:val="0"/>
          <w:sz w:val="22"/>
          <w:szCs w:val="22"/>
          <w:highlight w:val="none"/>
          <w:u w:val="single"/>
        </w:rPr>
        <w:t>）根据工程需要，承包人应采用计算机信息管理，与发包人的工程管理系统接口一致，建立相应的信息交换网络，以便发包人及各有关单位与其进行数据交换，以便能及时高效准确的提高工作效率。</w:t>
      </w:r>
    </w:p>
    <w:p w14:paraId="50931C95">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i</w:t>
      </w:r>
      <w:r>
        <w:rPr>
          <w:rFonts w:hint="eastAsia" w:ascii="宋体" w:hAnsi="宋体" w:cs="宋体"/>
          <w:color w:val="auto"/>
          <w:kern w:val="0"/>
          <w:sz w:val="22"/>
          <w:szCs w:val="22"/>
          <w:highlight w:val="none"/>
          <w:u w:val="single"/>
        </w:rPr>
        <w:t>）承包人不按合同及有关规定按时、足额支付分包单位签约合同价及施工人员工资而被投诉或上访属实的，发包人将严格按照合同约定追究其违约责任；如因此致使施工人员集体上访、集聚围阻而造成社会不良影响的，发包人将立即终止与承包人的合同，并上报省、市主管部门建议取消其参加广州地区省、市市政项目的投标资格，并予以公告。如属恶意煽动并造成社会不良影响的，发包人将提请司法部门追究其法律责任。</w:t>
      </w:r>
    </w:p>
    <w:p w14:paraId="43DC7ABA">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承包人必须以高度负责的态度，对存在可能引发劳资纠纷的各种因素进行排查，及时化解、处理可能发生劳资纠纷的不稳定因素；尤其是对恶意煽动施工人员集体上访、集聚围阻的行为，要善于及时发现并敢于揭露、制止，创造安全、文明、和谐的环境。</w:t>
      </w:r>
    </w:p>
    <w:p w14:paraId="1204498A">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j</w:t>
      </w:r>
      <w:r>
        <w:rPr>
          <w:rFonts w:hint="eastAsia" w:ascii="宋体" w:hAnsi="宋体" w:cs="宋体"/>
          <w:color w:val="auto"/>
          <w:kern w:val="0"/>
          <w:sz w:val="22"/>
          <w:szCs w:val="22"/>
          <w:highlight w:val="none"/>
          <w:u w:val="single"/>
        </w:rPr>
        <w:t>）承包人必须成立处理劳资纠纷的协调机构，承包人主管领导和承包人代表要亲自负责，配备专职人员，及时化解劳资矛盾及纠纷，并及时揭露、制止恶意煽动施工人员集体上访、集聚围阻的行为，保证在整个工程建设期间不发生施工人员集体上访、集聚围阻等事件。</w:t>
      </w:r>
    </w:p>
    <w:p w14:paraId="5C34C013">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k）</w:t>
      </w:r>
      <w:r>
        <w:rPr>
          <w:rFonts w:hint="eastAsia" w:ascii="宋体" w:hAnsi="宋体" w:cs="宋体"/>
          <w:color w:val="auto"/>
          <w:kern w:val="0"/>
          <w:sz w:val="22"/>
          <w:szCs w:val="22"/>
          <w:highlight w:val="none"/>
          <w:u w:val="single"/>
        </w:rPr>
        <w:t>承包人现场管理机构各部主要组织管理人员必须包括但不限于投标文件中列示的拟派驻本项目工作组成员，且满足施工生产需要及发包人的要求。</w:t>
      </w:r>
    </w:p>
    <w:p w14:paraId="5A5B884B">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l</w:t>
      </w:r>
      <w:r>
        <w:rPr>
          <w:rFonts w:hint="eastAsia" w:ascii="宋体" w:hAnsi="宋体" w:cs="宋体"/>
          <w:color w:val="auto"/>
          <w:kern w:val="0"/>
          <w:sz w:val="22"/>
          <w:szCs w:val="22"/>
          <w:highlight w:val="none"/>
          <w:u w:val="single"/>
        </w:rPr>
        <w:t>）为保证本工程建设有序、规范和顺利进行，承包人必须主动支持发包人工作，对发包人的指令和书面通知，若无正当理由又未提前向发包人报告并得到书面认可，而公开或变相拒不执行的，应承担违约责任并赔偿由此造成发包人的一切经济损失。</w:t>
      </w:r>
    </w:p>
    <w:p w14:paraId="451D6EA5">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（m）在施工过程中，若承包人向发包人提出其他要求，必须以书面形式向发包人提出，发包人根据实际情况协商处理。</w:t>
      </w:r>
    </w:p>
    <w:p w14:paraId="51626142">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（n）承包人应在接到中标通知书后即调遣人员和调配施工设备、材料进入工地，及时完成施工准备工作；发包人交地后，由承包人围蔽管理。</w:t>
      </w:r>
    </w:p>
    <w:p w14:paraId="4D7D0977">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（o）承包人应积极协助与配合征地或拆迁工作。必要时应根据发包人的指示合理安排或调整施工进度计划，否则由此造成的工期延误按专用条款第</w:t>
      </w:r>
      <w:r>
        <w:rPr>
          <w:rFonts w:ascii="宋体" w:hAnsi="宋体" w:cs="宋体"/>
          <w:color w:val="auto"/>
          <w:kern w:val="0"/>
          <w:sz w:val="22"/>
          <w:szCs w:val="22"/>
          <w:highlight w:val="none"/>
          <w:u w:val="single"/>
        </w:rPr>
        <w:t>36.8</w:t>
      </w:r>
      <w:r>
        <w:rPr>
          <w:rFonts w:hint="eastAsia" w:ascii="宋体" w:hAnsi="宋体" w:cs="宋体"/>
          <w:color w:val="auto"/>
          <w:kern w:val="0"/>
          <w:sz w:val="22"/>
          <w:szCs w:val="22"/>
          <w:highlight w:val="none"/>
          <w:u w:val="single"/>
        </w:rPr>
        <w:t>款办理。</w:t>
      </w:r>
    </w:p>
    <w:p w14:paraId="31612C83">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（p）承包人应自行解决施工设备的临时停放场所，并做好相关标志，按有关部门批准的位置和方式停放。</w:t>
      </w:r>
    </w:p>
    <w:p w14:paraId="04576F43">
      <w:pPr>
        <w:spacing w:line="420" w:lineRule="exact"/>
        <w:ind w:firstLine="330" w:firstLineChars="150"/>
        <w:rPr>
          <w:rFonts w:ascii="宋体" w:hAnsi="宋体" w:cs="宋体"/>
          <w:bCs/>
          <w:color w:val="auto"/>
          <w:kern w:val="0"/>
          <w:sz w:val="22"/>
          <w:szCs w:val="22"/>
          <w:highlight w:val="none"/>
          <w:u w:val="single"/>
        </w:rPr>
      </w:pPr>
      <w:r>
        <w:rPr>
          <w:rFonts w:hint="eastAsia" w:ascii="宋体" w:hAnsi="宋体" w:cs="宋体"/>
          <w:color w:val="auto"/>
          <w:kern w:val="0"/>
          <w:sz w:val="22"/>
          <w:szCs w:val="22"/>
          <w:highlight w:val="none"/>
          <w:u w:val="single"/>
        </w:rPr>
        <w:t>（q）</w:t>
      </w:r>
      <w:r>
        <w:rPr>
          <w:rFonts w:hint="eastAsia" w:ascii="宋体" w:hAnsi="宋体" w:cs="宋体"/>
          <w:bCs/>
          <w:color w:val="auto"/>
          <w:kern w:val="0"/>
          <w:sz w:val="22"/>
          <w:szCs w:val="22"/>
          <w:highlight w:val="none"/>
          <w:u w:val="single"/>
        </w:rPr>
        <w:t>承包人须在工程正式开工之日起15日内按业主要求完成视频监控设备安装和视频接入工作，因建设视频监控系统产生的硬件购置费、安装服务费、网络流量费、维修费等相关费用，由承包人在工程项目建设经费中列支。</w:t>
      </w:r>
    </w:p>
    <w:p w14:paraId="4A557EEB">
      <w:pPr>
        <w:spacing w:line="420" w:lineRule="exact"/>
        <w:ind w:firstLine="330" w:firstLineChars="150"/>
        <w:rPr>
          <w:rFonts w:ascii="宋体" w:hAnsi="宋体" w:cs="宋体"/>
          <w:bCs/>
          <w:color w:val="auto"/>
          <w:kern w:val="0"/>
          <w:sz w:val="22"/>
          <w:szCs w:val="22"/>
          <w:highlight w:val="none"/>
          <w:u w:val="single"/>
        </w:rPr>
      </w:pPr>
      <w:r>
        <w:rPr>
          <w:rFonts w:hint="eastAsia" w:ascii="宋体" w:hAnsi="宋体" w:cs="宋体"/>
          <w:bCs/>
          <w:color w:val="auto"/>
          <w:kern w:val="0"/>
          <w:sz w:val="22"/>
          <w:szCs w:val="22"/>
          <w:highlight w:val="none"/>
          <w:u w:val="single"/>
        </w:rPr>
        <w:t>（r）下列工程应编制专项施工方案：土石方开挖工程专项方案、基坑支护工程专项方案、基坑降水工程专项方案、模板工程及支撑体系专项方案、脚手架工程专项方案、起重吊装工程专项方案、起重机械设备拆装工程专项方案、拆除爆破工程专项方案、机械操作规定专项方案、度汛专项方案、用电专项方案等。其中深基坑开挖等重大危险较大的专项方案应组织专家论证和审查。最终需编制的专项方案以质量监督部门及发包人要求为准。</w:t>
      </w:r>
    </w:p>
    <w:p w14:paraId="4CC1E34D">
      <w:pPr>
        <w:spacing w:line="420" w:lineRule="exact"/>
        <w:ind w:firstLine="330" w:firstLineChars="15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（s）凡涉及到污泥运输的项目，污泥运输前必须干化到污泥含水率不大于80%。</w:t>
      </w:r>
    </w:p>
    <w:p w14:paraId="3F110F91">
      <w:pPr>
        <w:spacing w:line="420" w:lineRule="exact"/>
        <w:ind w:firstLine="330" w:firstLineChars="15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t）因承包人原因造成工期延误超过30日历天，或因承包人违约被发包人解除合同，或在工程完工后一年内承包人未能提交经发包人审查合格的竣工验收档案及竣工结算资料的，将限制其在番禺区内参加投标的资格。</w:t>
      </w:r>
    </w:p>
    <w:p w14:paraId="6E7F7EE5">
      <w:pPr>
        <w:spacing w:line="420" w:lineRule="exact"/>
        <w:ind w:firstLine="330" w:firstLineChars="15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（u）施工方至少需要提供施工组卷资料原件及复印件各两套，原件每卷需要扫描成册；竣工图需要提供CAD版以及PDF版（已签字确认的竣工图）;最后移交档案时，需要用U盘提交。</w:t>
      </w:r>
    </w:p>
    <w:p w14:paraId="2C6DF6FC">
      <w:pPr>
        <w:spacing w:line="420" w:lineRule="exact"/>
        <w:ind w:firstLine="330" w:firstLineChars="15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v）单位工程验收后60日内，承包人需将工程档案资料交给监理人审核并提交给委托人，若承包人逾期超90天尚未提交完整的组卷资料的，将在诚信评价系统进行扣分；逾期超180天的，将报请上级主管部门对其全区通报批评。</w:t>
      </w:r>
    </w:p>
    <w:p w14:paraId="078CD48A">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如无特别约定，承包人履行本合同约定的义务或完成相关工作而产生的全部费用均包含在本签约合同价内，发包人无需另行支付。</w:t>
      </w:r>
    </w:p>
    <w:p w14:paraId="4A02E00A">
      <w:pPr>
        <w:spacing w:line="420" w:lineRule="exact"/>
        <w:ind w:left="120"/>
        <w:rPr>
          <w:rFonts w:ascii="宋体" w:hAnsi="宋体" w:cs="宋体"/>
          <w:color w:val="auto"/>
          <w:kern w:val="0"/>
          <w:sz w:val="22"/>
          <w:szCs w:val="22"/>
          <w:highlight w:val="none"/>
        </w:rPr>
      </w:pPr>
    </w:p>
    <w:p w14:paraId="0E6F4F35">
      <w:pPr>
        <w:spacing w:line="420" w:lineRule="exact"/>
        <w:ind w:left="12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20.</w:t>
      </w:r>
      <w:r>
        <w:rPr>
          <w:rFonts w:ascii="宋体" w:hAnsi="宋体" w:cs="宋体"/>
          <w:color w:val="auto"/>
          <w:kern w:val="0"/>
          <w:sz w:val="22"/>
          <w:szCs w:val="22"/>
          <w:highlight w:val="none"/>
        </w:rPr>
        <w:t>3</w:t>
      </w:r>
      <w:r>
        <w:rPr>
          <w:rFonts w:hint="eastAsia" w:ascii="宋体" w:hAnsi="宋体" w:cs="宋体"/>
          <w:color w:val="auto"/>
          <w:kern w:val="0"/>
          <w:sz w:val="22"/>
          <w:szCs w:val="22"/>
          <w:highlight w:val="none"/>
        </w:rPr>
        <w:t xml:space="preserve"> 承包人提供施工所需劳务、材料、国产设备、施工设备和其他物品的约定：</w:t>
      </w:r>
      <w:r>
        <w:rPr>
          <w:rFonts w:ascii="宋体" w:hAnsi="宋体" w:cs="宋体"/>
          <w:color w:val="auto"/>
          <w:kern w:val="0"/>
          <w:sz w:val="22"/>
          <w:szCs w:val="22"/>
          <w:highlight w:val="none"/>
          <w:u w:val="single"/>
        </w:rPr>
        <w:t>除专用合同条款第48.1款约定由发包人提供的材料和工程设备和第51.2款约定由发包人提供的施工设备和临时设施外，承包人应负责提供为完成合同工作所需的劳务、材料、施工设备、工程设备和其他物品，并按合同约定负责临时设施的设计、建造、运行、维护、管理和拆除。</w:t>
      </w:r>
    </w:p>
    <w:p w14:paraId="5CA60CB3">
      <w:pPr>
        <w:spacing w:line="420" w:lineRule="exact"/>
        <w:ind w:left="120"/>
        <w:rPr>
          <w:rFonts w:ascii="宋体" w:hAnsi="宋体" w:cs="宋体"/>
          <w:color w:val="auto"/>
          <w:kern w:val="0"/>
          <w:sz w:val="22"/>
          <w:szCs w:val="22"/>
          <w:highlight w:val="none"/>
        </w:rPr>
      </w:pPr>
    </w:p>
    <w:p w14:paraId="3CD4F558">
      <w:pPr>
        <w:spacing w:line="420" w:lineRule="exact"/>
        <w:ind w:left="12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rPr>
        <w:t>2</w:t>
      </w:r>
      <w:r>
        <w:rPr>
          <w:rFonts w:ascii="宋体" w:hAnsi="宋体" w:cs="宋体"/>
          <w:color w:val="auto"/>
          <w:kern w:val="0"/>
          <w:sz w:val="22"/>
          <w:szCs w:val="22"/>
          <w:highlight w:val="none"/>
        </w:rPr>
        <w:t>0.4</w:t>
      </w:r>
      <w:r>
        <w:rPr>
          <w:rFonts w:hint="eastAsia" w:ascii="宋体" w:hAnsi="宋体" w:cs="宋体"/>
          <w:color w:val="auto"/>
          <w:kern w:val="0"/>
          <w:sz w:val="22"/>
          <w:szCs w:val="22"/>
          <w:highlight w:val="none"/>
        </w:rPr>
        <w:t>承包人提交施工组织设计和工作安排的约定：</w:t>
      </w:r>
      <w:r>
        <w:rPr>
          <w:rFonts w:hint="eastAsia" w:ascii="宋体" w:hAnsi="宋体" w:cs="宋体"/>
          <w:color w:val="auto"/>
          <w:kern w:val="0"/>
          <w:sz w:val="22"/>
          <w:szCs w:val="22"/>
          <w:highlight w:val="none"/>
          <w:u w:val="single"/>
        </w:rPr>
        <w:t>承包人应在开工前7日内、编制施工组织设计（包括施工总平面布置、总进度计划、质量保证体系、管理人员架构、安全及文明施工措施等）、材料、人员及施工设备进场计划或提交由承包人负责的图纸、技术资料等，并报监理人审批。</w:t>
      </w:r>
    </w:p>
    <w:p w14:paraId="3506EAF2">
      <w:pPr>
        <w:spacing w:line="420" w:lineRule="exact"/>
        <w:ind w:left="120"/>
        <w:rPr>
          <w:rFonts w:hint="eastAsia" w:ascii="宋体" w:hAnsi="宋体" w:cs="宋体"/>
          <w:color w:val="auto"/>
          <w:kern w:val="0"/>
          <w:sz w:val="22"/>
          <w:szCs w:val="22"/>
          <w:highlight w:val="none"/>
        </w:rPr>
      </w:pPr>
    </w:p>
    <w:p w14:paraId="57C9E0DF">
      <w:pPr>
        <w:pStyle w:val="3"/>
        <w:numPr>
          <w:ilvl w:val="0"/>
          <w:numId w:val="0"/>
        </w:numPr>
        <w:tabs>
          <w:tab w:val="left" w:pos="420"/>
        </w:tabs>
        <w:spacing w:line="420" w:lineRule="exact"/>
        <w:rPr>
          <w:rFonts w:hAnsi="宋体"/>
          <w:b/>
          <w:bCs/>
          <w:color w:val="auto"/>
          <w:sz w:val="22"/>
          <w:szCs w:val="22"/>
          <w:highlight w:val="none"/>
        </w:rPr>
      </w:pPr>
      <w:bookmarkStart w:id="566" w:name="_Toc469384092"/>
      <w:bookmarkStart w:id="567" w:name="_Toc155166162"/>
      <w:bookmarkStart w:id="568" w:name="_Toc24310"/>
      <w:bookmarkStart w:id="569" w:name="_Toc24032"/>
      <w:bookmarkStart w:id="570" w:name="_Toc7607"/>
      <w:bookmarkStart w:id="571" w:name="_Toc6567"/>
      <w:r>
        <w:rPr>
          <w:rFonts w:hint="eastAsia" w:hAnsi="宋体"/>
          <w:b/>
          <w:bCs/>
          <w:color w:val="auto"/>
          <w:sz w:val="22"/>
          <w:szCs w:val="22"/>
          <w:highlight w:val="none"/>
        </w:rPr>
        <w:t>21. 现场管理人员任命和更换</w:t>
      </w:r>
      <w:bookmarkEnd w:id="566"/>
      <w:bookmarkEnd w:id="567"/>
      <w:bookmarkEnd w:id="568"/>
      <w:bookmarkEnd w:id="569"/>
      <w:bookmarkEnd w:id="570"/>
      <w:bookmarkEnd w:id="571"/>
    </w:p>
    <w:p w14:paraId="77282742">
      <w:pPr>
        <w:spacing w:line="420" w:lineRule="exact"/>
        <w:ind w:left="120"/>
        <w:rPr>
          <w:rFonts w:ascii="宋体" w:hAnsi="宋体" w:cs="宋体"/>
          <w:color w:val="auto"/>
          <w:kern w:val="0"/>
          <w:sz w:val="22"/>
          <w:szCs w:val="22"/>
          <w:highlight w:val="none"/>
        </w:rPr>
      </w:pPr>
    </w:p>
    <w:p w14:paraId="5F0B2F31">
      <w:pPr>
        <w:spacing w:line="420" w:lineRule="exact"/>
        <w:ind w:left="12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21.1 发包人现场管理人员任命和更换：</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7B38B772">
      <w:pPr>
        <w:spacing w:line="420" w:lineRule="exact"/>
        <w:ind w:left="120"/>
        <w:rPr>
          <w:rFonts w:ascii="宋体" w:hAnsi="宋体" w:cs="宋体"/>
          <w:color w:val="auto"/>
          <w:kern w:val="0"/>
          <w:sz w:val="22"/>
          <w:szCs w:val="22"/>
          <w:highlight w:val="none"/>
        </w:rPr>
      </w:pPr>
    </w:p>
    <w:p w14:paraId="67466409">
      <w:pPr>
        <w:spacing w:line="420" w:lineRule="exact"/>
        <w:ind w:left="12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21.2 承包人代表任命和更换：</w:t>
      </w:r>
      <w:r>
        <w:rPr>
          <w:rFonts w:hint="eastAsia" w:ascii="宋体" w:hAnsi="宋体" w:cs="宋体"/>
          <w:color w:val="auto"/>
          <w:kern w:val="0"/>
          <w:sz w:val="22"/>
          <w:szCs w:val="22"/>
          <w:highlight w:val="none"/>
          <w:u w:val="single"/>
        </w:rPr>
        <w:t>承包人应按合同约定指派承包人代表，并在约定的期限内到职。承包人投标文件中指定的承包人代表除特殊原因外不得更换，否则按违约处理。承包人更换承包人代表应提前7天通知发包人，征得发包人同意后方可更换。承包人代表短期离开施工场地，应事先征得监理人同意，并委派代表代行其职责。</w:t>
      </w:r>
    </w:p>
    <w:p w14:paraId="6709FB9A">
      <w:pPr>
        <w:spacing w:line="420" w:lineRule="exact"/>
        <w:ind w:left="120"/>
        <w:rPr>
          <w:rFonts w:ascii="宋体" w:hAnsi="宋体" w:cs="宋体"/>
          <w:color w:val="auto"/>
          <w:kern w:val="0"/>
          <w:sz w:val="22"/>
          <w:szCs w:val="22"/>
          <w:highlight w:val="none"/>
        </w:rPr>
      </w:pPr>
    </w:p>
    <w:p w14:paraId="03E2808A">
      <w:pPr>
        <w:spacing w:line="420" w:lineRule="exact"/>
        <w:ind w:left="12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21.3 监理工程师代表任命和撤回：</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66DAD179">
      <w:pPr>
        <w:spacing w:line="420" w:lineRule="exact"/>
        <w:ind w:left="120"/>
        <w:rPr>
          <w:rFonts w:ascii="宋体" w:hAnsi="宋体" w:cs="宋体"/>
          <w:color w:val="auto"/>
          <w:kern w:val="0"/>
          <w:sz w:val="22"/>
          <w:szCs w:val="22"/>
          <w:highlight w:val="none"/>
        </w:rPr>
      </w:pPr>
    </w:p>
    <w:p w14:paraId="3C8962D9">
      <w:pPr>
        <w:spacing w:line="420" w:lineRule="exact"/>
        <w:ind w:left="12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造价工程师代表任命和撤回：</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0FB10D9E">
      <w:pPr>
        <w:spacing w:line="420" w:lineRule="exact"/>
        <w:ind w:left="120"/>
        <w:rPr>
          <w:rFonts w:ascii="宋体" w:hAnsi="宋体" w:cs="宋体"/>
          <w:color w:val="auto"/>
          <w:kern w:val="0"/>
          <w:sz w:val="22"/>
          <w:szCs w:val="22"/>
          <w:highlight w:val="none"/>
        </w:rPr>
      </w:pPr>
    </w:p>
    <w:p w14:paraId="30827D87">
      <w:pPr>
        <w:spacing w:line="420" w:lineRule="exact"/>
        <w:ind w:left="12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21.4 承包人代表授权人选任命和撤回：</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03F44C4F">
      <w:pPr>
        <w:spacing w:line="420" w:lineRule="exact"/>
        <w:ind w:left="120"/>
        <w:rPr>
          <w:rFonts w:ascii="宋体" w:hAnsi="宋体" w:cs="宋体"/>
          <w:color w:val="auto"/>
          <w:kern w:val="0"/>
          <w:sz w:val="22"/>
          <w:szCs w:val="22"/>
          <w:highlight w:val="none"/>
        </w:rPr>
      </w:pPr>
    </w:p>
    <w:p w14:paraId="22814183">
      <w:pPr>
        <w:pStyle w:val="3"/>
        <w:numPr>
          <w:ilvl w:val="0"/>
          <w:numId w:val="0"/>
        </w:numPr>
        <w:tabs>
          <w:tab w:val="left" w:pos="420"/>
        </w:tabs>
        <w:spacing w:line="420" w:lineRule="exact"/>
        <w:rPr>
          <w:rFonts w:hAnsi="宋体"/>
          <w:b/>
          <w:bCs/>
          <w:color w:val="auto"/>
          <w:sz w:val="22"/>
          <w:szCs w:val="22"/>
          <w:highlight w:val="none"/>
        </w:rPr>
      </w:pPr>
      <w:bookmarkStart w:id="572" w:name="_Toc30440"/>
      <w:bookmarkStart w:id="573" w:name="_Toc23051"/>
      <w:bookmarkStart w:id="574" w:name="_Toc24034"/>
      <w:bookmarkStart w:id="575" w:name="_Toc469384093"/>
      <w:bookmarkStart w:id="576" w:name="_Toc20323"/>
      <w:bookmarkStart w:id="577" w:name="_Toc155166163"/>
      <w:r>
        <w:rPr>
          <w:rFonts w:hint="eastAsia" w:hAnsi="宋体"/>
          <w:b/>
          <w:bCs/>
          <w:color w:val="auto"/>
          <w:sz w:val="22"/>
          <w:szCs w:val="22"/>
          <w:highlight w:val="none"/>
        </w:rPr>
        <w:t>22. 发包人代表</w:t>
      </w:r>
      <w:bookmarkEnd w:id="572"/>
      <w:bookmarkEnd w:id="573"/>
      <w:bookmarkEnd w:id="574"/>
      <w:bookmarkEnd w:id="575"/>
      <w:bookmarkEnd w:id="576"/>
      <w:bookmarkEnd w:id="577"/>
    </w:p>
    <w:p w14:paraId="1F3ABDB5">
      <w:pPr>
        <w:spacing w:line="420" w:lineRule="exact"/>
        <w:ind w:left="120"/>
        <w:rPr>
          <w:rFonts w:ascii="宋体" w:hAnsi="宋体" w:cs="宋体"/>
          <w:color w:val="auto"/>
          <w:kern w:val="0"/>
          <w:sz w:val="22"/>
          <w:szCs w:val="22"/>
          <w:highlight w:val="none"/>
        </w:rPr>
      </w:pPr>
    </w:p>
    <w:p w14:paraId="292CEA05">
      <w:pPr>
        <w:spacing w:line="420" w:lineRule="exact"/>
        <w:ind w:left="12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22.1 发包人代表及其权力的限制</w:t>
      </w:r>
    </w:p>
    <w:p w14:paraId="1005D0C5">
      <w:pPr>
        <w:spacing w:line="420" w:lineRule="exact"/>
        <w:ind w:left="120"/>
        <w:rPr>
          <w:rFonts w:ascii="宋体" w:hAnsi="宋体" w:cs="宋体"/>
          <w:color w:val="auto"/>
          <w:kern w:val="0"/>
          <w:sz w:val="22"/>
          <w:szCs w:val="22"/>
          <w:highlight w:val="none"/>
        </w:rPr>
      </w:pPr>
    </w:p>
    <w:p w14:paraId="728DC8B1">
      <w:pPr>
        <w:spacing w:line="420" w:lineRule="exact"/>
        <w:ind w:left="12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（1） 发包人任命（              ）为发包人代表，其人员信息为</w:t>
      </w:r>
    </w:p>
    <w:p w14:paraId="1430A5CF">
      <w:pPr>
        <w:spacing w:line="420" w:lineRule="exact"/>
        <w:ind w:left="12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通讯地址：</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邮政编码：</w:t>
      </w:r>
      <w:r>
        <w:rPr>
          <w:rFonts w:hint="eastAsia" w:ascii="宋体" w:hAnsi="宋体" w:cs="宋体"/>
          <w:color w:val="auto"/>
          <w:kern w:val="0"/>
          <w:sz w:val="22"/>
          <w:szCs w:val="22"/>
          <w:highlight w:val="none"/>
          <w:u w:val="single"/>
        </w:rPr>
        <w:t xml:space="preserve">              </w:t>
      </w:r>
    </w:p>
    <w:p w14:paraId="2E43DF3E">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联系电话：</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传真号码：</w:t>
      </w:r>
      <w:r>
        <w:rPr>
          <w:rFonts w:hint="eastAsia" w:ascii="宋体" w:hAnsi="宋体" w:cs="宋体"/>
          <w:color w:val="auto"/>
          <w:sz w:val="22"/>
          <w:szCs w:val="22"/>
          <w:highlight w:val="none"/>
          <w:u w:val="single"/>
        </w:rPr>
        <w:t xml:space="preserve">              </w:t>
      </w:r>
    </w:p>
    <w:p w14:paraId="16414317">
      <w:pPr>
        <w:spacing w:line="420" w:lineRule="exact"/>
        <w:ind w:firstLine="660" w:firstLineChars="300"/>
        <w:rPr>
          <w:rFonts w:ascii="宋体" w:hAnsi="宋体" w:cs="宋体"/>
          <w:color w:val="auto"/>
          <w:sz w:val="22"/>
          <w:szCs w:val="22"/>
          <w:highlight w:val="none"/>
          <w:u w:val="single"/>
        </w:rPr>
      </w:pPr>
      <w:r>
        <w:rPr>
          <w:rFonts w:ascii="宋体" w:hAnsi="宋体" w:cs="宋体"/>
          <w:color w:val="auto"/>
          <w:sz w:val="22"/>
          <w:szCs w:val="22"/>
          <w:highlight w:val="none"/>
        </w:rPr>
        <w:t>姓    名：</w:t>
      </w:r>
      <w:r>
        <w:rPr>
          <w:rFonts w:ascii="宋体" w:hAnsi="宋体" w:cs="宋体"/>
          <w:color w:val="auto"/>
          <w:sz w:val="22"/>
          <w:szCs w:val="22"/>
          <w:highlight w:val="none"/>
          <w:u w:val="single"/>
        </w:rPr>
        <w:t xml:space="preserve">                                                       。</w:t>
      </w:r>
    </w:p>
    <w:p w14:paraId="6445D3D8">
      <w:pPr>
        <w:spacing w:line="420" w:lineRule="exact"/>
        <w:ind w:firstLine="660" w:firstLineChars="300"/>
        <w:rPr>
          <w:rFonts w:ascii="宋体" w:hAnsi="宋体" w:cs="宋体"/>
          <w:color w:val="auto"/>
          <w:sz w:val="22"/>
          <w:szCs w:val="22"/>
          <w:highlight w:val="none"/>
          <w:u w:val="single"/>
        </w:rPr>
      </w:pPr>
      <w:r>
        <w:rPr>
          <w:rFonts w:ascii="宋体" w:hAnsi="宋体" w:cs="宋体"/>
          <w:color w:val="auto"/>
          <w:sz w:val="22"/>
          <w:szCs w:val="22"/>
          <w:highlight w:val="none"/>
        </w:rPr>
        <w:t>职    称：</w:t>
      </w:r>
      <w:r>
        <w:rPr>
          <w:rFonts w:ascii="宋体" w:hAnsi="宋体" w:cs="宋体"/>
          <w:color w:val="auto"/>
          <w:sz w:val="22"/>
          <w:szCs w:val="22"/>
          <w:highlight w:val="none"/>
          <w:u w:val="single"/>
        </w:rPr>
        <w:t xml:space="preserve">                                                       。</w:t>
      </w:r>
    </w:p>
    <w:p w14:paraId="3A63FA71">
      <w:pPr>
        <w:spacing w:line="420" w:lineRule="exact"/>
        <w:ind w:firstLine="660" w:firstLineChars="300"/>
        <w:rPr>
          <w:rFonts w:ascii="宋体" w:hAnsi="宋体" w:cs="宋体"/>
          <w:color w:val="auto"/>
          <w:sz w:val="22"/>
          <w:szCs w:val="22"/>
          <w:highlight w:val="none"/>
          <w:u w:val="single"/>
        </w:rPr>
      </w:pPr>
      <w:r>
        <w:rPr>
          <w:rFonts w:ascii="宋体" w:hAnsi="宋体" w:cs="宋体"/>
          <w:color w:val="auto"/>
          <w:sz w:val="22"/>
          <w:szCs w:val="22"/>
          <w:highlight w:val="none"/>
        </w:rPr>
        <w:t>联系电话：</w:t>
      </w:r>
      <w:r>
        <w:rPr>
          <w:rFonts w:ascii="宋体" w:hAnsi="宋体" w:cs="宋体"/>
          <w:color w:val="auto"/>
          <w:sz w:val="22"/>
          <w:szCs w:val="22"/>
          <w:highlight w:val="none"/>
          <w:u w:val="single"/>
        </w:rPr>
        <w:t xml:space="preserve">                                                       。</w:t>
      </w:r>
    </w:p>
    <w:p w14:paraId="471E81E8">
      <w:pPr>
        <w:spacing w:line="420" w:lineRule="exact"/>
        <w:ind w:firstLine="660" w:firstLineChars="300"/>
        <w:rPr>
          <w:rFonts w:ascii="宋体" w:hAnsi="宋体" w:cs="宋体"/>
          <w:color w:val="auto"/>
          <w:sz w:val="22"/>
          <w:szCs w:val="22"/>
          <w:highlight w:val="none"/>
          <w:u w:val="single"/>
        </w:rPr>
      </w:pPr>
      <w:r>
        <w:rPr>
          <w:rFonts w:ascii="宋体" w:hAnsi="宋体" w:cs="宋体"/>
          <w:color w:val="auto"/>
          <w:sz w:val="22"/>
          <w:szCs w:val="22"/>
          <w:highlight w:val="none"/>
        </w:rPr>
        <w:t>电子信箱：</w:t>
      </w:r>
      <w:r>
        <w:rPr>
          <w:rFonts w:ascii="宋体" w:hAnsi="宋体" w:cs="宋体"/>
          <w:color w:val="auto"/>
          <w:sz w:val="22"/>
          <w:szCs w:val="22"/>
          <w:highlight w:val="none"/>
          <w:u w:val="single"/>
        </w:rPr>
        <w:t xml:space="preserve">                                                       。</w:t>
      </w:r>
    </w:p>
    <w:p w14:paraId="3A04262E">
      <w:pPr>
        <w:spacing w:line="420" w:lineRule="exact"/>
        <w:ind w:firstLine="660" w:firstLineChars="300"/>
        <w:rPr>
          <w:rFonts w:ascii="宋体" w:hAnsi="宋体" w:cs="宋体"/>
          <w:color w:val="auto"/>
          <w:sz w:val="22"/>
          <w:szCs w:val="22"/>
          <w:highlight w:val="none"/>
          <w:u w:val="single"/>
        </w:rPr>
      </w:pPr>
      <w:r>
        <w:rPr>
          <w:rFonts w:ascii="宋体" w:hAnsi="宋体" w:cs="宋体"/>
          <w:color w:val="auto"/>
          <w:sz w:val="22"/>
          <w:szCs w:val="22"/>
          <w:highlight w:val="none"/>
        </w:rPr>
        <w:t>通信地址：</w:t>
      </w:r>
      <w:r>
        <w:rPr>
          <w:rFonts w:ascii="宋体" w:hAnsi="宋体" w:cs="宋体"/>
          <w:color w:val="auto"/>
          <w:sz w:val="22"/>
          <w:szCs w:val="22"/>
          <w:highlight w:val="none"/>
          <w:u w:val="single"/>
        </w:rPr>
        <w:t xml:space="preserve">                                                       。</w:t>
      </w:r>
    </w:p>
    <w:p w14:paraId="411D334B">
      <w:pPr>
        <w:spacing w:line="420" w:lineRule="exact"/>
        <w:rPr>
          <w:rFonts w:hint="eastAsia" w:ascii="宋体" w:hAnsi="宋体" w:cs="宋体"/>
          <w:color w:val="auto"/>
          <w:sz w:val="22"/>
          <w:szCs w:val="22"/>
          <w:highlight w:val="none"/>
        </w:rPr>
      </w:pPr>
    </w:p>
    <w:p w14:paraId="26BABED3">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rPr>
        <w:t>（2） 发包人对发包人代表权力做如下限制：</w:t>
      </w:r>
      <w:r>
        <w:rPr>
          <w:rFonts w:hint="eastAsia" w:ascii="宋体" w:hAnsi="宋体" w:cs="宋体"/>
          <w:color w:val="auto"/>
          <w:sz w:val="22"/>
          <w:szCs w:val="22"/>
          <w:highlight w:val="none"/>
          <w:u w:val="single"/>
        </w:rPr>
        <w:t xml:space="preserve">                                                           </w:t>
      </w:r>
    </w:p>
    <w:p w14:paraId="78FB2284">
      <w:pPr>
        <w:spacing w:line="420" w:lineRule="exact"/>
        <w:rPr>
          <w:rFonts w:ascii="宋体" w:hAnsi="宋体" w:cs="宋体"/>
          <w:color w:val="auto"/>
          <w:sz w:val="22"/>
          <w:szCs w:val="22"/>
          <w:highlight w:val="none"/>
          <w:u w:val="single"/>
        </w:rPr>
      </w:pPr>
    </w:p>
    <w:p w14:paraId="1386838F">
      <w:pPr>
        <w:pStyle w:val="3"/>
        <w:numPr>
          <w:ilvl w:val="0"/>
          <w:numId w:val="0"/>
        </w:numPr>
        <w:tabs>
          <w:tab w:val="left" w:pos="420"/>
        </w:tabs>
        <w:spacing w:line="420" w:lineRule="exact"/>
        <w:rPr>
          <w:rFonts w:hAnsi="宋体"/>
          <w:b/>
          <w:bCs/>
          <w:color w:val="auto"/>
          <w:sz w:val="22"/>
          <w:szCs w:val="22"/>
          <w:highlight w:val="none"/>
        </w:rPr>
      </w:pPr>
      <w:bookmarkStart w:id="578" w:name="_Toc469384094"/>
      <w:bookmarkStart w:id="579" w:name="_Toc16347"/>
      <w:bookmarkStart w:id="580" w:name="_Toc413"/>
      <w:bookmarkStart w:id="581" w:name="_Toc155166164"/>
      <w:bookmarkStart w:id="582" w:name="_Toc30055"/>
      <w:bookmarkStart w:id="583" w:name="_Toc242"/>
      <w:bookmarkStart w:id="584" w:name="_Hlk142824281"/>
      <w:r>
        <w:rPr>
          <w:rFonts w:hint="eastAsia" w:hAnsi="宋体"/>
          <w:b/>
          <w:bCs/>
          <w:color w:val="auto"/>
          <w:sz w:val="22"/>
          <w:szCs w:val="22"/>
          <w:highlight w:val="none"/>
        </w:rPr>
        <w:t>23. 监理工程师</w:t>
      </w:r>
      <w:bookmarkEnd w:id="578"/>
      <w:bookmarkEnd w:id="579"/>
      <w:bookmarkEnd w:id="580"/>
      <w:bookmarkEnd w:id="581"/>
      <w:bookmarkEnd w:id="582"/>
      <w:bookmarkEnd w:id="583"/>
    </w:p>
    <w:p w14:paraId="67E5B8AC">
      <w:pPr>
        <w:spacing w:line="420" w:lineRule="exact"/>
        <w:ind w:firstLine="110" w:firstLineChars="50"/>
        <w:rPr>
          <w:rFonts w:ascii="宋体" w:hAnsi="宋体" w:cs="宋体"/>
          <w:color w:val="auto"/>
          <w:sz w:val="22"/>
          <w:szCs w:val="22"/>
          <w:highlight w:val="none"/>
        </w:rPr>
      </w:pPr>
    </w:p>
    <w:p w14:paraId="5ABDEF05">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23.1 负责合同工程的监理人及任命的监理工程师</w:t>
      </w:r>
    </w:p>
    <w:p w14:paraId="012F05CA">
      <w:pPr>
        <w:spacing w:line="420" w:lineRule="exact"/>
        <w:ind w:firstLine="110" w:firstLineChars="50"/>
        <w:rPr>
          <w:rFonts w:ascii="宋体" w:hAnsi="宋体" w:cs="宋体"/>
          <w:color w:val="auto"/>
          <w:sz w:val="22"/>
          <w:szCs w:val="22"/>
          <w:highlight w:val="none"/>
        </w:rPr>
      </w:pPr>
    </w:p>
    <w:p w14:paraId="2318EB4D">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（1） 监理人：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法定代表人：</w:t>
      </w:r>
      <w:r>
        <w:rPr>
          <w:rFonts w:hint="eastAsia" w:ascii="宋体" w:hAnsi="宋体" w:cs="宋体"/>
          <w:color w:val="auto"/>
          <w:sz w:val="22"/>
          <w:szCs w:val="22"/>
          <w:highlight w:val="none"/>
          <w:u w:val="single"/>
        </w:rPr>
        <w:t xml:space="preserve">               </w:t>
      </w:r>
    </w:p>
    <w:p w14:paraId="39BA4BB1">
      <w:pPr>
        <w:spacing w:line="420" w:lineRule="exact"/>
        <w:ind w:firstLine="110" w:firstLineChars="50"/>
        <w:rPr>
          <w:rFonts w:ascii="宋体" w:hAnsi="宋体" w:cs="宋体"/>
          <w:color w:val="auto"/>
          <w:sz w:val="22"/>
          <w:szCs w:val="22"/>
          <w:highlight w:val="none"/>
        </w:rPr>
      </w:pPr>
    </w:p>
    <w:p w14:paraId="1D82752A">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（2） 任命（               ）为监理工程师，其通讯方式为</w:t>
      </w:r>
    </w:p>
    <w:p w14:paraId="423A592D">
      <w:pPr>
        <w:spacing w:line="420" w:lineRule="exact"/>
        <w:ind w:left="120"/>
        <w:rPr>
          <w:rFonts w:ascii="宋体" w:hAnsi="宋体" w:cs="宋体"/>
          <w:color w:val="auto"/>
          <w:kern w:val="0"/>
          <w:sz w:val="22"/>
          <w:szCs w:val="22"/>
          <w:highlight w:val="none"/>
          <w:u w:val="single"/>
        </w:rPr>
      </w:pPr>
      <w:r>
        <w:rPr>
          <w:rFonts w:hint="eastAsia" w:ascii="宋体" w:hAnsi="宋体" w:cs="宋体"/>
          <w:color w:val="auto"/>
          <w:sz w:val="22"/>
          <w:szCs w:val="22"/>
          <w:highlight w:val="none"/>
        </w:rPr>
        <w:t xml:space="preserve">     </w:t>
      </w:r>
      <w:r>
        <w:rPr>
          <w:rFonts w:hint="eastAsia" w:ascii="宋体" w:hAnsi="宋体" w:cs="宋体"/>
          <w:color w:val="auto"/>
          <w:kern w:val="0"/>
          <w:sz w:val="22"/>
          <w:szCs w:val="22"/>
          <w:highlight w:val="none"/>
        </w:rPr>
        <w:t>通讯地址：</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邮政编码：</w:t>
      </w:r>
      <w:r>
        <w:rPr>
          <w:rFonts w:hint="eastAsia" w:ascii="宋体" w:hAnsi="宋体" w:cs="宋体"/>
          <w:color w:val="auto"/>
          <w:kern w:val="0"/>
          <w:sz w:val="22"/>
          <w:szCs w:val="22"/>
          <w:highlight w:val="none"/>
          <w:u w:val="single"/>
        </w:rPr>
        <w:t xml:space="preserve">               </w:t>
      </w:r>
    </w:p>
    <w:p w14:paraId="26D48D76">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联系电话：</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传真号码：</w:t>
      </w:r>
      <w:r>
        <w:rPr>
          <w:rFonts w:hint="eastAsia" w:ascii="宋体" w:hAnsi="宋体" w:cs="宋体"/>
          <w:color w:val="auto"/>
          <w:sz w:val="22"/>
          <w:szCs w:val="22"/>
          <w:highlight w:val="none"/>
          <w:u w:val="single"/>
        </w:rPr>
        <w:t xml:space="preserve">               </w:t>
      </w:r>
    </w:p>
    <w:p w14:paraId="0FE3A345">
      <w:pPr>
        <w:spacing w:line="420" w:lineRule="exact"/>
        <w:ind w:firstLine="110" w:firstLineChars="50"/>
        <w:rPr>
          <w:rFonts w:ascii="宋体" w:hAnsi="宋体" w:cs="宋体"/>
          <w:color w:val="auto"/>
          <w:sz w:val="22"/>
          <w:szCs w:val="22"/>
          <w:highlight w:val="none"/>
        </w:rPr>
      </w:pPr>
    </w:p>
    <w:p w14:paraId="0CA06501">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ascii="宋体" w:hAnsi="宋体" w:cs="宋体"/>
          <w:color w:val="auto"/>
          <w:sz w:val="22"/>
          <w:szCs w:val="22"/>
          <w:highlight w:val="none"/>
        </w:rPr>
        <w:t>23.2</w:t>
      </w:r>
      <w:r>
        <w:rPr>
          <w:rFonts w:hint="eastAsia" w:ascii="宋体" w:hAnsi="宋体" w:cs="宋体"/>
          <w:color w:val="auto"/>
          <w:sz w:val="22"/>
          <w:szCs w:val="22"/>
          <w:highlight w:val="none"/>
        </w:rPr>
        <w:t>监理工程师职权：</w:t>
      </w:r>
    </w:p>
    <w:p w14:paraId="2B77F5F5">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（1）按发包人与本工程监理单位签订的委托监理合同执行。</w:t>
      </w:r>
    </w:p>
    <w:p w14:paraId="46FD75FF">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2</w:t>
      </w: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合同约定总监理工程师应按照本款对任何事项进行商定或确定时，总监理工程师应与合同当事人协商，尽量达成一致。不能达成一致的，总监理工程师应认真研究后审慎确定。</w:t>
      </w:r>
    </w:p>
    <w:p w14:paraId="2DA8D221">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3</w:t>
      </w: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总监理工程师应将商定或确定的事项通知合同当事人，并附详细依据。对总监理工程师的确定有异议的，构成争议，按照第86条的约定处理。在争议解决前，双方应暂按总监理工程师的确定执行，按照第86条的约定对总监理工程师的确定作出修改的，按修改后的结果执行。</w:t>
      </w:r>
    </w:p>
    <w:p w14:paraId="2E554C46">
      <w:pPr>
        <w:spacing w:line="420" w:lineRule="exact"/>
        <w:ind w:firstLine="110" w:firstLineChars="50"/>
        <w:rPr>
          <w:rFonts w:ascii="宋体" w:hAnsi="宋体" w:cs="宋体"/>
          <w:color w:val="auto"/>
          <w:sz w:val="22"/>
          <w:szCs w:val="22"/>
          <w:highlight w:val="none"/>
        </w:rPr>
      </w:pPr>
    </w:p>
    <w:bookmarkEnd w:id="584"/>
    <w:p w14:paraId="5F8009BB">
      <w:pPr>
        <w:spacing w:line="360" w:lineRule="auto"/>
        <w:ind w:firstLine="440" w:firstLineChars="200"/>
        <w:rPr>
          <w:rFonts w:ascii="宋体" w:hAnsi="宋体" w:cs="宋体"/>
          <w:color w:val="auto"/>
          <w:sz w:val="22"/>
          <w:szCs w:val="22"/>
          <w:highlight w:val="none"/>
        </w:rPr>
      </w:pPr>
      <w:bookmarkStart w:id="585" w:name="_Toc469384095"/>
      <w:r>
        <w:rPr>
          <w:rFonts w:hint="eastAsia" w:ascii="宋体" w:hAnsi="宋体" w:cs="宋体"/>
          <w:color w:val="auto"/>
          <w:sz w:val="22"/>
          <w:szCs w:val="22"/>
          <w:highlight w:val="none"/>
        </w:rPr>
        <w:t>23.3 (12)需要发包人批准的其他事项：</w:t>
      </w:r>
    </w:p>
    <w:p w14:paraId="56ADF9F1">
      <w:pPr>
        <w:spacing w:line="360" w:lineRule="auto"/>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①按第</w:t>
      </w:r>
      <w:r>
        <w:rPr>
          <w:rFonts w:ascii="宋体" w:hAnsi="宋体" w:cs="宋体"/>
          <w:color w:val="auto"/>
          <w:sz w:val="22"/>
          <w:szCs w:val="22"/>
          <w:highlight w:val="none"/>
          <w:u w:val="single"/>
        </w:rPr>
        <w:t>36.3</w:t>
      </w:r>
      <w:r>
        <w:rPr>
          <w:rFonts w:hint="eastAsia" w:ascii="宋体" w:hAnsi="宋体" w:cs="宋体"/>
          <w:color w:val="auto"/>
          <w:sz w:val="22"/>
          <w:szCs w:val="22"/>
          <w:highlight w:val="none"/>
          <w:u w:val="single"/>
        </w:rPr>
        <w:t>款约定，确定延长完工期限；</w:t>
      </w:r>
    </w:p>
    <w:p w14:paraId="0014927B">
      <w:pPr>
        <w:spacing w:line="360" w:lineRule="auto"/>
        <w:ind w:firstLine="440" w:firstLineChars="20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②按第</w:t>
      </w:r>
      <w:r>
        <w:rPr>
          <w:rFonts w:ascii="宋体" w:hAnsi="宋体" w:cs="宋体"/>
          <w:color w:val="auto"/>
          <w:sz w:val="22"/>
          <w:szCs w:val="22"/>
          <w:highlight w:val="none"/>
          <w:u w:val="single"/>
        </w:rPr>
        <w:t>56.2</w:t>
      </w:r>
      <w:r>
        <w:rPr>
          <w:rFonts w:hint="eastAsia" w:ascii="宋体" w:hAnsi="宋体" w:cs="宋体"/>
          <w:color w:val="auto"/>
          <w:sz w:val="22"/>
          <w:szCs w:val="22"/>
          <w:highlight w:val="none"/>
          <w:u w:val="single"/>
        </w:rPr>
        <w:t>款约定，当变更引起的合同价格增加时做出变更决定。</w:t>
      </w:r>
    </w:p>
    <w:p w14:paraId="21D6C8B6">
      <w:pPr>
        <w:spacing w:line="420" w:lineRule="exact"/>
        <w:rPr>
          <w:rFonts w:ascii="宋体" w:hAnsi="宋体" w:cs="宋体"/>
          <w:color w:val="auto"/>
          <w:sz w:val="22"/>
          <w:szCs w:val="22"/>
          <w:highlight w:val="none"/>
        </w:rPr>
      </w:pPr>
    </w:p>
    <w:p w14:paraId="3C4D6CDE">
      <w:pPr>
        <w:spacing w:line="420" w:lineRule="exact"/>
        <w:ind w:firstLine="330" w:firstLineChars="150"/>
        <w:rPr>
          <w:rFonts w:ascii="宋体" w:hAnsi="宋体" w:cs="宋体"/>
          <w:color w:val="auto"/>
          <w:sz w:val="22"/>
          <w:szCs w:val="22"/>
          <w:highlight w:val="none"/>
        </w:rPr>
      </w:pPr>
      <w:r>
        <w:rPr>
          <w:rFonts w:hint="eastAsia" w:ascii="宋体" w:hAnsi="宋体" w:cs="宋体"/>
          <w:color w:val="auto"/>
          <w:sz w:val="22"/>
          <w:szCs w:val="22"/>
          <w:highlight w:val="none"/>
        </w:rPr>
        <w:t>2</w:t>
      </w:r>
      <w:r>
        <w:rPr>
          <w:rFonts w:ascii="宋体" w:hAnsi="宋体" w:cs="宋体"/>
          <w:color w:val="auto"/>
          <w:sz w:val="22"/>
          <w:szCs w:val="22"/>
          <w:highlight w:val="none"/>
        </w:rPr>
        <w:t>3.4</w:t>
      </w:r>
      <w:r>
        <w:rPr>
          <w:rFonts w:hint="eastAsia" w:ascii="宋体" w:hAnsi="宋体" w:cs="宋体"/>
          <w:color w:val="auto"/>
          <w:sz w:val="22"/>
          <w:szCs w:val="22"/>
          <w:highlight w:val="none"/>
        </w:rPr>
        <w:t>监理工程师的指令</w:t>
      </w:r>
    </w:p>
    <w:p w14:paraId="11695276">
      <w:pPr>
        <w:spacing w:line="420" w:lineRule="exact"/>
        <w:ind w:firstLine="330" w:firstLineChars="1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监理工程师应按照合同约定时间向承包人提供实施合同工程的进度、质量和安全工作所需的批准、确认和通知等指令。</w:t>
      </w:r>
    </w:p>
    <w:p w14:paraId="3A98BE49">
      <w:pPr>
        <w:spacing w:line="420" w:lineRule="exact"/>
        <w:ind w:firstLine="330" w:firstLineChars="1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监理工程师提供的指令，均应采用书面形式。</w:t>
      </w:r>
      <w:r>
        <w:rPr>
          <w:rFonts w:ascii="宋体" w:hAnsi="宋体" w:cs="宋体"/>
          <w:color w:val="auto"/>
          <w:sz w:val="22"/>
          <w:szCs w:val="22"/>
          <w:highlight w:val="none"/>
          <w:u w:val="single"/>
        </w:rPr>
        <w:t>在紧急情况下，总监理工程师或被授权的监理</w:t>
      </w:r>
      <w:r>
        <w:rPr>
          <w:rFonts w:hint="eastAsia" w:ascii="宋体" w:hAnsi="宋体" w:cs="宋体"/>
          <w:color w:val="auto"/>
          <w:sz w:val="22"/>
          <w:szCs w:val="22"/>
          <w:highlight w:val="none"/>
          <w:u w:val="single"/>
        </w:rPr>
        <w:t>工程师代表</w:t>
      </w:r>
      <w:r>
        <w:rPr>
          <w:rFonts w:ascii="宋体" w:hAnsi="宋体" w:cs="宋体"/>
          <w:color w:val="auto"/>
          <w:sz w:val="22"/>
          <w:szCs w:val="22"/>
          <w:highlight w:val="none"/>
          <w:u w:val="single"/>
        </w:rPr>
        <w:t>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0964DD83">
      <w:pPr>
        <w:spacing w:line="420" w:lineRule="exact"/>
        <w:ind w:firstLine="330" w:firstLineChars="150"/>
        <w:rPr>
          <w:rFonts w:ascii="宋体" w:hAnsi="宋体" w:cs="宋体"/>
          <w:color w:val="auto"/>
          <w:sz w:val="22"/>
          <w:szCs w:val="22"/>
          <w:highlight w:val="none"/>
          <w:u w:val="single"/>
        </w:rPr>
      </w:pPr>
      <w:r>
        <w:rPr>
          <w:rFonts w:ascii="宋体" w:hAnsi="宋体" w:cs="宋体"/>
          <w:color w:val="auto"/>
          <w:sz w:val="22"/>
          <w:szCs w:val="22"/>
          <w:highlight w:val="none"/>
          <w:u w:val="single"/>
        </w:rPr>
        <w:t>除通用合同条款已有的专门约定外，承包人只能从总监理工程师或按第23.6项授权的监理</w:t>
      </w:r>
      <w:r>
        <w:rPr>
          <w:rFonts w:hint="eastAsia" w:ascii="宋体" w:hAnsi="宋体" w:cs="宋体"/>
          <w:color w:val="auto"/>
          <w:sz w:val="22"/>
          <w:szCs w:val="22"/>
          <w:highlight w:val="none"/>
          <w:u w:val="single"/>
        </w:rPr>
        <w:t>工程师代表</w:t>
      </w:r>
      <w:r>
        <w:rPr>
          <w:rFonts w:ascii="宋体" w:hAnsi="宋体" w:cs="宋体"/>
          <w:color w:val="auto"/>
          <w:sz w:val="22"/>
          <w:szCs w:val="22"/>
          <w:highlight w:val="none"/>
          <w:u w:val="single"/>
        </w:rPr>
        <w:t>处取得指示，发包人应当通过监理人向承包人发出指示。</w:t>
      </w:r>
    </w:p>
    <w:p w14:paraId="5CF2B2F6">
      <w:pPr>
        <w:spacing w:line="420" w:lineRule="exact"/>
        <w:ind w:firstLine="330" w:firstLineChars="150"/>
        <w:rPr>
          <w:rFonts w:ascii="宋体" w:hAnsi="宋体" w:cs="宋体"/>
          <w:color w:val="auto"/>
          <w:sz w:val="22"/>
          <w:szCs w:val="22"/>
          <w:highlight w:val="none"/>
        </w:rPr>
      </w:pPr>
    </w:p>
    <w:p w14:paraId="29425CBE">
      <w:pPr>
        <w:spacing w:line="420" w:lineRule="exact"/>
        <w:ind w:firstLine="330" w:firstLineChars="150"/>
        <w:rPr>
          <w:rFonts w:ascii="宋体" w:hAnsi="宋体" w:cs="宋体"/>
          <w:color w:val="auto"/>
          <w:sz w:val="22"/>
          <w:szCs w:val="22"/>
          <w:highlight w:val="none"/>
        </w:rPr>
      </w:pPr>
      <w:r>
        <w:rPr>
          <w:rFonts w:hint="eastAsia" w:ascii="宋体" w:hAnsi="宋体" w:cs="宋体"/>
          <w:color w:val="auto"/>
          <w:sz w:val="22"/>
          <w:szCs w:val="22"/>
          <w:highlight w:val="none"/>
        </w:rPr>
        <w:t>2</w:t>
      </w:r>
      <w:r>
        <w:rPr>
          <w:rFonts w:ascii="宋体" w:hAnsi="宋体" w:cs="宋体"/>
          <w:color w:val="auto"/>
          <w:sz w:val="22"/>
          <w:szCs w:val="22"/>
          <w:highlight w:val="none"/>
        </w:rPr>
        <w:t>3.6</w:t>
      </w:r>
      <w:r>
        <w:rPr>
          <w:rFonts w:hint="eastAsia" w:ascii="宋体" w:hAnsi="宋体" w:cs="宋体"/>
          <w:color w:val="auto"/>
          <w:sz w:val="22"/>
          <w:szCs w:val="22"/>
          <w:highlight w:val="none"/>
        </w:rPr>
        <w:t>监理工程师职权委托</w:t>
      </w:r>
    </w:p>
    <w:p w14:paraId="4A4E46B4">
      <w:pPr>
        <w:spacing w:line="420" w:lineRule="exact"/>
        <w:ind w:firstLine="330" w:firstLineChars="150"/>
        <w:rPr>
          <w:rFonts w:ascii="宋体" w:hAnsi="宋体" w:cs="宋体"/>
          <w:color w:val="auto"/>
          <w:sz w:val="22"/>
          <w:szCs w:val="22"/>
          <w:highlight w:val="none"/>
          <w:u w:val="single"/>
        </w:rPr>
      </w:pPr>
      <w:r>
        <w:rPr>
          <w:rFonts w:ascii="宋体" w:hAnsi="宋体" w:cs="宋体"/>
          <w:color w:val="auto"/>
          <w:sz w:val="22"/>
          <w:szCs w:val="22"/>
          <w:highlight w:val="none"/>
          <w:u w:val="single"/>
        </w:rPr>
        <w:t>总监理工程师不应将合同条款第23.2款约定应由总监理工程师作出确定的权力授权或者委托给其他监理</w:t>
      </w:r>
      <w:r>
        <w:rPr>
          <w:rFonts w:hint="eastAsia" w:ascii="宋体" w:hAnsi="宋体" w:cs="宋体"/>
          <w:color w:val="auto"/>
          <w:sz w:val="22"/>
          <w:szCs w:val="22"/>
          <w:highlight w:val="none"/>
          <w:u w:val="single"/>
        </w:rPr>
        <w:t>工程师代表</w:t>
      </w:r>
      <w:r>
        <w:rPr>
          <w:rFonts w:ascii="宋体" w:hAnsi="宋体" w:cs="宋体"/>
          <w:color w:val="auto"/>
          <w:sz w:val="22"/>
          <w:szCs w:val="22"/>
          <w:highlight w:val="none"/>
          <w:u w:val="single"/>
        </w:rPr>
        <w:t>。</w:t>
      </w:r>
    </w:p>
    <w:p w14:paraId="330D62ED">
      <w:pPr>
        <w:spacing w:line="420" w:lineRule="exact"/>
        <w:ind w:firstLine="110" w:firstLineChars="50"/>
        <w:rPr>
          <w:rFonts w:ascii="宋体" w:hAnsi="宋体" w:cs="宋体"/>
          <w:color w:val="auto"/>
          <w:sz w:val="22"/>
          <w:szCs w:val="22"/>
          <w:highlight w:val="none"/>
          <w:u w:val="single"/>
        </w:rPr>
      </w:pPr>
    </w:p>
    <w:p w14:paraId="5508EA02">
      <w:pPr>
        <w:pStyle w:val="3"/>
        <w:numPr>
          <w:ilvl w:val="0"/>
          <w:numId w:val="0"/>
        </w:numPr>
        <w:tabs>
          <w:tab w:val="left" w:pos="420"/>
        </w:tabs>
        <w:spacing w:line="420" w:lineRule="exact"/>
        <w:rPr>
          <w:rFonts w:hAnsi="宋体"/>
          <w:b/>
          <w:bCs/>
          <w:color w:val="auto"/>
          <w:sz w:val="22"/>
          <w:szCs w:val="22"/>
          <w:highlight w:val="none"/>
        </w:rPr>
      </w:pPr>
      <w:bookmarkStart w:id="586" w:name="_Toc27411"/>
      <w:bookmarkStart w:id="587" w:name="_Toc31347"/>
      <w:bookmarkStart w:id="588" w:name="_Toc25886"/>
      <w:bookmarkStart w:id="589" w:name="_Toc155166165"/>
      <w:bookmarkStart w:id="590" w:name="_Toc3108"/>
      <w:r>
        <w:rPr>
          <w:rFonts w:hint="eastAsia" w:hAnsi="宋体"/>
          <w:b/>
          <w:bCs/>
          <w:color w:val="auto"/>
          <w:sz w:val="22"/>
          <w:szCs w:val="22"/>
          <w:highlight w:val="none"/>
        </w:rPr>
        <w:t>24. 造价工程师</w:t>
      </w:r>
      <w:bookmarkEnd w:id="585"/>
      <w:bookmarkEnd w:id="586"/>
      <w:bookmarkEnd w:id="587"/>
      <w:bookmarkEnd w:id="588"/>
      <w:bookmarkEnd w:id="589"/>
      <w:bookmarkEnd w:id="590"/>
    </w:p>
    <w:p w14:paraId="1EAFC9AA">
      <w:pPr>
        <w:spacing w:line="420" w:lineRule="exact"/>
        <w:ind w:firstLine="110" w:firstLineChars="50"/>
        <w:rPr>
          <w:rFonts w:ascii="宋体" w:hAnsi="宋体" w:cs="宋体"/>
          <w:color w:val="auto"/>
          <w:sz w:val="22"/>
          <w:szCs w:val="22"/>
          <w:highlight w:val="none"/>
        </w:rPr>
      </w:pPr>
    </w:p>
    <w:p w14:paraId="1D09E5DD">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24.1 负责合同工程的造价咨询单位及任命的造价工程师</w:t>
      </w:r>
    </w:p>
    <w:p w14:paraId="68CACA3F">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（1） 工程造价咨询人（如有）：</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法定代表人：</w:t>
      </w:r>
      <w:r>
        <w:rPr>
          <w:rFonts w:hint="eastAsia" w:ascii="宋体" w:hAnsi="宋体" w:cs="宋体"/>
          <w:color w:val="auto"/>
          <w:sz w:val="22"/>
          <w:szCs w:val="22"/>
          <w:highlight w:val="none"/>
          <w:u w:val="single"/>
        </w:rPr>
        <w:t xml:space="preserve">                  </w:t>
      </w:r>
    </w:p>
    <w:p w14:paraId="06ADB68A">
      <w:pPr>
        <w:spacing w:line="420" w:lineRule="exact"/>
        <w:ind w:firstLine="110" w:firstLineChars="50"/>
        <w:rPr>
          <w:rFonts w:ascii="宋体" w:hAnsi="宋体" w:cs="宋体"/>
          <w:color w:val="auto"/>
          <w:sz w:val="22"/>
          <w:szCs w:val="22"/>
          <w:highlight w:val="none"/>
        </w:rPr>
      </w:pPr>
    </w:p>
    <w:p w14:paraId="6CFC999B">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（2） 任命（              ）为造价工程师，其通讯方式为</w:t>
      </w:r>
    </w:p>
    <w:p w14:paraId="1D5FFD51">
      <w:pPr>
        <w:spacing w:line="420" w:lineRule="exact"/>
        <w:ind w:left="120"/>
        <w:rPr>
          <w:rFonts w:ascii="宋体" w:hAnsi="宋体" w:cs="宋体"/>
          <w:color w:val="auto"/>
          <w:kern w:val="0"/>
          <w:sz w:val="22"/>
          <w:szCs w:val="22"/>
          <w:highlight w:val="none"/>
          <w:u w:val="single"/>
        </w:rPr>
      </w:pPr>
      <w:r>
        <w:rPr>
          <w:rFonts w:hint="eastAsia" w:ascii="宋体" w:hAnsi="宋体" w:cs="宋体"/>
          <w:color w:val="auto"/>
          <w:sz w:val="22"/>
          <w:szCs w:val="22"/>
          <w:highlight w:val="none"/>
        </w:rPr>
        <w:t xml:space="preserve">      </w:t>
      </w:r>
      <w:r>
        <w:rPr>
          <w:rFonts w:hint="eastAsia" w:ascii="宋体" w:hAnsi="宋体" w:cs="宋体"/>
          <w:color w:val="auto"/>
          <w:kern w:val="0"/>
          <w:sz w:val="22"/>
          <w:szCs w:val="22"/>
          <w:highlight w:val="none"/>
        </w:rPr>
        <w:t>通讯地址：</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邮政编码：</w:t>
      </w:r>
      <w:r>
        <w:rPr>
          <w:rFonts w:hint="eastAsia" w:ascii="宋体" w:hAnsi="宋体" w:cs="宋体"/>
          <w:color w:val="auto"/>
          <w:kern w:val="0"/>
          <w:sz w:val="22"/>
          <w:szCs w:val="22"/>
          <w:highlight w:val="none"/>
          <w:u w:val="single"/>
        </w:rPr>
        <w:t xml:space="preserve">              </w:t>
      </w:r>
    </w:p>
    <w:p w14:paraId="18D217E6">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联系电话：</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传真号码：</w:t>
      </w:r>
      <w:r>
        <w:rPr>
          <w:rFonts w:hint="eastAsia" w:ascii="宋体" w:hAnsi="宋体" w:cs="宋体"/>
          <w:color w:val="auto"/>
          <w:sz w:val="22"/>
          <w:szCs w:val="22"/>
          <w:highlight w:val="none"/>
          <w:u w:val="single"/>
        </w:rPr>
        <w:t xml:space="preserve">              </w:t>
      </w:r>
    </w:p>
    <w:p w14:paraId="7E357012">
      <w:pPr>
        <w:spacing w:line="420" w:lineRule="exact"/>
        <w:ind w:firstLine="110" w:firstLineChars="50"/>
        <w:rPr>
          <w:rFonts w:ascii="宋体" w:hAnsi="宋体" w:cs="宋体"/>
          <w:color w:val="auto"/>
          <w:sz w:val="22"/>
          <w:szCs w:val="22"/>
          <w:highlight w:val="none"/>
          <w:u w:val="single"/>
        </w:rPr>
      </w:pPr>
    </w:p>
    <w:p w14:paraId="034F07D9">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24.3 （7）需要发包人批准的其他事项：</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p>
    <w:p w14:paraId="5F05E40F">
      <w:pPr>
        <w:spacing w:line="420" w:lineRule="exact"/>
        <w:ind w:firstLine="110" w:firstLineChars="50"/>
        <w:rPr>
          <w:rFonts w:ascii="宋体" w:hAnsi="宋体" w:cs="宋体"/>
          <w:color w:val="auto"/>
          <w:sz w:val="22"/>
          <w:szCs w:val="22"/>
          <w:highlight w:val="none"/>
        </w:rPr>
      </w:pPr>
    </w:p>
    <w:p w14:paraId="6F655F83">
      <w:pPr>
        <w:spacing w:line="420" w:lineRule="exact"/>
        <w:ind w:firstLine="110" w:firstLineChars="50"/>
        <w:rPr>
          <w:rFonts w:ascii="宋体" w:hAnsi="宋体" w:cs="宋体"/>
          <w:color w:val="auto"/>
          <w:sz w:val="22"/>
          <w:szCs w:val="22"/>
          <w:highlight w:val="none"/>
        </w:rPr>
      </w:pPr>
    </w:p>
    <w:p w14:paraId="76306591">
      <w:pPr>
        <w:pStyle w:val="3"/>
        <w:numPr>
          <w:ilvl w:val="0"/>
          <w:numId w:val="0"/>
        </w:numPr>
        <w:tabs>
          <w:tab w:val="left" w:pos="420"/>
        </w:tabs>
        <w:spacing w:line="420" w:lineRule="exact"/>
        <w:rPr>
          <w:rFonts w:hAnsi="宋体"/>
          <w:b/>
          <w:bCs/>
          <w:color w:val="auto"/>
          <w:sz w:val="22"/>
          <w:szCs w:val="22"/>
          <w:highlight w:val="none"/>
        </w:rPr>
      </w:pPr>
      <w:bookmarkStart w:id="591" w:name="_Toc27805"/>
      <w:bookmarkStart w:id="592" w:name="_Toc5663"/>
      <w:bookmarkStart w:id="593" w:name="_Toc155166166"/>
      <w:bookmarkStart w:id="594" w:name="_Toc469384096"/>
      <w:bookmarkStart w:id="595" w:name="_Toc24404"/>
      <w:bookmarkStart w:id="596" w:name="_Toc21769"/>
      <w:r>
        <w:rPr>
          <w:rFonts w:hint="eastAsia" w:hAnsi="宋体"/>
          <w:b/>
          <w:bCs/>
          <w:color w:val="auto"/>
          <w:sz w:val="22"/>
          <w:szCs w:val="22"/>
          <w:highlight w:val="none"/>
        </w:rPr>
        <w:t>25. 承包人代表</w:t>
      </w:r>
      <w:bookmarkEnd w:id="591"/>
      <w:bookmarkEnd w:id="592"/>
      <w:bookmarkEnd w:id="593"/>
      <w:bookmarkEnd w:id="594"/>
      <w:bookmarkEnd w:id="595"/>
      <w:bookmarkEnd w:id="596"/>
    </w:p>
    <w:p w14:paraId="082BA39D">
      <w:pPr>
        <w:spacing w:line="420" w:lineRule="exact"/>
        <w:ind w:firstLine="110" w:firstLineChars="50"/>
        <w:rPr>
          <w:rFonts w:ascii="宋体" w:hAnsi="宋体" w:cs="宋体"/>
          <w:color w:val="auto"/>
          <w:sz w:val="22"/>
          <w:szCs w:val="22"/>
          <w:highlight w:val="none"/>
        </w:rPr>
      </w:pPr>
    </w:p>
    <w:p w14:paraId="0620BD8B">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25.1 承包人任命（              ）为承包人代表（项目负责人），其人员信息为：</w:t>
      </w:r>
    </w:p>
    <w:p w14:paraId="786DA42B">
      <w:pPr>
        <w:spacing w:line="420" w:lineRule="exact"/>
        <w:ind w:firstLine="770" w:firstLineChars="350"/>
        <w:rPr>
          <w:rFonts w:ascii="宋体" w:hAnsi="宋体" w:cs="宋体"/>
          <w:color w:val="auto"/>
          <w:sz w:val="22"/>
          <w:szCs w:val="22"/>
          <w:highlight w:val="none"/>
        </w:rPr>
      </w:pPr>
      <w:r>
        <w:rPr>
          <w:rFonts w:ascii="宋体" w:hAnsi="宋体" w:cs="宋体"/>
          <w:color w:val="auto"/>
          <w:sz w:val="22"/>
          <w:szCs w:val="22"/>
          <w:highlight w:val="none"/>
        </w:rPr>
        <w:t>姓名：</w:t>
      </w:r>
      <w:r>
        <w:rPr>
          <w:rFonts w:ascii="宋体" w:hAnsi="宋体" w:cs="宋体"/>
          <w:color w:val="auto"/>
          <w:sz w:val="22"/>
          <w:szCs w:val="22"/>
          <w:highlight w:val="none"/>
          <w:u w:val="single"/>
        </w:rPr>
        <w:t xml:space="preserve">                    </w:t>
      </w:r>
      <w:r>
        <w:rPr>
          <w:rFonts w:ascii="宋体" w:hAnsi="宋体" w:cs="宋体"/>
          <w:color w:val="auto"/>
          <w:sz w:val="22"/>
          <w:szCs w:val="22"/>
          <w:highlight w:val="none"/>
        </w:rPr>
        <w:t>；     职称：</w:t>
      </w:r>
      <w:r>
        <w:rPr>
          <w:rFonts w:ascii="宋体" w:hAnsi="宋体" w:cs="宋体"/>
          <w:color w:val="auto"/>
          <w:sz w:val="22"/>
          <w:szCs w:val="22"/>
          <w:highlight w:val="none"/>
          <w:u w:val="single"/>
        </w:rPr>
        <w:t xml:space="preserve">                            </w:t>
      </w:r>
      <w:r>
        <w:rPr>
          <w:rFonts w:ascii="宋体" w:hAnsi="宋体" w:cs="宋体"/>
          <w:color w:val="auto"/>
          <w:sz w:val="22"/>
          <w:szCs w:val="22"/>
          <w:highlight w:val="none"/>
        </w:rPr>
        <w:t>；</w:t>
      </w:r>
    </w:p>
    <w:p w14:paraId="1470F931">
      <w:pPr>
        <w:spacing w:line="420" w:lineRule="exact"/>
        <w:ind w:firstLine="770" w:firstLineChars="350"/>
        <w:rPr>
          <w:rFonts w:ascii="宋体" w:hAnsi="宋体" w:cs="宋体"/>
          <w:color w:val="auto"/>
          <w:sz w:val="22"/>
          <w:szCs w:val="22"/>
          <w:highlight w:val="none"/>
        </w:rPr>
      </w:pPr>
      <w:r>
        <w:rPr>
          <w:rFonts w:ascii="宋体" w:hAnsi="宋体" w:cs="宋体"/>
          <w:color w:val="auto"/>
          <w:sz w:val="22"/>
          <w:szCs w:val="22"/>
          <w:highlight w:val="none"/>
        </w:rPr>
        <w:t>身份证号：</w:t>
      </w:r>
      <w:r>
        <w:rPr>
          <w:rFonts w:ascii="宋体" w:hAnsi="宋体" w:cs="宋体"/>
          <w:color w:val="auto"/>
          <w:sz w:val="22"/>
          <w:szCs w:val="22"/>
          <w:highlight w:val="none"/>
          <w:u w:val="single"/>
        </w:rPr>
        <w:t xml:space="preserve">                </w:t>
      </w:r>
      <w:r>
        <w:rPr>
          <w:rFonts w:ascii="宋体" w:hAnsi="宋体" w:cs="宋体"/>
          <w:color w:val="auto"/>
          <w:sz w:val="22"/>
          <w:szCs w:val="22"/>
          <w:highlight w:val="none"/>
        </w:rPr>
        <w:t>；     建造师执业资格证书号：</w:t>
      </w:r>
      <w:r>
        <w:rPr>
          <w:rFonts w:ascii="宋体" w:hAnsi="宋体" w:cs="宋体"/>
          <w:color w:val="auto"/>
          <w:sz w:val="22"/>
          <w:szCs w:val="22"/>
          <w:highlight w:val="none"/>
          <w:u w:val="single"/>
        </w:rPr>
        <w:t xml:space="preserve">            </w:t>
      </w:r>
      <w:r>
        <w:rPr>
          <w:rFonts w:ascii="宋体" w:hAnsi="宋体" w:cs="宋体"/>
          <w:color w:val="auto"/>
          <w:sz w:val="22"/>
          <w:szCs w:val="22"/>
          <w:highlight w:val="none"/>
        </w:rPr>
        <w:t>；</w:t>
      </w:r>
    </w:p>
    <w:p w14:paraId="76285677">
      <w:pPr>
        <w:spacing w:line="420" w:lineRule="exact"/>
        <w:ind w:firstLine="770" w:firstLineChars="350"/>
        <w:rPr>
          <w:rFonts w:ascii="宋体" w:hAnsi="宋体" w:cs="宋体"/>
          <w:color w:val="auto"/>
          <w:sz w:val="22"/>
          <w:szCs w:val="22"/>
          <w:highlight w:val="none"/>
        </w:rPr>
      </w:pPr>
      <w:r>
        <w:rPr>
          <w:rFonts w:ascii="宋体" w:hAnsi="宋体" w:cs="宋体"/>
          <w:color w:val="auto"/>
          <w:sz w:val="22"/>
          <w:szCs w:val="22"/>
          <w:highlight w:val="none"/>
        </w:rPr>
        <w:t>建造师注册证书号：</w:t>
      </w:r>
      <w:r>
        <w:rPr>
          <w:rFonts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14:paraId="06392286">
      <w:pPr>
        <w:spacing w:line="420" w:lineRule="exact"/>
        <w:ind w:firstLine="770" w:firstLineChars="350"/>
        <w:rPr>
          <w:rFonts w:ascii="宋体" w:hAnsi="宋体" w:cs="宋体"/>
          <w:color w:val="auto"/>
          <w:sz w:val="22"/>
          <w:szCs w:val="22"/>
          <w:highlight w:val="none"/>
        </w:rPr>
      </w:pPr>
      <w:r>
        <w:rPr>
          <w:rFonts w:ascii="宋体" w:hAnsi="宋体" w:cs="宋体"/>
          <w:color w:val="auto"/>
          <w:sz w:val="22"/>
          <w:szCs w:val="22"/>
          <w:highlight w:val="none"/>
        </w:rPr>
        <w:t>建造师执业印章号：</w:t>
      </w:r>
      <w:r>
        <w:rPr>
          <w:rFonts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14:paraId="52D9B571">
      <w:pPr>
        <w:spacing w:line="420" w:lineRule="exact"/>
        <w:ind w:firstLine="770" w:firstLineChars="350"/>
        <w:rPr>
          <w:rFonts w:ascii="宋体" w:hAnsi="宋体" w:cs="宋体"/>
          <w:color w:val="auto"/>
          <w:sz w:val="22"/>
          <w:szCs w:val="22"/>
          <w:highlight w:val="none"/>
        </w:rPr>
      </w:pPr>
      <w:r>
        <w:rPr>
          <w:rFonts w:ascii="宋体" w:hAnsi="宋体" w:cs="宋体"/>
          <w:color w:val="auto"/>
          <w:sz w:val="22"/>
          <w:szCs w:val="22"/>
          <w:highlight w:val="none"/>
        </w:rPr>
        <w:t>安全生产考核合格证书号：</w:t>
      </w:r>
      <w:r>
        <w:rPr>
          <w:rFonts w:ascii="宋体" w:hAnsi="宋体" w:cs="宋体"/>
          <w:color w:val="auto"/>
          <w:sz w:val="22"/>
          <w:szCs w:val="22"/>
          <w:highlight w:val="none"/>
          <w:u w:val="single"/>
        </w:rPr>
        <w:t xml:space="preserve">                                         </w:t>
      </w:r>
      <w:r>
        <w:rPr>
          <w:rFonts w:ascii="宋体" w:hAnsi="宋体" w:cs="宋体"/>
          <w:color w:val="auto"/>
          <w:sz w:val="22"/>
          <w:szCs w:val="22"/>
          <w:highlight w:val="none"/>
        </w:rPr>
        <w:t>。</w:t>
      </w:r>
    </w:p>
    <w:p w14:paraId="16F55C0B">
      <w:pPr>
        <w:spacing w:line="420" w:lineRule="exact"/>
        <w:ind w:firstLine="770" w:firstLineChars="350"/>
        <w:rPr>
          <w:rFonts w:ascii="宋体" w:hAnsi="宋体" w:cs="宋体"/>
          <w:color w:val="auto"/>
          <w:sz w:val="22"/>
          <w:szCs w:val="22"/>
          <w:highlight w:val="none"/>
          <w:u w:val="single"/>
        </w:rPr>
      </w:pPr>
      <w:r>
        <w:rPr>
          <w:rFonts w:hint="eastAsia" w:ascii="宋体" w:hAnsi="宋体" w:cs="宋体"/>
          <w:color w:val="auto"/>
          <w:sz w:val="22"/>
          <w:szCs w:val="22"/>
          <w:highlight w:val="none"/>
        </w:rPr>
        <w:t>通讯地址：</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邮政编码：</w:t>
      </w:r>
      <w:r>
        <w:rPr>
          <w:rFonts w:hint="eastAsia" w:ascii="宋体" w:hAnsi="宋体" w:cs="宋体"/>
          <w:color w:val="auto"/>
          <w:sz w:val="22"/>
          <w:szCs w:val="22"/>
          <w:highlight w:val="none"/>
          <w:u w:val="single"/>
        </w:rPr>
        <w:t xml:space="preserve">              </w:t>
      </w:r>
    </w:p>
    <w:p w14:paraId="4162D031">
      <w:pPr>
        <w:spacing w:line="420" w:lineRule="exact"/>
        <w:ind w:firstLine="770" w:firstLineChars="350"/>
        <w:rPr>
          <w:rFonts w:ascii="宋体" w:hAnsi="宋体" w:cs="宋体"/>
          <w:color w:val="auto"/>
          <w:sz w:val="22"/>
          <w:szCs w:val="22"/>
          <w:highlight w:val="none"/>
          <w:u w:val="single"/>
        </w:rPr>
      </w:pPr>
      <w:r>
        <w:rPr>
          <w:rFonts w:hint="eastAsia" w:ascii="宋体" w:hAnsi="宋体" w:cs="宋体"/>
          <w:color w:val="auto"/>
          <w:sz w:val="22"/>
          <w:szCs w:val="22"/>
          <w:highlight w:val="none"/>
        </w:rPr>
        <w:t>联系电话：</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传真号码：</w:t>
      </w:r>
      <w:r>
        <w:rPr>
          <w:rFonts w:hint="eastAsia" w:ascii="宋体" w:hAnsi="宋体" w:cs="宋体"/>
          <w:color w:val="auto"/>
          <w:sz w:val="22"/>
          <w:szCs w:val="22"/>
          <w:highlight w:val="none"/>
          <w:u w:val="single"/>
        </w:rPr>
        <w:t xml:space="preserve">              </w:t>
      </w:r>
    </w:p>
    <w:p w14:paraId="2F07A542">
      <w:pPr>
        <w:spacing w:line="420" w:lineRule="exact"/>
        <w:ind w:firstLine="770" w:firstLineChars="350"/>
        <w:rPr>
          <w:rFonts w:ascii="宋体" w:hAnsi="宋体" w:cs="宋体"/>
          <w:color w:val="auto"/>
          <w:sz w:val="22"/>
          <w:szCs w:val="22"/>
          <w:highlight w:val="none"/>
        </w:rPr>
      </w:pPr>
    </w:p>
    <w:p w14:paraId="3FDC2637">
      <w:pPr>
        <w:pStyle w:val="3"/>
        <w:numPr>
          <w:ilvl w:val="0"/>
          <w:numId w:val="0"/>
        </w:numPr>
        <w:tabs>
          <w:tab w:val="left" w:pos="420"/>
        </w:tabs>
        <w:spacing w:line="420" w:lineRule="exact"/>
        <w:rPr>
          <w:rFonts w:hAnsi="宋体"/>
          <w:b/>
          <w:bCs/>
          <w:color w:val="auto"/>
          <w:sz w:val="22"/>
          <w:szCs w:val="22"/>
          <w:highlight w:val="none"/>
        </w:rPr>
      </w:pPr>
      <w:bookmarkStart w:id="597" w:name="_Toc469384097"/>
      <w:bookmarkStart w:id="598" w:name="_Toc16129"/>
      <w:bookmarkStart w:id="599" w:name="_Toc155166167"/>
      <w:bookmarkStart w:id="600" w:name="_Toc24109"/>
      <w:bookmarkStart w:id="601" w:name="_Toc6997"/>
      <w:bookmarkStart w:id="602" w:name="_Toc2227"/>
      <w:r>
        <w:rPr>
          <w:rFonts w:hint="eastAsia" w:hAnsi="宋体"/>
          <w:b/>
          <w:bCs/>
          <w:color w:val="auto"/>
          <w:sz w:val="22"/>
          <w:szCs w:val="22"/>
          <w:highlight w:val="none"/>
        </w:rPr>
        <w:t>26. 指定分包人</w:t>
      </w:r>
      <w:bookmarkEnd w:id="597"/>
      <w:bookmarkEnd w:id="598"/>
      <w:bookmarkEnd w:id="599"/>
      <w:bookmarkEnd w:id="600"/>
      <w:bookmarkEnd w:id="601"/>
      <w:bookmarkEnd w:id="602"/>
    </w:p>
    <w:p w14:paraId="2804922B">
      <w:pPr>
        <w:spacing w:line="420" w:lineRule="exact"/>
        <w:ind w:firstLine="110" w:firstLineChars="50"/>
        <w:rPr>
          <w:rFonts w:ascii="宋体" w:hAnsi="宋体" w:cs="宋体"/>
          <w:color w:val="auto"/>
          <w:sz w:val="22"/>
          <w:szCs w:val="22"/>
          <w:highlight w:val="none"/>
        </w:rPr>
      </w:pPr>
    </w:p>
    <w:p w14:paraId="0B8926CD">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26.1 依法指定的分包人</w:t>
      </w:r>
    </w:p>
    <w:p w14:paraId="54FE4BC6">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（1） 实施、完成部分永久工程的分包人：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p>
    <w:p w14:paraId="3964BD41">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（2） 提供材料和工程设备、服务的分包人：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p>
    <w:p w14:paraId="2589A09F">
      <w:pPr>
        <w:spacing w:line="420" w:lineRule="exact"/>
        <w:ind w:firstLine="110" w:firstLineChars="50"/>
        <w:rPr>
          <w:rFonts w:ascii="宋体" w:hAnsi="宋体" w:cs="宋体"/>
          <w:color w:val="auto"/>
          <w:sz w:val="22"/>
          <w:szCs w:val="22"/>
          <w:highlight w:val="none"/>
        </w:rPr>
      </w:pPr>
    </w:p>
    <w:p w14:paraId="5CE8F1F2">
      <w:pPr>
        <w:pStyle w:val="3"/>
        <w:numPr>
          <w:ilvl w:val="0"/>
          <w:numId w:val="0"/>
        </w:numPr>
        <w:tabs>
          <w:tab w:val="left" w:pos="420"/>
        </w:tabs>
        <w:spacing w:line="420" w:lineRule="exact"/>
        <w:rPr>
          <w:rFonts w:hAnsi="宋体"/>
          <w:b/>
          <w:bCs/>
          <w:color w:val="auto"/>
          <w:sz w:val="22"/>
          <w:szCs w:val="22"/>
          <w:highlight w:val="none"/>
        </w:rPr>
      </w:pPr>
      <w:bookmarkStart w:id="603" w:name="_Toc22307"/>
      <w:bookmarkStart w:id="604" w:name="_Toc155166168"/>
      <w:bookmarkStart w:id="605" w:name="_Toc26532"/>
      <w:bookmarkStart w:id="606" w:name="_Toc24582"/>
      <w:r>
        <w:rPr>
          <w:rFonts w:hint="eastAsia" w:hAnsi="宋体"/>
          <w:b/>
          <w:bCs/>
          <w:color w:val="auto"/>
          <w:sz w:val="22"/>
          <w:szCs w:val="22"/>
          <w:highlight w:val="none"/>
        </w:rPr>
        <w:t>2</w:t>
      </w:r>
      <w:r>
        <w:rPr>
          <w:rFonts w:hAnsi="宋体"/>
          <w:b/>
          <w:bCs/>
          <w:color w:val="auto"/>
          <w:sz w:val="22"/>
          <w:szCs w:val="22"/>
          <w:highlight w:val="none"/>
        </w:rPr>
        <w:t>7.</w:t>
      </w:r>
      <w:r>
        <w:rPr>
          <w:rFonts w:hint="eastAsia" w:hAnsi="宋体"/>
          <w:b/>
          <w:bCs/>
          <w:color w:val="auto"/>
          <w:sz w:val="22"/>
          <w:szCs w:val="22"/>
          <w:highlight w:val="none"/>
        </w:rPr>
        <w:t>承包人劳务</w:t>
      </w:r>
      <w:bookmarkEnd w:id="603"/>
      <w:bookmarkEnd w:id="604"/>
      <w:bookmarkEnd w:id="605"/>
      <w:bookmarkEnd w:id="606"/>
    </w:p>
    <w:p w14:paraId="753E055A">
      <w:pPr>
        <w:spacing w:line="420" w:lineRule="exact"/>
        <w:ind w:firstLine="110" w:firstLineChars="50"/>
        <w:rPr>
          <w:rFonts w:ascii="宋体" w:hAnsi="宋体" w:cs="宋体"/>
          <w:color w:val="auto"/>
          <w:sz w:val="22"/>
          <w:szCs w:val="22"/>
          <w:highlight w:val="none"/>
        </w:rPr>
      </w:pPr>
    </w:p>
    <w:p w14:paraId="2C849842">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2</w:t>
      </w:r>
      <w:r>
        <w:rPr>
          <w:rFonts w:ascii="宋体" w:hAnsi="宋体" w:cs="宋体"/>
          <w:color w:val="auto"/>
          <w:sz w:val="22"/>
          <w:szCs w:val="22"/>
          <w:highlight w:val="none"/>
        </w:rPr>
        <w:t>7.7</w:t>
      </w:r>
      <w:r>
        <w:rPr>
          <w:rFonts w:hint="eastAsia" w:ascii="宋体" w:hAnsi="宋体" w:cs="宋体"/>
          <w:color w:val="auto"/>
          <w:sz w:val="22"/>
          <w:szCs w:val="22"/>
          <w:highlight w:val="none"/>
        </w:rPr>
        <w:t>承包人雇员安排和撤换的约定：除通用条款2</w:t>
      </w:r>
      <w:r>
        <w:rPr>
          <w:rFonts w:ascii="宋体" w:hAnsi="宋体" w:cs="宋体"/>
          <w:color w:val="auto"/>
          <w:sz w:val="22"/>
          <w:szCs w:val="22"/>
          <w:highlight w:val="none"/>
        </w:rPr>
        <w:t>7.7</w:t>
      </w:r>
      <w:r>
        <w:rPr>
          <w:rFonts w:hint="eastAsia" w:ascii="宋体" w:hAnsi="宋体" w:cs="宋体"/>
          <w:color w:val="auto"/>
          <w:sz w:val="22"/>
          <w:szCs w:val="22"/>
          <w:highlight w:val="none"/>
        </w:rPr>
        <w:t>条约定外，承包人还应：</w:t>
      </w:r>
    </w:p>
    <w:p w14:paraId="39D51DAD">
      <w:pPr>
        <w:spacing w:line="420" w:lineRule="exact"/>
        <w:ind w:firstLine="110" w:firstLineChars="5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1</w:t>
      </w:r>
      <w:r>
        <w:rPr>
          <w:rFonts w:hint="eastAsia" w:ascii="宋体" w:hAnsi="宋体" w:cs="宋体"/>
          <w:color w:val="auto"/>
          <w:sz w:val="22"/>
          <w:szCs w:val="22"/>
          <w:highlight w:val="none"/>
          <w:u w:val="single"/>
        </w:rPr>
        <w:t>）对于不胜任工作的承包人人员，当监理工程师要求更换时，承包人必须立即予以更换，并不得继续在本合同工程供职。</w:t>
      </w:r>
    </w:p>
    <w:p w14:paraId="63FBDB85">
      <w:pPr>
        <w:spacing w:line="420" w:lineRule="exact"/>
        <w:ind w:firstLine="110" w:firstLineChars="5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2</w:t>
      </w:r>
      <w:r>
        <w:rPr>
          <w:rFonts w:hint="eastAsia" w:ascii="宋体" w:hAnsi="宋体" w:cs="宋体"/>
          <w:color w:val="auto"/>
          <w:sz w:val="22"/>
          <w:szCs w:val="22"/>
          <w:highlight w:val="none"/>
          <w:u w:val="single"/>
        </w:rPr>
        <w:t>）承包人人员资格的特别规定：承包人务必配备专职的安全员、资料员和施工员，并须持证上岗，施工期间不得随意更换以上人员，否则发包人在诚信评价中将给予扣分。</w:t>
      </w:r>
    </w:p>
    <w:p w14:paraId="2E7C98F8">
      <w:pPr>
        <w:spacing w:line="420" w:lineRule="exact"/>
        <w:ind w:firstLine="110" w:firstLineChars="50"/>
        <w:rPr>
          <w:rFonts w:hint="eastAsia" w:ascii="宋体" w:hAnsi="宋体" w:cs="宋体"/>
          <w:color w:val="auto"/>
          <w:sz w:val="22"/>
          <w:szCs w:val="22"/>
          <w:highlight w:val="none"/>
        </w:rPr>
      </w:pPr>
    </w:p>
    <w:p w14:paraId="2433669A">
      <w:pPr>
        <w:pStyle w:val="3"/>
        <w:numPr>
          <w:ilvl w:val="0"/>
          <w:numId w:val="0"/>
        </w:numPr>
        <w:tabs>
          <w:tab w:val="left" w:pos="420"/>
        </w:tabs>
        <w:spacing w:line="420" w:lineRule="exact"/>
        <w:rPr>
          <w:rFonts w:hAnsi="宋体"/>
          <w:b/>
          <w:bCs/>
          <w:color w:val="auto"/>
          <w:sz w:val="22"/>
          <w:szCs w:val="22"/>
          <w:highlight w:val="none"/>
        </w:rPr>
      </w:pPr>
      <w:bookmarkStart w:id="607" w:name="_Toc155166169"/>
      <w:bookmarkStart w:id="608" w:name="_Toc12993"/>
      <w:bookmarkStart w:id="609" w:name="_Toc3252"/>
      <w:bookmarkStart w:id="610" w:name="_Toc3438"/>
      <w:bookmarkStart w:id="611" w:name="_Toc4910"/>
      <w:bookmarkStart w:id="612" w:name="_Toc469384098"/>
      <w:r>
        <w:rPr>
          <w:rFonts w:hint="eastAsia" w:hAnsi="宋体"/>
          <w:b/>
          <w:bCs/>
          <w:color w:val="auto"/>
          <w:sz w:val="22"/>
          <w:szCs w:val="22"/>
          <w:highlight w:val="none"/>
        </w:rPr>
        <w:t>28. 工程担保</w:t>
      </w:r>
      <w:bookmarkEnd w:id="607"/>
      <w:bookmarkEnd w:id="608"/>
      <w:bookmarkEnd w:id="609"/>
      <w:bookmarkEnd w:id="610"/>
      <w:bookmarkEnd w:id="611"/>
      <w:bookmarkEnd w:id="612"/>
    </w:p>
    <w:p w14:paraId="7981BB01">
      <w:pPr>
        <w:spacing w:line="420" w:lineRule="exact"/>
        <w:ind w:firstLine="110" w:firstLineChars="50"/>
        <w:rPr>
          <w:rFonts w:ascii="宋体" w:hAnsi="宋体" w:cs="宋体"/>
          <w:color w:val="auto"/>
          <w:sz w:val="22"/>
          <w:szCs w:val="22"/>
          <w:highlight w:val="none"/>
        </w:rPr>
      </w:pPr>
    </w:p>
    <w:p w14:paraId="3067E007">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28.1 承包人提供履约担保的约定</w:t>
      </w:r>
    </w:p>
    <w:p w14:paraId="7A69E3D3">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sz w:val="22"/>
          <w:szCs w:val="22"/>
          <w:highlight w:val="none"/>
        </w:rPr>
        <w:t xml:space="preserve">  （1）履约担保的金额：中标合同额</w:t>
      </w:r>
      <w:r>
        <w:rPr>
          <w:rFonts w:hint="eastAsia" w:ascii="宋体" w:hAnsi="宋体" w:cs="宋体"/>
          <w:color w:val="auto"/>
          <w:kern w:val="0"/>
          <w:sz w:val="22"/>
          <w:szCs w:val="22"/>
          <w:highlight w:val="none"/>
          <w:u w:val="single"/>
        </w:rPr>
        <w:t>的10%。</w:t>
      </w:r>
    </w:p>
    <w:p w14:paraId="56D94BE0">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（2） 提供履约担保的时间：</w:t>
      </w:r>
    </w:p>
    <w:p w14:paraId="207B4697">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sz w:val="22"/>
          <w:szCs w:val="22"/>
          <w:highlight w:val="none"/>
        </w:rPr>
        <w:t xml:space="preserve">       </w:t>
      </w:r>
      <w:r>
        <w:rPr>
          <w:rFonts w:hint="eastAsia" w:ascii="宋体" w:hAnsi="宋体" w:cs="宋体"/>
          <w:color w:val="auto"/>
          <w:kern w:val="0"/>
          <w:sz w:val="22"/>
          <w:szCs w:val="22"/>
          <w:highlight w:val="none"/>
        </w:rPr>
        <w:t>□ 签订本合同时；</w:t>
      </w:r>
    </w:p>
    <w:p w14:paraId="3B53C028">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p>
    <w:p w14:paraId="0A3A2FB3">
      <w:pPr>
        <w:spacing w:line="420" w:lineRule="exact"/>
        <w:ind w:firstLine="110" w:firstLineChars="50"/>
        <w:rPr>
          <w:rFonts w:ascii="宋体" w:hAnsi="宋体" w:cs="宋体"/>
          <w:color w:val="auto"/>
          <w:kern w:val="0"/>
          <w:sz w:val="22"/>
          <w:szCs w:val="22"/>
          <w:highlight w:val="none"/>
        </w:rPr>
      </w:pPr>
    </w:p>
    <w:p w14:paraId="494EE3B4">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（3） □ 出具履约保函的担保人：</w:t>
      </w:r>
      <w:r>
        <w:rPr>
          <w:rFonts w:hint="eastAsia" w:ascii="宋体" w:hAnsi="宋体" w:cs="宋体"/>
          <w:color w:val="auto"/>
          <w:kern w:val="0"/>
          <w:sz w:val="22"/>
          <w:szCs w:val="22"/>
          <w:highlight w:val="none"/>
          <w:u w:val="single"/>
        </w:rPr>
        <w:t xml:space="preserve">                                                         </w:t>
      </w:r>
    </w:p>
    <w:p w14:paraId="685DBF57">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sz w:val="22"/>
          <w:szCs w:val="22"/>
          <w:highlight w:val="none"/>
        </w:rPr>
        <w:t xml:space="preserve">        </w:t>
      </w:r>
      <w:r>
        <w:rPr>
          <w:rFonts w:hint="eastAsia" w:ascii="宋体" w:hAnsi="宋体" w:cs="宋体"/>
          <w:color w:val="auto"/>
          <w:kern w:val="0"/>
          <w:sz w:val="22"/>
          <w:szCs w:val="22"/>
          <w:highlight w:val="none"/>
        </w:rPr>
        <w:t>□ 出具</w:t>
      </w:r>
      <w:r>
        <w:rPr>
          <w:rFonts w:hint="eastAsia" w:ascii="宋体" w:hAnsi="宋体" w:cs="宋体"/>
          <w:color w:val="auto"/>
          <w:sz w:val="22"/>
          <w:szCs w:val="22"/>
          <w:highlight w:val="none"/>
          <w:shd w:val="clear" w:color="auto" w:fill="FFFFFF"/>
        </w:rPr>
        <w:t>履约担保</w:t>
      </w:r>
      <w:r>
        <w:rPr>
          <w:rFonts w:hint="eastAsia" w:ascii="宋体" w:hAnsi="宋体" w:cs="宋体"/>
          <w:color w:val="auto"/>
          <w:kern w:val="0"/>
          <w:sz w:val="22"/>
          <w:szCs w:val="22"/>
          <w:highlight w:val="none"/>
        </w:rPr>
        <w:t>的担保人：</w:t>
      </w:r>
      <w:r>
        <w:rPr>
          <w:rFonts w:hint="eastAsia" w:ascii="宋体" w:hAnsi="宋体" w:cs="宋体"/>
          <w:color w:val="auto"/>
          <w:kern w:val="0"/>
          <w:sz w:val="22"/>
          <w:szCs w:val="22"/>
          <w:highlight w:val="none"/>
          <w:u w:val="single"/>
        </w:rPr>
        <w:t xml:space="preserve">                                                </w:t>
      </w:r>
    </w:p>
    <w:p w14:paraId="0330CCC1">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出具</w:t>
      </w:r>
      <w:r>
        <w:rPr>
          <w:rFonts w:hint="eastAsia" w:ascii="宋体" w:hAnsi="宋体" w:cs="宋体"/>
          <w:color w:val="auto"/>
          <w:sz w:val="22"/>
          <w:szCs w:val="22"/>
          <w:highlight w:val="none"/>
          <w:shd w:val="clear" w:color="auto" w:fill="FFFFFF"/>
        </w:rPr>
        <w:t>履约保证保险</w:t>
      </w:r>
      <w:r>
        <w:rPr>
          <w:rFonts w:hint="eastAsia" w:ascii="宋体" w:hAnsi="宋体" w:cs="宋体"/>
          <w:color w:val="auto"/>
          <w:kern w:val="0"/>
          <w:sz w:val="22"/>
          <w:szCs w:val="22"/>
          <w:highlight w:val="none"/>
        </w:rPr>
        <w:t>的担保人：</w:t>
      </w:r>
      <w:r>
        <w:rPr>
          <w:rFonts w:hint="eastAsia" w:ascii="宋体" w:hAnsi="宋体" w:cs="宋体"/>
          <w:color w:val="auto"/>
          <w:kern w:val="0"/>
          <w:sz w:val="22"/>
          <w:szCs w:val="22"/>
          <w:highlight w:val="none"/>
          <w:u w:val="single"/>
        </w:rPr>
        <w:t xml:space="preserve">                                               </w:t>
      </w:r>
    </w:p>
    <w:p w14:paraId="72216103">
      <w:pPr>
        <w:spacing w:line="420" w:lineRule="exact"/>
        <w:ind w:firstLine="990" w:firstLineChars="4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其它：</w:t>
      </w:r>
      <w:r>
        <w:rPr>
          <w:rFonts w:hint="eastAsia" w:ascii="宋体" w:hAnsi="宋体" w:cs="宋体"/>
          <w:color w:val="auto"/>
          <w:kern w:val="0"/>
          <w:sz w:val="22"/>
          <w:szCs w:val="22"/>
          <w:highlight w:val="none"/>
          <w:u w:val="single"/>
        </w:rPr>
        <w:t xml:space="preserve">                                                                   </w:t>
      </w:r>
    </w:p>
    <w:p w14:paraId="7E0AE2C2">
      <w:pPr>
        <w:spacing w:line="420" w:lineRule="exact"/>
        <w:ind w:firstLine="110" w:firstLineChars="50"/>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 xml:space="preserve">  （4）履约担保的形式：</w:t>
      </w:r>
    </w:p>
    <w:p w14:paraId="37BC538E">
      <w:pPr>
        <w:spacing w:line="420" w:lineRule="exact"/>
        <w:ind w:firstLine="550" w:firstLineChars="2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在收到中标通知书之日起15个工作日内，承包人可选择以下任一方式，向发包人提交履约担保：</w:t>
      </w:r>
    </w:p>
    <w:p w14:paraId="1735544C">
      <w:pPr>
        <w:spacing w:line="420" w:lineRule="exact"/>
        <w:ind w:firstLine="550" w:firstLineChars="250"/>
        <w:rPr>
          <w:rFonts w:ascii="宋体" w:hAnsi="宋体" w:cs="宋体"/>
          <w:color w:val="auto"/>
          <w:sz w:val="22"/>
          <w:szCs w:val="22"/>
          <w:highlight w:val="none"/>
          <w:u w:val="single"/>
        </w:rPr>
      </w:pPr>
      <w:bookmarkStart w:id="613" w:name="_Toc502849548"/>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a</w:t>
      </w:r>
      <w:r>
        <w:rPr>
          <w:rFonts w:hint="eastAsia" w:ascii="宋体" w:hAnsi="宋体" w:cs="宋体"/>
          <w:color w:val="auto"/>
          <w:sz w:val="22"/>
          <w:szCs w:val="22"/>
          <w:highlight w:val="none"/>
          <w:u w:val="single"/>
        </w:rPr>
        <w:t>）以银行转账方式提交履约保证金；</w:t>
      </w:r>
      <w:bookmarkEnd w:id="613"/>
    </w:p>
    <w:p w14:paraId="0550ED1A">
      <w:pPr>
        <w:spacing w:line="420" w:lineRule="exact"/>
        <w:ind w:firstLine="550" w:firstLineChars="250"/>
        <w:rPr>
          <w:rFonts w:ascii="宋体" w:hAnsi="宋体" w:cs="宋体"/>
          <w:color w:val="auto"/>
          <w:sz w:val="22"/>
          <w:szCs w:val="22"/>
          <w:highlight w:val="none"/>
          <w:u w:val="single"/>
        </w:rPr>
      </w:pPr>
      <w:bookmarkStart w:id="614" w:name="_Toc502849549"/>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b</w:t>
      </w:r>
      <w:r>
        <w:rPr>
          <w:rFonts w:hint="eastAsia" w:ascii="宋体" w:hAnsi="宋体" w:cs="宋体"/>
          <w:color w:val="auto"/>
          <w:sz w:val="22"/>
          <w:szCs w:val="22"/>
          <w:highlight w:val="none"/>
          <w:u w:val="single"/>
        </w:rPr>
        <w:t>）以银行保函的方式提交，该银行保函必须由在中国注册的银行开具。</w:t>
      </w:r>
      <w:bookmarkEnd w:id="614"/>
    </w:p>
    <w:p w14:paraId="4F8F0C32">
      <w:pPr>
        <w:spacing w:line="420" w:lineRule="exact"/>
        <w:ind w:firstLine="550" w:firstLineChars="2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c</w:t>
      </w:r>
      <w:r>
        <w:rPr>
          <w:rFonts w:hint="eastAsia" w:ascii="宋体" w:hAnsi="宋体" w:cs="宋体"/>
          <w:color w:val="auto"/>
          <w:sz w:val="22"/>
          <w:szCs w:val="22"/>
          <w:highlight w:val="none"/>
          <w:u w:val="single"/>
        </w:rPr>
        <w:t>）履约保证保险等有效方式</w:t>
      </w:r>
    </w:p>
    <w:p w14:paraId="7B5E5C06">
      <w:pPr>
        <w:spacing w:line="420" w:lineRule="exact"/>
        <w:ind w:firstLine="550" w:firstLineChars="2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若承包人选择上述形式之（</w:t>
      </w:r>
      <w:r>
        <w:rPr>
          <w:rFonts w:ascii="宋体" w:hAnsi="宋体" w:cs="宋体"/>
          <w:color w:val="auto"/>
          <w:sz w:val="22"/>
          <w:szCs w:val="22"/>
          <w:highlight w:val="none"/>
          <w:u w:val="single"/>
        </w:rPr>
        <w:t>b</w:t>
      </w: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c</w:t>
      </w:r>
      <w:r>
        <w:rPr>
          <w:rFonts w:hint="eastAsia" w:ascii="宋体" w:hAnsi="宋体" w:cs="宋体"/>
          <w:color w:val="auto"/>
          <w:sz w:val="22"/>
          <w:szCs w:val="22"/>
          <w:highlight w:val="none"/>
          <w:u w:val="single"/>
        </w:rPr>
        <w:t>）的履约担保，但未能在上述约定时间内向发包人提供履约担保或者履约保证保险等有效原件时，则承包人必须在收到中标通知书之日起15个工作日内，以上述形式之（</w:t>
      </w:r>
      <w:r>
        <w:rPr>
          <w:rFonts w:ascii="宋体" w:hAnsi="宋体" w:cs="宋体"/>
          <w:color w:val="auto"/>
          <w:sz w:val="22"/>
          <w:szCs w:val="22"/>
          <w:highlight w:val="none"/>
          <w:u w:val="single"/>
        </w:rPr>
        <w:t>a</w:t>
      </w:r>
      <w:r>
        <w:rPr>
          <w:rFonts w:hint="eastAsia" w:ascii="宋体" w:hAnsi="宋体" w:cs="宋体"/>
          <w:color w:val="auto"/>
          <w:sz w:val="22"/>
          <w:szCs w:val="22"/>
          <w:highlight w:val="none"/>
          <w:u w:val="single"/>
        </w:rPr>
        <w:t>）方式，向发包人提交履约保证金；直至收到承包人提交的有效履约担保后，发包人再向承包人无息退还已收取的履约保证金。</w:t>
      </w:r>
    </w:p>
    <w:p w14:paraId="19C6438D">
      <w:pPr>
        <w:spacing w:line="420" w:lineRule="exact"/>
        <w:ind w:firstLine="550" w:firstLineChars="250"/>
        <w:rPr>
          <w:rFonts w:ascii="宋体" w:hAnsi="宋体" w:cs="宋体"/>
          <w:color w:val="auto"/>
          <w:sz w:val="22"/>
          <w:szCs w:val="22"/>
          <w:highlight w:val="none"/>
        </w:rPr>
      </w:pPr>
      <w:r>
        <w:rPr>
          <w:rFonts w:hint="eastAsia" w:ascii="宋体" w:hAnsi="宋体" w:cs="宋体"/>
          <w:color w:val="auto"/>
          <w:sz w:val="22"/>
          <w:szCs w:val="22"/>
          <w:highlight w:val="none"/>
        </w:rPr>
        <w:t>承包人应在签订合同前，按照发包人在招标文件中规定的格式或者其他经过发包人认可的格式向发包人递交一份在广州市区内本地银行开具的履约担保。经过发包人事先书面认可的其他格式的履约担保，其担保条款的实质性内容应当与发包人在招标文件中规定的格式内容保持一致。履约担保是本合同的附件。</w:t>
      </w:r>
    </w:p>
    <w:p w14:paraId="4C0D0991">
      <w:pPr>
        <w:spacing w:line="420" w:lineRule="exact"/>
        <w:ind w:firstLine="550" w:firstLineChars="2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因承包人逾期提供履约担保的，本合同约定发包人应支付的各种款项支付程序相应延顺，直至发包人收到承包人提交的履约担保。</w:t>
      </w:r>
    </w:p>
    <w:p w14:paraId="76932DEE">
      <w:pPr>
        <w:spacing w:line="420" w:lineRule="exact"/>
        <w:ind w:firstLine="480" w:firstLineChars="200"/>
        <w:rPr>
          <w:rFonts w:ascii="宋体"/>
          <w:color w:val="auto"/>
          <w:sz w:val="24"/>
          <w:highlight w:val="none"/>
        </w:rPr>
      </w:pPr>
    </w:p>
    <w:p w14:paraId="5DE04FB3">
      <w:pPr>
        <w:spacing w:line="420" w:lineRule="exact"/>
        <w:ind w:firstLine="440" w:firstLineChars="200"/>
        <w:rPr>
          <w:rFonts w:ascii="宋体"/>
          <w:color w:val="auto"/>
          <w:sz w:val="22"/>
          <w:highlight w:val="none"/>
        </w:rPr>
      </w:pPr>
      <w:r>
        <w:rPr>
          <w:rFonts w:hint="eastAsia" w:ascii="宋体"/>
          <w:color w:val="auto"/>
          <w:sz w:val="22"/>
          <w:highlight w:val="none"/>
        </w:rPr>
        <w:t>2</w:t>
      </w:r>
      <w:r>
        <w:rPr>
          <w:rFonts w:ascii="宋体"/>
          <w:color w:val="auto"/>
          <w:sz w:val="22"/>
          <w:highlight w:val="none"/>
        </w:rPr>
        <w:t>8.2</w:t>
      </w:r>
      <w:r>
        <w:rPr>
          <w:rFonts w:hint="eastAsia" w:ascii="宋体"/>
          <w:color w:val="auto"/>
          <w:sz w:val="22"/>
          <w:highlight w:val="none"/>
        </w:rPr>
        <w:t>履约担保期限和退还</w:t>
      </w:r>
    </w:p>
    <w:p w14:paraId="598F452B">
      <w:pPr>
        <w:spacing w:line="420" w:lineRule="exact"/>
        <w:ind w:firstLine="440" w:firstLineChars="200"/>
        <w:rPr>
          <w:rFonts w:ascii="宋体"/>
          <w:color w:val="auto"/>
          <w:sz w:val="22"/>
          <w:highlight w:val="none"/>
          <w:u w:val="single"/>
        </w:rPr>
      </w:pPr>
      <w:r>
        <w:rPr>
          <w:rFonts w:hint="eastAsia" w:ascii="宋体"/>
          <w:color w:val="auto"/>
          <w:sz w:val="22"/>
          <w:highlight w:val="none"/>
        </w:rPr>
        <w:t>（1）履约担保期限：</w:t>
      </w:r>
      <w:r>
        <w:rPr>
          <w:rFonts w:hint="eastAsia" w:ascii="宋体"/>
          <w:color w:val="auto"/>
          <w:sz w:val="22"/>
          <w:highlight w:val="none"/>
          <w:u w:val="single"/>
        </w:rPr>
        <w:t>履约担保的有效期应当自支付完工程尾款且质保期结束之日止。如果承包人无法获得一份不带具体截止日期的担保，履约担保中应当有“变更工程竣工日期的，保证期间按照变更后的竣工日期做相应调整”或类似约定的条款。承包人以履约银行保函形式提交履约保证金的，在银行保函到期前，承包人应提前7天向发包人提交新的保函以替换即将到期的保函，且新提交的保函的期限延长不得少于6个月。如承包人未及时提交（新保函）的，发包人有权直接要求承包人按履约担保函的金额在7天内将担保金支付至发包人指定的账户。</w:t>
      </w:r>
    </w:p>
    <w:p w14:paraId="653A4FC0">
      <w:pPr>
        <w:spacing w:line="360" w:lineRule="auto"/>
        <w:ind w:firstLine="440" w:firstLineChars="200"/>
        <w:rPr>
          <w:rFonts w:ascii="宋体" w:hAnsi="宋体"/>
          <w:color w:val="auto"/>
          <w:sz w:val="22"/>
          <w:highlight w:val="none"/>
        </w:rPr>
      </w:pPr>
      <w:r>
        <w:rPr>
          <w:rFonts w:hint="eastAsia" w:ascii="宋体"/>
          <w:color w:val="auto"/>
          <w:sz w:val="22"/>
          <w:highlight w:val="none"/>
        </w:rPr>
        <w:t>（2）</w:t>
      </w:r>
      <w:r>
        <w:rPr>
          <w:rFonts w:hAnsi="宋体"/>
          <w:color w:val="auto"/>
          <w:sz w:val="22"/>
          <w:highlight w:val="none"/>
        </w:rPr>
        <w:t>履约</w:t>
      </w:r>
      <w:r>
        <w:rPr>
          <w:rFonts w:hint="eastAsia" w:hAnsi="宋体"/>
          <w:color w:val="auto"/>
          <w:sz w:val="22"/>
          <w:highlight w:val="none"/>
        </w:rPr>
        <w:t>担保</w:t>
      </w:r>
      <w:r>
        <w:rPr>
          <w:rFonts w:hAnsi="宋体"/>
          <w:color w:val="auto"/>
          <w:sz w:val="22"/>
          <w:highlight w:val="none"/>
        </w:rPr>
        <w:t>的退还</w:t>
      </w:r>
      <w:r>
        <w:rPr>
          <w:rFonts w:hint="eastAsia" w:hAnsi="宋体"/>
          <w:color w:val="auto"/>
          <w:sz w:val="22"/>
          <w:highlight w:val="none"/>
        </w:rPr>
        <w:t>：</w:t>
      </w:r>
      <w:r>
        <w:rPr>
          <w:rFonts w:hint="eastAsia" w:ascii="宋体" w:hAnsi="宋体"/>
          <w:color w:val="auto"/>
          <w:sz w:val="22"/>
          <w:highlight w:val="none"/>
        </w:rPr>
        <w:t xml:space="preserve"> </w:t>
      </w:r>
    </w:p>
    <w:p w14:paraId="1A20B396">
      <w:pPr>
        <w:spacing w:line="360" w:lineRule="auto"/>
        <w:ind w:firstLine="440" w:firstLineChars="200"/>
        <w:rPr>
          <w:rFonts w:ascii="宋体" w:hAnsi="宋体" w:cs="宋体"/>
          <w:color w:val="auto"/>
          <w:sz w:val="24"/>
          <w:highlight w:val="none"/>
        </w:rPr>
      </w:pPr>
      <w:r>
        <w:rPr>
          <w:rFonts w:hint="eastAsia" w:hAnsi="宋体"/>
          <w:color w:val="auto"/>
          <w:sz w:val="22"/>
          <w:highlight w:val="none"/>
        </w:rPr>
        <w:t>（</w:t>
      </w:r>
      <w:r>
        <w:rPr>
          <w:rFonts w:hAnsi="宋体"/>
          <w:color w:val="auto"/>
          <w:sz w:val="22"/>
          <w:highlight w:val="none"/>
        </w:rPr>
        <w:t>a</w:t>
      </w:r>
      <w:r>
        <w:rPr>
          <w:rFonts w:hint="eastAsia" w:hAnsi="宋体"/>
          <w:color w:val="auto"/>
          <w:sz w:val="22"/>
          <w:highlight w:val="none"/>
        </w:rPr>
        <w:t>）若承包人提交履约保证金的退还：</w:t>
      </w:r>
    </w:p>
    <w:p w14:paraId="5B54C528">
      <w:pPr>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履约担保应在支付完工程尾款且质保期结束之日后28天内退还给承包人（承包人若有违约或者应当扣除的相应费用的，在依法扣除后，依约返还给承包人）。</w:t>
      </w:r>
    </w:p>
    <w:p w14:paraId="0908EAEE">
      <w:pPr>
        <w:spacing w:line="360" w:lineRule="auto"/>
        <w:ind w:firstLine="440" w:firstLineChars="200"/>
        <w:rPr>
          <w:rFonts w:hAnsi="宋体"/>
          <w:color w:val="auto"/>
          <w:sz w:val="22"/>
          <w:szCs w:val="22"/>
          <w:highlight w:val="none"/>
        </w:rPr>
      </w:pPr>
      <w:r>
        <w:rPr>
          <w:rFonts w:hint="eastAsia" w:ascii="宋体" w:hAnsi="宋体" w:cs="宋体"/>
          <w:color w:val="auto"/>
          <w:sz w:val="22"/>
          <w:szCs w:val="22"/>
          <w:highlight w:val="none"/>
        </w:rPr>
        <w:t>发包人不承担承包人与履约担保有关的任何利息或其它类似的费用或者收益。</w:t>
      </w:r>
    </w:p>
    <w:p w14:paraId="32BA8E64">
      <w:pPr>
        <w:spacing w:line="360" w:lineRule="auto"/>
        <w:ind w:firstLine="440" w:firstLineChars="200"/>
        <w:rPr>
          <w:rFonts w:hint="eastAsia" w:hAnsi="宋体"/>
          <w:color w:val="auto"/>
          <w:sz w:val="22"/>
          <w:highlight w:val="none"/>
        </w:rPr>
      </w:pPr>
      <w:r>
        <w:rPr>
          <w:rFonts w:hint="eastAsia" w:hAnsi="宋体"/>
          <w:color w:val="auto"/>
          <w:sz w:val="22"/>
          <w:highlight w:val="none"/>
        </w:rPr>
        <w:t>当发生违约情形而导致履约保证金被扣罚或因其他原因，而导致履约保证金余额少于剩余工程量的10%,或者少于合同总价的2%的，承包人应在收到发包人通知之日起在7天内补足，补足后的履约保证金金额应相当于剩余工程量的10%，且不得低于合同总价的2%，否则按两者较高者补足。对于未按时限要求补足的，发包人有权扣罚剩余的全部履约保证金并有权解除合同。</w:t>
      </w:r>
    </w:p>
    <w:p w14:paraId="66D05262">
      <w:pPr>
        <w:spacing w:line="420" w:lineRule="exact"/>
        <w:ind w:firstLine="440" w:firstLineChars="200"/>
        <w:rPr>
          <w:rFonts w:hAnsi="宋体"/>
          <w:color w:val="auto"/>
          <w:sz w:val="22"/>
          <w:highlight w:val="none"/>
        </w:rPr>
      </w:pPr>
      <w:r>
        <w:rPr>
          <w:rFonts w:hint="eastAsia" w:hAnsi="宋体"/>
          <w:color w:val="auto"/>
          <w:sz w:val="22"/>
          <w:highlight w:val="none"/>
        </w:rPr>
        <w:t>（</w:t>
      </w:r>
      <w:r>
        <w:rPr>
          <w:rFonts w:hAnsi="宋体"/>
          <w:color w:val="auto"/>
          <w:sz w:val="22"/>
          <w:highlight w:val="none"/>
        </w:rPr>
        <w:t>b</w:t>
      </w:r>
      <w:r>
        <w:rPr>
          <w:rFonts w:hint="eastAsia" w:hAnsi="宋体"/>
          <w:color w:val="auto"/>
          <w:sz w:val="22"/>
          <w:highlight w:val="none"/>
        </w:rPr>
        <w:t>）若承包人提交履约担保的退还：无需退回。</w:t>
      </w:r>
    </w:p>
    <w:p w14:paraId="4D5D415D">
      <w:pPr>
        <w:spacing w:line="420" w:lineRule="exact"/>
        <w:ind w:firstLine="420" w:firstLineChars="200"/>
        <w:rPr>
          <w:rFonts w:ascii="宋体" w:hAnsi="宋体" w:cs="宋体"/>
          <w:color w:val="auto"/>
          <w:szCs w:val="22"/>
          <w:highlight w:val="none"/>
        </w:rPr>
      </w:pPr>
    </w:p>
    <w:p w14:paraId="141689EF">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28.4 发包人提供支付担保的约定：</w:t>
      </w:r>
      <w:r>
        <w:rPr>
          <w:rFonts w:hint="eastAsia" w:ascii="宋体" w:hAnsi="宋体" w:cs="宋体"/>
          <w:color w:val="auto"/>
          <w:sz w:val="22"/>
          <w:szCs w:val="22"/>
          <w:highlight w:val="none"/>
          <w:u w:val="single"/>
        </w:rPr>
        <w:t>不适用</w:t>
      </w:r>
      <w:r>
        <w:rPr>
          <w:rFonts w:hint="eastAsia" w:ascii="宋体" w:hAnsi="宋体" w:cs="宋体"/>
          <w:color w:val="auto"/>
          <w:sz w:val="22"/>
          <w:szCs w:val="22"/>
          <w:highlight w:val="none"/>
        </w:rPr>
        <w:t>。</w:t>
      </w:r>
    </w:p>
    <w:p w14:paraId="0927931D">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（1） </w:t>
      </w: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支付担保的金额：（大写）</w:t>
      </w:r>
      <w:r>
        <w:rPr>
          <w:rFonts w:hint="eastAsia" w:ascii="宋体" w:hAnsi="宋体" w:cs="宋体"/>
          <w:color w:val="auto"/>
          <w:sz w:val="22"/>
          <w:szCs w:val="22"/>
          <w:highlight w:val="none"/>
          <w:u w:val="single"/>
        </w:rPr>
        <w:t xml:space="preserve">         </w:t>
      </w:r>
      <w:r>
        <w:rPr>
          <w:rFonts w:ascii="宋体" w:hAnsi="宋体" w:cs="宋体"/>
          <w:color w:val="auto"/>
          <w:sz w:val="22"/>
          <w:szCs w:val="22"/>
          <w:highlight w:val="none"/>
          <w:u w:val="single"/>
        </w:rPr>
        <w:t>/</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（小写</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14:paraId="44D1C62E">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44F9C363">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（2） 提供支付担保的时间：</w:t>
      </w:r>
    </w:p>
    <w:p w14:paraId="05E2D187">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sz w:val="22"/>
          <w:szCs w:val="22"/>
          <w:highlight w:val="none"/>
        </w:rPr>
        <w:t xml:space="preserve">       </w:t>
      </w:r>
      <w:r>
        <w:rPr>
          <w:rFonts w:hint="eastAsia" w:ascii="宋体" w:hAnsi="宋体" w:cs="宋体"/>
          <w:color w:val="auto"/>
          <w:kern w:val="0"/>
          <w:sz w:val="22"/>
          <w:szCs w:val="22"/>
          <w:highlight w:val="none"/>
        </w:rPr>
        <w:t>□ 签订本合同时；</w:t>
      </w:r>
    </w:p>
    <w:p w14:paraId="65552E94">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r>
        <w:rPr>
          <w:rFonts w:ascii="宋体" w:hAnsi="宋体" w:cs="宋体"/>
          <w:color w:val="auto"/>
          <w:kern w:val="0"/>
          <w:sz w:val="22"/>
          <w:szCs w:val="22"/>
          <w:highlight w:val="none"/>
          <w:u w:val="single"/>
        </w:rPr>
        <w:t>/</w:t>
      </w:r>
      <w:r>
        <w:rPr>
          <w:rFonts w:hint="eastAsia" w:ascii="宋体" w:hAnsi="宋体" w:cs="宋体"/>
          <w:color w:val="auto"/>
          <w:kern w:val="0"/>
          <w:sz w:val="22"/>
          <w:szCs w:val="22"/>
          <w:highlight w:val="none"/>
          <w:u w:val="single"/>
        </w:rPr>
        <w:t xml:space="preserve">                                            </w:t>
      </w:r>
    </w:p>
    <w:p w14:paraId="0C9C1769">
      <w:pPr>
        <w:spacing w:line="420" w:lineRule="exact"/>
        <w:ind w:firstLine="110" w:firstLineChars="50"/>
        <w:rPr>
          <w:rFonts w:ascii="宋体" w:hAnsi="宋体" w:cs="宋体"/>
          <w:color w:val="auto"/>
          <w:kern w:val="0"/>
          <w:sz w:val="22"/>
          <w:szCs w:val="22"/>
          <w:highlight w:val="none"/>
        </w:rPr>
      </w:pPr>
    </w:p>
    <w:p w14:paraId="680FF6F3">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（3） □出具支付保函的担保人：</w:t>
      </w:r>
      <w:r>
        <w:rPr>
          <w:rFonts w:hint="eastAsia" w:ascii="宋体" w:hAnsi="宋体" w:cs="宋体"/>
          <w:color w:val="auto"/>
          <w:kern w:val="0"/>
          <w:sz w:val="22"/>
          <w:szCs w:val="22"/>
          <w:highlight w:val="none"/>
          <w:u w:val="single"/>
        </w:rPr>
        <w:t xml:space="preserve">        </w:t>
      </w:r>
      <w:r>
        <w:rPr>
          <w:rFonts w:ascii="宋体" w:hAnsi="宋体" w:cs="宋体"/>
          <w:color w:val="auto"/>
          <w:kern w:val="0"/>
          <w:sz w:val="22"/>
          <w:szCs w:val="22"/>
          <w:highlight w:val="none"/>
          <w:u w:val="single"/>
        </w:rPr>
        <w:t>/</w:t>
      </w:r>
      <w:r>
        <w:rPr>
          <w:rFonts w:hint="eastAsia" w:ascii="宋体" w:hAnsi="宋体" w:cs="宋体"/>
          <w:color w:val="auto"/>
          <w:kern w:val="0"/>
          <w:sz w:val="22"/>
          <w:szCs w:val="22"/>
          <w:highlight w:val="none"/>
          <w:u w:val="single"/>
        </w:rPr>
        <w:t xml:space="preserve">                                          </w:t>
      </w:r>
    </w:p>
    <w:p w14:paraId="591B44DB">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□出具</w:t>
      </w:r>
      <w:r>
        <w:rPr>
          <w:rFonts w:hint="eastAsia" w:ascii="宋体" w:hAnsi="宋体" w:cs="宋体"/>
          <w:color w:val="auto"/>
          <w:sz w:val="22"/>
          <w:szCs w:val="22"/>
          <w:highlight w:val="none"/>
          <w:shd w:val="clear" w:color="auto" w:fill="FFFFFF"/>
        </w:rPr>
        <w:t>支付担保</w:t>
      </w:r>
      <w:r>
        <w:rPr>
          <w:rFonts w:hint="eastAsia" w:ascii="宋体" w:hAnsi="宋体" w:cs="宋体"/>
          <w:color w:val="auto"/>
          <w:kern w:val="0"/>
          <w:sz w:val="22"/>
          <w:szCs w:val="22"/>
          <w:highlight w:val="none"/>
        </w:rPr>
        <w:t>的担保人：</w:t>
      </w:r>
      <w:r>
        <w:rPr>
          <w:rFonts w:hint="eastAsia" w:ascii="宋体" w:hAnsi="宋体" w:cs="宋体"/>
          <w:color w:val="auto"/>
          <w:kern w:val="0"/>
          <w:sz w:val="22"/>
          <w:szCs w:val="22"/>
          <w:highlight w:val="none"/>
          <w:u w:val="single"/>
        </w:rPr>
        <w:t xml:space="preserve">        </w:t>
      </w:r>
      <w:r>
        <w:rPr>
          <w:rFonts w:ascii="宋体" w:hAnsi="宋体" w:cs="宋体"/>
          <w:color w:val="auto"/>
          <w:kern w:val="0"/>
          <w:sz w:val="22"/>
          <w:szCs w:val="22"/>
          <w:highlight w:val="none"/>
          <w:u w:val="single"/>
        </w:rPr>
        <w:t>/</w:t>
      </w:r>
      <w:r>
        <w:rPr>
          <w:rFonts w:hint="eastAsia" w:ascii="宋体" w:hAnsi="宋体" w:cs="宋体"/>
          <w:color w:val="auto"/>
          <w:kern w:val="0"/>
          <w:sz w:val="22"/>
          <w:szCs w:val="22"/>
          <w:highlight w:val="none"/>
          <w:u w:val="single"/>
        </w:rPr>
        <w:t xml:space="preserve">                                     </w:t>
      </w:r>
    </w:p>
    <w:p w14:paraId="0ADBF3B9">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□出具</w:t>
      </w:r>
      <w:r>
        <w:rPr>
          <w:rFonts w:hint="eastAsia" w:ascii="宋体" w:hAnsi="宋体" w:cs="宋体"/>
          <w:color w:val="auto"/>
          <w:sz w:val="22"/>
          <w:szCs w:val="22"/>
          <w:highlight w:val="none"/>
          <w:shd w:val="clear" w:color="auto" w:fill="FFFFFF"/>
        </w:rPr>
        <w:t>支付保证保险</w:t>
      </w:r>
      <w:r>
        <w:rPr>
          <w:rFonts w:hint="eastAsia" w:ascii="宋体" w:hAnsi="宋体" w:cs="宋体"/>
          <w:color w:val="auto"/>
          <w:kern w:val="0"/>
          <w:sz w:val="22"/>
          <w:szCs w:val="22"/>
          <w:highlight w:val="none"/>
        </w:rPr>
        <w:t>的担保人：</w:t>
      </w:r>
      <w:r>
        <w:rPr>
          <w:rFonts w:hint="eastAsia" w:ascii="宋体" w:hAnsi="宋体" w:cs="宋体"/>
          <w:color w:val="auto"/>
          <w:kern w:val="0"/>
          <w:sz w:val="22"/>
          <w:szCs w:val="22"/>
          <w:highlight w:val="none"/>
          <w:u w:val="single"/>
        </w:rPr>
        <w:t xml:space="preserve">      </w:t>
      </w:r>
      <w:r>
        <w:rPr>
          <w:rFonts w:ascii="宋体" w:hAnsi="宋体" w:cs="宋体"/>
          <w:color w:val="auto"/>
          <w:kern w:val="0"/>
          <w:sz w:val="22"/>
          <w:szCs w:val="22"/>
          <w:highlight w:val="none"/>
          <w:u w:val="single"/>
        </w:rPr>
        <w:t>/</w:t>
      </w:r>
      <w:r>
        <w:rPr>
          <w:rFonts w:hint="eastAsia" w:ascii="宋体" w:hAnsi="宋体" w:cs="宋体"/>
          <w:color w:val="auto"/>
          <w:kern w:val="0"/>
          <w:sz w:val="22"/>
          <w:szCs w:val="22"/>
          <w:highlight w:val="none"/>
          <w:u w:val="single"/>
        </w:rPr>
        <w:t xml:space="preserve">                                      </w:t>
      </w:r>
    </w:p>
    <w:p w14:paraId="3F2B87FE">
      <w:pPr>
        <w:spacing w:line="420" w:lineRule="exact"/>
        <w:ind w:firstLine="990" w:firstLineChars="4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其它：</w:t>
      </w:r>
      <w:r>
        <w:rPr>
          <w:rFonts w:hint="eastAsia" w:ascii="宋体" w:hAnsi="宋体" w:cs="宋体"/>
          <w:color w:val="auto"/>
          <w:kern w:val="0"/>
          <w:sz w:val="22"/>
          <w:szCs w:val="22"/>
          <w:highlight w:val="none"/>
          <w:u w:val="single"/>
        </w:rPr>
        <w:t xml:space="preserve">       </w:t>
      </w:r>
      <w:r>
        <w:rPr>
          <w:rFonts w:ascii="宋体" w:hAnsi="宋体" w:cs="宋体"/>
          <w:color w:val="auto"/>
          <w:kern w:val="0"/>
          <w:sz w:val="22"/>
          <w:szCs w:val="22"/>
          <w:highlight w:val="none"/>
          <w:u w:val="single"/>
        </w:rPr>
        <w:t>/</w:t>
      </w:r>
      <w:r>
        <w:rPr>
          <w:rFonts w:hint="eastAsia" w:ascii="宋体" w:hAnsi="宋体" w:cs="宋体"/>
          <w:color w:val="auto"/>
          <w:kern w:val="0"/>
          <w:sz w:val="22"/>
          <w:szCs w:val="22"/>
          <w:highlight w:val="none"/>
          <w:u w:val="single"/>
        </w:rPr>
        <w:t xml:space="preserve">                                                         </w:t>
      </w:r>
    </w:p>
    <w:p w14:paraId="552E7098">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p>
    <w:p w14:paraId="6408ACB8">
      <w:pPr>
        <w:spacing w:line="420" w:lineRule="exact"/>
        <w:ind w:firstLine="330" w:firstLineChars="150"/>
        <w:rPr>
          <w:rFonts w:ascii="宋体" w:hAnsi="宋体" w:cs="宋体"/>
          <w:color w:val="auto"/>
          <w:kern w:val="0"/>
          <w:sz w:val="22"/>
          <w:szCs w:val="22"/>
          <w:highlight w:val="none"/>
        </w:rPr>
      </w:pPr>
      <w:r>
        <w:rPr>
          <w:rFonts w:ascii="宋体" w:hAnsi="宋体" w:cs="宋体"/>
          <w:color w:val="auto"/>
          <w:kern w:val="0"/>
          <w:sz w:val="22"/>
          <w:szCs w:val="22"/>
          <w:highlight w:val="none"/>
        </w:rPr>
        <w:t>28.5</w:t>
      </w:r>
      <w:r>
        <w:rPr>
          <w:rFonts w:hint="eastAsia" w:ascii="宋体" w:hAnsi="宋体" w:cs="宋体"/>
          <w:color w:val="auto"/>
          <w:kern w:val="0"/>
          <w:sz w:val="22"/>
          <w:szCs w:val="22"/>
          <w:highlight w:val="none"/>
        </w:rPr>
        <w:t>支付担保期限和退还：</w:t>
      </w:r>
      <w:r>
        <w:rPr>
          <w:rFonts w:hint="eastAsia" w:ascii="宋体" w:hAnsi="宋体" w:cs="宋体"/>
          <w:color w:val="auto"/>
          <w:kern w:val="0"/>
          <w:sz w:val="22"/>
          <w:szCs w:val="22"/>
          <w:highlight w:val="none"/>
          <w:u w:val="single"/>
        </w:rPr>
        <w:t>不适用</w:t>
      </w:r>
      <w:r>
        <w:rPr>
          <w:rFonts w:hint="eastAsia" w:ascii="宋体" w:hAnsi="宋体" w:cs="宋体"/>
          <w:color w:val="auto"/>
          <w:kern w:val="0"/>
          <w:sz w:val="22"/>
          <w:szCs w:val="22"/>
          <w:highlight w:val="none"/>
        </w:rPr>
        <w:t>。</w:t>
      </w:r>
    </w:p>
    <w:p w14:paraId="512D01B6">
      <w:pPr>
        <w:spacing w:line="420" w:lineRule="exact"/>
        <w:rPr>
          <w:rFonts w:ascii="宋体" w:hAnsi="宋体" w:cs="宋体"/>
          <w:color w:val="auto"/>
          <w:kern w:val="0"/>
          <w:sz w:val="22"/>
          <w:szCs w:val="22"/>
          <w:highlight w:val="none"/>
        </w:rPr>
      </w:pPr>
    </w:p>
    <w:p w14:paraId="4018B7E0">
      <w:pPr>
        <w:spacing w:line="420" w:lineRule="exact"/>
        <w:ind w:firstLine="330" w:firstLineChars="150"/>
        <w:rPr>
          <w:rFonts w:ascii="宋体" w:hAnsi="宋体" w:cs="宋体"/>
          <w:color w:val="auto"/>
          <w:sz w:val="22"/>
          <w:szCs w:val="22"/>
          <w:highlight w:val="none"/>
        </w:rPr>
      </w:pPr>
      <w:bookmarkStart w:id="615" w:name="_Toc469384099"/>
      <w:r>
        <w:rPr>
          <w:rFonts w:ascii="宋体" w:hAnsi="宋体" w:cs="宋体"/>
          <w:color w:val="auto"/>
          <w:sz w:val="22"/>
          <w:szCs w:val="22"/>
          <w:highlight w:val="none"/>
        </w:rPr>
        <w:t>28.6</w:t>
      </w:r>
      <w:r>
        <w:rPr>
          <w:rFonts w:hint="eastAsia" w:ascii="宋体" w:hAnsi="宋体" w:cs="宋体"/>
          <w:color w:val="auto"/>
          <w:sz w:val="22"/>
          <w:szCs w:val="22"/>
          <w:highlight w:val="none"/>
        </w:rPr>
        <w:t>向承包人支付索赔款项：</w:t>
      </w:r>
      <w:r>
        <w:rPr>
          <w:rFonts w:hint="eastAsia" w:ascii="宋体" w:hAnsi="宋体" w:cs="宋体"/>
          <w:color w:val="auto"/>
          <w:sz w:val="22"/>
          <w:szCs w:val="22"/>
          <w:highlight w:val="none"/>
          <w:u w:val="single"/>
        </w:rPr>
        <w:t>不适用</w:t>
      </w:r>
      <w:r>
        <w:rPr>
          <w:rFonts w:hint="eastAsia" w:ascii="宋体" w:hAnsi="宋体" w:cs="宋体"/>
          <w:color w:val="auto"/>
          <w:sz w:val="22"/>
          <w:szCs w:val="22"/>
          <w:highlight w:val="none"/>
        </w:rPr>
        <w:t>。</w:t>
      </w:r>
      <w:bookmarkStart w:id="616" w:name="_Hlk142734136"/>
    </w:p>
    <w:bookmarkEnd w:id="616"/>
    <w:p w14:paraId="683560E3">
      <w:pPr>
        <w:spacing w:line="420" w:lineRule="exact"/>
        <w:ind w:firstLine="110" w:firstLineChars="50"/>
        <w:rPr>
          <w:rFonts w:ascii="宋体" w:hAnsi="宋体" w:cs="宋体"/>
          <w:color w:val="auto"/>
          <w:kern w:val="0"/>
          <w:sz w:val="22"/>
          <w:szCs w:val="22"/>
          <w:highlight w:val="none"/>
        </w:rPr>
      </w:pPr>
    </w:p>
    <w:p w14:paraId="611758C4">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28.8 担保内容、方式和责任等事项的约定：</w:t>
      </w:r>
      <w:r>
        <w:rPr>
          <w:rFonts w:hint="eastAsia" w:ascii="宋体" w:hAnsi="宋体" w:cs="宋体"/>
          <w:color w:val="auto"/>
          <w:kern w:val="0"/>
          <w:sz w:val="22"/>
          <w:szCs w:val="22"/>
          <w:highlight w:val="none"/>
          <w:u w:val="single"/>
        </w:rPr>
        <w:t xml:space="preserve"> </w:t>
      </w:r>
    </w:p>
    <w:p w14:paraId="64BFD452">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（1）</w:t>
      </w:r>
      <w:r>
        <w:rPr>
          <w:rFonts w:ascii="宋体" w:hAnsi="宋体" w:cs="宋体"/>
          <w:color w:val="auto"/>
          <w:sz w:val="22"/>
          <w:szCs w:val="22"/>
          <w:highlight w:val="none"/>
          <w:u w:val="single"/>
        </w:rPr>
        <w:t>发包人不承担承包人与履约</w:t>
      </w:r>
      <w:r>
        <w:rPr>
          <w:rFonts w:hint="eastAsia" w:ascii="宋体" w:hAnsi="宋体" w:cs="宋体"/>
          <w:color w:val="auto"/>
          <w:sz w:val="22"/>
          <w:szCs w:val="22"/>
          <w:highlight w:val="none"/>
          <w:u w:val="single"/>
        </w:rPr>
        <w:t>保证金或履约担保</w:t>
      </w:r>
      <w:r>
        <w:rPr>
          <w:rFonts w:ascii="宋体" w:hAnsi="宋体" w:cs="宋体"/>
          <w:color w:val="auto"/>
          <w:sz w:val="22"/>
          <w:szCs w:val="22"/>
          <w:highlight w:val="none"/>
          <w:u w:val="single"/>
        </w:rPr>
        <w:t>有关的任何利息或其它类似的费用或者收益。</w:t>
      </w:r>
    </w:p>
    <w:p w14:paraId="1F5E6ACE">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2</w:t>
      </w: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通知义务</w:t>
      </w: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不管履约担保条款中如何约定，发包人根据担保条款提出索赔或兑现要求28</w:t>
      </w:r>
      <w:r>
        <w:rPr>
          <w:rFonts w:hint="eastAsia" w:ascii="宋体" w:hAnsi="宋体" w:cs="宋体"/>
          <w:color w:val="auto"/>
          <w:sz w:val="22"/>
          <w:szCs w:val="22"/>
          <w:highlight w:val="none"/>
          <w:u w:val="single"/>
        </w:rPr>
        <w:t>个</w:t>
      </w:r>
      <w:r>
        <w:rPr>
          <w:rFonts w:ascii="宋体" w:hAnsi="宋体" w:cs="宋体"/>
          <w:color w:val="auto"/>
          <w:sz w:val="22"/>
          <w:szCs w:val="22"/>
          <w:highlight w:val="none"/>
          <w:u w:val="single"/>
        </w:rPr>
        <w:t>日历天前，应通知承包人并说明导致此类索赔或兑现的违约性质或原因。相应地，承包人根据担保条款提出索赔或兑现要求28</w:t>
      </w:r>
      <w:r>
        <w:rPr>
          <w:rFonts w:hint="eastAsia" w:ascii="宋体" w:hAnsi="宋体" w:cs="宋体"/>
          <w:color w:val="auto"/>
          <w:sz w:val="22"/>
          <w:szCs w:val="22"/>
          <w:highlight w:val="none"/>
          <w:u w:val="single"/>
        </w:rPr>
        <w:t>个</w:t>
      </w:r>
      <w:r>
        <w:rPr>
          <w:rFonts w:ascii="宋体" w:hAnsi="宋体" w:cs="宋体"/>
          <w:color w:val="auto"/>
          <w:sz w:val="22"/>
          <w:szCs w:val="22"/>
          <w:highlight w:val="none"/>
          <w:u w:val="single"/>
        </w:rPr>
        <w:t>日历天前，也应通知发包人并说明导致此类索赔或兑现的违约性质或原因。但是，本项约定的通知不应理解为是在任何意义上寻求承包人或者发包人的同意。</w:t>
      </w:r>
    </w:p>
    <w:p w14:paraId="04ECEFAF">
      <w:pPr>
        <w:spacing w:line="420" w:lineRule="exact"/>
        <w:ind w:firstLine="110" w:firstLineChars="50"/>
        <w:rPr>
          <w:rFonts w:ascii="宋体" w:hAnsi="宋体" w:cs="宋体"/>
          <w:color w:val="auto"/>
          <w:sz w:val="22"/>
          <w:szCs w:val="22"/>
          <w:highlight w:val="none"/>
        </w:rPr>
      </w:pPr>
    </w:p>
    <w:p w14:paraId="3C9C5667">
      <w:pPr>
        <w:spacing w:line="420" w:lineRule="exact"/>
        <w:ind w:firstLine="110" w:firstLineChars="50"/>
        <w:rPr>
          <w:rFonts w:hAnsi="宋体"/>
          <w:color w:val="auto"/>
          <w:sz w:val="22"/>
          <w:szCs w:val="22"/>
          <w:highlight w:val="none"/>
        </w:rPr>
      </w:pPr>
      <w:r>
        <w:rPr>
          <w:rFonts w:ascii="宋体" w:hAnsi="宋体" w:cs="宋体"/>
          <w:color w:val="auto"/>
          <w:sz w:val="22"/>
          <w:szCs w:val="22"/>
          <w:highlight w:val="none"/>
        </w:rPr>
        <w:t>28.9</w:t>
      </w:r>
      <w:r>
        <w:rPr>
          <w:rFonts w:hint="eastAsia" w:ascii="宋体" w:hAnsi="宋体" w:cs="宋体"/>
          <w:color w:val="auto"/>
          <w:sz w:val="22"/>
          <w:szCs w:val="22"/>
          <w:highlight w:val="none"/>
        </w:rPr>
        <w:t>工人工资保证金：</w:t>
      </w:r>
    </w:p>
    <w:p w14:paraId="30713BBA">
      <w:pPr>
        <w:spacing w:line="420" w:lineRule="exact"/>
        <w:ind w:firstLine="110" w:firstLineChars="50"/>
        <w:rPr>
          <w:rFonts w:hAnsi="宋体"/>
          <w:color w:val="auto"/>
          <w:sz w:val="22"/>
          <w:szCs w:val="22"/>
          <w:highlight w:val="none"/>
        </w:rPr>
      </w:pPr>
      <w:r>
        <w:rPr>
          <w:rFonts w:hint="eastAsia" w:ascii="宋体" w:hAnsi="宋体" w:cs="宋体"/>
          <w:color w:val="auto"/>
          <w:sz w:val="22"/>
          <w:szCs w:val="22"/>
          <w:highlight w:val="none"/>
        </w:rPr>
        <w:t>（1）工人工资保证金：</w:t>
      </w:r>
      <w:r>
        <w:rPr>
          <w:rFonts w:hint="eastAsia" w:ascii="宋体" w:hAnsi="宋体" w:cs="宋体"/>
          <w:color w:val="auto"/>
          <w:sz w:val="22"/>
          <w:szCs w:val="22"/>
          <w:highlight w:val="none"/>
          <w:u w:val="single"/>
        </w:rPr>
        <w:t>承包人在工程开工前，必须到市人力资源社会保障行政部门领取填写《工人工资支付保证金存储凭证》(一式四联)，按照合同总造价的2%(特级、一级承包人不超过200万元，二级承包人不超过150万元，三级承包人不超过50万元;不低于10万元)，一次性提取资金存入该承包人工资保证金专用账户。发包人与多个承包人签订施工承包合同的，每一个承包人都应开立工资保证金专户并存储工资保证金。</w:t>
      </w:r>
    </w:p>
    <w:p w14:paraId="64128242">
      <w:pPr>
        <w:spacing w:line="420" w:lineRule="exact"/>
        <w:ind w:firstLine="110" w:firstLineChars="50"/>
        <w:rPr>
          <w:rFonts w:hint="eastAsia" w:hAnsi="宋体"/>
          <w:color w:val="auto"/>
          <w:sz w:val="22"/>
          <w:szCs w:val="22"/>
          <w:highlight w:val="none"/>
        </w:rPr>
      </w:pPr>
      <w:r>
        <w:rPr>
          <w:rFonts w:hint="eastAsia" w:ascii="宋体" w:hAnsi="宋体" w:cs="宋体"/>
          <w:color w:val="auto"/>
          <w:sz w:val="22"/>
          <w:szCs w:val="22"/>
          <w:highlight w:val="none"/>
        </w:rPr>
        <w:t>（</w:t>
      </w:r>
      <w:r>
        <w:rPr>
          <w:rFonts w:ascii="宋体" w:hAnsi="宋体" w:cs="宋体"/>
          <w:color w:val="auto"/>
          <w:sz w:val="22"/>
          <w:szCs w:val="22"/>
          <w:highlight w:val="none"/>
        </w:rPr>
        <w:t>2</w:t>
      </w:r>
      <w:r>
        <w:rPr>
          <w:rFonts w:hint="eastAsia" w:ascii="宋体" w:hAnsi="宋体" w:cs="宋体"/>
          <w:color w:val="auto"/>
          <w:sz w:val="22"/>
          <w:szCs w:val="22"/>
          <w:highlight w:val="none"/>
        </w:rPr>
        <w:t>）承包人应按有关规定与雇佣的工人签定协议书，按时足额发放工人工资，发包人和监理人可不定期检查工资发放情况，若发现承包人有拖延或拒绝支付工人工资的情况，发包人可以予以代付工人工资，并从应支付给承包人的工程款中扣除。其中，工人工资必须由施工总承包单位发放。</w:t>
      </w:r>
    </w:p>
    <w:p w14:paraId="61998101">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w:t>
      </w:r>
      <w:r>
        <w:rPr>
          <w:rFonts w:ascii="宋体" w:hAnsi="宋体" w:cs="宋体"/>
          <w:color w:val="auto"/>
          <w:sz w:val="22"/>
          <w:szCs w:val="22"/>
          <w:highlight w:val="none"/>
        </w:rPr>
        <w:t>3</w:t>
      </w:r>
      <w:r>
        <w:rPr>
          <w:rFonts w:hint="eastAsia" w:ascii="宋体" w:hAnsi="宋体" w:cs="宋体"/>
          <w:color w:val="auto"/>
          <w:sz w:val="22"/>
          <w:szCs w:val="22"/>
          <w:highlight w:val="none"/>
        </w:rPr>
        <w:t>）工人工资支付保证金退还：由承包人根据有关职能部门的规定办理退款手续，发包人只提供相关的协助手续。</w:t>
      </w:r>
    </w:p>
    <w:p w14:paraId="05518F33">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在承包人拖欠工人工资时，由政府职能部门依法提取工人工资保证金账户内资金，用于发放被欠薪工人工资；如发生政府职能部门提取工人工资支付保证金的情形，承包人予以等额补足。</w:t>
      </w:r>
    </w:p>
    <w:p w14:paraId="0949CE62">
      <w:pPr>
        <w:spacing w:line="420" w:lineRule="exact"/>
        <w:ind w:firstLine="110" w:firstLineChars="50"/>
        <w:rPr>
          <w:rFonts w:hint="eastAsia" w:ascii="宋体" w:hAnsi="宋体" w:cs="宋体"/>
          <w:color w:val="auto"/>
          <w:sz w:val="22"/>
          <w:szCs w:val="22"/>
          <w:highlight w:val="none"/>
        </w:rPr>
      </w:pPr>
      <w:r>
        <w:rPr>
          <w:rFonts w:hint="eastAsia" w:ascii="宋体" w:hAnsi="宋体" w:cs="宋体"/>
          <w:color w:val="auto"/>
          <w:sz w:val="22"/>
          <w:szCs w:val="22"/>
          <w:highlight w:val="none"/>
        </w:rPr>
        <w:t>施工单位履行完合同约定的全部内容且结清应付工人工资后，可以申请办理工人工资支付专用账户撤销手续。</w:t>
      </w:r>
    </w:p>
    <w:p w14:paraId="31ABC8B5">
      <w:pPr>
        <w:pStyle w:val="3"/>
        <w:numPr>
          <w:ilvl w:val="0"/>
          <w:numId w:val="0"/>
        </w:numPr>
        <w:tabs>
          <w:tab w:val="left" w:pos="420"/>
        </w:tabs>
        <w:spacing w:line="420" w:lineRule="exact"/>
        <w:rPr>
          <w:rFonts w:hAnsi="宋体"/>
          <w:b/>
          <w:bCs/>
          <w:color w:val="auto"/>
          <w:sz w:val="22"/>
          <w:szCs w:val="22"/>
          <w:highlight w:val="none"/>
        </w:rPr>
      </w:pPr>
      <w:bookmarkStart w:id="617" w:name="_Toc155166170"/>
      <w:bookmarkStart w:id="618" w:name="_Toc32279"/>
      <w:bookmarkStart w:id="619" w:name="_Toc8335"/>
      <w:bookmarkStart w:id="620" w:name="_Toc8707"/>
      <w:bookmarkStart w:id="621" w:name="_Toc615"/>
      <w:r>
        <w:rPr>
          <w:rFonts w:hint="eastAsia" w:hAnsi="宋体"/>
          <w:b/>
          <w:bCs/>
          <w:color w:val="auto"/>
          <w:sz w:val="22"/>
          <w:szCs w:val="22"/>
          <w:highlight w:val="none"/>
        </w:rPr>
        <w:t>32. 保险</w:t>
      </w:r>
      <w:bookmarkEnd w:id="615"/>
      <w:bookmarkEnd w:id="617"/>
      <w:bookmarkEnd w:id="618"/>
      <w:bookmarkEnd w:id="619"/>
      <w:bookmarkEnd w:id="620"/>
      <w:bookmarkEnd w:id="621"/>
    </w:p>
    <w:p w14:paraId="4B2AF8BA">
      <w:pPr>
        <w:spacing w:line="420" w:lineRule="exact"/>
        <w:ind w:firstLine="110" w:firstLineChars="50"/>
        <w:rPr>
          <w:rFonts w:ascii="宋体" w:hAnsi="宋体" w:cs="宋体"/>
          <w:color w:val="auto"/>
          <w:kern w:val="0"/>
          <w:sz w:val="22"/>
          <w:szCs w:val="22"/>
          <w:highlight w:val="none"/>
        </w:rPr>
      </w:pPr>
    </w:p>
    <w:p w14:paraId="592969A8">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32.1 委托承包人办理保险的事项有：</w:t>
      </w:r>
    </w:p>
    <w:p w14:paraId="63673795">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通用条款第32.1款的第（1）项；</w:t>
      </w:r>
    </w:p>
    <w:p w14:paraId="29443C4E">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通用条款第32.1款的第（2）项；</w:t>
      </w:r>
    </w:p>
    <w:p w14:paraId="4B7A12C5">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通用条款第32.1款的第（3）项；</w:t>
      </w:r>
    </w:p>
    <w:p w14:paraId="463E1BBC">
      <w:pPr>
        <w:pStyle w:val="22"/>
        <w:tabs>
          <w:tab w:val="left" w:pos="1080"/>
          <w:tab w:val="left" w:pos="1980"/>
        </w:tabs>
        <w:adjustRightInd w:val="0"/>
        <w:snapToGrid w:val="0"/>
        <w:spacing w:line="420" w:lineRule="exact"/>
        <w:rPr>
          <w:rFonts w:hint="eastAsia" w:hAnsi="宋体"/>
          <w:color w:val="auto"/>
          <w:kern w:val="0"/>
          <w:sz w:val="22"/>
          <w:szCs w:val="22"/>
          <w:highlight w:val="none"/>
        </w:rPr>
      </w:pPr>
      <w:r>
        <w:rPr>
          <w:rFonts w:hint="eastAsia" w:hAnsi="宋体"/>
          <w:color w:val="auto"/>
          <w:kern w:val="0"/>
          <w:sz w:val="22"/>
          <w:szCs w:val="22"/>
          <w:highlight w:val="none"/>
        </w:rPr>
        <w:t xml:space="preserve"> </w:t>
      </w:r>
      <w:r>
        <w:rPr>
          <w:rFonts w:hAnsi="宋体"/>
          <w:color w:val="auto"/>
          <w:kern w:val="0"/>
          <w:sz w:val="22"/>
          <w:szCs w:val="22"/>
          <w:highlight w:val="none"/>
        </w:rPr>
        <w:t xml:space="preserve">  </w:t>
      </w:r>
      <w:r>
        <w:rPr>
          <w:rFonts w:hint="eastAsia" w:hAnsi="宋体"/>
          <w:color w:val="auto"/>
          <w:kern w:val="0"/>
          <w:sz w:val="22"/>
          <w:szCs w:val="22"/>
          <w:highlight w:val="none"/>
        </w:rPr>
        <w:t>■ 通用条款第32.1款的第（4）项。</w:t>
      </w:r>
    </w:p>
    <w:p w14:paraId="72DC5B33">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通用条款第32.1款的第（5）项。</w:t>
      </w:r>
    </w:p>
    <w:p w14:paraId="5249E8DD">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发包人不投保工程险，自工程开工至工程完工移交期间，通用条款中规定的建筑工程一切险和（或）安装工程一切险由承包人负责。保险费用由承包人承担并包含在签约合同价内，承包人必须在开工前把投保单送发包人备案，否则不得开工，工期不予顺延。</w:t>
      </w:r>
    </w:p>
    <w:p w14:paraId="2956B78D">
      <w:pPr>
        <w:spacing w:line="420" w:lineRule="exact"/>
        <w:ind w:firstLine="110" w:firstLineChars="50"/>
        <w:rPr>
          <w:rFonts w:ascii="宋体" w:hAnsi="宋体" w:cs="宋体"/>
          <w:color w:val="auto"/>
          <w:kern w:val="0"/>
          <w:sz w:val="22"/>
          <w:szCs w:val="22"/>
          <w:highlight w:val="none"/>
        </w:rPr>
      </w:pPr>
    </w:p>
    <w:p w14:paraId="3EF85D87">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3</w:t>
      </w:r>
      <w:r>
        <w:rPr>
          <w:rFonts w:ascii="宋体" w:hAnsi="宋体" w:cs="宋体"/>
          <w:color w:val="auto"/>
          <w:kern w:val="0"/>
          <w:sz w:val="22"/>
          <w:szCs w:val="22"/>
          <w:highlight w:val="none"/>
        </w:rPr>
        <w:t>2.2</w:t>
      </w:r>
      <w:r>
        <w:rPr>
          <w:rFonts w:hint="eastAsia" w:ascii="宋体" w:hAnsi="宋体" w:cs="宋体"/>
          <w:color w:val="auto"/>
          <w:kern w:val="0"/>
          <w:sz w:val="22"/>
          <w:szCs w:val="22"/>
          <w:highlight w:val="none"/>
        </w:rPr>
        <w:t>承包人办理保险</w:t>
      </w:r>
    </w:p>
    <w:p w14:paraId="43728C99">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（1）除通用条款3</w:t>
      </w:r>
      <w:r>
        <w:rPr>
          <w:rFonts w:ascii="宋体" w:hAnsi="宋体" w:cs="宋体"/>
          <w:color w:val="auto"/>
          <w:kern w:val="0"/>
          <w:sz w:val="22"/>
          <w:szCs w:val="22"/>
          <w:highlight w:val="none"/>
        </w:rPr>
        <w:t>2.2</w:t>
      </w:r>
      <w:r>
        <w:rPr>
          <w:rFonts w:hint="eastAsia" w:ascii="宋体" w:hAnsi="宋体" w:cs="宋体"/>
          <w:color w:val="auto"/>
          <w:kern w:val="0"/>
          <w:sz w:val="22"/>
          <w:szCs w:val="22"/>
          <w:highlight w:val="none"/>
        </w:rPr>
        <w:t>规定外，根据《中共中央国务院关于推进安全生产领域改革发展的意见》、《国家安全监管总局、保监会、财政部关于印发（安全生产责任保险实施办法）的通知》和《广东省安全生产责任保险实施方案》的要求，承包人还应按要求购买安全生产责任保险。</w:t>
      </w:r>
    </w:p>
    <w:p w14:paraId="337DA245">
      <w:pPr>
        <w:spacing w:line="420" w:lineRule="exact"/>
        <w:ind w:firstLine="110" w:firstLineChars="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（2）承包人必须按广州市番禺区安全生产委员会办公室文件（番安委办[2022]25号）精神购买保险。</w:t>
      </w:r>
    </w:p>
    <w:p w14:paraId="3322DEDA">
      <w:pPr>
        <w:spacing w:line="420" w:lineRule="exact"/>
        <w:ind w:firstLine="110" w:firstLineChars="50"/>
        <w:rPr>
          <w:rFonts w:ascii="宋体" w:hAnsi="宋体" w:cs="宋体"/>
          <w:color w:val="auto"/>
          <w:kern w:val="0"/>
          <w:sz w:val="22"/>
          <w:szCs w:val="22"/>
          <w:highlight w:val="none"/>
        </w:rPr>
      </w:pPr>
    </w:p>
    <w:p w14:paraId="4FF00617">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3</w:t>
      </w:r>
      <w:r>
        <w:rPr>
          <w:rFonts w:ascii="宋体" w:hAnsi="宋体" w:cs="宋体"/>
          <w:color w:val="auto"/>
          <w:kern w:val="0"/>
          <w:sz w:val="22"/>
          <w:szCs w:val="22"/>
          <w:highlight w:val="none"/>
        </w:rPr>
        <w:t>2.3</w:t>
      </w:r>
      <w:r>
        <w:rPr>
          <w:rFonts w:hint="eastAsia" w:ascii="宋体" w:hAnsi="宋体" w:cs="宋体"/>
          <w:color w:val="auto"/>
          <w:kern w:val="0"/>
          <w:sz w:val="22"/>
          <w:szCs w:val="22"/>
          <w:highlight w:val="none"/>
        </w:rPr>
        <w:t>双方提供保险单和凭证的约定：承包人提交保险凭证的期限为开工后14天内；其他按通用条款执行。</w:t>
      </w:r>
    </w:p>
    <w:p w14:paraId="1774255B">
      <w:pPr>
        <w:spacing w:line="420" w:lineRule="exact"/>
        <w:ind w:firstLine="110" w:firstLineChars="50"/>
        <w:rPr>
          <w:rFonts w:hint="eastAsia" w:ascii="宋体" w:hAnsi="宋体" w:cs="宋体"/>
          <w:color w:val="auto"/>
          <w:kern w:val="0"/>
          <w:sz w:val="22"/>
          <w:szCs w:val="22"/>
          <w:highlight w:val="none"/>
        </w:rPr>
      </w:pPr>
    </w:p>
    <w:p w14:paraId="5572E21F">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32.8 投保内容、保险金、保险期限和责任等事项的约定：</w:t>
      </w:r>
    </w:p>
    <w:p w14:paraId="182BEBE8">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（1）按专用条款第</w:t>
      </w:r>
      <w:r>
        <w:rPr>
          <w:rFonts w:ascii="宋体" w:hAnsi="宋体" w:cs="宋体"/>
          <w:color w:val="auto"/>
          <w:kern w:val="0"/>
          <w:sz w:val="22"/>
          <w:szCs w:val="22"/>
          <w:highlight w:val="none"/>
        </w:rPr>
        <w:t>32.1</w:t>
      </w:r>
      <w:r>
        <w:rPr>
          <w:rFonts w:hint="eastAsia" w:ascii="宋体" w:hAnsi="宋体" w:cs="宋体"/>
          <w:color w:val="auto"/>
          <w:kern w:val="0"/>
          <w:sz w:val="22"/>
          <w:szCs w:val="22"/>
          <w:highlight w:val="none"/>
        </w:rPr>
        <w:t>项所列投保内容投保。</w:t>
      </w:r>
      <w:r>
        <w:rPr>
          <w:rFonts w:ascii="宋体" w:hAnsi="宋体" w:cs="宋体"/>
          <w:color w:val="auto"/>
          <w:kern w:val="0"/>
          <w:sz w:val="22"/>
          <w:szCs w:val="22"/>
          <w:highlight w:val="none"/>
        </w:rPr>
        <w:t>保险费率由承包人与发包人同意的保险人商定，相关保险费由</w:t>
      </w:r>
      <w:r>
        <w:rPr>
          <w:rFonts w:hint="eastAsia" w:ascii="宋体" w:hAnsi="宋体" w:cs="宋体"/>
          <w:color w:val="auto"/>
          <w:kern w:val="0"/>
          <w:sz w:val="22"/>
          <w:szCs w:val="22"/>
          <w:highlight w:val="none"/>
        </w:rPr>
        <w:t>承包人</w:t>
      </w:r>
      <w:r>
        <w:rPr>
          <w:rFonts w:ascii="宋体" w:hAnsi="宋体" w:cs="宋体"/>
          <w:color w:val="auto"/>
          <w:kern w:val="0"/>
          <w:sz w:val="22"/>
          <w:szCs w:val="22"/>
          <w:highlight w:val="none"/>
        </w:rPr>
        <w:t>承担。</w:t>
      </w:r>
    </w:p>
    <w:p w14:paraId="048130A7">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（2）</w:t>
      </w:r>
      <w:r>
        <w:rPr>
          <w:rFonts w:ascii="宋体" w:hAnsi="宋体" w:cs="宋体"/>
          <w:color w:val="auto"/>
          <w:kern w:val="0"/>
          <w:sz w:val="22"/>
          <w:szCs w:val="22"/>
          <w:highlight w:val="none"/>
        </w:rPr>
        <w:t>承包人向发包人提交各项保险生效的证据和保险单副本的期限：</w:t>
      </w:r>
      <w:r>
        <w:rPr>
          <w:rFonts w:hint="eastAsia" w:ascii="宋体" w:hAnsi="宋体" w:cs="宋体"/>
          <w:color w:val="auto"/>
          <w:kern w:val="0"/>
          <w:sz w:val="22"/>
          <w:szCs w:val="22"/>
          <w:highlight w:val="none"/>
        </w:rPr>
        <w:t>按发包人对请款资料的要求及其他相关规定</w:t>
      </w:r>
      <w:r>
        <w:rPr>
          <w:rFonts w:ascii="宋体" w:hAnsi="宋体" w:cs="宋体"/>
          <w:color w:val="auto"/>
          <w:kern w:val="0"/>
          <w:sz w:val="22"/>
          <w:szCs w:val="22"/>
          <w:highlight w:val="none"/>
        </w:rPr>
        <w:t>。</w:t>
      </w:r>
    </w:p>
    <w:p w14:paraId="4377479B">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（3）</w:t>
      </w:r>
      <w:r>
        <w:rPr>
          <w:rFonts w:ascii="宋体" w:hAnsi="宋体" w:cs="宋体"/>
          <w:color w:val="auto"/>
          <w:kern w:val="0"/>
          <w:sz w:val="22"/>
          <w:szCs w:val="22"/>
          <w:highlight w:val="none"/>
        </w:rPr>
        <w:t>保险金不足以补偿损失时，承包人和发包人负责补偿的责任分摊</w:t>
      </w:r>
      <w:r>
        <w:rPr>
          <w:rFonts w:hint="eastAsia" w:ascii="宋体" w:hAnsi="宋体" w:cs="宋体"/>
          <w:color w:val="auto"/>
          <w:kern w:val="0"/>
          <w:sz w:val="22"/>
          <w:szCs w:val="22"/>
          <w:highlight w:val="none"/>
        </w:rPr>
        <w:t>：由承包人承担</w:t>
      </w:r>
      <w:r>
        <w:rPr>
          <w:rFonts w:ascii="宋体" w:hAnsi="宋体" w:cs="宋体"/>
          <w:color w:val="auto"/>
          <w:kern w:val="0"/>
          <w:sz w:val="22"/>
          <w:szCs w:val="22"/>
          <w:highlight w:val="none"/>
        </w:rPr>
        <w:t>。</w:t>
      </w:r>
    </w:p>
    <w:p w14:paraId="77E559F2">
      <w:pPr>
        <w:spacing w:line="420" w:lineRule="exact"/>
        <w:ind w:firstLine="110" w:firstLineChars="50"/>
        <w:rPr>
          <w:rFonts w:ascii="宋体" w:hAnsi="宋体" w:cs="宋体"/>
          <w:color w:val="auto"/>
          <w:kern w:val="0"/>
          <w:sz w:val="22"/>
          <w:szCs w:val="22"/>
          <w:highlight w:val="none"/>
        </w:rPr>
      </w:pPr>
    </w:p>
    <w:p w14:paraId="1088DE32">
      <w:pPr>
        <w:pStyle w:val="3"/>
        <w:numPr>
          <w:ilvl w:val="0"/>
          <w:numId w:val="0"/>
        </w:numPr>
        <w:tabs>
          <w:tab w:val="left" w:pos="420"/>
        </w:tabs>
        <w:spacing w:line="420" w:lineRule="exact"/>
        <w:rPr>
          <w:rFonts w:hAnsi="宋体"/>
          <w:b/>
          <w:bCs/>
          <w:color w:val="auto"/>
          <w:sz w:val="22"/>
          <w:szCs w:val="22"/>
          <w:highlight w:val="none"/>
        </w:rPr>
      </w:pPr>
      <w:bookmarkStart w:id="622" w:name="_Toc10466"/>
      <w:bookmarkStart w:id="623" w:name="_Toc155166171"/>
      <w:bookmarkStart w:id="624" w:name="_Toc469384100"/>
      <w:bookmarkStart w:id="625" w:name="_Toc10507"/>
      <w:bookmarkStart w:id="626" w:name="_Toc31759"/>
      <w:bookmarkStart w:id="627" w:name="_Toc11387"/>
      <w:r>
        <w:rPr>
          <w:rFonts w:hint="eastAsia" w:hAnsi="宋体"/>
          <w:b/>
          <w:bCs/>
          <w:color w:val="auto"/>
          <w:sz w:val="22"/>
          <w:szCs w:val="22"/>
          <w:highlight w:val="none"/>
        </w:rPr>
        <w:t>33. 进度计划和报告</w:t>
      </w:r>
      <w:bookmarkEnd w:id="622"/>
      <w:bookmarkEnd w:id="623"/>
      <w:bookmarkEnd w:id="624"/>
      <w:bookmarkEnd w:id="625"/>
      <w:bookmarkEnd w:id="626"/>
      <w:bookmarkEnd w:id="627"/>
    </w:p>
    <w:p w14:paraId="40D4D79D">
      <w:pPr>
        <w:spacing w:line="420" w:lineRule="exact"/>
        <w:ind w:firstLine="110" w:firstLineChars="50"/>
        <w:rPr>
          <w:rFonts w:ascii="宋体" w:hAnsi="宋体" w:cs="宋体"/>
          <w:color w:val="auto"/>
          <w:kern w:val="0"/>
          <w:sz w:val="22"/>
          <w:szCs w:val="22"/>
          <w:highlight w:val="none"/>
        </w:rPr>
      </w:pPr>
    </w:p>
    <w:p w14:paraId="40127613">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ascii="宋体" w:hAnsi="宋体" w:cs="宋体"/>
          <w:color w:val="auto"/>
          <w:kern w:val="0"/>
          <w:sz w:val="22"/>
          <w:szCs w:val="22"/>
          <w:highlight w:val="none"/>
        </w:rPr>
        <w:t>33.1</w:t>
      </w:r>
      <w:r>
        <w:rPr>
          <w:rFonts w:hint="eastAsia" w:ascii="宋体" w:hAnsi="宋体" w:cs="宋体"/>
          <w:color w:val="auto"/>
          <w:kern w:val="0"/>
          <w:sz w:val="22"/>
          <w:szCs w:val="22"/>
          <w:highlight w:val="none"/>
        </w:rPr>
        <w:t>提交工程进度计划</w:t>
      </w:r>
    </w:p>
    <w:p w14:paraId="40154546">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r>
        <w:rPr>
          <w:rFonts w:ascii="宋体" w:hAnsi="宋体" w:cs="宋体"/>
          <w:color w:val="auto"/>
          <w:kern w:val="0"/>
          <w:sz w:val="22"/>
          <w:szCs w:val="22"/>
          <w:highlight w:val="none"/>
        </w:rPr>
        <w:t>承包人应当在收到</w:t>
      </w:r>
      <w:r>
        <w:rPr>
          <w:rFonts w:hint="eastAsia" w:ascii="宋体" w:hAnsi="宋体" w:cs="宋体"/>
          <w:color w:val="auto"/>
          <w:kern w:val="0"/>
          <w:sz w:val="22"/>
          <w:szCs w:val="22"/>
          <w:highlight w:val="none"/>
        </w:rPr>
        <w:t>中标通知书</w:t>
      </w:r>
      <w:r>
        <w:rPr>
          <w:rFonts w:ascii="宋体" w:hAnsi="宋体" w:cs="宋体"/>
          <w:color w:val="auto"/>
          <w:kern w:val="0"/>
          <w:sz w:val="22"/>
          <w:szCs w:val="22"/>
          <w:highlight w:val="none"/>
        </w:rPr>
        <w:t>后7日历天内，编制详细的施工进度计划和施工方案说明并报送监理人。</w:t>
      </w:r>
    </w:p>
    <w:p w14:paraId="1316BB56">
      <w:pPr>
        <w:spacing w:line="420" w:lineRule="exact"/>
        <w:ind w:firstLine="110" w:firstLineChars="50"/>
        <w:rPr>
          <w:rFonts w:ascii="宋体" w:hAnsi="宋体" w:cs="宋体"/>
          <w:color w:val="auto"/>
          <w:kern w:val="0"/>
          <w:sz w:val="22"/>
          <w:szCs w:val="22"/>
          <w:highlight w:val="none"/>
        </w:rPr>
      </w:pPr>
      <w:r>
        <w:rPr>
          <w:rFonts w:ascii="宋体" w:hAnsi="宋体" w:cs="宋体"/>
          <w:color w:val="auto"/>
          <w:kern w:val="0"/>
          <w:sz w:val="22"/>
          <w:szCs w:val="22"/>
          <w:highlight w:val="none"/>
        </w:rPr>
        <w:t>承包人编制施工进度计划和施工方案说明的内容</w:t>
      </w:r>
      <w:r>
        <w:rPr>
          <w:rFonts w:hint="eastAsia" w:ascii="宋体" w:hAnsi="宋体" w:cs="宋体"/>
          <w:color w:val="auto"/>
          <w:kern w:val="0"/>
          <w:sz w:val="22"/>
          <w:szCs w:val="22"/>
          <w:highlight w:val="none"/>
        </w:rPr>
        <w:t>编制的工程进度计划内容应全面详实，且应针对施工总承包范围内的各专业平行分包工程及工程的全部或分项施工作业和特点提出施工方法、施工穿插顺序及时间安排，并在各节点位置标注相应的工程量、资金使用计划、人力机械组织及材料消耗量</w:t>
      </w:r>
      <w:r>
        <w:rPr>
          <w:rFonts w:ascii="宋体" w:hAnsi="宋体" w:cs="宋体"/>
          <w:color w:val="auto"/>
          <w:kern w:val="0"/>
          <w:sz w:val="22"/>
          <w:szCs w:val="22"/>
          <w:highlight w:val="none"/>
        </w:rPr>
        <w:t>，施工进度计划中还应载明要求发包人组织设计人进行阶段性工程设计交底的时间。</w:t>
      </w:r>
    </w:p>
    <w:p w14:paraId="60C4B337">
      <w:pPr>
        <w:spacing w:line="420" w:lineRule="exact"/>
        <w:ind w:firstLine="110" w:firstLineChars="50"/>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（2）监理人</w:t>
      </w:r>
      <w:r>
        <w:rPr>
          <w:rFonts w:hint="eastAsia" w:ascii="宋体" w:hAnsi="宋体" w:cs="宋体"/>
          <w:color w:val="auto"/>
          <w:kern w:val="0"/>
          <w:sz w:val="22"/>
          <w:szCs w:val="22"/>
          <w:highlight w:val="none"/>
        </w:rPr>
        <w:t>和发包人</w:t>
      </w:r>
      <w:r>
        <w:rPr>
          <w:rFonts w:ascii="宋体" w:hAnsi="宋体" w:cs="宋体"/>
          <w:color w:val="auto"/>
          <w:kern w:val="0"/>
          <w:sz w:val="22"/>
          <w:szCs w:val="22"/>
          <w:highlight w:val="none"/>
        </w:rPr>
        <w:t>批复或对施工进度计划和施工方案说明提出修改意见的期限：自监理人</w:t>
      </w:r>
      <w:r>
        <w:rPr>
          <w:rFonts w:hint="eastAsia" w:ascii="宋体" w:hAnsi="宋体" w:cs="宋体"/>
          <w:color w:val="auto"/>
          <w:kern w:val="0"/>
          <w:sz w:val="22"/>
          <w:szCs w:val="22"/>
          <w:highlight w:val="none"/>
        </w:rPr>
        <w:t>和发包人</w:t>
      </w:r>
      <w:r>
        <w:rPr>
          <w:rFonts w:ascii="宋体" w:hAnsi="宋体" w:cs="宋体"/>
          <w:color w:val="auto"/>
          <w:kern w:val="0"/>
          <w:sz w:val="22"/>
          <w:szCs w:val="22"/>
          <w:highlight w:val="none"/>
        </w:rPr>
        <w:t>收到承包人报送的相关进度计划</w:t>
      </w:r>
      <w:r>
        <w:rPr>
          <w:rFonts w:hint="eastAsia" w:ascii="宋体" w:hAnsi="宋体" w:cs="宋体"/>
          <w:color w:val="auto"/>
          <w:kern w:val="0"/>
          <w:sz w:val="22"/>
          <w:szCs w:val="22"/>
          <w:highlight w:val="none"/>
        </w:rPr>
        <w:t>（包括经过修改的施工方案和进度计划）</w:t>
      </w:r>
      <w:r>
        <w:rPr>
          <w:rFonts w:ascii="宋体" w:hAnsi="宋体" w:cs="宋体"/>
          <w:color w:val="auto"/>
          <w:kern w:val="0"/>
          <w:sz w:val="22"/>
          <w:szCs w:val="22"/>
          <w:highlight w:val="none"/>
        </w:rPr>
        <w:t>和施工方案说明后</w:t>
      </w:r>
      <w:r>
        <w:rPr>
          <w:rFonts w:hint="eastAsia" w:ascii="宋体" w:hAnsi="宋体" w:cs="宋体"/>
          <w:color w:val="auto"/>
          <w:kern w:val="0"/>
          <w:sz w:val="22"/>
          <w:szCs w:val="22"/>
          <w:highlight w:val="none"/>
        </w:rPr>
        <w:t>7</w:t>
      </w:r>
      <w:r>
        <w:rPr>
          <w:rFonts w:ascii="宋体" w:hAnsi="宋体" w:cs="宋体"/>
          <w:color w:val="auto"/>
          <w:kern w:val="0"/>
          <w:sz w:val="22"/>
          <w:szCs w:val="22"/>
          <w:highlight w:val="none"/>
        </w:rPr>
        <w:t>日历天内</w:t>
      </w:r>
      <w:r>
        <w:rPr>
          <w:rFonts w:hint="eastAsia" w:ascii="宋体" w:hAnsi="宋体" w:cs="宋体"/>
          <w:color w:val="auto"/>
          <w:kern w:val="0"/>
          <w:sz w:val="22"/>
          <w:szCs w:val="22"/>
          <w:highlight w:val="none"/>
        </w:rPr>
        <w:t>予以确认或提出修改意见（总监理工程师在4日历天内审核并签署意见后，发包人在3日历天内审核并签署意见）。但如遇到重大或技术复杂、难度大的施工方案（如深基坑支护及高支模等施工方案），则应按政府有关规定召开专家评审会评审</w:t>
      </w:r>
      <w:r>
        <w:rPr>
          <w:rFonts w:ascii="宋体" w:hAnsi="宋体" w:cs="宋体"/>
          <w:color w:val="auto"/>
          <w:kern w:val="0"/>
          <w:sz w:val="22"/>
          <w:szCs w:val="22"/>
          <w:highlight w:val="none"/>
        </w:rPr>
        <w:t>。</w:t>
      </w:r>
    </w:p>
    <w:p w14:paraId="1B45B3A8">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如监理人对承包人提供施工组织设计（施工方案）提出修改意见，承包人应在收到总监理工程师的修改意见后两个工作日内完成修改，总监理工程师收到承包人提供的修改后的施工方案后两个工作日内确认，如该方案仍未能通过，继续修改所需时间包含在合同工期内。</w:t>
      </w:r>
    </w:p>
    <w:p w14:paraId="33315082">
      <w:pPr>
        <w:spacing w:line="420" w:lineRule="exact"/>
        <w:ind w:firstLine="110" w:firstLineChars="50"/>
        <w:rPr>
          <w:rFonts w:ascii="宋体" w:hAnsi="宋体" w:cs="宋体"/>
          <w:color w:val="auto"/>
          <w:kern w:val="0"/>
          <w:sz w:val="22"/>
          <w:szCs w:val="22"/>
          <w:highlight w:val="none"/>
        </w:rPr>
      </w:pPr>
      <w:r>
        <w:rPr>
          <w:rFonts w:ascii="宋体" w:hAnsi="宋体" w:cs="宋体"/>
          <w:color w:val="auto"/>
          <w:kern w:val="0"/>
          <w:sz w:val="22"/>
          <w:szCs w:val="22"/>
          <w:highlight w:val="none"/>
        </w:rPr>
        <w:t>（3）承包人编制分阶段或分项施工进度计划和施工方案说明的内容：</w:t>
      </w:r>
      <w:r>
        <w:rPr>
          <w:rFonts w:hint="eastAsia" w:ascii="宋体" w:hAnsi="宋体" w:cs="宋体"/>
          <w:color w:val="auto"/>
          <w:kern w:val="0"/>
          <w:sz w:val="22"/>
          <w:szCs w:val="22"/>
          <w:highlight w:val="none"/>
        </w:rPr>
        <w:t>按发包人相关要求</w:t>
      </w:r>
      <w:r>
        <w:rPr>
          <w:rFonts w:ascii="宋体" w:hAnsi="宋体" w:cs="宋体"/>
          <w:color w:val="auto"/>
          <w:kern w:val="0"/>
          <w:sz w:val="22"/>
          <w:szCs w:val="22"/>
          <w:highlight w:val="none"/>
        </w:rPr>
        <w:t>。</w:t>
      </w:r>
    </w:p>
    <w:p w14:paraId="3B33F577">
      <w:pPr>
        <w:spacing w:line="420" w:lineRule="exact"/>
        <w:ind w:firstLine="110" w:firstLineChars="50"/>
        <w:rPr>
          <w:rFonts w:ascii="宋体" w:hAnsi="宋体" w:cs="宋体"/>
          <w:color w:val="auto"/>
          <w:kern w:val="0"/>
          <w:sz w:val="22"/>
          <w:szCs w:val="22"/>
          <w:highlight w:val="none"/>
        </w:rPr>
      </w:pPr>
      <w:r>
        <w:rPr>
          <w:rFonts w:ascii="宋体" w:hAnsi="宋体" w:cs="宋体"/>
          <w:color w:val="auto"/>
          <w:kern w:val="0"/>
          <w:sz w:val="22"/>
          <w:szCs w:val="22"/>
          <w:highlight w:val="none"/>
        </w:rPr>
        <w:t>承包人报送分阶段或分项施工进度计划和施工方案说明的期限</w:t>
      </w:r>
      <w:r>
        <w:rPr>
          <w:rFonts w:hint="eastAsia" w:ascii="宋体" w:hAnsi="宋体" w:cs="宋体"/>
          <w:color w:val="auto"/>
          <w:kern w:val="0"/>
          <w:sz w:val="22"/>
          <w:szCs w:val="22"/>
          <w:highlight w:val="none"/>
        </w:rPr>
        <w:t>：按发包人相关要求</w:t>
      </w:r>
      <w:r>
        <w:rPr>
          <w:rFonts w:ascii="宋体" w:hAnsi="宋体" w:cs="宋体"/>
          <w:color w:val="auto"/>
          <w:kern w:val="0"/>
          <w:sz w:val="22"/>
          <w:szCs w:val="22"/>
          <w:highlight w:val="none"/>
        </w:rPr>
        <w:t>。</w:t>
      </w:r>
    </w:p>
    <w:p w14:paraId="0B76A902">
      <w:pPr>
        <w:spacing w:line="420" w:lineRule="exact"/>
        <w:ind w:firstLine="110" w:firstLineChars="50"/>
        <w:rPr>
          <w:rFonts w:ascii="宋体" w:hAnsi="宋体" w:cs="宋体"/>
          <w:color w:val="auto"/>
          <w:kern w:val="0"/>
          <w:sz w:val="22"/>
          <w:szCs w:val="22"/>
          <w:highlight w:val="none"/>
          <w:u w:val="single"/>
        </w:rPr>
      </w:pPr>
      <w:r>
        <w:rPr>
          <w:rFonts w:ascii="宋体" w:hAnsi="宋体" w:cs="宋体"/>
          <w:color w:val="auto"/>
          <w:kern w:val="0"/>
          <w:sz w:val="22"/>
          <w:szCs w:val="22"/>
          <w:highlight w:val="none"/>
        </w:rPr>
        <w:t>（4）群体工程中单位工程分期进行施工的，承包人应按照发包人提供图纸及有关资料的时间，按单位工程编制进度计划和施工方案说明。群体工程中有关进度计划和施工方案说明的要求：</w:t>
      </w:r>
      <w:r>
        <w:rPr>
          <w:rFonts w:hint="eastAsia" w:ascii="宋体" w:hAnsi="宋体" w:cs="宋体"/>
          <w:color w:val="auto"/>
          <w:kern w:val="0"/>
          <w:sz w:val="22"/>
          <w:szCs w:val="22"/>
          <w:highlight w:val="none"/>
          <w:u w:val="single"/>
        </w:rPr>
        <w:t>按双方确认的施工组织设计（施工方案）执行</w:t>
      </w:r>
      <w:r>
        <w:rPr>
          <w:rFonts w:ascii="宋体" w:hAnsi="宋体" w:cs="宋体"/>
          <w:color w:val="auto"/>
          <w:kern w:val="0"/>
          <w:sz w:val="22"/>
          <w:szCs w:val="22"/>
          <w:highlight w:val="none"/>
          <w:u w:val="single"/>
        </w:rPr>
        <w:t>。</w:t>
      </w:r>
    </w:p>
    <w:p w14:paraId="401688F2">
      <w:pPr>
        <w:spacing w:line="420" w:lineRule="exact"/>
        <w:ind w:firstLine="110" w:firstLineChars="50"/>
        <w:rPr>
          <w:rFonts w:ascii="宋体" w:hAnsi="宋体" w:cs="宋体"/>
          <w:color w:val="auto"/>
          <w:kern w:val="0"/>
          <w:sz w:val="22"/>
          <w:szCs w:val="22"/>
          <w:highlight w:val="none"/>
        </w:rPr>
      </w:pPr>
      <w:r>
        <w:rPr>
          <w:rFonts w:ascii="宋体" w:hAnsi="宋体" w:cs="宋体"/>
          <w:color w:val="auto"/>
          <w:kern w:val="0"/>
          <w:sz w:val="22"/>
          <w:szCs w:val="22"/>
          <w:highlight w:val="none"/>
        </w:rPr>
        <w:t>（</w:t>
      </w:r>
      <w:r>
        <w:rPr>
          <w:rFonts w:hint="eastAsia" w:ascii="宋体" w:hAnsi="宋体" w:cs="宋体"/>
          <w:color w:val="auto"/>
          <w:kern w:val="0"/>
          <w:sz w:val="22"/>
          <w:szCs w:val="22"/>
          <w:highlight w:val="none"/>
        </w:rPr>
        <w:t>5</w:t>
      </w:r>
      <w:r>
        <w:rPr>
          <w:rFonts w:ascii="宋体" w:hAnsi="宋体" w:cs="宋体"/>
          <w:color w:val="auto"/>
          <w:kern w:val="0"/>
          <w:sz w:val="22"/>
          <w:szCs w:val="22"/>
          <w:highlight w:val="none"/>
        </w:rPr>
        <w:t>）</w:t>
      </w:r>
      <w:r>
        <w:rPr>
          <w:rFonts w:hint="eastAsia" w:ascii="宋体" w:hAnsi="宋体" w:cs="宋体"/>
          <w:color w:val="auto"/>
          <w:kern w:val="0"/>
          <w:sz w:val="22"/>
          <w:szCs w:val="22"/>
          <w:highlight w:val="none"/>
        </w:rPr>
        <w:t>工程中主要阶段性进度计划</w:t>
      </w:r>
    </w:p>
    <w:p w14:paraId="748B32F6">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承包人应当认真进行组织实施，确保按照计划节点完成相应工作量，本工程计划开工日期为</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日，具体开工时间以监理下发的开工令为准，并相应调整下述节点时间： </w:t>
      </w:r>
    </w:p>
    <w:p w14:paraId="6BB917D4">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①.在</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日前进场施工；</w:t>
      </w:r>
    </w:p>
    <w:p w14:paraId="61AAFA9B">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②.在</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日前完成总工程量的30%；</w:t>
      </w:r>
    </w:p>
    <w:p w14:paraId="10AF0CD3">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③.在</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日前完成总工程量的70%；</w:t>
      </w:r>
    </w:p>
    <w:p w14:paraId="3736B1A4">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④.在</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日前完成全部工程量并达到竣工验收要求。</w:t>
      </w:r>
    </w:p>
    <w:p w14:paraId="7F83F69F">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已完成的工程量由发包人、承包人和监理单位共同确认。如有争议的，以承发包双方共同委托的第三方确认的工程量为准。</w:t>
      </w:r>
    </w:p>
    <w:p w14:paraId="5F0C6758">
      <w:pPr>
        <w:spacing w:line="420" w:lineRule="exact"/>
        <w:ind w:firstLine="110" w:firstLineChars="50"/>
        <w:rPr>
          <w:rFonts w:ascii="宋体" w:hAnsi="宋体" w:cs="宋体"/>
          <w:color w:val="auto"/>
          <w:kern w:val="0"/>
          <w:sz w:val="22"/>
          <w:szCs w:val="22"/>
          <w:highlight w:val="none"/>
        </w:rPr>
      </w:pPr>
      <w:r>
        <w:rPr>
          <w:rFonts w:ascii="宋体" w:hAnsi="宋体" w:cs="宋体"/>
          <w:color w:val="auto"/>
          <w:kern w:val="0"/>
          <w:sz w:val="22"/>
          <w:szCs w:val="22"/>
          <w:highlight w:val="none"/>
        </w:rPr>
        <w:t>（</w:t>
      </w:r>
      <w:r>
        <w:rPr>
          <w:rFonts w:hint="eastAsia" w:ascii="宋体" w:hAnsi="宋体" w:cs="宋体"/>
          <w:color w:val="auto"/>
          <w:kern w:val="0"/>
          <w:sz w:val="22"/>
          <w:szCs w:val="22"/>
          <w:highlight w:val="none"/>
        </w:rPr>
        <w:t>6</w:t>
      </w:r>
      <w:r>
        <w:rPr>
          <w:rFonts w:ascii="宋体" w:hAnsi="宋体" w:cs="宋体"/>
          <w:color w:val="auto"/>
          <w:kern w:val="0"/>
          <w:sz w:val="22"/>
          <w:szCs w:val="22"/>
          <w:highlight w:val="none"/>
        </w:rPr>
        <w:t>）</w:t>
      </w:r>
      <w:r>
        <w:rPr>
          <w:rFonts w:hint="eastAsia" w:ascii="宋体" w:hAnsi="宋体" w:cs="宋体"/>
          <w:color w:val="auto"/>
          <w:kern w:val="0"/>
          <w:sz w:val="22"/>
          <w:szCs w:val="22"/>
          <w:highlight w:val="none"/>
        </w:rPr>
        <w:t>有下列情形之一的，发包人有权单方面解除合同：</w:t>
      </w:r>
    </w:p>
    <w:p w14:paraId="06BA4F62">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①.未按期进场施工，逾期超过</w:t>
      </w:r>
      <w:r>
        <w:rPr>
          <w:rFonts w:hint="eastAsia" w:ascii="宋体" w:hAnsi="宋体" w:cs="宋体"/>
          <w:color w:val="auto"/>
          <w:kern w:val="0"/>
          <w:sz w:val="22"/>
          <w:szCs w:val="22"/>
          <w:highlight w:val="none"/>
          <w:u w:val="single"/>
        </w:rPr>
        <w:t>10</w:t>
      </w:r>
      <w:r>
        <w:rPr>
          <w:rFonts w:hint="eastAsia" w:ascii="宋体" w:hAnsi="宋体" w:cs="宋体"/>
          <w:color w:val="auto"/>
          <w:kern w:val="0"/>
          <w:sz w:val="22"/>
          <w:szCs w:val="22"/>
          <w:highlight w:val="none"/>
        </w:rPr>
        <w:t>个日历天的；</w:t>
      </w:r>
    </w:p>
    <w:p w14:paraId="16C670C7">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②.未按期完成总工程量的30%，逾期超过</w:t>
      </w:r>
      <w:r>
        <w:rPr>
          <w:rFonts w:hint="eastAsia" w:ascii="宋体" w:hAnsi="宋体" w:cs="宋体"/>
          <w:color w:val="auto"/>
          <w:kern w:val="0"/>
          <w:sz w:val="22"/>
          <w:szCs w:val="22"/>
          <w:highlight w:val="none"/>
          <w:u w:val="single"/>
        </w:rPr>
        <w:t>15</w:t>
      </w:r>
      <w:r>
        <w:rPr>
          <w:rFonts w:hint="eastAsia" w:ascii="宋体" w:hAnsi="宋体" w:cs="宋体"/>
          <w:color w:val="auto"/>
          <w:kern w:val="0"/>
          <w:sz w:val="22"/>
          <w:szCs w:val="22"/>
          <w:highlight w:val="none"/>
        </w:rPr>
        <w:t>个日历天的；</w:t>
      </w:r>
    </w:p>
    <w:p w14:paraId="4B5ACE29">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③.未按期完成总工程量的70%，逾期超过</w:t>
      </w:r>
      <w:r>
        <w:rPr>
          <w:rFonts w:hint="eastAsia" w:ascii="宋体" w:hAnsi="宋体" w:cs="宋体"/>
          <w:color w:val="auto"/>
          <w:kern w:val="0"/>
          <w:sz w:val="22"/>
          <w:szCs w:val="22"/>
          <w:highlight w:val="none"/>
          <w:u w:val="single"/>
        </w:rPr>
        <w:t>15</w:t>
      </w:r>
      <w:r>
        <w:rPr>
          <w:rFonts w:hint="eastAsia" w:ascii="宋体" w:hAnsi="宋体" w:cs="宋体"/>
          <w:color w:val="auto"/>
          <w:kern w:val="0"/>
          <w:sz w:val="22"/>
          <w:szCs w:val="22"/>
          <w:highlight w:val="none"/>
        </w:rPr>
        <w:t>个日历天的；</w:t>
      </w:r>
    </w:p>
    <w:p w14:paraId="1BBD7F4E">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④.未按期完成全部工程量并达到竣工验收要求，逾期超过</w:t>
      </w:r>
      <w:r>
        <w:rPr>
          <w:rFonts w:hint="eastAsia" w:ascii="宋体" w:hAnsi="宋体" w:cs="宋体"/>
          <w:color w:val="auto"/>
          <w:kern w:val="0"/>
          <w:sz w:val="22"/>
          <w:szCs w:val="22"/>
          <w:highlight w:val="none"/>
          <w:u w:val="single"/>
        </w:rPr>
        <w:t>30</w:t>
      </w:r>
      <w:r>
        <w:rPr>
          <w:rFonts w:hint="eastAsia" w:ascii="宋体" w:hAnsi="宋体" w:cs="宋体"/>
          <w:color w:val="auto"/>
          <w:kern w:val="0"/>
          <w:sz w:val="22"/>
          <w:szCs w:val="22"/>
          <w:highlight w:val="none"/>
        </w:rPr>
        <w:t>个日历天的。</w:t>
      </w:r>
    </w:p>
    <w:p w14:paraId="38C0E65F">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自承包人收到发包人解除合同通知之日起，合同解除。因上述原因解除合同的，承包人应在接到解除合同书面通知之日起</w:t>
      </w:r>
      <w:r>
        <w:rPr>
          <w:rFonts w:hint="eastAsia" w:ascii="宋体" w:hAnsi="宋体" w:cs="宋体"/>
          <w:color w:val="auto"/>
          <w:kern w:val="0"/>
          <w:sz w:val="22"/>
          <w:szCs w:val="22"/>
          <w:highlight w:val="none"/>
          <w:u w:val="single"/>
        </w:rPr>
        <w:t>5</w:t>
      </w:r>
      <w:r>
        <w:rPr>
          <w:rFonts w:hint="eastAsia" w:ascii="宋体" w:hAnsi="宋体" w:cs="宋体"/>
          <w:color w:val="auto"/>
          <w:kern w:val="0"/>
          <w:sz w:val="22"/>
          <w:szCs w:val="22"/>
          <w:highlight w:val="none"/>
        </w:rPr>
        <w:t>个日历天内确保施工人员无条件全部离场，且应与发包人做好离场交接手续。承包人逾期不离场的，发包人有权强制清场，所发生的一切清场费用由承包人自行承担。</w:t>
      </w:r>
    </w:p>
    <w:p w14:paraId="170EC6C7">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因上述原因解除合同的，承包人除应按前款规定按日支付解除合同前的违约金外，还应另外向发包人支付全部工程签约合同价的</w:t>
      </w:r>
      <w:r>
        <w:rPr>
          <w:rFonts w:hint="eastAsia" w:ascii="宋体" w:hAnsi="宋体" w:cs="宋体"/>
          <w:color w:val="auto"/>
          <w:kern w:val="0"/>
          <w:sz w:val="22"/>
          <w:szCs w:val="22"/>
          <w:highlight w:val="none"/>
          <w:u w:val="single"/>
        </w:rPr>
        <w:t>30%</w:t>
      </w:r>
      <w:r>
        <w:rPr>
          <w:rFonts w:hint="eastAsia" w:ascii="宋体" w:hAnsi="宋体" w:cs="宋体"/>
          <w:color w:val="auto"/>
          <w:kern w:val="0"/>
          <w:sz w:val="22"/>
          <w:szCs w:val="22"/>
          <w:highlight w:val="none"/>
        </w:rPr>
        <w:t>作为违约金。发包人的损失超出违约金部分的，发包人有权向承包人继续追偿。</w:t>
      </w:r>
    </w:p>
    <w:p w14:paraId="08CE89A2">
      <w:pPr>
        <w:spacing w:line="420" w:lineRule="exact"/>
        <w:ind w:firstLine="110" w:firstLineChars="50"/>
        <w:rPr>
          <w:rFonts w:ascii="宋体" w:hAnsi="宋体" w:cs="宋体"/>
          <w:color w:val="auto"/>
          <w:kern w:val="0"/>
          <w:sz w:val="22"/>
          <w:szCs w:val="22"/>
          <w:highlight w:val="none"/>
        </w:rPr>
      </w:pPr>
    </w:p>
    <w:p w14:paraId="6635A23B">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33.3 承包人编制月施工进度报告和修订进度计划的约定：</w:t>
      </w:r>
    </w:p>
    <w:p w14:paraId="5DF861C0">
      <w:pPr>
        <w:spacing w:line="420" w:lineRule="exact"/>
        <w:ind w:firstLine="110" w:firstLineChars="50"/>
        <w:rPr>
          <w:rFonts w:ascii="宋体" w:hAnsi="宋体" w:cs="宋体"/>
          <w:color w:val="auto"/>
          <w:kern w:val="0"/>
          <w:sz w:val="22"/>
          <w:szCs w:val="22"/>
          <w:highlight w:val="none"/>
        </w:rPr>
      </w:pPr>
      <w:r>
        <w:rPr>
          <w:rFonts w:ascii="宋体" w:hAnsi="宋体" w:cs="宋体"/>
          <w:color w:val="auto"/>
          <w:kern w:val="0"/>
          <w:sz w:val="22"/>
          <w:szCs w:val="22"/>
          <w:highlight w:val="none"/>
        </w:rPr>
        <w:t>承包人应按合同约定的工作内容和施工进度要求，编制施工组织设计</w:t>
      </w:r>
      <w:r>
        <w:rPr>
          <w:rFonts w:hint="eastAsia" w:ascii="宋体" w:hAnsi="宋体" w:cs="宋体"/>
          <w:color w:val="auto"/>
          <w:kern w:val="0"/>
          <w:sz w:val="22"/>
          <w:szCs w:val="22"/>
          <w:highlight w:val="none"/>
        </w:rPr>
        <w:t>专项施工方案</w:t>
      </w:r>
      <w:r>
        <w:rPr>
          <w:rFonts w:ascii="宋体" w:hAnsi="宋体" w:cs="宋体"/>
          <w:color w:val="auto"/>
          <w:kern w:val="0"/>
          <w:sz w:val="22"/>
          <w:szCs w:val="22"/>
          <w:highlight w:val="none"/>
        </w:rPr>
        <w:t>和施工措施计划</w:t>
      </w:r>
      <w:r>
        <w:rPr>
          <w:rFonts w:hint="eastAsia" w:ascii="宋体" w:hAnsi="宋体" w:cs="宋体"/>
          <w:color w:val="auto"/>
          <w:kern w:val="0"/>
          <w:sz w:val="22"/>
          <w:szCs w:val="22"/>
          <w:highlight w:val="none"/>
        </w:rPr>
        <w:t>及其评审</w:t>
      </w:r>
      <w:r>
        <w:rPr>
          <w:rFonts w:ascii="宋体" w:hAnsi="宋体" w:cs="宋体"/>
          <w:color w:val="auto"/>
          <w:kern w:val="0"/>
          <w:sz w:val="22"/>
          <w:szCs w:val="22"/>
          <w:highlight w:val="none"/>
        </w:rPr>
        <w:t>，并对所有施工作业和施工方法的完备性和安全可靠性负责。</w:t>
      </w:r>
    </w:p>
    <w:p w14:paraId="63488C58">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应提供计划、报表的名称及完成时间：每周五提交该周内工程进度表（含现场施工照片）；每月十五号提供该月一次完成工作量报表及余下工程施工进度计划报表各一份。</w:t>
      </w:r>
    </w:p>
    <w:p w14:paraId="40F2750D">
      <w:pPr>
        <w:spacing w:line="420" w:lineRule="exact"/>
        <w:rPr>
          <w:rFonts w:ascii="宋体" w:hAnsi="宋体" w:cs="宋体"/>
          <w:color w:val="auto"/>
          <w:kern w:val="0"/>
          <w:sz w:val="22"/>
          <w:szCs w:val="22"/>
          <w:highlight w:val="none"/>
        </w:rPr>
      </w:pPr>
    </w:p>
    <w:p w14:paraId="67C42052">
      <w:pPr>
        <w:pStyle w:val="3"/>
        <w:numPr>
          <w:ilvl w:val="0"/>
          <w:numId w:val="0"/>
        </w:numPr>
        <w:tabs>
          <w:tab w:val="left" w:pos="420"/>
        </w:tabs>
        <w:spacing w:line="420" w:lineRule="exact"/>
        <w:rPr>
          <w:rFonts w:hAnsi="宋体"/>
          <w:b/>
          <w:bCs/>
          <w:color w:val="auto"/>
          <w:sz w:val="22"/>
          <w:szCs w:val="22"/>
          <w:highlight w:val="none"/>
        </w:rPr>
      </w:pPr>
      <w:bookmarkStart w:id="628" w:name="_Toc12108"/>
      <w:bookmarkStart w:id="629" w:name="_Toc971"/>
      <w:bookmarkStart w:id="630" w:name="_Toc469384101"/>
      <w:bookmarkStart w:id="631" w:name="_Toc155166172"/>
      <w:bookmarkStart w:id="632" w:name="_Toc13320"/>
      <w:bookmarkStart w:id="633" w:name="_Toc12208"/>
      <w:r>
        <w:rPr>
          <w:rFonts w:hint="eastAsia" w:hAnsi="宋体"/>
          <w:b/>
          <w:bCs/>
          <w:color w:val="auto"/>
          <w:sz w:val="22"/>
          <w:szCs w:val="22"/>
          <w:highlight w:val="none"/>
        </w:rPr>
        <w:t>34. 开工</w:t>
      </w:r>
      <w:bookmarkEnd w:id="628"/>
      <w:bookmarkEnd w:id="629"/>
      <w:bookmarkEnd w:id="630"/>
      <w:bookmarkEnd w:id="631"/>
      <w:bookmarkEnd w:id="632"/>
      <w:bookmarkEnd w:id="633"/>
    </w:p>
    <w:p w14:paraId="45F852CA">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p>
    <w:p w14:paraId="148A80FA">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34.2 监理工程师在本合同签订后的（      ）天内签发开工令。</w:t>
      </w:r>
    </w:p>
    <w:p w14:paraId="2A35D8DF">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按通用条款规定的时间。</w:t>
      </w:r>
    </w:p>
    <w:p w14:paraId="7839CDD2">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p>
    <w:p w14:paraId="6B2ECA4C">
      <w:pPr>
        <w:spacing w:line="420" w:lineRule="exact"/>
        <w:ind w:firstLine="110" w:firstLineChars="50"/>
        <w:rPr>
          <w:rFonts w:ascii="宋体" w:hAnsi="宋体" w:cs="宋体"/>
          <w:color w:val="auto"/>
          <w:kern w:val="0"/>
          <w:sz w:val="22"/>
          <w:szCs w:val="22"/>
          <w:highlight w:val="none"/>
        </w:rPr>
      </w:pPr>
    </w:p>
    <w:p w14:paraId="3BA77AA1">
      <w:pPr>
        <w:pStyle w:val="3"/>
        <w:numPr>
          <w:ilvl w:val="0"/>
          <w:numId w:val="0"/>
        </w:numPr>
        <w:tabs>
          <w:tab w:val="left" w:pos="420"/>
        </w:tabs>
        <w:spacing w:line="420" w:lineRule="exact"/>
        <w:rPr>
          <w:rFonts w:hAnsi="宋体"/>
          <w:b/>
          <w:bCs/>
          <w:color w:val="auto"/>
          <w:sz w:val="22"/>
          <w:szCs w:val="22"/>
          <w:highlight w:val="none"/>
        </w:rPr>
      </w:pPr>
      <w:bookmarkStart w:id="634" w:name="_Toc155166173"/>
      <w:bookmarkStart w:id="635" w:name="_Toc32591"/>
      <w:bookmarkStart w:id="636" w:name="_Toc16273"/>
      <w:bookmarkStart w:id="637" w:name="_Toc26746"/>
      <w:bookmarkStart w:id="638" w:name="_Toc469384102"/>
      <w:bookmarkStart w:id="639" w:name="_Toc10114"/>
      <w:r>
        <w:rPr>
          <w:rFonts w:hint="eastAsia" w:hAnsi="宋体"/>
          <w:b/>
          <w:bCs/>
          <w:color w:val="auto"/>
          <w:sz w:val="22"/>
          <w:szCs w:val="22"/>
          <w:highlight w:val="none"/>
        </w:rPr>
        <w:t>35.暂停施工和复工</w:t>
      </w:r>
      <w:bookmarkEnd w:id="634"/>
      <w:bookmarkEnd w:id="635"/>
      <w:bookmarkEnd w:id="636"/>
      <w:bookmarkEnd w:id="637"/>
      <w:bookmarkEnd w:id="638"/>
      <w:bookmarkEnd w:id="639"/>
    </w:p>
    <w:p w14:paraId="488DCEE0">
      <w:pPr>
        <w:spacing w:line="420" w:lineRule="exact"/>
        <w:ind w:firstLine="110" w:firstLineChars="50"/>
        <w:rPr>
          <w:rFonts w:ascii="宋体" w:hAnsi="宋体" w:cs="宋体"/>
          <w:color w:val="auto"/>
          <w:kern w:val="0"/>
          <w:sz w:val="22"/>
          <w:szCs w:val="22"/>
          <w:highlight w:val="none"/>
        </w:rPr>
      </w:pPr>
    </w:p>
    <w:p w14:paraId="7C948B66">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ascii="宋体" w:hAnsi="宋体" w:cs="宋体"/>
          <w:color w:val="auto"/>
          <w:kern w:val="0"/>
          <w:sz w:val="22"/>
          <w:szCs w:val="22"/>
          <w:highlight w:val="none"/>
        </w:rPr>
        <w:t>35.2根据通用合同条款第35.2款的约定，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14:paraId="5337313C">
      <w:pPr>
        <w:spacing w:line="420" w:lineRule="exact"/>
        <w:ind w:firstLine="110" w:firstLineChars="50"/>
        <w:rPr>
          <w:rFonts w:ascii="宋体" w:hAnsi="宋体" w:cs="宋体"/>
          <w:color w:val="auto"/>
          <w:kern w:val="0"/>
          <w:sz w:val="22"/>
          <w:szCs w:val="22"/>
          <w:highlight w:val="none"/>
        </w:rPr>
      </w:pPr>
    </w:p>
    <w:p w14:paraId="057A3F18">
      <w:pPr>
        <w:spacing w:line="420" w:lineRule="exact"/>
        <w:ind w:firstLine="110" w:firstLineChars="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w:t>
      </w:r>
      <w:r>
        <w:rPr>
          <w:rFonts w:ascii="宋体" w:hAnsi="宋体" w:cs="宋体"/>
          <w:color w:val="auto"/>
          <w:kern w:val="0"/>
          <w:sz w:val="22"/>
          <w:szCs w:val="22"/>
          <w:highlight w:val="none"/>
        </w:rPr>
        <w:t>5.3</w:t>
      </w:r>
      <w:r>
        <w:rPr>
          <w:rFonts w:hint="eastAsia" w:ascii="宋体" w:hAnsi="宋体" w:cs="宋体"/>
          <w:color w:val="auto"/>
          <w:kern w:val="0"/>
          <w:sz w:val="22"/>
          <w:szCs w:val="22"/>
          <w:highlight w:val="none"/>
        </w:rPr>
        <w:t>暂停施工持续5</w:t>
      </w:r>
      <w:r>
        <w:rPr>
          <w:rFonts w:ascii="宋体" w:hAnsi="宋体" w:cs="宋体"/>
          <w:color w:val="auto"/>
          <w:kern w:val="0"/>
          <w:sz w:val="22"/>
          <w:szCs w:val="22"/>
          <w:highlight w:val="none"/>
        </w:rPr>
        <w:t>6</w:t>
      </w:r>
      <w:r>
        <w:rPr>
          <w:rFonts w:hint="eastAsia" w:ascii="宋体" w:hAnsi="宋体" w:cs="宋体"/>
          <w:color w:val="auto"/>
          <w:kern w:val="0"/>
          <w:sz w:val="22"/>
          <w:szCs w:val="22"/>
          <w:highlight w:val="none"/>
        </w:rPr>
        <w:t>天以上的其他约定：</w:t>
      </w:r>
      <w:bookmarkStart w:id="640" w:name="_Toc532375846"/>
      <w:bookmarkStart w:id="641" w:name="_Toc418513102"/>
      <w:r>
        <w:rPr>
          <w:rFonts w:hint="eastAsia" w:ascii="宋体" w:hAnsi="宋体" w:cs="宋体"/>
          <w:color w:val="auto"/>
          <w:kern w:val="0"/>
          <w:sz w:val="22"/>
          <w:szCs w:val="22"/>
          <w:highlight w:val="none"/>
        </w:rPr>
        <w:t>监理人发出暂停施工指示后56天内未向承包人发出复工通知，非承包人的原因造成暂停施工的，承包人可向监理人提交书面通知，要求监理人在收到书面通知后28天内准许已暂停施工的工程或其中一部分工程继续施工。如监理人逾期不予批准，则承包人可以通知监理人，不得按通用条款</w:t>
      </w:r>
      <w:r>
        <w:rPr>
          <w:rFonts w:ascii="宋体" w:hAnsi="宋体" w:cs="宋体"/>
          <w:color w:val="auto"/>
          <w:kern w:val="0"/>
          <w:sz w:val="22"/>
          <w:szCs w:val="22"/>
          <w:highlight w:val="none"/>
        </w:rPr>
        <w:t>35.3</w:t>
      </w:r>
      <w:r>
        <w:rPr>
          <w:rFonts w:hint="eastAsia" w:ascii="宋体" w:hAnsi="宋体" w:cs="宋体"/>
          <w:color w:val="auto"/>
          <w:kern w:val="0"/>
          <w:sz w:val="22"/>
          <w:szCs w:val="22"/>
          <w:highlight w:val="none"/>
        </w:rPr>
        <w:t>款规定将此项停工工程视作可取消的工程，应报告监理人，按程序申请取消该部分工程。如暂停施工影响到整个工程，承包人可报告发包人，按程序申请取消该工程。</w:t>
      </w:r>
      <w:bookmarkEnd w:id="640"/>
      <w:bookmarkEnd w:id="641"/>
    </w:p>
    <w:p w14:paraId="11B1F50D">
      <w:pPr>
        <w:spacing w:line="360" w:lineRule="auto"/>
        <w:ind w:firstLine="440" w:firstLineChars="200"/>
        <w:rPr>
          <w:rFonts w:ascii="宋体" w:hAnsi="宋体" w:cs="宋体"/>
          <w:color w:val="auto"/>
          <w:kern w:val="0"/>
          <w:sz w:val="22"/>
          <w:szCs w:val="22"/>
          <w:highlight w:val="none"/>
        </w:rPr>
      </w:pPr>
    </w:p>
    <w:p w14:paraId="0BF0672F">
      <w:pPr>
        <w:spacing w:line="420" w:lineRule="exact"/>
        <w:ind w:firstLine="110" w:firstLineChars="50"/>
        <w:rPr>
          <w:rFonts w:ascii="宋体" w:hAnsi="宋体" w:cs="宋体"/>
          <w:color w:val="auto"/>
          <w:kern w:val="0"/>
          <w:sz w:val="22"/>
          <w:szCs w:val="22"/>
          <w:highlight w:val="none"/>
        </w:rPr>
      </w:pPr>
      <w:bookmarkStart w:id="642" w:name="_Toc469384103"/>
      <w:r>
        <w:rPr>
          <w:rFonts w:hint="eastAsia" w:ascii="宋体" w:hAnsi="宋体" w:cs="宋体"/>
          <w:color w:val="auto"/>
          <w:kern w:val="0"/>
          <w:sz w:val="22"/>
          <w:szCs w:val="22"/>
          <w:highlight w:val="none"/>
        </w:rPr>
        <w:t xml:space="preserve"> 35.4发包人、承包人原因和不可抗力因素造成暂停施工的责任</w:t>
      </w:r>
    </w:p>
    <w:p w14:paraId="2A5D7859">
      <w:pPr>
        <w:spacing w:line="420" w:lineRule="exact"/>
        <w:ind w:firstLine="110" w:firstLineChars="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发包人原因造成暂停施工的责任：由于发包人原因引起的暂停施工造成工期延误的，承包人有权要求发包人延长工期，但不支付相关费用。</w:t>
      </w:r>
    </w:p>
    <w:p w14:paraId="012EE5D1">
      <w:pPr>
        <w:spacing w:line="420" w:lineRule="exact"/>
        <w:ind w:firstLine="110" w:firstLineChars="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属于下列任何一种情况引起的暂停施工，均为发包人的责任：</w:t>
      </w:r>
    </w:p>
    <w:p w14:paraId="37CB6936">
      <w:pPr>
        <w:spacing w:line="420" w:lineRule="exact"/>
        <w:ind w:firstLine="110" w:firstLineChars="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（1）由于发包人违约引起的暂停施工；</w:t>
      </w:r>
    </w:p>
    <w:p w14:paraId="6B68C1FE">
      <w:pPr>
        <w:spacing w:line="420" w:lineRule="exact"/>
        <w:ind w:firstLine="110" w:firstLineChars="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（2）由于不可抗力的自然或社会因素引起的暂停施工；</w:t>
      </w:r>
    </w:p>
    <w:p w14:paraId="421077CC">
      <w:pPr>
        <w:spacing w:line="420" w:lineRule="exact"/>
        <w:ind w:firstLine="110" w:firstLineChars="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（3）发包人承担暂停施工责任的其它情形：由于政府决策引起的暂停施工。</w:t>
      </w:r>
      <w:bookmarkStart w:id="643" w:name="第04章合同条款及格式0213"/>
      <w:bookmarkEnd w:id="643"/>
    </w:p>
    <w:p w14:paraId="0B493ABD">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承包人原因造成暂停施工的其他原因：</w:t>
      </w:r>
      <w:r>
        <w:rPr>
          <w:rFonts w:hint="eastAsia" w:ascii="宋体" w:hAnsi="宋体" w:cs="宋体"/>
          <w:color w:val="auto"/>
          <w:kern w:val="0"/>
          <w:sz w:val="22"/>
          <w:szCs w:val="22"/>
          <w:highlight w:val="none"/>
          <w:u w:val="single"/>
        </w:rPr>
        <w:t>①质量事故；②安全生产事故。</w:t>
      </w:r>
    </w:p>
    <w:p w14:paraId="38800F9C">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（5</w:t>
      </w:r>
      <w:r>
        <w:rPr>
          <w:rFonts w:ascii="宋体" w:hAnsi="宋体" w:cs="宋体"/>
          <w:color w:val="auto"/>
          <w:kern w:val="0"/>
          <w:sz w:val="22"/>
          <w:szCs w:val="22"/>
          <w:highlight w:val="none"/>
          <w:u w:val="single"/>
        </w:rPr>
        <w:t>.1</w:t>
      </w:r>
      <w:r>
        <w:rPr>
          <w:rFonts w:hint="eastAsia" w:ascii="宋体" w:hAnsi="宋体" w:cs="宋体"/>
          <w:color w:val="auto"/>
          <w:kern w:val="0"/>
          <w:sz w:val="22"/>
          <w:szCs w:val="22"/>
          <w:highlight w:val="none"/>
          <w:u w:val="single"/>
        </w:rPr>
        <w:t>）因发生上述①、②项原因而暂停施工的，工期不予顺延，承包人必须承担由此发生的费用，并按本合同《附件十一》第三点、第四点的约定向发包人承担违约责任。</w:t>
      </w:r>
    </w:p>
    <w:p w14:paraId="3B348C02">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承包人不得以与发包人有争议或争议未解决为由而单方面停工，否则，按照本合同《附件十一》第二点的相关约定承担违约责任。</w:t>
      </w:r>
    </w:p>
    <w:p w14:paraId="554CA2A2">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5.2</w:t>
      </w:r>
      <w:r>
        <w:rPr>
          <w:rFonts w:hint="eastAsia" w:ascii="宋体" w:hAnsi="宋体" w:cs="宋体"/>
          <w:color w:val="auto"/>
          <w:kern w:val="0"/>
          <w:sz w:val="22"/>
          <w:szCs w:val="22"/>
          <w:highlight w:val="none"/>
          <w:u w:val="single"/>
        </w:rPr>
        <w:t>）为了保证工程质量安全，凡出现下列情况之一（不限于此）的，总监理工程师有权下达停工令，责令承包人停工整改，由此造成的损失由承包人自行负责，造成工期延误的由承包人按本合同《附件十一》第二点的有关约定承担违约责任：</w:t>
      </w:r>
    </w:p>
    <w:p w14:paraId="07189C22">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①拒绝监理等单位管理；</w:t>
      </w:r>
    </w:p>
    <w:p w14:paraId="6CC32E79">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②施工组织设计（方案）未获总监理工程师批准而进行施工；</w:t>
      </w:r>
    </w:p>
    <w:p w14:paraId="0242178B">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③未经监理单位检验而进行下一道工序作业；</w:t>
      </w:r>
    </w:p>
    <w:p w14:paraId="2BC0FA01">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④擅自采用未经监理单位及发包人认可或批准的材料，或者使用的原材料、构配件不合格或未经检查确认，或者擅自采用未经认可的代用材料；</w:t>
      </w:r>
    </w:p>
    <w:p w14:paraId="12CA2B8A">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⑤擅自变更设计图纸的要求；</w:t>
      </w:r>
    </w:p>
    <w:p w14:paraId="7D4DBED4">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⑥转包工程；</w:t>
      </w:r>
    </w:p>
    <w:p w14:paraId="41AE9508">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⑦擅自让未经发包人批准的分包单位进场作业；</w:t>
      </w:r>
    </w:p>
    <w:p w14:paraId="09051039">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⑧存在安全隐患，未按监理单位要求及时进行整改；</w:t>
      </w:r>
    </w:p>
    <w:p w14:paraId="737C515D">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⑨未按双方约定的要求上报所需的资料。</w:t>
      </w:r>
    </w:p>
    <w:p w14:paraId="7CF9DFBC">
      <w:pPr>
        <w:spacing w:line="420" w:lineRule="exact"/>
        <w:ind w:firstLine="110" w:firstLineChars="50"/>
        <w:rPr>
          <w:rFonts w:hint="eastAsia" w:ascii="宋体" w:hAnsi="宋体" w:cs="宋体"/>
          <w:color w:val="auto"/>
          <w:kern w:val="0"/>
          <w:sz w:val="22"/>
          <w:szCs w:val="22"/>
          <w:highlight w:val="none"/>
          <w:u w:val="single"/>
        </w:rPr>
      </w:pPr>
    </w:p>
    <w:p w14:paraId="6E4571AB">
      <w:pPr>
        <w:pStyle w:val="3"/>
        <w:numPr>
          <w:ilvl w:val="0"/>
          <w:numId w:val="0"/>
        </w:numPr>
        <w:tabs>
          <w:tab w:val="left" w:pos="420"/>
        </w:tabs>
        <w:spacing w:line="420" w:lineRule="exact"/>
        <w:rPr>
          <w:rFonts w:hAnsi="宋体"/>
          <w:b/>
          <w:bCs/>
          <w:color w:val="auto"/>
          <w:sz w:val="22"/>
          <w:szCs w:val="22"/>
          <w:highlight w:val="none"/>
        </w:rPr>
      </w:pPr>
      <w:bookmarkStart w:id="644" w:name="_Toc25259"/>
      <w:bookmarkStart w:id="645" w:name="_Toc155166174"/>
      <w:bookmarkStart w:id="646" w:name="_Toc29108"/>
      <w:bookmarkStart w:id="647" w:name="_Toc16017"/>
      <w:bookmarkStart w:id="648" w:name="_Toc28226"/>
      <w:r>
        <w:rPr>
          <w:rFonts w:hint="eastAsia" w:hAnsi="宋体"/>
          <w:b/>
          <w:bCs/>
          <w:color w:val="auto"/>
          <w:sz w:val="22"/>
          <w:szCs w:val="22"/>
          <w:highlight w:val="none"/>
        </w:rPr>
        <w:t>36. 工期及工期延误</w:t>
      </w:r>
      <w:bookmarkEnd w:id="642"/>
      <w:bookmarkEnd w:id="644"/>
      <w:bookmarkEnd w:id="645"/>
      <w:bookmarkEnd w:id="646"/>
      <w:bookmarkEnd w:id="647"/>
      <w:bookmarkEnd w:id="648"/>
    </w:p>
    <w:p w14:paraId="7FC698D1">
      <w:pPr>
        <w:spacing w:line="420" w:lineRule="exact"/>
        <w:ind w:firstLine="110" w:firstLineChars="50"/>
        <w:rPr>
          <w:rFonts w:ascii="宋体" w:hAnsi="宋体" w:cs="宋体"/>
          <w:color w:val="auto"/>
          <w:kern w:val="0"/>
          <w:sz w:val="22"/>
          <w:szCs w:val="22"/>
          <w:highlight w:val="none"/>
        </w:rPr>
      </w:pPr>
    </w:p>
    <w:p w14:paraId="2811E74C">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36.1 合同工程的工期约定为（      ）天。</w:t>
      </w:r>
    </w:p>
    <w:p w14:paraId="62B190C6">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（1）</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（工程名称）单位工程的工期约定为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天。</w:t>
      </w:r>
    </w:p>
    <w:p w14:paraId="0DAD4332">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（2）</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（工程名称）单位工程的工期约定为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天。</w:t>
      </w:r>
    </w:p>
    <w:p w14:paraId="5C2BC195">
      <w:pPr>
        <w:spacing w:line="420" w:lineRule="exact"/>
        <w:ind w:firstLine="330" w:firstLineChars="150"/>
        <w:rPr>
          <w:rFonts w:hint="eastAsia" w:ascii="宋体" w:hAnsi="宋体" w:cs="宋体"/>
          <w:color w:val="auto"/>
          <w:sz w:val="22"/>
          <w:szCs w:val="22"/>
          <w:highlight w:val="none"/>
        </w:rPr>
      </w:pPr>
    </w:p>
    <w:p w14:paraId="1BF2C730">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w:t>
      </w:r>
      <w:r>
        <w:rPr>
          <w:rFonts w:ascii="宋体" w:hAnsi="宋体" w:cs="宋体"/>
          <w:color w:val="auto"/>
          <w:sz w:val="22"/>
          <w:szCs w:val="22"/>
          <w:highlight w:val="none"/>
        </w:rPr>
        <w:t>36.3</w:t>
      </w:r>
      <w:r>
        <w:rPr>
          <w:rFonts w:hint="eastAsia" w:ascii="宋体" w:hAnsi="宋体" w:cs="宋体"/>
          <w:color w:val="auto"/>
          <w:sz w:val="22"/>
          <w:szCs w:val="22"/>
          <w:highlight w:val="none"/>
        </w:rPr>
        <w:t>（1</w:t>
      </w:r>
      <w:r>
        <w:rPr>
          <w:rFonts w:ascii="宋体" w:hAnsi="宋体" w:cs="宋体"/>
          <w:color w:val="auto"/>
          <w:sz w:val="22"/>
          <w:szCs w:val="22"/>
          <w:highlight w:val="none"/>
        </w:rPr>
        <w:t>2</w:t>
      </w:r>
      <w:r>
        <w:rPr>
          <w:rFonts w:hint="eastAsia" w:ascii="宋体" w:hAnsi="宋体" w:cs="宋体"/>
          <w:color w:val="auto"/>
          <w:sz w:val="22"/>
          <w:szCs w:val="22"/>
          <w:highlight w:val="none"/>
        </w:rPr>
        <w:t>）发包人造成工期延误的其他原因：</w:t>
      </w:r>
      <w:r>
        <w:rPr>
          <w:rFonts w:ascii="宋体" w:hAnsi="宋体" w:cs="宋体"/>
          <w:color w:val="auto"/>
          <w:sz w:val="22"/>
          <w:szCs w:val="22"/>
          <w:highlight w:val="none"/>
          <w:u w:val="single"/>
        </w:rPr>
        <w:t>发包人原因不能按照监理人发出的开工通知中载明的开工日期开工。除发包人原因延期开工外，发包人造成承包人关键线路工作工期延误的其他原因还包括：</w:t>
      </w:r>
    </w:p>
    <w:p w14:paraId="6F451033">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12.1</w:t>
      </w:r>
      <w:r>
        <w:rPr>
          <w:rFonts w:hint="eastAsia" w:ascii="宋体" w:hAnsi="宋体" w:cs="宋体"/>
          <w:color w:val="auto"/>
          <w:sz w:val="22"/>
          <w:szCs w:val="22"/>
          <w:highlight w:val="none"/>
          <w:u w:val="single"/>
        </w:rPr>
        <w:t>）发包人书面认可或经政府行政主管部门确认为不可抗力的原因，本工程不同意其它任何理由的工期顺延。承包人必须在工期延误发生后7日历天内向发包人书面申请确认，逾期申请发包人不予接纳并视为工期无需顺延；</w:t>
      </w:r>
    </w:p>
    <w:p w14:paraId="3AAA351B">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12.2</w:t>
      </w:r>
      <w:r>
        <w:rPr>
          <w:rFonts w:hint="eastAsia" w:ascii="宋体" w:hAnsi="宋体" w:cs="宋体"/>
          <w:color w:val="auto"/>
          <w:sz w:val="22"/>
          <w:szCs w:val="22"/>
          <w:highlight w:val="none"/>
          <w:u w:val="single"/>
        </w:rPr>
        <w:t>）因征地拆迁、施工用地交地、管线迁改、协调原因等原因影响工期的，由发包人酌情签认后工期顺延，但发包人不负担任何补偿费用，有关风险承包人已考虑在签约合同价内。</w:t>
      </w:r>
    </w:p>
    <w:p w14:paraId="7094BFCD">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（1</w:t>
      </w:r>
      <w:r>
        <w:rPr>
          <w:rFonts w:ascii="宋体" w:hAnsi="宋体" w:cs="宋体"/>
          <w:color w:val="auto"/>
          <w:sz w:val="22"/>
          <w:szCs w:val="22"/>
          <w:highlight w:val="none"/>
          <w:u w:val="single"/>
        </w:rPr>
        <w:t>2.3</w:t>
      </w: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异常恶劣的气候条件的范围和标准：</w:t>
      </w:r>
    </w:p>
    <w:p w14:paraId="23BA24AA">
      <w:pPr>
        <w:spacing w:line="420" w:lineRule="exact"/>
        <w:ind w:firstLine="110" w:firstLineChars="5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（1）日降雨量大于100mm的雨日超过5天；</w:t>
      </w:r>
    </w:p>
    <w:p w14:paraId="34585CFC">
      <w:pPr>
        <w:spacing w:line="420" w:lineRule="exact"/>
        <w:ind w:firstLine="110" w:firstLineChars="5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（2）受热带气旋影响，气象部门公布当地的平均风力达10级或以上，或者阵风12级或以上；</w:t>
      </w:r>
    </w:p>
    <w:p w14:paraId="589CBBC9">
      <w:pPr>
        <w:spacing w:line="420" w:lineRule="exact"/>
        <w:ind w:firstLine="110" w:firstLineChars="5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（3）日最高气温超过38℃的高温大于5天；</w:t>
      </w:r>
    </w:p>
    <w:p w14:paraId="671754F2">
      <w:pPr>
        <w:spacing w:line="420" w:lineRule="exact"/>
        <w:ind w:firstLine="110" w:firstLineChars="5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（4）日最低气温低于5℃的严寒大于5天；</w:t>
      </w:r>
    </w:p>
    <w:p w14:paraId="7D75EB77">
      <w:pPr>
        <w:spacing w:line="420" w:lineRule="exact"/>
        <w:ind w:firstLine="110" w:firstLineChars="5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（5）造成工程损坏的冰雹和大雪灾害。</w:t>
      </w:r>
    </w:p>
    <w:p w14:paraId="3949B76D">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（6）其它异常恶劣气候灾害。</w:t>
      </w:r>
    </w:p>
    <w:p w14:paraId="63BAB8CA">
      <w:pPr>
        <w:spacing w:line="420" w:lineRule="exact"/>
        <w:ind w:firstLine="110" w:firstLineChars="50"/>
        <w:rPr>
          <w:rFonts w:ascii="宋体" w:hAnsi="宋体" w:cs="宋体"/>
          <w:color w:val="auto"/>
          <w:kern w:val="0"/>
          <w:sz w:val="22"/>
          <w:szCs w:val="22"/>
          <w:highlight w:val="none"/>
        </w:rPr>
      </w:pPr>
    </w:p>
    <w:p w14:paraId="736BA3DF">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3</w:t>
      </w:r>
      <w:r>
        <w:rPr>
          <w:rFonts w:ascii="宋体" w:hAnsi="宋体" w:cs="宋体"/>
          <w:color w:val="auto"/>
          <w:kern w:val="0"/>
          <w:sz w:val="22"/>
          <w:szCs w:val="22"/>
          <w:highlight w:val="none"/>
        </w:rPr>
        <w:t>6.8</w:t>
      </w:r>
      <w:r>
        <w:rPr>
          <w:rFonts w:hint="eastAsia" w:ascii="宋体" w:hAnsi="宋体" w:cs="宋体"/>
          <w:color w:val="auto"/>
          <w:kern w:val="0"/>
          <w:sz w:val="22"/>
          <w:szCs w:val="22"/>
          <w:highlight w:val="none"/>
        </w:rPr>
        <w:t>承包人误期的赔偿、责任承担</w:t>
      </w:r>
    </w:p>
    <w:p w14:paraId="717345C2">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1）承包人因材料供应、施工劳力和机具设备不足、管理不善或发生安全质量事故，而影响工期的，均属承包人责任，不能借此顺延工期及费用索赔。承包人应采取有效措施，努力将受影响的工期补回，但不能免除发包人根据合同规定追究承包人的违约责任。</w:t>
      </w:r>
    </w:p>
    <w:p w14:paraId="7C892128">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（2）由于下列原因而影响施工进度，而且受影响的工程是处在工程进度网络计划的关键线路上，承包人有权要求延长本合同工程或单项工程的工期。</w:t>
      </w:r>
    </w:p>
    <w:p w14:paraId="398203B8">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（a）因天灾或人力不可抗拒的原因，被迫停工者（指六级以上地震、十级以上强台风、龙卷风、五十年一遇洪水造成的重大破坏而延误工期或因政府政策调整等政府行为因素导致工程工期延误）；</w:t>
      </w:r>
    </w:p>
    <w:p w14:paraId="5C3D169C">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（b）因发包人同意变更的施工设计图不能及时提供而影响关键线路的施工；</w:t>
      </w:r>
    </w:p>
    <w:p w14:paraId="50889E11">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（c）因征地拆迁未能及时解决而影响关键线路的施工。</w:t>
      </w:r>
    </w:p>
    <w:p w14:paraId="49F34278">
      <w:pPr>
        <w:spacing w:line="420" w:lineRule="exact"/>
        <w:ind w:firstLine="110" w:firstLineChars="50"/>
        <w:rPr>
          <w:rFonts w:ascii="宋体" w:hAnsi="宋体" w:cs="宋体"/>
          <w:color w:val="auto"/>
          <w:kern w:val="0"/>
          <w:sz w:val="22"/>
          <w:szCs w:val="22"/>
          <w:highlight w:val="none"/>
        </w:rPr>
      </w:pPr>
    </w:p>
    <w:p w14:paraId="6312FEEA">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hint="eastAsia" w:ascii="宋体" w:hAnsi="宋体" w:cs="宋体"/>
          <w:color w:val="auto"/>
          <w:kern w:val="0"/>
          <w:sz w:val="22"/>
          <w:szCs w:val="22"/>
          <w:highlight w:val="none"/>
        </w:rPr>
        <w:t>36.9 赶工措施费</w:t>
      </w:r>
    </w:p>
    <w:p w14:paraId="7CD5B68D">
      <w:pPr>
        <w:spacing w:line="420" w:lineRule="exact"/>
        <w:ind w:left="359" w:leftChars="171"/>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发包人要求的合同工程工期小于定额工期的</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%时，根据广东省建设工程计价依据规定的赶工措施费率为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%计算</w:t>
      </w:r>
      <w:r>
        <w:rPr>
          <w:rFonts w:hint="eastAsia" w:ascii="宋体" w:hAnsi="宋体" w:cs="宋体"/>
          <w:color w:val="auto"/>
          <w:kern w:val="0"/>
          <w:sz w:val="22"/>
          <w:szCs w:val="22"/>
          <w:highlight w:val="none"/>
        </w:rPr>
        <w:t>；</w:t>
      </w:r>
    </w:p>
    <w:p w14:paraId="140D1CD3">
      <w:pPr>
        <w:spacing w:line="420" w:lineRule="exact"/>
        <w:ind w:left="359" w:leftChars="171"/>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发包人要求的合同工程工期小于定额工期的</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%时，根据广州市住房和城乡建设局发布的赶工措施费规定的赶工措施费率为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%计算；</w:t>
      </w:r>
    </w:p>
    <w:p w14:paraId="400DC35D">
      <w:pPr>
        <w:spacing w:line="420" w:lineRule="exact"/>
        <w:ind w:left="359" w:leftChars="171"/>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发包人要求的合同工程工期小于定额工期的</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%时，根据广州市建设工程造价管理站发布的赶工措施费规定的赶工措施费率为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%计算</w:t>
      </w:r>
      <w:r>
        <w:rPr>
          <w:rFonts w:hint="eastAsia" w:ascii="宋体" w:hAnsi="宋体" w:cs="宋体"/>
          <w:color w:val="auto"/>
          <w:kern w:val="0"/>
          <w:sz w:val="22"/>
          <w:szCs w:val="22"/>
          <w:highlight w:val="none"/>
        </w:rPr>
        <w:t>；</w:t>
      </w:r>
    </w:p>
    <w:p w14:paraId="4D32CD65">
      <w:pPr>
        <w:spacing w:line="420" w:lineRule="exact"/>
        <w:ind w:left="340" w:leftChars="57" w:hanging="220" w:hangingChars="100"/>
        <w:rPr>
          <w:rFonts w:ascii="宋体" w:hAnsi="宋体" w:cs="宋体"/>
          <w:color w:val="auto"/>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color w:val="auto"/>
          <w:sz w:val="22"/>
          <w:szCs w:val="22"/>
          <w:highlight w:val="none"/>
        </w:rPr>
        <w:t>发包人要求的合同工程工期小于定额工期的</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%时，发包人、承包人约定赶工措施费率按</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%计算</w:t>
      </w: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 xml:space="preserve"> </w:t>
      </w:r>
    </w:p>
    <w:p w14:paraId="5F9BF26E">
      <w:pPr>
        <w:pStyle w:val="3"/>
        <w:numPr>
          <w:ilvl w:val="0"/>
          <w:numId w:val="0"/>
        </w:numPr>
        <w:tabs>
          <w:tab w:val="left" w:pos="420"/>
        </w:tabs>
        <w:spacing w:line="420" w:lineRule="exact"/>
        <w:rPr>
          <w:rFonts w:hAnsi="宋体"/>
          <w:b/>
          <w:bCs/>
          <w:color w:val="auto"/>
          <w:sz w:val="22"/>
          <w:szCs w:val="22"/>
          <w:highlight w:val="none"/>
        </w:rPr>
      </w:pPr>
      <w:bookmarkStart w:id="649" w:name="_Toc155166175"/>
      <w:bookmarkStart w:id="650" w:name="_Toc2261"/>
      <w:bookmarkStart w:id="651" w:name="_Toc16235"/>
      <w:bookmarkStart w:id="652" w:name="_Toc8663"/>
      <w:bookmarkStart w:id="653" w:name="_Toc27480"/>
      <w:bookmarkStart w:id="654" w:name="_Toc469384104"/>
      <w:r>
        <w:rPr>
          <w:rFonts w:hint="eastAsia" w:hAnsi="宋体"/>
          <w:b/>
          <w:bCs/>
          <w:color w:val="auto"/>
          <w:sz w:val="22"/>
          <w:szCs w:val="22"/>
          <w:highlight w:val="none"/>
        </w:rPr>
        <w:t>38. 竣工日期</w:t>
      </w:r>
      <w:bookmarkEnd w:id="649"/>
      <w:bookmarkEnd w:id="650"/>
      <w:bookmarkEnd w:id="651"/>
      <w:bookmarkEnd w:id="652"/>
      <w:bookmarkEnd w:id="653"/>
      <w:bookmarkEnd w:id="654"/>
    </w:p>
    <w:p w14:paraId="6CC90CBD">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0D24CC6F">
      <w:pPr>
        <w:spacing w:line="420" w:lineRule="exact"/>
        <w:ind w:firstLine="110" w:firstLineChars="50"/>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38.1 计划竣工日期：</w:t>
      </w:r>
      <w:r>
        <w:rPr>
          <w:rFonts w:hint="eastAsia" w:ascii="宋体" w:hAnsi="宋体" w:cs="宋体"/>
          <w:color w:val="auto"/>
          <w:sz w:val="22"/>
          <w:szCs w:val="22"/>
          <w:highlight w:val="none"/>
          <w:u w:val="single"/>
        </w:rPr>
        <w:t xml:space="preserve">                            </w:t>
      </w:r>
    </w:p>
    <w:p w14:paraId="3EBAF0E1">
      <w:pPr>
        <w:spacing w:line="420" w:lineRule="exact"/>
        <w:ind w:firstLine="110" w:firstLineChars="50"/>
        <w:rPr>
          <w:rFonts w:ascii="宋体" w:hAnsi="宋体" w:cs="宋体"/>
          <w:color w:val="auto"/>
          <w:sz w:val="22"/>
          <w:szCs w:val="22"/>
          <w:highlight w:val="none"/>
        </w:rPr>
      </w:pPr>
    </w:p>
    <w:p w14:paraId="4656A69B">
      <w:pPr>
        <w:pStyle w:val="3"/>
        <w:numPr>
          <w:ilvl w:val="0"/>
          <w:numId w:val="0"/>
        </w:numPr>
        <w:tabs>
          <w:tab w:val="left" w:pos="420"/>
        </w:tabs>
        <w:spacing w:line="420" w:lineRule="exact"/>
        <w:rPr>
          <w:rFonts w:hAnsi="宋体"/>
          <w:b/>
          <w:bCs/>
          <w:color w:val="auto"/>
          <w:sz w:val="22"/>
          <w:szCs w:val="22"/>
          <w:highlight w:val="none"/>
        </w:rPr>
      </w:pPr>
      <w:bookmarkStart w:id="655" w:name="_Toc17101"/>
      <w:bookmarkStart w:id="656" w:name="_Toc2823"/>
      <w:bookmarkStart w:id="657" w:name="_Toc4124"/>
      <w:bookmarkStart w:id="658" w:name="_Toc155166176"/>
      <w:bookmarkStart w:id="659" w:name="_Toc18628"/>
      <w:bookmarkStart w:id="660" w:name="_Toc469384105"/>
      <w:r>
        <w:rPr>
          <w:rFonts w:hint="eastAsia" w:hAnsi="宋体"/>
          <w:b/>
          <w:bCs/>
          <w:color w:val="auto"/>
          <w:sz w:val="22"/>
          <w:szCs w:val="22"/>
          <w:highlight w:val="none"/>
        </w:rPr>
        <w:t>3</w:t>
      </w:r>
      <w:r>
        <w:rPr>
          <w:rFonts w:hAnsi="宋体"/>
          <w:b/>
          <w:bCs/>
          <w:color w:val="auto"/>
          <w:sz w:val="22"/>
          <w:szCs w:val="22"/>
          <w:highlight w:val="none"/>
        </w:rPr>
        <w:t>9.</w:t>
      </w:r>
      <w:r>
        <w:rPr>
          <w:rFonts w:hint="eastAsia" w:hAnsi="宋体"/>
          <w:b/>
          <w:bCs/>
          <w:color w:val="auto"/>
          <w:sz w:val="22"/>
          <w:szCs w:val="22"/>
          <w:highlight w:val="none"/>
        </w:rPr>
        <w:t>提前竣工</w:t>
      </w:r>
      <w:bookmarkEnd w:id="655"/>
      <w:bookmarkEnd w:id="656"/>
      <w:bookmarkEnd w:id="657"/>
      <w:bookmarkEnd w:id="658"/>
      <w:bookmarkEnd w:id="659"/>
    </w:p>
    <w:p w14:paraId="7E831229">
      <w:pPr>
        <w:rPr>
          <w:rFonts w:hAnsi="宋体"/>
          <w:color w:val="auto"/>
          <w:sz w:val="24"/>
          <w:highlight w:val="none"/>
        </w:rPr>
      </w:pPr>
    </w:p>
    <w:p w14:paraId="318F41E6">
      <w:pPr>
        <w:spacing w:line="420" w:lineRule="exact"/>
        <w:ind w:firstLine="110" w:firstLineChars="50"/>
        <w:rPr>
          <w:rFonts w:ascii="宋体" w:hAnsi="宋体" w:cs="宋体"/>
          <w:color w:val="auto"/>
          <w:sz w:val="22"/>
          <w:szCs w:val="22"/>
          <w:highlight w:val="none"/>
          <w:u w:val="single"/>
        </w:rPr>
      </w:pPr>
      <w:r>
        <w:rPr>
          <w:rFonts w:ascii="宋体" w:hAnsi="宋体" w:cs="宋体"/>
          <w:color w:val="auto"/>
          <w:sz w:val="22"/>
          <w:szCs w:val="22"/>
          <w:highlight w:val="none"/>
        </w:rPr>
        <w:t>提前竣工的奖励办法：</w:t>
      </w:r>
      <w:r>
        <w:rPr>
          <w:rFonts w:ascii="宋体" w:hAnsi="宋体" w:cs="宋体"/>
          <w:color w:val="auto"/>
          <w:sz w:val="22"/>
          <w:szCs w:val="22"/>
          <w:highlight w:val="none"/>
          <w:u w:val="single"/>
        </w:rPr>
        <w:t xml:space="preserve">  </w:t>
      </w:r>
      <w:r>
        <w:rPr>
          <w:rFonts w:hint="eastAsia" w:ascii="宋体" w:hAnsi="宋体" w:cs="宋体"/>
          <w:color w:val="auto"/>
          <w:sz w:val="22"/>
          <w:szCs w:val="22"/>
          <w:highlight w:val="none"/>
          <w:u w:val="single"/>
        </w:rPr>
        <w:t>无约定</w:t>
      </w:r>
      <w:r>
        <w:rPr>
          <w:rFonts w:ascii="宋体" w:hAnsi="宋体" w:cs="宋体"/>
          <w:color w:val="auto"/>
          <w:sz w:val="22"/>
          <w:szCs w:val="22"/>
          <w:highlight w:val="none"/>
          <w:u w:val="single"/>
        </w:rPr>
        <w:t xml:space="preserve"> 。</w:t>
      </w:r>
    </w:p>
    <w:p w14:paraId="11D52B7E">
      <w:pPr>
        <w:rPr>
          <w:color w:val="auto"/>
          <w:highlight w:val="none"/>
        </w:rPr>
      </w:pPr>
    </w:p>
    <w:p w14:paraId="19879E50">
      <w:pPr>
        <w:pStyle w:val="3"/>
        <w:numPr>
          <w:ilvl w:val="0"/>
          <w:numId w:val="0"/>
        </w:numPr>
        <w:tabs>
          <w:tab w:val="left" w:pos="420"/>
        </w:tabs>
        <w:spacing w:line="420" w:lineRule="exact"/>
        <w:rPr>
          <w:rFonts w:hAnsi="宋体"/>
          <w:b/>
          <w:bCs/>
          <w:color w:val="auto"/>
          <w:sz w:val="22"/>
          <w:szCs w:val="22"/>
          <w:highlight w:val="none"/>
        </w:rPr>
      </w:pPr>
      <w:bookmarkStart w:id="661" w:name="_Toc3455"/>
      <w:bookmarkStart w:id="662" w:name="_Toc4050"/>
      <w:bookmarkStart w:id="663" w:name="_Toc155166177"/>
      <w:bookmarkStart w:id="664" w:name="_Toc7579"/>
      <w:bookmarkStart w:id="665" w:name="_Toc24259"/>
      <w:r>
        <w:rPr>
          <w:rFonts w:hint="eastAsia" w:hAnsi="宋体"/>
          <w:b/>
          <w:bCs/>
          <w:color w:val="auto"/>
          <w:sz w:val="22"/>
          <w:szCs w:val="22"/>
          <w:highlight w:val="none"/>
        </w:rPr>
        <w:t>4</w:t>
      </w:r>
      <w:r>
        <w:rPr>
          <w:rFonts w:hAnsi="宋体"/>
          <w:b/>
          <w:bCs/>
          <w:color w:val="auto"/>
          <w:sz w:val="22"/>
          <w:szCs w:val="22"/>
          <w:highlight w:val="none"/>
        </w:rPr>
        <w:t>0</w:t>
      </w:r>
      <w:r>
        <w:rPr>
          <w:rFonts w:hint="eastAsia" w:hAnsi="宋体"/>
          <w:b/>
          <w:bCs/>
          <w:color w:val="auto"/>
          <w:sz w:val="22"/>
          <w:szCs w:val="22"/>
          <w:highlight w:val="none"/>
        </w:rPr>
        <w:t>误期赔偿</w:t>
      </w:r>
      <w:bookmarkEnd w:id="661"/>
      <w:bookmarkEnd w:id="662"/>
      <w:bookmarkEnd w:id="663"/>
      <w:bookmarkEnd w:id="664"/>
      <w:bookmarkEnd w:id="665"/>
    </w:p>
    <w:p w14:paraId="76B56F4B">
      <w:pPr>
        <w:spacing w:line="420" w:lineRule="exact"/>
        <w:ind w:firstLine="110" w:firstLineChars="50"/>
        <w:rPr>
          <w:rFonts w:ascii="宋体" w:hAnsi="宋体" w:cs="宋体"/>
          <w:color w:val="auto"/>
          <w:sz w:val="22"/>
          <w:szCs w:val="22"/>
          <w:highlight w:val="none"/>
        </w:rPr>
      </w:pPr>
    </w:p>
    <w:p w14:paraId="50AA118D">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4</w:t>
      </w:r>
      <w:r>
        <w:rPr>
          <w:rFonts w:ascii="宋体" w:hAnsi="宋体" w:cs="宋体"/>
          <w:color w:val="auto"/>
          <w:sz w:val="22"/>
          <w:szCs w:val="22"/>
          <w:highlight w:val="none"/>
        </w:rPr>
        <w:t>0.1</w:t>
      </w:r>
      <w:r>
        <w:rPr>
          <w:rFonts w:hint="eastAsia" w:ascii="宋体" w:hAnsi="宋体" w:cs="宋体"/>
          <w:color w:val="auto"/>
          <w:sz w:val="22"/>
          <w:szCs w:val="22"/>
          <w:highlight w:val="none"/>
        </w:rPr>
        <w:t>误期的赔偿</w:t>
      </w:r>
    </w:p>
    <w:p w14:paraId="57BFEE0C">
      <w:pPr>
        <w:spacing w:line="360" w:lineRule="auto"/>
        <w:ind w:firstLine="480" w:firstLineChars="200"/>
        <w:rPr>
          <w:rFonts w:hAnsi="宋体"/>
          <w:color w:val="auto"/>
          <w:sz w:val="24"/>
          <w:highlight w:val="none"/>
        </w:rPr>
      </w:pPr>
    </w:p>
    <w:p w14:paraId="5B89E493">
      <w:pPr>
        <w:spacing w:line="360" w:lineRule="auto"/>
        <w:ind w:firstLine="440" w:firstLineChars="200"/>
        <w:rPr>
          <w:color w:val="auto"/>
          <w:sz w:val="22"/>
          <w:szCs w:val="22"/>
          <w:highlight w:val="none"/>
        </w:rPr>
      </w:pPr>
      <w:r>
        <w:rPr>
          <w:rFonts w:hAnsi="宋体"/>
          <w:color w:val="auto"/>
          <w:sz w:val="22"/>
          <w:szCs w:val="22"/>
          <w:highlight w:val="none"/>
        </w:rPr>
        <w:t>由于承包人原因造成不能按期竣工的，在按合同约定确定的竣工日期</w:t>
      </w:r>
      <w:r>
        <w:rPr>
          <w:color w:val="auto"/>
          <w:sz w:val="22"/>
          <w:szCs w:val="22"/>
          <w:highlight w:val="none"/>
        </w:rPr>
        <w:t>（</w:t>
      </w:r>
      <w:r>
        <w:rPr>
          <w:rFonts w:hAnsi="宋体"/>
          <w:color w:val="auto"/>
          <w:sz w:val="22"/>
          <w:szCs w:val="22"/>
          <w:highlight w:val="none"/>
        </w:rPr>
        <w:t>包括按合同延长的工期</w:t>
      </w:r>
      <w:r>
        <w:rPr>
          <w:color w:val="auto"/>
          <w:sz w:val="22"/>
          <w:szCs w:val="22"/>
          <w:highlight w:val="none"/>
        </w:rPr>
        <w:t>）</w:t>
      </w:r>
      <w:r>
        <w:rPr>
          <w:rFonts w:hAnsi="宋体"/>
          <w:color w:val="auto"/>
          <w:sz w:val="22"/>
          <w:szCs w:val="22"/>
          <w:highlight w:val="none"/>
        </w:rPr>
        <w:t>后</w:t>
      </w:r>
      <w:r>
        <w:rPr>
          <w:color w:val="auto"/>
          <w:sz w:val="22"/>
          <w:szCs w:val="22"/>
          <w:highlight w:val="none"/>
        </w:rPr>
        <w:t>7</w:t>
      </w:r>
      <w:r>
        <w:rPr>
          <w:rFonts w:hAnsi="宋体"/>
          <w:color w:val="auto"/>
          <w:sz w:val="22"/>
          <w:szCs w:val="22"/>
          <w:highlight w:val="none"/>
        </w:rPr>
        <w:t>日历天内，监理人应当按通用合同条款第</w:t>
      </w:r>
      <w:r>
        <w:rPr>
          <w:color w:val="auto"/>
          <w:sz w:val="22"/>
          <w:szCs w:val="22"/>
          <w:highlight w:val="none"/>
        </w:rPr>
        <w:t>28.3</w:t>
      </w:r>
      <w:r>
        <w:rPr>
          <w:rFonts w:hAnsi="宋体"/>
          <w:color w:val="auto"/>
          <w:sz w:val="22"/>
          <w:szCs w:val="22"/>
          <w:highlight w:val="none"/>
        </w:rPr>
        <w:t>项的约定书面通知承包人，说明发包人有权得到按本款约定的下列标准和方法计算的逾期竣工违约金，但最终违约金的金额不应超过本款约定的逾期竣工违约金最高限额。监理人未在规定的期限内发出本款约定的书面通知的，发包人丧失主张逾期竣工违约金的权利。</w:t>
      </w:r>
    </w:p>
    <w:p w14:paraId="55A14162">
      <w:pPr>
        <w:spacing w:line="360" w:lineRule="auto"/>
        <w:ind w:firstLine="440" w:firstLineChars="200"/>
        <w:rPr>
          <w:color w:val="auto"/>
          <w:sz w:val="22"/>
          <w:szCs w:val="22"/>
          <w:highlight w:val="none"/>
        </w:rPr>
      </w:pPr>
      <w:r>
        <w:rPr>
          <w:rFonts w:hAnsi="宋体"/>
          <w:color w:val="auto"/>
          <w:sz w:val="22"/>
          <w:szCs w:val="22"/>
          <w:highlight w:val="none"/>
        </w:rPr>
        <w:t>逾期竣工违约金的计算标准：</w:t>
      </w:r>
      <w:r>
        <w:rPr>
          <w:rFonts w:hint="eastAsia"/>
          <w:color w:val="auto"/>
          <w:sz w:val="22"/>
          <w:szCs w:val="22"/>
          <w:highlight w:val="none"/>
          <w:u w:val="single"/>
        </w:rPr>
        <w:t>按合同附件十一的约定执行</w:t>
      </w:r>
      <w:r>
        <w:rPr>
          <w:color w:val="auto"/>
          <w:sz w:val="22"/>
          <w:szCs w:val="22"/>
          <w:highlight w:val="none"/>
          <w:u w:val="single"/>
        </w:rPr>
        <w:t>。</w:t>
      </w:r>
    </w:p>
    <w:p w14:paraId="79478A7E">
      <w:pPr>
        <w:spacing w:line="360" w:lineRule="auto"/>
        <w:ind w:firstLine="440" w:firstLineChars="200"/>
        <w:rPr>
          <w:color w:val="auto"/>
          <w:sz w:val="22"/>
          <w:szCs w:val="22"/>
          <w:highlight w:val="none"/>
          <w:u w:val="single"/>
        </w:rPr>
      </w:pPr>
      <w:r>
        <w:rPr>
          <w:rFonts w:hAnsi="宋体"/>
          <w:color w:val="auto"/>
          <w:sz w:val="22"/>
          <w:szCs w:val="22"/>
          <w:highlight w:val="none"/>
        </w:rPr>
        <w:t>逾期竣工违约金的计算方法：</w:t>
      </w:r>
      <w:r>
        <w:rPr>
          <w:rFonts w:hint="eastAsia"/>
          <w:color w:val="auto"/>
          <w:sz w:val="22"/>
          <w:szCs w:val="22"/>
          <w:highlight w:val="none"/>
          <w:u w:val="single"/>
        </w:rPr>
        <w:t>按合同附件十一的约定执行</w:t>
      </w:r>
      <w:r>
        <w:rPr>
          <w:color w:val="auto"/>
          <w:sz w:val="22"/>
          <w:szCs w:val="22"/>
          <w:highlight w:val="none"/>
          <w:u w:val="single"/>
        </w:rPr>
        <w:t>。</w:t>
      </w:r>
    </w:p>
    <w:p w14:paraId="532E9E76">
      <w:pPr>
        <w:ind w:firstLine="440" w:firstLineChars="200"/>
        <w:rPr>
          <w:color w:val="auto"/>
          <w:sz w:val="22"/>
          <w:szCs w:val="22"/>
          <w:highlight w:val="none"/>
          <w:u w:val="single"/>
        </w:rPr>
      </w:pPr>
      <w:r>
        <w:rPr>
          <w:rFonts w:hAnsi="宋体"/>
          <w:color w:val="auto"/>
          <w:sz w:val="22"/>
          <w:szCs w:val="22"/>
          <w:highlight w:val="none"/>
        </w:rPr>
        <w:t>逾期竣工违约金最高限额：</w:t>
      </w:r>
      <w:r>
        <w:rPr>
          <w:rFonts w:hint="eastAsia"/>
          <w:color w:val="auto"/>
          <w:sz w:val="22"/>
          <w:szCs w:val="22"/>
          <w:highlight w:val="none"/>
          <w:u w:val="single"/>
        </w:rPr>
        <w:t>按合同附件十一的约定执行</w:t>
      </w:r>
      <w:r>
        <w:rPr>
          <w:color w:val="auto"/>
          <w:sz w:val="22"/>
          <w:szCs w:val="22"/>
          <w:highlight w:val="none"/>
          <w:u w:val="single"/>
        </w:rPr>
        <w:t>。</w:t>
      </w:r>
    </w:p>
    <w:p w14:paraId="207C2EB7">
      <w:pPr>
        <w:rPr>
          <w:color w:val="auto"/>
          <w:highlight w:val="none"/>
        </w:rPr>
      </w:pPr>
    </w:p>
    <w:p w14:paraId="3C3C5FEE">
      <w:pPr>
        <w:pStyle w:val="3"/>
        <w:numPr>
          <w:ilvl w:val="0"/>
          <w:numId w:val="0"/>
        </w:numPr>
        <w:tabs>
          <w:tab w:val="left" w:pos="420"/>
        </w:tabs>
        <w:spacing w:line="420" w:lineRule="exact"/>
        <w:rPr>
          <w:rFonts w:hAnsi="宋体"/>
          <w:b/>
          <w:bCs/>
          <w:color w:val="auto"/>
          <w:sz w:val="22"/>
          <w:szCs w:val="22"/>
          <w:highlight w:val="none"/>
        </w:rPr>
      </w:pPr>
      <w:bookmarkStart w:id="666" w:name="_Toc155166178"/>
      <w:bookmarkStart w:id="667" w:name="_Toc5505"/>
      <w:bookmarkStart w:id="668" w:name="_Toc7127"/>
      <w:bookmarkStart w:id="669" w:name="_Toc19295"/>
      <w:r>
        <w:rPr>
          <w:rFonts w:hint="eastAsia" w:hAnsi="宋体"/>
          <w:b/>
          <w:bCs/>
          <w:color w:val="auto"/>
          <w:sz w:val="22"/>
          <w:szCs w:val="22"/>
          <w:highlight w:val="none"/>
        </w:rPr>
        <w:t>★41  质量与安全管理</w:t>
      </w:r>
      <w:bookmarkEnd w:id="666"/>
      <w:bookmarkEnd w:id="667"/>
      <w:bookmarkEnd w:id="668"/>
      <w:bookmarkEnd w:id="669"/>
    </w:p>
    <w:p w14:paraId="3702A1E8">
      <w:pPr>
        <w:rPr>
          <w:color w:val="auto"/>
          <w:highlight w:val="none"/>
        </w:rPr>
      </w:pPr>
    </w:p>
    <w:p w14:paraId="11F14732">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4</w:t>
      </w:r>
      <w:r>
        <w:rPr>
          <w:rFonts w:ascii="宋体" w:hAnsi="宋体" w:cs="宋体"/>
          <w:color w:val="auto"/>
          <w:sz w:val="22"/>
          <w:szCs w:val="22"/>
          <w:highlight w:val="none"/>
        </w:rPr>
        <w:t>1.4</w:t>
      </w:r>
      <w:r>
        <w:rPr>
          <w:rFonts w:hint="eastAsia" w:ascii="宋体" w:hAnsi="宋体" w:cs="宋体"/>
          <w:color w:val="auto"/>
          <w:sz w:val="22"/>
          <w:szCs w:val="22"/>
          <w:highlight w:val="none"/>
        </w:rPr>
        <w:t>承包人对质量与安全负责</w:t>
      </w:r>
    </w:p>
    <w:p w14:paraId="48188DDD">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承包人除遵守通用条款4</w:t>
      </w:r>
      <w:r>
        <w:rPr>
          <w:rFonts w:ascii="宋体" w:hAnsi="宋体" w:cs="宋体"/>
          <w:color w:val="auto"/>
          <w:sz w:val="22"/>
          <w:szCs w:val="22"/>
          <w:highlight w:val="none"/>
        </w:rPr>
        <w:t>1.4</w:t>
      </w:r>
      <w:r>
        <w:rPr>
          <w:rFonts w:hint="eastAsia" w:ascii="宋体" w:hAnsi="宋体" w:cs="宋体"/>
          <w:color w:val="auto"/>
          <w:sz w:val="22"/>
          <w:szCs w:val="22"/>
          <w:highlight w:val="none"/>
        </w:rPr>
        <w:t>条外，还应遵守以下约定：</w:t>
      </w:r>
    </w:p>
    <w:p w14:paraId="2CE4706A">
      <w:pPr>
        <w:spacing w:line="420" w:lineRule="exact"/>
        <w:ind w:firstLine="110" w:firstLineChars="50"/>
        <w:rPr>
          <w:rFonts w:hint="eastAsia" w:ascii="宋体" w:hAnsi="宋体" w:cs="宋体"/>
          <w:color w:val="auto"/>
          <w:sz w:val="22"/>
          <w:szCs w:val="22"/>
          <w:highlight w:val="none"/>
        </w:rPr>
      </w:pPr>
      <w:r>
        <w:rPr>
          <w:rFonts w:hint="eastAsia" w:ascii="宋体" w:hAnsi="宋体" w:cs="宋体"/>
          <w:color w:val="auto"/>
          <w:sz w:val="22"/>
          <w:szCs w:val="22"/>
          <w:highlight w:val="none"/>
        </w:rPr>
        <w:t>（1）承包人应当按照相关法律法规、规范的要求实施安全文明施工，履行《安全生产和文明施工管理协议书》的约定。</w:t>
      </w:r>
    </w:p>
    <w:p w14:paraId="3C54B6DF">
      <w:pPr>
        <w:spacing w:line="420" w:lineRule="exact"/>
        <w:ind w:firstLine="110" w:firstLineChars="50"/>
        <w:rPr>
          <w:rFonts w:hint="eastAsia" w:ascii="宋体" w:hAnsi="宋体" w:cs="宋体"/>
          <w:color w:val="auto"/>
          <w:sz w:val="22"/>
          <w:szCs w:val="22"/>
          <w:highlight w:val="none"/>
        </w:rPr>
      </w:pPr>
      <w:r>
        <w:rPr>
          <w:rFonts w:hint="eastAsia" w:ascii="宋体" w:hAnsi="宋体" w:cs="宋体"/>
          <w:color w:val="auto"/>
          <w:sz w:val="22"/>
          <w:szCs w:val="22"/>
          <w:highlight w:val="none"/>
        </w:rPr>
        <w:t>（2）承包人违反《安全生产和文明施工管理协议》约定扣款行为的，由发包人</w:t>
      </w:r>
      <w:r>
        <w:rPr>
          <w:rFonts w:hint="eastAsia" w:ascii="宋体" w:hAnsi="宋体" w:cs="宋体"/>
          <w:color w:val="auto"/>
          <w:sz w:val="22"/>
          <w:szCs w:val="22"/>
          <w:highlight w:val="none"/>
          <w:lang w:eastAsia="zh-CN"/>
        </w:rPr>
        <w:t>要求承包人承担相应的违约金</w:t>
      </w:r>
      <w:r>
        <w:rPr>
          <w:rFonts w:hint="eastAsia" w:ascii="宋体" w:hAnsi="宋体" w:cs="宋体"/>
          <w:color w:val="auto"/>
          <w:sz w:val="22"/>
          <w:szCs w:val="22"/>
          <w:highlight w:val="none"/>
        </w:rPr>
        <w:t>。</w:t>
      </w:r>
    </w:p>
    <w:p w14:paraId="707612A9">
      <w:pPr>
        <w:spacing w:line="420" w:lineRule="exact"/>
        <w:ind w:firstLine="110" w:firstLineChars="50"/>
        <w:rPr>
          <w:rFonts w:hint="eastAsia" w:ascii="宋体" w:hAnsi="宋体" w:cs="宋体"/>
          <w:color w:val="auto"/>
          <w:sz w:val="22"/>
          <w:szCs w:val="22"/>
          <w:highlight w:val="none"/>
        </w:rPr>
      </w:pPr>
      <w:r>
        <w:rPr>
          <w:rFonts w:hint="eastAsia" w:ascii="宋体" w:hAnsi="宋体" w:cs="宋体"/>
          <w:color w:val="auto"/>
          <w:sz w:val="22"/>
          <w:szCs w:val="22"/>
          <w:highlight w:val="none"/>
        </w:rPr>
        <w:t>（</w:t>
      </w:r>
      <w:r>
        <w:rPr>
          <w:rFonts w:ascii="宋体" w:hAnsi="宋体" w:cs="宋体"/>
          <w:color w:val="auto"/>
          <w:sz w:val="22"/>
          <w:szCs w:val="22"/>
          <w:highlight w:val="none"/>
        </w:rPr>
        <w:t>3</w:t>
      </w:r>
      <w:r>
        <w:rPr>
          <w:rFonts w:hint="eastAsia" w:ascii="宋体" w:hAnsi="宋体" w:cs="宋体"/>
          <w:color w:val="auto"/>
          <w:sz w:val="22"/>
          <w:szCs w:val="22"/>
          <w:highlight w:val="none"/>
        </w:rPr>
        <w:t>）承包人应在工地建立一支消防队伍负责全工地的消防工作，并配备必要的消防设备和救助设施，所需费用由承包人承担。</w:t>
      </w:r>
    </w:p>
    <w:p w14:paraId="30EDA55A">
      <w:pPr>
        <w:spacing w:line="420" w:lineRule="exact"/>
        <w:ind w:firstLine="110" w:firstLineChars="50"/>
        <w:rPr>
          <w:rFonts w:hint="eastAsia" w:ascii="宋体" w:hAnsi="宋体" w:cs="宋体"/>
          <w:color w:val="auto"/>
          <w:sz w:val="22"/>
          <w:szCs w:val="22"/>
          <w:highlight w:val="none"/>
        </w:rPr>
      </w:pPr>
      <w:r>
        <w:rPr>
          <w:rFonts w:hint="eastAsia" w:ascii="宋体" w:hAnsi="宋体" w:cs="宋体"/>
          <w:color w:val="auto"/>
          <w:sz w:val="22"/>
          <w:szCs w:val="22"/>
          <w:highlight w:val="none"/>
        </w:rPr>
        <w:t>（</w:t>
      </w:r>
      <w:r>
        <w:rPr>
          <w:rFonts w:ascii="宋体" w:hAnsi="宋体" w:cs="宋体"/>
          <w:color w:val="auto"/>
          <w:sz w:val="22"/>
          <w:szCs w:val="22"/>
          <w:highlight w:val="none"/>
        </w:rPr>
        <w:t>4</w:t>
      </w:r>
      <w:r>
        <w:rPr>
          <w:rFonts w:hint="eastAsia" w:ascii="宋体" w:hAnsi="宋体" w:cs="宋体"/>
          <w:color w:val="auto"/>
          <w:sz w:val="22"/>
          <w:szCs w:val="22"/>
          <w:highlight w:val="none"/>
        </w:rPr>
        <w:t>）承包人应在工地建立一支防汛队伍负责全工地的防汛工作，并配备必要的防汛设备和物资，所需费用由承包人承担。</w:t>
      </w:r>
    </w:p>
    <w:p w14:paraId="171CB0D2">
      <w:pPr>
        <w:pStyle w:val="3"/>
        <w:numPr>
          <w:ilvl w:val="0"/>
          <w:numId w:val="0"/>
        </w:numPr>
        <w:tabs>
          <w:tab w:val="left" w:pos="420"/>
        </w:tabs>
        <w:spacing w:line="420" w:lineRule="exact"/>
        <w:rPr>
          <w:rFonts w:hAnsi="宋体"/>
          <w:b/>
          <w:bCs/>
          <w:color w:val="auto"/>
          <w:sz w:val="22"/>
          <w:szCs w:val="22"/>
          <w:highlight w:val="none"/>
        </w:rPr>
      </w:pPr>
      <w:bookmarkStart w:id="670" w:name="_Toc7536"/>
      <w:bookmarkStart w:id="671" w:name="_Toc5831"/>
      <w:bookmarkStart w:id="672" w:name="_Toc155166179"/>
      <w:bookmarkStart w:id="673" w:name="_Toc6806"/>
      <w:bookmarkStart w:id="674" w:name="_Toc24729"/>
      <w:r>
        <w:rPr>
          <w:rFonts w:hint="eastAsia" w:hAnsi="宋体"/>
          <w:b/>
          <w:bCs/>
          <w:color w:val="auto"/>
          <w:sz w:val="22"/>
          <w:szCs w:val="22"/>
          <w:highlight w:val="none"/>
        </w:rPr>
        <w:t>★42. 质量标准、目标</w:t>
      </w:r>
      <w:bookmarkEnd w:id="660"/>
      <w:bookmarkEnd w:id="670"/>
      <w:bookmarkEnd w:id="671"/>
      <w:bookmarkEnd w:id="672"/>
      <w:bookmarkEnd w:id="673"/>
      <w:bookmarkEnd w:id="674"/>
    </w:p>
    <w:p w14:paraId="39B1A005">
      <w:pPr>
        <w:spacing w:line="420" w:lineRule="exact"/>
        <w:ind w:firstLine="110" w:firstLineChars="50"/>
        <w:rPr>
          <w:rFonts w:ascii="宋体" w:hAnsi="宋体" w:cs="宋体"/>
          <w:color w:val="auto"/>
          <w:sz w:val="22"/>
          <w:szCs w:val="22"/>
          <w:highlight w:val="none"/>
        </w:rPr>
      </w:pPr>
    </w:p>
    <w:p w14:paraId="31414B45">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hint="eastAsia" w:ascii="宋体" w:hAnsi="宋体" w:cs="宋体"/>
          <w:b/>
          <w:bCs/>
          <w:color w:val="auto"/>
          <w:sz w:val="22"/>
          <w:szCs w:val="22"/>
          <w:highlight w:val="none"/>
        </w:rPr>
        <w:t>★</w:t>
      </w:r>
      <w:r>
        <w:rPr>
          <w:rFonts w:hint="eastAsia" w:ascii="宋体" w:hAnsi="宋体" w:cs="宋体"/>
          <w:color w:val="auto"/>
          <w:sz w:val="22"/>
          <w:szCs w:val="22"/>
          <w:highlight w:val="none"/>
        </w:rPr>
        <w:t>42.1 约定的工程质量标准</w:t>
      </w:r>
    </w:p>
    <w:p w14:paraId="4CE18578">
      <w:pPr>
        <w:spacing w:line="420" w:lineRule="exact"/>
        <w:ind w:firstLine="110" w:firstLineChars="50"/>
        <w:rPr>
          <w:color w:val="auto"/>
          <w:sz w:val="24"/>
          <w:highlight w:val="none"/>
          <w:u w:val="single"/>
        </w:rPr>
      </w:pPr>
      <w:r>
        <w:rPr>
          <w:rFonts w:hint="eastAsia" w:ascii="宋体" w:hAnsi="宋体" w:cs="宋体"/>
          <w:color w:val="auto"/>
          <w:sz w:val="22"/>
          <w:szCs w:val="22"/>
          <w:highlight w:val="none"/>
        </w:rPr>
        <w:t xml:space="preserve">  （1） 合同工程质量标准：</w:t>
      </w:r>
      <w:r>
        <w:rPr>
          <w:rFonts w:hint="eastAsia" w:ascii="宋体" w:hAnsi="宋体" w:cs="宋体"/>
          <w:color w:val="auto"/>
          <w:sz w:val="22"/>
          <w:szCs w:val="22"/>
          <w:highlight w:val="none"/>
          <w:u w:val="single"/>
        </w:rPr>
        <w:t>按合同协议书第四条的约定执行</w:t>
      </w:r>
    </w:p>
    <w:p w14:paraId="164971F3">
      <w:pPr>
        <w:spacing w:line="42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创优目标：</w:t>
      </w:r>
    </w:p>
    <w:p w14:paraId="5C519428">
      <w:pPr>
        <w:autoSpaceDE w:val="0"/>
        <w:autoSpaceDN w:val="0"/>
        <w:adjustRightInd w:val="0"/>
        <w:spacing w:line="42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color w:val="auto"/>
          <w:sz w:val="22"/>
          <w:szCs w:val="22"/>
          <w:highlight w:val="none"/>
        </w:rPr>
        <w:t>市级工程优质奖</w:t>
      </w:r>
      <w:r>
        <w:rPr>
          <w:rFonts w:hint="eastAsia" w:ascii="宋体" w:hAnsi="宋体" w:cs="宋体"/>
          <w:color w:val="auto"/>
          <w:kern w:val="0"/>
          <w:sz w:val="22"/>
          <w:szCs w:val="22"/>
          <w:highlight w:val="none"/>
        </w:rPr>
        <w:t>；</w:t>
      </w:r>
    </w:p>
    <w:p w14:paraId="4F9E861B">
      <w:pPr>
        <w:autoSpaceDE w:val="0"/>
        <w:autoSpaceDN w:val="0"/>
        <w:adjustRightInd w:val="0"/>
        <w:spacing w:line="42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color w:val="auto"/>
          <w:sz w:val="22"/>
          <w:szCs w:val="22"/>
          <w:highlight w:val="none"/>
        </w:rPr>
        <w:t>省级工程优质奖</w:t>
      </w:r>
      <w:r>
        <w:rPr>
          <w:rFonts w:hint="eastAsia" w:ascii="宋体" w:hAnsi="宋体" w:cs="宋体"/>
          <w:color w:val="auto"/>
          <w:kern w:val="0"/>
          <w:sz w:val="22"/>
          <w:szCs w:val="22"/>
          <w:highlight w:val="none"/>
        </w:rPr>
        <w:t>；</w:t>
      </w:r>
    </w:p>
    <w:p w14:paraId="5651312E">
      <w:pPr>
        <w:spacing w:line="42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color w:val="auto"/>
          <w:sz w:val="22"/>
          <w:szCs w:val="22"/>
          <w:highlight w:val="none"/>
        </w:rPr>
        <w:t>国家级工程优质奖</w:t>
      </w:r>
      <w:r>
        <w:rPr>
          <w:rFonts w:hint="eastAsia" w:ascii="宋体" w:hAnsi="宋体" w:cs="宋体"/>
          <w:color w:val="auto"/>
          <w:kern w:val="0"/>
          <w:sz w:val="22"/>
          <w:szCs w:val="22"/>
          <w:highlight w:val="none"/>
        </w:rPr>
        <w:t>；</w:t>
      </w:r>
    </w:p>
    <w:p w14:paraId="7AF62372">
      <w:pPr>
        <w:spacing w:line="42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其它</w:t>
      </w:r>
    </w:p>
    <w:p w14:paraId="6C344A78">
      <w:pPr>
        <w:spacing w:line="420" w:lineRule="exact"/>
        <w:ind w:firstLine="440" w:firstLineChars="200"/>
        <w:rPr>
          <w:rFonts w:ascii="宋体" w:hAnsi="宋体" w:cs="宋体"/>
          <w:color w:val="auto"/>
          <w:kern w:val="0"/>
          <w:sz w:val="22"/>
          <w:szCs w:val="22"/>
          <w:highlight w:val="none"/>
        </w:rPr>
      </w:pPr>
    </w:p>
    <w:p w14:paraId="799A0D1C">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kern w:val="0"/>
          <w:sz w:val="22"/>
          <w:szCs w:val="22"/>
          <w:highlight w:val="none"/>
        </w:rPr>
        <w:t>（2）</w:t>
      </w:r>
      <w:r>
        <w:rPr>
          <w:rFonts w:hint="eastAsia" w:ascii="宋体" w:hAnsi="宋体" w:cs="宋体"/>
          <w:color w:val="auto"/>
          <w:sz w:val="22"/>
          <w:szCs w:val="22"/>
          <w:highlight w:val="none"/>
        </w:rPr>
        <w:t>特殊质量标准和要求：</w:t>
      </w:r>
      <w:r>
        <w:rPr>
          <w:rFonts w:hint="eastAsia" w:ascii="宋体" w:hAnsi="宋体" w:cs="宋体"/>
          <w:color w:val="auto"/>
          <w:sz w:val="22"/>
          <w:szCs w:val="22"/>
          <w:highlight w:val="none"/>
          <w:u w:val="single"/>
        </w:rPr>
        <w:t xml:space="preserve">                      </w:t>
      </w:r>
    </w:p>
    <w:p w14:paraId="262FEBB8">
      <w:pPr>
        <w:spacing w:line="420" w:lineRule="exact"/>
        <w:ind w:firstLine="330" w:firstLineChars="150"/>
        <w:rPr>
          <w:rFonts w:ascii="宋体" w:hAnsi="宋体" w:cs="宋体"/>
          <w:color w:val="auto"/>
          <w:sz w:val="22"/>
          <w:szCs w:val="22"/>
          <w:highlight w:val="none"/>
          <w:u w:val="single"/>
        </w:rPr>
      </w:pPr>
    </w:p>
    <w:p w14:paraId="4181BAE7">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rPr>
        <w:t>（3） 工程质量验收标准：</w:t>
      </w:r>
      <w:r>
        <w:rPr>
          <w:rFonts w:hint="eastAsia" w:ascii="宋体" w:hAnsi="宋体" w:cs="宋体"/>
          <w:color w:val="auto"/>
          <w:sz w:val="22"/>
          <w:szCs w:val="22"/>
          <w:highlight w:val="none"/>
          <w:u w:val="single"/>
        </w:rPr>
        <w:t>承包人必须确保工程一次验收合格。</w:t>
      </w:r>
    </w:p>
    <w:p w14:paraId="7AC49D5C">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①因承包人原因致使工程未一次验收合格的，由承包人按照本合同《附件十一》第三点第（2）项的约定承担违约责任；因此导致工程不能按计划工期办理竣工验收的，由承包人按照《合同附件十一》的约定承担违约责任。</w:t>
      </w:r>
    </w:p>
    <w:p w14:paraId="40FB84AE">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②因承包人责任故意或过失造成的工程质量事故或质量问题，由承包人承担违约责任，赔偿发包人因此而受到的所有经济损失，包括直接损失和间接损失。</w:t>
      </w:r>
    </w:p>
    <w:p w14:paraId="66E9E0B8">
      <w:pPr>
        <w:spacing w:line="420" w:lineRule="exact"/>
        <w:ind w:firstLine="220" w:firstLineChars="100"/>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③双方有质量争议时，由本工程的相关行政主管部门或由其委托的相关建设工程质量监督机构调解。</w:t>
      </w:r>
    </w:p>
    <w:p w14:paraId="6ADD2186">
      <w:pPr>
        <w:spacing w:line="420" w:lineRule="exact"/>
        <w:rPr>
          <w:rFonts w:ascii="宋体" w:hAnsi="宋体" w:cs="宋体"/>
          <w:color w:val="auto"/>
          <w:sz w:val="22"/>
          <w:szCs w:val="22"/>
          <w:highlight w:val="none"/>
          <w:u w:val="single"/>
        </w:rPr>
      </w:pPr>
    </w:p>
    <w:p w14:paraId="58EB81E4">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42.3 质量保证体系</w:t>
      </w:r>
    </w:p>
    <w:p w14:paraId="1A4310DE">
      <w:pPr>
        <w:spacing w:line="420" w:lineRule="exact"/>
        <w:ind w:firstLine="389" w:firstLineChars="177"/>
        <w:rPr>
          <w:rFonts w:ascii="宋体" w:hAnsi="宋体" w:cs="宋体"/>
          <w:color w:val="auto"/>
          <w:sz w:val="22"/>
          <w:szCs w:val="22"/>
          <w:highlight w:val="none"/>
        </w:rPr>
      </w:pPr>
      <w:r>
        <w:rPr>
          <w:rFonts w:hint="eastAsia" w:ascii="宋体" w:hAnsi="宋体" w:cs="宋体"/>
          <w:color w:val="auto"/>
          <w:sz w:val="22"/>
          <w:szCs w:val="22"/>
          <w:highlight w:val="none"/>
        </w:rPr>
        <w:t>承包人应当完善质量管理制度，建立质量控制流程，建立并保持一个有效的工程质量管理体系。</w:t>
      </w:r>
    </w:p>
    <w:p w14:paraId="11283734">
      <w:pPr>
        <w:spacing w:line="420" w:lineRule="exact"/>
        <w:ind w:firstLine="389" w:firstLineChars="177"/>
        <w:rPr>
          <w:rFonts w:ascii="宋体" w:hAnsi="宋体" w:cs="宋体"/>
          <w:color w:val="auto"/>
          <w:sz w:val="22"/>
          <w:szCs w:val="22"/>
          <w:highlight w:val="none"/>
        </w:rPr>
      </w:pPr>
      <w:r>
        <w:rPr>
          <w:rFonts w:hint="eastAsia" w:ascii="宋体" w:hAnsi="宋体" w:cs="宋体"/>
          <w:color w:val="auto"/>
          <w:sz w:val="22"/>
          <w:szCs w:val="22"/>
          <w:highlight w:val="none"/>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37E68E89">
      <w:pPr>
        <w:spacing w:line="420" w:lineRule="exact"/>
        <w:ind w:firstLine="389" w:firstLineChars="177"/>
        <w:rPr>
          <w:rFonts w:ascii="宋体" w:hAnsi="宋体" w:cs="宋体"/>
          <w:color w:val="auto"/>
          <w:sz w:val="22"/>
          <w:szCs w:val="22"/>
          <w:highlight w:val="none"/>
          <w:u w:val="single"/>
        </w:rPr>
      </w:pPr>
      <w:bookmarkStart w:id="675" w:name="_Hlk142824407"/>
      <w:r>
        <w:rPr>
          <w:rFonts w:hint="eastAsia" w:ascii="宋体" w:hAnsi="宋体" w:cs="宋体"/>
          <w:color w:val="auto"/>
          <w:sz w:val="22"/>
          <w:szCs w:val="22"/>
          <w:highlight w:val="none"/>
        </w:rPr>
        <w:t>（2）承包人提交总监理工程师批准的施工组织设计或者施工方案必须附有完备的工程质量保证措施，包括：</w:t>
      </w:r>
      <w:r>
        <w:rPr>
          <w:rFonts w:hint="eastAsia" w:ascii="宋体" w:hAnsi="宋体" w:cs="宋体"/>
          <w:color w:val="auto"/>
          <w:sz w:val="22"/>
          <w:szCs w:val="22"/>
          <w:highlight w:val="none"/>
          <w:u w:val="single"/>
        </w:rPr>
        <w:t xml:space="preserve">                                                 </w:t>
      </w:r>
    </w:p>
    <w:bookmarkEnd w:id="675"/>
    <w:p w14:paraId="48AC2700">
      <w:pPr>
        <w:spacing w:line="420" w:lineRule="exact"/>
        <w:ind w:firstLine="389" w:firstLineChars="177"/>
        <w:rPr>
          <w:rFonts w:ascii="宋体" w:hAnsi="宋体" w:cs="宋体"/>
          <w:color w:val="auto"/>
          <w:sz w:val="22"/>
          <w:szCs w:val="22"/>
          <w:highlight w:val="none"/>
        </w:rPr>
      </w:pPr>
      <w:r>
        <w:rPr>
          <w:rFonts w:hint="eastAsia" w:ascii="宋体" w:hAnsi="宋体" w:cs="宋体"/>
          <w:color w:val="auto"/>
          <w:sz w:val="22"/>
          <w:szCs w:val="22"/>
          <w:highlight w:val="none"/>
        </w:rPr>
        <w:t>（3）单项工程开工前，承包人必须按要求对职工分级进行技术交底，组织学习有关规程、标准、规范和工艺要求，在施工中必须按规程及工艺进行操作。</w:t>
      </w:r>
    </w:p>
    <w:p w14:paraId="7B5AEFD4">
      <w:pPr>
        <w:spacing w:line="420" w:lineRule="exact"/>
        <w:ind w:firstLine="389" w:firstLineChars="177"/>
        <w:rPr>
          <w:rFonts w:ascii="宋体" w:hAnsi="宋体" w:cs="宋体"/>
          <w:color w:val="auto"/>
          <w:sz w:val="22"/>
          <w:szCs w:val="22"/>
          <w:highlight w:val="none"/>
        </w:rPr>
      </w:pPr>
      <w:r>
        <w:rPr>
          <w:rFonts w:hint="eastAsia" w:ascii="宋体" w:hAnsi="宋体" w:cs="宋体"/>
          <w:color w:val="auto"/>
          <w:sz w:val="22"/>
          <w:szCs w:val="22"/>
          <w:highlight w:val="none"/>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0AD6D772">
      <w:pPr>
        <w:spacing w:line="420" w:lineRule="exact"/>
        <w:ind w:firstLine="389" w:firstLineChars="177"/>
        <w:rPr>
          <w:rFonts w:ascii="宋体" w:hAnsi="宋体" w:cs="宋体"/>
          <w:color w:val="auto"/>
          <w:sz w:val="22"/>
          <w:szCs w:val="22"/>
          <w:highlight w:val="none"/>
        </w:rPr>
      </w:pPr>
    </w:p>
    <w:p w14:paraId="6A613EB1">
      <w:pPr>
        <w:spacing w:line="420" w:lineRule="exact"/>
        <w:ind w:firstLine="389" w:firstLineChars="177"/>
        <w:rPr>
          <w:rFonts w:ascii="宋体" w:hAnsi="宋体" w:cs="宋体"/>
          <w:color w:val="auto"/>
          <w:sz w:val="22"/>
          <w:szCs w:val="22"/>
          <w:highlight w:val="none"/>
        </w:rPr>
      </w:pPr>
      <w:r>
        <w:rPr>
          <w:rFonts w:hint="eastAsia" w:ascii="宋体" w:hAnsi="宋体" w:cs="宋体"/>
          <w:color w:val="auto"/>
          <w:sz w:val="22"/>
          <w:szCs w:val="22"/>
          <w:highlight w:val="none"/>
        </w:rPr>
        <w:t>4</w:t>
      </w:r>
      <w:r>
        <w:rPr>
          <w:rFonts w:ascii="宋体" w:hAnsi="宋体" w:cs="宋体"/>
          <w:color w:val="auto"/>
          <w:sz w:val="22"/>
          <w:szCs w:val="22"/>
          <w:highlight w:val="none"/>
        </w:rPr>
        <w:t>2.4</w:t>
      </w:r>
      <w:r>
        <w:rPr>
          <w:rFonts w:hint="eastAsia" w:ascii="宋体" w:hAnsi="宋体" w:cs="宋体"/>
          <w:color w:val="auto"/>
          <w:sz w:val="22"/>
          <w:szCs w:val="22"/>
          <w:highlight w:val="none"/>
        </w:rPr>
        <w:t>工程质量有争议的处理</w:t>
      </w:r>
    </w:p>
    <w:p w14:paraId="0E13D2B3">
      <w:pPr>
        <w:spacing w:line="420" w:lineRule="exact"/>
        <w:ind w:firstLine="389" w:firstLineChars="177"/>
        <w:rPr>
          <w:rFonts w:ascii="宋体" w:hAnsi="宋体" w:cs="宋体"/>
          <w:color w:val="auto"/>
          <w:sz w:val="22"/>
          <w:szCs w:val="22"/>
          <w:highlight w:val="none"/>
          <w:u w:val="single"/>
        </w:rPr>
      </w:pPr>
      <w:r>
        <w:rPr>
          <w:rFonts w:ascii="宋体" w:hAnsi="宋体" w:cs="宋体"/>
          <w:color w:val="auto"/>
          <w:sz w:val="22"/>
          <w:szCs w:val="22"/>
          <w:highlight w:val="none"/>
          <w:u w:val="single"/>
        </w:rPr>
        <w:t>发包人和承包人对工程质量有争议的，除可按合同条款第86.4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14:paraId="00979C14">
      <w:pPr>
        <w:spacing w:line="420" w:lineRule="exact"/>
        <w:ind w:firstLine="389" w:firstLineChars="177"/>
        <w:rPr>
          <w:rFonts w:ascii="宋体" w:hAnsi="宋体" w:cs="宋体"/>
          <w:color w:val="auto"/>
          <w:sz w:val="22"/>
          <w:szCs w:val="22"/>
          <w:highlight w:val="none"/>
          <w:u w:val="single"/>
        </w:rPr>
      </w:pPr>
    </w:p>
    <w:p w14:paraId="28640F33">
      <w:pPr>
        <w:pStyle w:val="3"/>
        <w:numPr>
          <w:ilvl w:val="0"/>
          <w:numId w:val="0"/>
        </w:numPr>
        <w:tabs>
          <w:tab w:val="left" w:pos="420"/>
        </w:tabs>
        <w:spacing w:line="420" w:lineRule="exact"/>
        <w:rPr>
          <w:rFonts w:hAnsi="宋体"/>
          <w:b/>
          <w:bCs/>
          <w:color w:val="auto"/>
          <w:sz w:val="22"/>
          <w:szCs w:val="22"/>
          <w:highlight w:val="none"/>
        </w:rPr>
      </w:pPr>
      <w:bookmarkStart w:id="676" w:name="_Toc29661"/>
      <w:bookmarkStart w:id="677" w:name="_Toc8591"/>
      <w:bookmarkStart w:id="678" w:name="_Toc15981"/>
      <w:bookmarkStart w:id="679" w:name="_Toc20823"/>
      <w:bookmarkStart w:id="680" w:name="_Toc155166180"/>
      <w:r>
        <w:rPr>
          <w:rFonts w:hint="eastAsia" w:hAnsi="宋体"/>
          <w:b/>
          <w:bCs/>
          <w:color w:val="auto"/>
          <w:sz w:val="22"/>
          <w:szCs w:val="22"/>
          <w:highlight w:val="none"/>
        </w:rPr>
        <w:t>4</w:t>
      </w:r>
      <w:r>
        <w:rPr>
          <w:rFonts w:hAnsi="宋体"/>
          <w:b/>
          <w:bCs/>
          <w:color w:val="auto"/>
          <w:sz w:val="22"/>
          <w:szCs w:val="22"/>
          <w:highlight w:val="none"/>
        </w:rPr>
        <w:t>4</w:t>
      </w:r>
      <w:r>
        <w:rPr>
          <w:rFonts w:hint="eastAsia" w:hAnsi="宋体"/>
          <w:b/>
          <w:bCs/>
          <w:color w:val="auto"/>
          <w:sz w:val="22"/>
          <w:szCs w:val="22"/>
          <w:highlight w:val="none"/>
        </w:rPr>
        <w:t>工程的照管</w:t>
      </w:r>
      <w:bookmarkEnd w:id="676"/>
      <w:bookmarkEnd w:id="677"/>
      <w:bookmarkEnd w:id="678"/>
      <w:bookmarkEnd w:id="679"/>
      <w:bookmarkEnd w:id="680"/>
    </w:p>
    <w:p w14:paraId="620DDF2C">
      <w:pPr>
        <w:spacing w:line="420" w:lineRule="exact"/>
        <w:rPr>
          <w:rFonts w:ascii="宋体" w:hAnsi="宋体" w:cs="宋体"/>
          <w:color w:val="auto"/>
          <w:sz w:val="22"/>
          <w:szCs w:val="22"/>
          <w:highlight w:val="none"/>
        </w:rPr>
      </w:pPr>
    </w:p>
    <w:p w14:paraId="2DD45CF5">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w:t>4</w:t>
      </w:r>
      <w:r>
        <w:rPr>
          <w:rFonts w:ascii="宋体" w:hAnsi="宋体" w:cs="宋体"/>
          <w:color w:val="auto"/>
          <w:sz w:val="22"/>
          <w:szCs w:val="22"/>
          <w:highlight w:val="none"/>
        </w:rPr>
        <w:t>4.2</w:t>
      </w:r>
      <w:r>
        <w:rPr>
          <w:rFonts w:hint="eastAsia" w:ascii="宋体" w:hAnsi="宋体" w:cs="宋体"/>
          <w:color w:val="auto"/>
          <w:sz w:val="22"/>
          <w:szCs w:val="22"/>
          <w:highlight w:val="none"/>
        </w:rPr>
        <w:t>照管期间承包人造成损失的责任</w:t>
      </w:r>
    </w:p>
    <w:p w14:paraId="10474DAA">
      <w:pPr>
        <w:spacing w:line="420" w:lineRule="exact"/>
        <w:ind w:firstLine="389" w:firstLineChars="177"/>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（1）已完工程成品保护的特殊要求及费用承担：承包人须负全责保护所有成品，直至工程移交为止，其费用已包括在签约合同价内。</w:t>
      </w:r>
    </w:p>
    <w:p w14:paraId="6D8EEBD4">
      <w:pPr>
        <w:spacing w:line="420" w:lineRule="exact"/>
        <w:ind w:firstLine="389" w:firstLineChars="177"/>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2）施工场地周围地下管线、架空线路和邻近建筑物、构筑物（含文物保护建筑）、绿化、古树名木的保护要求及费用承担：由承包人自行勘查和负责保护，因施工过程造成的破坏，由承包人负责其翻修或重建费用及其赔偿责任。</w:t>
      </w:r>
    </w:p>
    <w:p w14:paraId="1D8ABD1D">
      <w:pPr>
        <w:spacing w:line="420" w:lineRule="exact"/>
        <w:rPr>
          <w:rFonts w:ascii="宋体" w:hAnsi="宋体" w:cs="宋体"/>
          <w:color w:val="auto"/>
          <w:sz w:val="22"/>
          <w:szCs w:val="22"/>
          <w:highlight w:val="none"/>
        </w:rPr>
      </w:pPr>
    </w:p>
    <w:p w14:paraId="71DCCDEB">
      <w:pPr>
        <w:pStyle w:val="3"/>
        <w:numPr>
          <w:ilvl w:val="0"/>
          <w:numId w:val="0"/>
        </w:numPr>
        <w:tabs>
          <w:tab w:val="left" w:pos="420"/>
        </w:tabs>
        <w:spacing w:line="420" w:lineRule="exact"/>
        <w:rPr>
          <w:rFonts w:hAnsi="宋体"/>
          <w:b/>
          <w:bCs/>
          <w:color w:val="auto"/>
          <w:sz w:val="22"/>
          <w:szCs w:val="22"/>
          <w:highlight w:val="none"/>
        </w:rPr>
      </w:pPr>
      <w:bookmarkStart w:id="681" w:name="_Hlk142824452"/>
      <w:bookmarkStart w:id="682" w:name="_Toc469384106"/>
      <w:bookmarkStart w:id="683" w:name="_Toc155166181"/>
      <w:bookmarkStart w:id="684" w:name="_Toc24014"/>
      <w:bookmarkStart w:id="685" w:name="_Toc20514"/>
      <w:bookmarkStart w:id="686" w:name="_Toc21810"/>
      <w:bookmarkStart w:id="687" w:name="_Toc16681"/>
      <w:r>
        <w:rPr>
          <w:rFonts w:hint="eastAsia" w:hAnsi="宋体"/>
          <w:b/>
          <w:bCs/>
          <w:color w:val="auto"/>
          <w:sz w:val="22"/>
          <w:szCs w:val="22"/>
          <w:highlight w:val="none"/>
        </w:rPr>
        <w:t>★45.</w:t>
      </w:r>
      <w:bookmarkEnd w:id="681"/>
      <w:r>
        <w:rPr>
          <w:rFonts w:hint="eastAsia" w:hAnsi="宋体"/>
          <w:b/>
          <w:bCs/>
          <w:color w:val="auto"/>
          <w:sz w:val="22"/>
          <w:szCs w:val="22"/>
          <w:highlight w:val="none"/>
        </w:rPr>
        <w:t xml:space="preserve"> </w:t>
      </w:r>
      <w:bookmarkEnd w:id="682"/>
      <w:bookmarkStart w:id="688" w:name="_Hlk142824437"/>
      <w:r>
        <w:rPr>
          <w:rFonts w:hint="eastAsia" w:hAnsi="宋体"/>
          <w:b/>
          <w:bCs/>
          <w:color w:val="auto"/>
          <w:sz w:val="22"/>
          <w:szCs w:val="22"/>
          <w:highlight w:val="none"/>
        </w:rPr>
        <w:t>绿色施工安全防护</w:t>
      </w:r>
      <w:bookmarkEnd w:id="683"/>
      <w:bookmarkEnd w:id="684"/>
      <w:bookmarkEnd w:id="685"/>
      <w:bookmarkEnd w:id="686"/>
      <w:bookmarkEnd w:id="687"/>
    </w:p>
    <w:p w14:paraId="24D4461D">
      <w:pPr>
        <w:spacing w:line="420" w:lineRule="exact"/>
        <w:ind w:firstLine="110" w:firstLineChars="50"/>
        <w:rPr>
          <w:rFonts w:ascii="宋体" w:hAnsi="宋体" w:cs="宋体"/>
          <w:color w:val="auto"/>
          <w:sz w:val="22"/>
          <w:szCs w:val="22"/>
          <w:highlight w:val="none"/>
        </w:rPr>
      </w:pPr>
    </w:p>
    <w:p w14:paraId="097D184D">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45.1绿色施工安全防护的要求：</w:t>
      </w:r>
    </w:p>
    <w:p w14:paraId="58038550">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按通用条款的规定。</w:t>
      </w:r>
    </w:p>
    <w:p w14:paraId="1D212C42">
      <w:pPr>
        <w:spacing w:line="420" w:lineRule="exact"/>
        <w:ind w:firstLine="110" w:firstLineChars="50"/>
        <w:rPr>
          <w:rFonts w:ascii="宋体" w:hAnsi="宋体" w:cs="宋体"/>
          <w:color w:val="auto"/>
          <w:sz w:val="22"/>
          <w:szCs w:val="22"/>
          <w:highlight w:val="non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p>
    <w:p w14:paraId="3E6C647B">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hint="eastAsia" w:ascii="宋体" w:hAnsi="宋体" w:cs="宋体"/>
          <w:color w:val="auto"/>
          <w:kern w:val="0"/>
          <w:sz w:val="22"/>
          <w:szCs w:val="22"/>
          <w:highlight w:val="none"/>
        </w:rPr>
        <w:t>其中：</w:t>
      </w:r>
      <w:r>
        <w:rPr>
          <w:rFonts w:hint="eastAsia" w:ascii="宋体" w:hAnsi="宋体" w:cs="宋体"/>
          <w:color w:val="auto"/>
          <w:sz w:val="22"/>
          <w:szCs w:val="22"/>
          <w:highlight w:val="none"/>
        </w:rPr>
        <w:t>施工扬尘污染防治措施：</w:t>
      </w:r>
      <w:r>
        <w:rPr>
          <w:rFonts w:hint="eastAsia" w:ascii="宋体" w:hAnsi="宋体" w:cs="宋体"/>
          <w:color w:val="auto"/>
          <w:kern w:val="0"/>
          <w:sz w:val="22"/>
          <w:szCs w:val="22"/>
          <w:highlight w:val="none"/>
          <w:u w:val="single"/>
        </w:rPr>
        <w:t xml:space="preserve">                              </w:t>
      </w:r>
    </w:p>
    <w:p w14:paraId="4885934F">
      <w:pPr>
        <w:spacing w:line="420" w:lineRule="exact"/>
        <w:ind w:firstLine="1320" w:firstLineChars="600"/>
        <w:rPr>
          <w:rFonts w:ascii="宋体" w:hAnsi="宋体" w:cs="宋体"/>
          <w:color w:val="auto"/>
          <w:kern w:val="0"/>
          <w:sz w:val="22"/>
          <w:szCs w:val="22"/>
          <w:highlight w:val="none"/>
          <w:u w:val="single"/>
        </w:rPr>
      </w:pPr>
      <w:r>
        <w:rPr>
          <w:rFonts w:hint="eastAsia" w:ascii="宋体" w:hAnsi="宋体" w:cs="宋体"/>
          <w:color w:val="auto"/>
          <w:sz w:val="22"/>
          <w:szCs w:val="22"/>
          <w:highlight w:val="none"/>
        </w:rPr>
        <w:t>用工实名管理：</w:t>
      </w:r>
      <w:r>
        <w:rPr>
          <w:rFonts w:hint="eastAsia" w:ascii="宋体" w:hAnsi="宋体" w:cs="宋体"/>
          <w:color w:val="auto"/>
          <w:kern w:val="0"/>
          <w:sz w:val="22"/>
          <w:szCs w:val="22"/>
          <w:highlight w:val="none"/>
          <w:u w:val="single"/>
        </w:rPr>
        <w:t xml:space="preserve">                              </w:t>
      </w:r>
    </w:p>
    <w:p w14:paraId="22D8855F">
      <w:pPr>
        <w:spacing w:line="420" w:lineRule="exact"/>
        <w:ind w:firstLine="1320" w:firstLineChars="600"/>
        <w:rPr>
          <w:rFonts w:ascii="宋体" w:hAnsi="宋体" w:cs="宋体"/>
          <w:color w:val="auto"/>
          <w:kern w:val="0"/>
          <w:sz w:val="22"/>
          <w:szCs w:val="22"/>
          <w:highlight w:val="none"/>
          <w:u w:val="single"/>
        </w:rPr>
      </w:pPr>
    </w:p>
    <w:p w14:paraId="728104D8">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sz w:val="22"/>
          <w:szCs w:val="22"/>
          <w:highlight w:val="none"/>
        </w:rPr>
        <w:t>45.2</w:t>
      </w:r>
      <w:r>
        <w:rPr>
          <w:rFonts w:hint="eastAsia" w:ascii="宋体" w:hAnsi="宋体" w:cs="宋体"/>
          <w:color w:val="auto"/>
          <w:kern w:val="0"/>
          <w:sz w:val="22"/>
          <w:szCs w:val="22"/>
          <w:highlight w:val="none"/>
        </w:rPr>
        <w:t>用工实名制、工人工资支付分账管理</w:t>
      </w:r>
    </w:p>
    <w:p w14:paraId="3E2E6552">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按通用条款的规定以及以下文件规定：</w:t>
      </w:r>
    </w:p>
    <w:p w14:paraId="2FF9BE34">
      <w:pPr>
        <w:spacing w:line="420" w:lineRule="exact"/>
        <w:ind w:firstLine="880" w:firstLineChars="400"/>
        <w:rPr>
          <w:rFonts w:ascii="宋体" w:hAnsi="宋体" w:cs="宋体"/>
          <w:color w:val="auto"/>
          <w:kern w:val="0"/>
          <w:sz w:val="22"/>
          <w:szCs w:val="22"/>
          <w:highlight w:val="none"/>
        </w:rPr>
      </w:pPr>
      <w:r>
        <w:rPr>
          <w:rFonts w:hint="eastAsia" w:ascii="宋体" w:hAnsi="宋体" w:cs="宋体"/>
          <w:color w:val="auto"/>
          <w:kern w:val="0"/>
          <w:sz w:val="22"/>
          <w:szCs w:val="22"/>
          <w:highlight w:val="none"/>
        </w:rPr>
        <w:t>1、《广东省住房和城乡建设厅关于印发房屋建筑和市政基础设施工程用工实名管理</w:t>
      </w:r>
    </w:p>
    <w:p w14:paraId="19468C47">
      <w:pPr>
        <w:spacing w:line="420" w:lineRule="exact"/>
        <w:ind w:firstLine="1540" w:firstLineChars="700"/>
        <w:rPr>
          <w:rFonts w:ascii="宋体" w:hAnsi="宋体" w:cs="宋体"/>
          <w:color w:val="auto"/>
          <w:kern w:val="0"/>
          <w:sz w:val="22"/>
          <w:szCs w:val="22"/>
          <w:highlight w:val="none"/>
        </w:rPr>
      </w:pPr>
      <w:r>
        <w:rPr>
          <w:rFonts w:hint="eastAsia" w:ascii="宋体" w:hAnsi="宋体" w:cs="宋体"/>
          <w:color w:val="auto"/>
          <w:kern w:val="0"/>
          <w:sz w:val="22"/>
          <w:szCs w:val="22"/>
          <w:highlight w:val="none"/>
        </w:rPr>
        <w:t>暂行办法的通知》（粤建规范〔2018〕1号）</w:t>
      </w:r>
    </w:p>
    <w:p w14:paraId="7BCCEC10">
      <w:pPr>
        <w:spacing w:line="420" w:lineRule="exact"/>
        <w:ind w:left="1537" w:leftChars="627" w:hanging="220" w:hanging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《广州市住房和城乡建设委员会&lt;关于转发广东省住房和城乡建设厅关于房屋建筑和市政基础设施工程用工实名管理暂行办法&gt;的通知》（穗建筑〔2018〕981号）</w:t>
      </w:r>
    </w:p>
    <w:p w14:paraId="1ECEC084">
      <w:pPr>
        <w:spacing w:line="420" w:lineRule="exact"/>
        <w:ind w:left="1537" w:leftChars="627" w:hanging="220" w:hanging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《广州市住房和城乡建设局关于印发广州市建筑施工实名制管理办法的通知(2020)》（穗建规字〔2020〕18号）</w:t>
      </w:r>
    </w:p>
    <w:p w14:paraId="43D04E57">
      <w:pPr>
        <w:spacing w:line="420" w:lineRule="exact"/>
        <w:ind w:left="1353" w:leftChars="68" w:hanging="1210" w:hangingChars="5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《广州市住房和城乡建设局、广州市人力资源和社会保障局、广州市交通运输局等关于印发广州市建设领域工人工资支付分账管理实施细则的通知》（穗建规字〔2020〕37号）</w:t>
      </w:r>
    </w:p>
    <w:p w14:paraId="5939C875">
      <w:pPr>
        <w:spacing w:line="420" w:lineRule="exact"/>
        <w:ind w:firstLine="880" w:firstLineChars="400"/>
        <w:rPr>
          <w:rFonts w:ascii="宋体" w:hAnsi="宋体" w:cs="宋体"/>
          <w:color w:val="auto"/>
          <w:kern w:val="0"/>
          <w:sz w:val="22"/>
          <w:szCs w:val="22"/>
          <w:highlight w:val="none"/>
        </w:rPr>
      </w:pPr>
      <w:r>
        <w:rPr>
          <w:rFonts w:hint="eastAsia" w:ascii="宋体" w:hAnsi="宋体" w:cs="宋体"/>
          <w:color w:val="auto"/>
          <w:kern w:val="0"/>
          <w:sz w:val="22"/>
          <w:szCs w:val="22"/>
          <w:highlight w:val="none"/>
        </w:rPr>
        <w:t>2、□其他文件：</w:t>
      </w:r>
      <w:r>
        <w:rPr>
          <w:rFonts w:hint="eastAsia" w:ascii="宋体" w:hAnsi="宋体" w:cs="宋体"/>
          <w:color w:val="auto"/>
          <w:kern w:val="0"/>
          <w:sz w:val="22"/>
          <w:szCs w:val="22"/>
          <w:highlight w:val="none"/>
          <w:u w:val="single"/>
        </w:rPr>
        <w:t xml:space="preserve">                                                                   </w:t>
      </w:r>
    </w:p>
    <w:p w14:paraId="3AE7EAB8">
      <w:pPr>
        <w:spacing w:line="420" w:lineRule="exact"/>
        <w:rPr>
          <w:rFonts w:ascii="宋体" w:hAnsi="宋体" w:cs="宋体"/>
          <w:color w:val="auto"/>
          <w:kern w:val="0"/>
          <w:sz w:val="22"/>
          <w:szCs w:val="22"/>
          <w:highlight w:val="none"/>
        </w:rPr>
      </w:pPr>
    </w:p>
    <w:p w14:paraId="3752E840">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p>
    <w:p w14:paraId="630CCFF8">
      <w:pPr>
        <w:spacing w:line="420" w:lineRule="exact"/>
        <w:ind w:firstLine="330" w:firstLineChars="150"/>
        <w:rPr>
          <w:rFonts w:ascii="宋体" w:hAnsi="宋体" w:cs="宋体"/>
          <w:color w:val="auto"/>
          <w:kern w:val="0"/>
          <w:sz w:val="22"/>
          <w:szCs w:val="22"/>
          <w:highlight w:val="none"/>
        </w:rPr>
      </w:pPr>
    </w:p>
    <w:p w14:paraId="214B3893">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工人工资账户的其他约定：</w:t>
      </w:r>
    </w:p>
    <w:p w14:paraId="5DD3CB5A">
      <w:pPr>
        <w:spacing w:line="420" w:lineRule="exact"/>
        <w:ind w:firstLine="330" w:firstLineChars="1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施工单位应当在建设项目开工前，应在项目所在地商业银行设立工人工资支付专用账户，并在用工之日起15日内为每个工人办理工资个人账户，报建设单位备案。工人工资支付专用账户的开立、使用和管理应按照人民银行相关规定执行。工人工资支付专用账户内的资金除发放工人工资外，不得用于其他用途，不得开通网上银行等电子支付渠道，不得提取现金。</w:t>
      </w:r>
    </w:p>
    <w:p w14:paraId="47DCC31E">
      <w:pPr>
        <w:spacing w:line="420" w:lineRule="exact"/>
        <w:ind w:firstLine="330" w:firstLineChars="1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2、施工单位应当通过工人工资支付专用账户，依法按时足额将工人工资直接支付到工人的工资个人账户，并按月将工人工资支付明细表报建设单位备案。</w:t>
      </w:r>
    </w:p>
    <w:p w14:paraId="4E191DB8">
      <w:pPr>
        <w:spacing w:line="420" w:lineRule="exact"/>
        <w:ind w:firstLine="330" w:firstLineChars="1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3、施工单位应当建立用工管理台账，真实、准确记录工人名册、劳动合同、劳务合同、工程进度、工时、劳务承包款和工人工资支付情况等信息，并保存两年以上备查。</w:t>
      </w:r>
    </w:p>
    <w:p w14:paraId="2F7A59FE">
      <w:pPr>
        <w:spacing w:line="420" w:lineRule="exact"/>
        <w:ind w:firstLine="330" w:firstLineChars="1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4、如发现施工单位将工人工资支付专用账户内的资金用作其它用途，导致拖欠工人工资，建设单位直接从本工程的履约保证金扣取工人工资。</w:t>
      </w:r>
    </w:p>
    <w:p w14:paraId="28A9CBBA">
      <w:pPr>
        <w:spacing w:line="420" w:lineRule="exact"/>
        <w:ind w:firstLine="330" w:firstLineChars="1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5、由于未设立工人工资支付专用账户造成工程未能完成开工手续报批的，由施工单位承担相应责任。</w:t>
      </w:r>
    </w:p>
    <w:p w14:paraId="47F332BB">
      <w:pPr>
        <w:spacing w:line="420" w:lineRule="exact"/>
        <w:ind w:firstLine="330" w:firstLineChars="1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根据&lt;&lt;广州市番禺区人民政府关于印发番禺区加强财政性投资建设项目标后管理工作意见（试行）的通知&gt;&gt;（番府[2014]106号）及《广州市住房和城乡建设局、广州市人力资源和社会保障局、广州市交通运输局等关于印发广州市建设领域工人工资支付分账管理实施细则的通知》（穗建规字〔2020〕37号）中工程款支付相关规定，中标人在收到中标通知书之日起10个日历天内，必须向招标人合约部提交本中标工程合同的以下两个银行专用帐户： </w:t>
      </w:r>
    </w:p>
    <w:p w14:paraId="14D4FF19">
      <w:pPr>
        <w:spacing w:line="420" w:lineRule="exact"/>
        <w:ind w:firstLine="330" w:firstLineChars="1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第一个帐户为工程项目帐户：中标人必须在广州市辖区内银行机构开设此专户，并由招标人和中标人双方在银行预留支取印鉴。工程项目银行帐户应在中标工程施工合同中明确。</w:t>
      </w:r>
    </w:p>
    <w:p w14:paraId="7C2B793F">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第二个帐户为工人工资支付专用帐户：中标人必须在广州市番禺辖区内商业银行开设此专户，并为每位工人办理个人工资账户。</w:t>
      </w:r>
    </w:p>
    <w:p w14:paraId="543CF440">
      <w:pPr>
        <w:spacing w:line="420" w:lineRule="exact"/>
        <w:ind w:firstLine="330" w:firstLineChars="15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用于支付工人工资的专用账户开户行必须来自以下银行：</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580"/>
        <w:gridCol w:w="2841"/>
      </w:tblGrid>
      <w:tr w14:paraId="0626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01" w:type="dxa"/>
            <w:noWrap w:val="0"/>
            <w:vAlign w:val="center"/>
          </w:tcPr>
          <w:p w14:paraId="3DABD92D">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序号</w:t>
            </w:r>
          </w:p>
        </w:tc>
        <w:tc>
          <w:tcPr>
            <w:tcW w:w="4580" w:type="dxa"/>
            <w:noWrap w:val="0"/>
            <w:vAlign w:val="center"/>
          </w:tcPr>
          <w:p w14:paraId="6D240B23">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商业银行名称</w:t>
            </w:r>
          </w:p>
        </w:tc>
        <w:tc>
          <w:tcPr>
            <w:tcW w:w="2841" w:type="dxa"/>
            <w:noWrap w:val="0"/>
            <w:vAlign w:val="center"/>
          </w:tcPr>
          <w:p w14:paraId="675037D8">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备注</w:t>
            </w:r>
          </w:p>
        </w:tc>
      </w:tr>
      <w:tr w14:paraId="5B6B8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01" w:type="dxa"/>
            <w:noWrap w:val="0"/>
            <w:vAlign w:val="center"/>
          </w:tcPr>
          <w:p w14:paraId="12A58978">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4580" w:type="dxa"/>
            <w:noWrap w:val="0"/>
            <w:vAlign w:val="center"/>
          </w:tcPr>
          <w:p w14:paraId="6181438B">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中国建设银行股份有限公司广东省分行</w:t>
            </w:r>
          </w:p>
        </w:tc>
        <w:tc>
          <w:tcPr>
            <w:tcW w:w="2841" w:type="dxa"/>
            <w:vMerge w:val="restart"/>
            <w:noWrap w:val="0"/>
            <w:vAlign w:val="center"/>
          </w:tcPr>
          <w:p w14:paraId="58E4A730">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所辖广州市番禺区</w:t>
            </w:r>
          </w:p>
          <w:p w14:paraId="140F1E2B">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各网点</w:t>
            </w:r>
          </w:p>
        </w:tc>
      </w:tr>
      <w:tr w14:paraId="0BD8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01" w:type="dxa"/>
            <w:noWrap w:val="0"/>
            <w:vAlign w:val="center"/>
          </w:tcPr>
          <w:p w14:paraId="51C62857">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4580" w:type="dxa"/>
            <w:noWrap w:val="0"/>
            <w:vAlign w:val="center"/>
          </w:tcPr>
          <w:p w14:paraId="6E013932">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交通银行股份有限公司广东省分行</w:t>
            </w:r>
          </w:p>
        </w:tc>
        <w:tc>
          <w:tcPr>
            <w:tcW w:w="2841" w:type="dxa"/>
            <w:vMerge w:val="continue"/>
            <w:noWrap w:val="0"/>
            <w:vAlign w:val="center"/>
          </w:tcPr>
          <w:p w14:paraId="5F7B4111">
            <w:pPr>
              <w:spacing w:line="420" w:lineRule="exact"/>
              <w:ind w:firstLine="0" w:firstLineChars="0"/>
              <w:rPr>
                <w:rFonts w:hint="eastAsia" w:ascii="宋体" w:hAnsi="宋体" w:cs="宋体"/>
                <w:color w:val="auto"/>
                <w:kern w:val="0"/>
                <w:sz w:val="22"/>
                <w:szCs w:val="22"/>
                <w:highlight w:val="none"/>
              </w:rPr>
            </w:pPr>
          </w:p>
        </w:tc>
      </w:tr>
      <w:tr w14:paraId="3F47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01" w:type="dxa"/>
            <w:noWrap w:val="0"/>
            <w:vAlign w:val="center"/>
          </w:tcPr>
          <w:p w14:paraId="7EAE22B0">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w:t>
            </w:r>
          </w:p>
        </w:tc>
        <w:tc>
          <w:tcPr>
            <w:tcW w:w="4580" w:type="dxa"/>
            <w:noWrap w:val="0"/>
            <w:vAlign w:val="center"/>
          </w:tcPr>
          <w:p w14:paraId="1D897E90">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广州农村商业银行股份有限公司</w:t>
            </w:r>
          </w:p>
        </w:tc>
        <w:tc>
          <w:tcPr>
            <w:tcW w:w="2841" w:type="dxa"/>
            <w:vMerge w:val="continue"/>
            <w:noWrap w:val="0"/>
            <w:vAlign w:val="center"/>
          </w:tcPr>
          <w:p w14:paraId="0D4BA82F">
            <w:pPr>
              <w:spacing w:line="420" w:lineRule="exact"/>
              <w:ind w:firstLine="0" w:firstLineChars="0"/>
              <w:rPr>
                <w:rFonts w:hint="eastAsia" w:ascii="宋体" w:hAnsi="宋体" w:cs="宋体"/>
                <w:color w:val="auto"/>
                <w:kern w:val="0"/>
                <w:sz w:val="22"/>
                <w:szCs w:val="22"/>
                <w:highlight w:val="none"/>
              </w:rPr>
            </w:pPr>
          </w:p>
        </w:tc>
      </w:tr>
      <w:tr w14:paraId="6770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01" w:type="dxa"/>
            <w:noWrap w:val="0"/>
            <w:vAlign w:val="center"/>
          </w:tcPr>
          <w:p w14:paraId="4D456764">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4</w:t>
            </w:r>
          </w:p>
        </w:tc>
        <w:tc>
          <w:tcPr>
            <w:tcW w:w="4580" w:type="dxa"/>
            <w:noWrap w:val="0"/>
            <w:vAlign w:val="center"/>
          </w:tcPr>
          <w:p w14:paraId="25DE718A">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中国工商银行股份有限公司广州分行</w:t>
            </w:r>
          </w:p>
        </w:tc>
        <w:tc>
          <w:tcPr>
            <w:tcW w:w="2841" w:type="dxa"/>
            <w:vMerge w:val="continue"/>
            <w:noWrap w:val="0"/>
            <w:vAlign w:val="center"/>
          </w:tcPr>
          <w:p w14:paraId="2B9A64B1">
            <w:pPr>
              <w:spacing w:line="420" w:lineRule="exact"/>
              <w:ind w:firstLine="0" w:firstLineChars="0"/>
              <w:rPr>
                <w:rFonts w:hint="eastAsia" w:ascii="宋体" w:hAnsi="宋体" w:cs="宋体"/>
                <w:color w:val="auto"/>
                <w:kern w:val="0"/>
                <w:sz w:val="22"/>
                <w:szCs w:val="22"/>
                <w:highlight w:val="none"/>
              </w:rPr>
            </w:pPr>
          </w:p>
        </w:tc>
      </w:tr>
      <w:tr w14:paraId="58D2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01" w:type="dxa"/>
            <w:noWrap w:val="0"/>
            <w:vAlign w:val="center"/>
          </w:tcPr>
          <w:p w14:paraId="041C6C39">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5</w:t>
            </w:r>
          </w:p>
        </w:tc>
        <w:tc>
          <w:tcPr>
            <w:tcW w:w="4580" w:type="dxa"/>
            <w:noWrap w:val="0"/>
            <w:vAlign w:val="center"/>
          </w:tcPr>
          <w:p w14:paraId="58A2EF54">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广州银行股份有限公司广州分行</w:t>
            </w:r>
          </w:p>
        </w:tc>
        <w:tc>
          <w:tcPr>
            <w:tcW w:w="2841" w:type="dxa"/>
            <w:vMerge w:val="continue"/>
            <w:noWrap w:val="0"/>
            <w:vAlign w:val="center"/>
          </w:tcPr>
          <w:p w14:paraId="0EFDF286">
            <w:pPr>
              <w:spacing w:line="420" w:lineRule="exact"/>
              <w:ind w:firstLine="0" w:firstLineChars="0"/>
              <w:rPr>
                <w:rFonts w:hint="eastAsia" w:ascii="宋体" w:hAnsi="宋体" w:cs="宋体"/>
                <w:color w:val="auto"/>
                <w:kern w:val="0"/>
                <w:sz w:val="22"/>
                <w:szCs w:val="22"/>
                <w:highlight w:val="none"/>
              </w:rPr>
            </w:pPr>
          </w:p>
        </w:tc>
      </w:tr>
      <w:tr w14:paraId="0139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01" w:type="dxa"/>
            <w:noWrap w:val="0"/>
            <w:vAlign w:val="center"/>
          </w:tcPr>
          <w:p w14:paraId="7E1502D6">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6</w:t>
            </w:r>
          </w:p>
        </w:tc>
        <w:tc>
          <w:tcPr>
            <w:tcW w:w="4580" w:type="dxa"/>
            <w:noWrap w:val="0"/>
            <w:vAlign w:val="center"/>
          </w:tcPr>
          <w:p w14:paraId="32FC6407">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中信银行股份有限公司广州分行</w:t>
            </w:r>
          </w:p>
        </w:tc>
        <w:tc>
          <w:tcPr>
            <w:tcW w:w="2841" w:type="dxa"/>
            <w:vMerge w:val="continue"/>
            <w:noWrap w:val="0"/>
            <w:vAlign w:val="center"/>
          </w:tcPr>
          <w:p w14:paraId="57401A82">
            <w:pPr>
              <w:spacing w:line="420" w:lineRule="exact"/>
              <w:ind w:firstLine="0" w:firstLineChars="0"/>
              <w:rPr>
                <w:rFonts w:hint="eastAsia" w:ascii="宋体" w:hAnsi="宋体" w:cs="宋体"/>
                <w:color w:val="auto"/>
                <w:kern w:val="0"/>
                <w:sz w:val="22"/>
                <w:szCs w:val="22"/>
                <w:highlight w:val="none"/>
              </w:rPr>
            </w:pPr>
          </w:p>
        </w:tc>
      </w:tr>
      <w:tr w14:paraId="5E7F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01" w:type="dxa"/>
            <w:noWrap w:val="0"/>
            <w:vAlign w:val="center"/>
          </w:tcPr>
          <w:p w14:paraId="1237B4AA">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7</w:t>
            </w:r>
          </w:p>
        </w:tc>
        <w:tc>
          <w:tcPr>
            <w:tcW w:w="4580" w:type="dxa"/>
            <w:noWrap w:val="0"/>
            <w:vAlign w:val="center"/>
          </w:tcPr>
          <w:p w14:paraId="13A95FE3">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上海浦东发展银行股份有限公司广州分行</w:t>
            </w:r>
          </w:p>
        </w:tc>
        <w:tc>
          <w:tcPr>
            <w:tcW w:w="2841" w:type="dxa"/>
            <w:vMerge w:val="continue"/>
            <w:noWrap w:val="0"/>
            <w:vAlign w:val="center"/>
          </w:tcPr>
          <w:p w14:paraId="57641D44">
            <w:pPr>
              <w:spacing w:line="420" w:lineRule="exact"/>
              <w:ind w:firstLine="0" w:firstLineChars="0"/>
              <w:rPr>
                <w:rFonts w:hint="eastAsia" w:ascii="宋体" w:hAnsi="宋体" w:cs="宋体"/>
                <w:color w:val="auto"/>
                <w:kern w:val="0"/>
                <w:sz w:val="22"/>
                <w:szCs w:val="22"/>
                <w:highlight w:val="none"/>
              </w:rPr>
            </w:pPr>
          </w:p>
        </w:tc>
      </w:tr>
      <w:tr w14:paraId="72B5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01" w:type="dxa"/>
            <w:noWrap w:val="0"/>
            <w:vAlign w:val="center"/>
          </w:tcPr>
          <w:p w14:paraId="35B801AA">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8</w:t>
            </w:r>
          </w:p>
        </w:tc>
        <w:tc>
          <w:tcPr>
            <w:tcW w:w="4580" w:type="dxa"/>
            <w:noWrap w:val="0"/>
            <w:vAlign w:val="center"/>
          </w:tcPr>
          <w:p w14:paraId="37019D5F">
            <w:pPr>
              <w:spacing w:line="420" w:lineRule="exact"/>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中国邮政储蓄银行股份有限公司广州市分行</w:t>
            </w:r>
          </w:p>
        </w:tc>
        <w:tc>
          <w:tcPr>
            <w:tcW w:w="2841" w:type="dxa"/>
            <w:vMerge w:val="continue"/>
            <w:noWrap w:val="0"/>
            <w:vAlign w:val="center"/>
          </w:tcPr>
          <w:p w14:paraId="7A7A6F7B">
            <w:pPr>
              <w:spacing w:line="420" w:lineRule="exact"/>
              <w:ind w:firstLine="0" w:firstLineChars="0"/>
              <w:rPr>
                <w:rFonts w:hint="eastAsia" w:ascii="宋体" w:hAnsi="宋体" w:cs="宋体"/>
                <w:color w:val="auto"/>
                <w:kern w:val="0"/>
                <w:sz w:val="22"/>
                <w:szCs w:val="22"/>
                <w:highlight w:val="none"/>
              </w:rPr>
            </w:pPr>
          </w:p>
        </w:tc>
      </w:tr>
    </w:tbl>
    <w:p w14:paraId="74EB526B">
      <w:pPr>
        <w:rPr>
          <w:rFonts w:hint="eastAsia" w:ascii="宋体" w:hAnsi="宋体" w:cs="宋体"/>
          <w:color w:val="auto"/>
          <w:kern w:val="0"/>
          <w:sz w:val="10"/>
          <w:szCs w:val="10"/>
          <w:highlight w:val="none"/>
        </w:rPr>
      </w:pPr>
    </w:p>
    <w:p w14:paraId="1305B977">
      <w:pPr>
        <w:spacing w:line="420" w:lineRule="exact"/>
        <w:ind w:firstLine="330" w:firstLineChars="1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未经招标人同意，中标人逾期提交或无法提交的，视为自动放弃中标资格，由第二中标候选人顺次递补，以此类推至第三中标候选人。招标人将上报招标管理机构依法严肃处理，同时追究其违约责任。</w:t>
      </w:r>
    </w:p>
    <w:p w14:paraId="26844AF8">
      <w:pPr>
        <w:spacing w:line="420" w:lineRule="exact"/>
        <w:ind w:firstLine="330" w:firstLineChars="1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上述两个银行帐户应在中标工程施工合同中明确，未经招标人同意，中标人在投标过程中使用的银行名称及帐号至完成竣工结算不得变更，否则招标人有权停止工程款项的拔付及至解除合同，由此造成的一切责任由中标人承担。</w:t>
      </w:r>
    </w:p>
    <w:p w14:paraId="77FF4714">
      <w:pPr>
        <w:spacing w:line="420" w:lineRule="exact"/>
        <w:ind w:firstLine="330" w:firstLineChars="1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若投标人列属国资企业，应提前做好开具上级主管部门同意其在番禺区内开设本工程上述两个银行帐户证明文件的准备。</w:t>
      </w:r>
    </w:p>
    <w:p w14:paraId="7DA80D27">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其他拨付工资款项方式、建立劳动用工管理台账、相关监督及处罚等事项以《关于印发&lt;广东省建设领域工程工资支付分账管理暂行办法&gt;的通知》（粤人社规[2015]3号）、番禺区资金拨付制度以及番禺区水务工程工资支付分账管理制度为准。</w:t>
      </w:r>
    </w:p>
    <w:p w14:paraId="54836CEC">
      <w:pPr>
        <w:spacing w:line="420" w:lineRule="exact"/>
        <w:ind w:firstLine="330" w:firstLineChars="150"/>
        <w:rPr>
          <w:rFonts w:hint="eastAsia" w:ascii="宋体" w:hAnsi="宋体" w:cs="宋体"/>
          <w:color w:val="auto"/>
          <w:kern w:val="0"/>
          <w:sz w:val="22"/>
          <w:szCs w:val="22"/>
          <w:highlight w:val="none"/>
        </w:rPr>
      </w:pPr>
    </w:p>
    <w:p w14:paraId="3C6DF48A">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45.6 治安管理：</w:t>
      </w:r>
    </w:p>
    <w:p w14:paraId="30592126">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sz w:val="22"/>
          <w:szCs w:val="22"/>
          <w:highlight w:val="none"/>
        </w:rPr>
        <w:t xml:space="preserve">  </w:t>
      </w:r>
      <w:r>
        <w:rPr>
          <w:rFonts w:hint="eastAsia" w:ascii="宋体" w:hAnsi="宋体" w:cs="宋体"/>
          <w:color w:val="auto"/>
          <w:kern w:val="0"/>
          <w:sz w:val="22"/>
          <w:szCs w:val="22"/>
          <w:highlight w:val="none"/>
        </w:rPr>
        <w:t>□ 按通用条款的规定。</w:t>
      </w:r>
    </w:p>
    <w:p w14:paraId="68FA0AD4">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p>
    <w:p w14:paraId="468D67C2">
      <w:pPr>
        <w:spacing w:line="420" w:lineRule="exact"/>
        <w:ind w:firstLine="110" w:firstLineChars="50"/>
        <w:rPr>
          <w:rFonts w:ascii="宋体" w:hAnsi="宋体" w:cs="宋体"/>
          <w:color w:val="auto"/>
          <w:kern w:val="0"/>
          <w:sz w:val="22"/>
          <w:szCs w:val="22"/>
          <w:highlight w:val="none"/>
        </w:rPr>
      </w:pPr>
    </w:p>
    <w:p w14:paraId="7D91F935">
      <w:pPr>
        <w:spacing w:line="42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45.8</w:t>
      </w:r>
      <w:r>
        <w:rPr>
          <w:rFonts w:hint="eastAsia" w:ascii="宋体" w:hAnsi="宋体" w:cs="宋体"/>
          <w:color w:val="auto"/>
          <w:kern w:val="0"/>
          <w:sz w:val="22"/>
          <w:szCs w:val="22"/>
          <w:highlight w:val="none"/>
        </w:rPr>
        <w:t>创文明工地目标：</w:t>
      </w:r>
    </w:p>
    <w:p w14:paraId="00EF28B6">
      <w:pPr>
        <w:autoSpaceDE w:val="0"/>
        <w:autoSpaceDN w:val="0"/>
        <w:adjustRightInd w:val="0"/>
        <w:spacing w:line="42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color w:val="auto"/>
          <w:sz w:val="22"/>
          <w:szCs w:val="22"/>
          <w:highlight w:val="none"/>
        </w:rPr>
        <w:t>市级安全文明绿色施工样板工地</w:t>
      </w:r>
      <w:r>
        <w:rPr>
          <w:rFonts w:hint="eastAsia" w:ascii="宋体" w:hAnsi="宋体" w:cs="宋体"/>
          <w:color w:val="auto"/>
          <w:kern w:val="0"/>
          <w:sz w:val="22"/>
          <w:szCs w:val="22"/>
          <w:highlight w:val="none"/>
        </w:rPr>
        <w:t>；</w:t>
      </w:r>
    </w:p>
    <w:p w14:paraId="30C36372">
      <w:pPr>
        <w:autoSpaceDE w:val="0"/>
        <w:autoSpaceDN w:val="0"/>
        <w:adjustRightInd w:val="0"/>
        <w:spacing w:line="42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省级安全文明示范工地；</w:t>
      </w:r>
    </w:p>
    <w:p w14:paraId="1A746C48">
      <w:pPr>
        <w:autoSpaceDE w:val="0"/>
        <w:autoSpaceDN w:val="0"/>
        <w:adjustRightInd w:val="0"/>
        <w:spacing w:line="42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color w:val="auto"/>
          <w:sz w:val="22"/>
          <w:szCs w:val="22"/>
          <w:highlight w:val="none"/>
        </w:rPr>
        <w:t>国家级安全文明工地</w:t>
      </w:r>
      <w:r>
        <w:rPr>
          <w:rFonts w:hint="eastAsia" w:ascii="宋体" w:hAnsi="宋体" w:cs="宋体"/>
          <w:color w:val="auto"/>
          <w:kern w:val="0"/>
          <w:sz w:val="22"/>
          <w:szCs w:val="22"/>
          <w:highlight w:val="none"/>
        </w:rPr>
        <w:t>；</w:t>
      </w:r>
    </w:p>
    <w:p w14:paraId="6E743DDB">
      <w:pPr>
        <w:spacing w:line="42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广州市建筑业绿色施工示范工程；</w:t>
      </w:r>
    </w:p>
    <w:p w14:paraId="22E82D82">
      <w:pPr>
        <w:spacing w:line="42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广东省建筑业绿色施工示范工程；</w:t>
      </w:r>
    </w:p>
    <w:p w14:paraId="55BC9A62">
      <w:pPr>
        <w:spacing w:line="42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全国建筑业绿色施工示范工程；</w:t>
      </w:r>
    </w:p>
    <w:p w14:paraId="7DD56092">
      <w:pPr>
        <w:spacing w:line="420" w:lineRule="exact"/>
        <w:ind w:firstLine="440" w:firstLineChars="200"/>
        <w:rPr>
          <w:rFonts w:ascii="宋体" w:hAnsi="宋体" w:cs="宋体"/>
          <w:color w:val="auto"/>
          <w:sz w:val="22"/>
          <w:szCs w:val="22"/>
          <w:highlight w:val="none"/>
          <w:u w:val="single"/>
        </w:rPr>
      </w:pPr>
      <w:r>
        <w:rPr>
          <w:rFonts w:hint="eastAsia" w:ascii="宋体" w:hAnsi="宋体" w:cs="宋体"/>
          <w:color w:val="auto"/>
          <w:kern w:val="0"/>
          <w:sz w:val="22"/>
          <w:szCs w:val="22"/>
          <w:highlight w:val="none"/>
        </w:rPr>
        <w:t>□ 其它</w:t>
      </w:r>
      <w:r>
        <w:rPr>
          <w:rFonts w:hint="eastAsia" w:ascii="宋体" w:hAnsi="宋体" w:cs="宋体"/>
          <w:color w:val="auto"/>
          <w:kern w:val="0"/>
          <w:sz w:val="22"/>
          <w:szCs w:val="22"/>
          <w:highlight w:val="none"/>
          <w:u w:val="single"/>
        </w:rPr>
        <w:t xml:space="preserve">               </w:t>
      </w:r>
    </w:p>
    <w:p w14:paraId="42200003">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p>
    <w:p w14:paraId="5B56B33B">
      <w:pPr>
        <w:spacing w:line="420" w:lineRule="exact"/>
        <w:ind w:firstLine="482"/>
        <w:rPr>
          <w:rFonts w:ascii="宋体" w:hAnsi="宋体" w:cs="宋体"/>
          <w:color w:val="auto"/>
          <w:kern w:val="0"/>
          <w:sz w:val="22"/>
          <w:szCs w:val="22"/>
          <w:highlight w:val="none"/>
        </w:rPr>
      </w:pPr>
      <w:r>
        <w:rPr>
          <w:rFonts w:hint="eastAsia" w:ascii="宋体" w:hAnsi="宋体" w:cs="宋体"/>
          <w:color w:val="auto"/>
          <w:sz w:val="22"/>
          <w:szCs w:val="22"/>
          <w:highlight w:val="none"/>
        </w:rPr>
        <w:t>45.9</w:t>
      </w:r>
      <w:r>
        <w:rPr>
          <w:rFonts w:hint="eastAsia" w:ascii="宋体" w:hAnsi="宋体" w:cs="宋体"/>
          <w:color w:val="auto"/>
          <w:kern w:val="0"/>
          <w:sz w:val="22"/>
          <w:szCs w:val="22"/>
          <w:highlight w:val="none"/>
        </w:rPr>
        <w:t>特别安全生产事项</w:t>
      </w:r>
    </w:p>
    <w:p w14:paraId="41A9BCFA">
      <w:pPr>
        <w:spacing w:line="420" w:lineRule="exact"/>
        <w:ind w:firstLine="482"/>
        <w:rPr>
          <w:rFonts w:ascii="宋体" w:hAnsi="宋体" w:cs="宋体"/>
          <w:color w:val="auto"/>
          <w:sz w:val="22"/>
          <w:szCs w:val="22"/>
          <w:highlight w:val="none"/>
          <w:u w:val="single"/>
        </w:rPr>
      </w:pPr>
      <w:r>
        <w:rPr>
          <w:rFonts w:hint="eastAsia" w:ascii="宋体" w:hAnsi="宋体" w:cs="宋体"/>
          <w:color w:val="auto"/>
          <w:sz w:val="22"/>
          <w:szCs w:val="22"/>
          <w:highlight w:val="none"/>
        </w:rPr>
        <w:t>危险性较大分部分项专项工程施工技术措施标准、要求：</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14:paraId="6B1B2FDA">
      <w:pPr>
        <w:spacing w:line="420" w:lineRule="exact"/>
        <w:ind w:firstLine="482"/>
        <w:rPr>
          <w:rFonts w:ascii="宋体" w:hAnsi="宋体" w:cs="宋体"/>
          <w:color w:val="auto"/>
          <w:kern w:val="0"/>
          <w:sz w:val="22"/>
          <w:szCs w:val="22"/>
          <w:highlight w:val="none"/>
          <w:u w:val="single"/>
        </w:rPr>
      </w:pPr>
      <w:r>
        <w:rPr>
          <w:rFonts w:hint="eastAsia" w:ascii="宋体" w:hAnsi="宋体" w:cs="宋体"/>
          <w:color w:val="auto"/>
          <w:sz w:val="22"/>
          <w:szCs w:val="22"/>
          <w:highlight w:val="none"/>
        </w:rPr>
        <w:t>危险性较大分部分项专项工程施工技术措施费：</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元。</w:t>
      </w:r>
    </w:p>
    <w:bookmarkEnd w:id="688"/>
    <w:p w14:paraId="216E27E7">
      <w:pPr>
        <w:pStyle w:val="3"/>
        <w:numPr>
          <w:ilvl w:val="0"/>
          <w:numId w:val="0"/>
        </w:numPr>
        <w:tabs>
          <w:tab w:val="left" w:pos="420"/>
        </w:tabs>
        <w:spacing w:line="420" w:lineRule="exact"/>
        <w:rPr>
          <w:rFonts w:hAnsi="宋体"/>
          <w:b/>
          <w:bCs/>
          <w:color w:val="auto"/>
          <w:sz w:val="22"/>
          <w:szCs w:val="22"/>
          <w:highlight w:val="none"/>
        </w:rPr>
      </w:pPr>
      <w:bookmarkStart w:id="689" w:name="_Toc9776"/>
      <w:bookmarkStart w:id="690" w:name="_Toc11622"/>
      <w:bookmarkStart w:id="691" w:name="_Toc469384107"/>
      <w:bookmarkStart w:id="692" w:name="_Toc21968"/>
      <w:bookmarkStart w:id="693" w:name="_Toc155166182"/>
      <w:bookmarkStart w:id="694" w:name="_Toc23968"/>
      <w:r>
        <w:rPr>
          <w:rFonts w:hint="eastAsia" w:hAnsi="宋体"/>
          <w:b/>
          <w:bCs/>
          <w:color w:val="auto"/>
          <w:sz w:val="22"/>
          <w:szCs w:val="22"/>
          <w:highlight w:val="none"/>
        </w:rPr>
        <w:t>46. 测量放线</w:t>
      </w:r>
      <w:bookmarkEnd w:id="689"/>
      <w:bookmarkEnd w:id="690"/>
      <w:bookmarkEnd w:id="691"/>
      <w:bookmarkEnd w:id="692"/>
      <w:bookmarkEnd w:id="693"/>
      <w:bookmarkEnd w:id="694"/>
    </w:p>
    <w:p w14:paraId="33F7CDA9">
      <w:pPr>
        <w:spacing w:line="420" w:lineRule="exact"/>
        <w:ind w:firstLine="110" w:firstLineChars="50"/>
        <w:rPr>
          <w:rFonts w:ascii="宋体" w:hAnsi="宋体" w:cs="宋体"/>
          <w:color w:val="auto"/>
          <w:kern w:val="0"/>
          <w:sz w:val="22"/>
          <w:szCs w:val="22"/>
          <w:highlight w:val="none"/>
        </w:rPr>
      </w:pPr>
    </w:p>
    <w:p w14:paraId="374A468A">
      <w:pPr>
        <w:spacing w:line="420" w:lineRule="exact"/>
        <w:ind w:firstLine="550" w:firstLineChars="2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46.1 </w:t>
      </w:r>
      <w:r>
        <w:rPr>
          <w:rFonts w:ascii="宋体" w:hAnsi="宋体" w:cs="宋体"/>
          <w:color w:val="auto"/>
          <w:kern w:val="0"/>
          <w:sz w:val="22"/>
          <w:szCs w:val="22"/>
          <w:highlight w:val="none"/>
        </w:rPr>
        <w:t>发包人通过监理人提供测量基准点、基准线和水准点及其书面资料的期限：</w:t>
      </w:r>
      <w:r>
        <w:rPr>
          <w:rFonts w:hint="eastAsia" w:ascii="宋体" w:hAnsi="宋体" w:cs="宋体"/>
          <w:color w:val="auto"/>
          <w:kern w:val="0"/>
          <w:sz w:val="22"/>
          <w:szCs w:val="22"/>
          <w:highlight w:val="none"/>
          <w:u w:val="single"/>
        </w:rPr>
        <w:t>开工前七个日历天内</w:t>
      </w:r>
      <w:r>
        <w:rPr>
          <w:rFonts w:ascii="宋体" w:hAnsi="宋体" w:cs="宋体"/>
          <w:color w:val="auto"/>
          <w:kern w:val="0"/>
          <w:sz w:val="22"/>
          <w:szCs w:val="22"/>
          <w:highlight w:val="none"/>
          <w:u w:val="single"/>
        </w:rPr>
        <w:t>。</w:t>
      </w:r>
    </w:p>
    <w:p w14:paraId="565DB1C1">
      <w:pPr>
        <w:spacing w:line="42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承包人提交施工控制网资料的时间：</w:t>
      </w:r>
      <w:r>
        <w:rPr>
          <w:rFonts w:hint="eastAsia" w:ascii="宋体" w:hAnsi="宋体" w:cs="宋体"/>
          <w:color w:val="auto"/>
          <w:kern w:val="0"/>
          <w:sz w:val="22"/>
          <w:szCs w:val="22"/>
          <w:highlight w:val="none"/>
          <w:u w:val="single"/>
        </w:rPr>
        <w:t>完成控制网布置后三日历天内</w:t>
      </w:r>
      <w:r>
        <w:rPr>
          <w:rFonts w:hint="eastAsia" w:ascii="宋体" w:hAnsi="宋体" w:cs="宋体"/>
          <w:color w:val="auto"/>
          <w:kern w:val="0"/>
          <w:sz w:val="22"/>
          <w:szCs w:val="22"/>
          <w:highlight w:val="none"/>
        </w:rPr>
        <w:t>。</w:t>
      </w:r>
    </w:p>
    <w:p w14:paraId="4FF5CE43">
      <w:pPr>
        <w:spacing w:line="420" w:lineRule="exact"/>
        <w:ind w:firstLine="110" w:firstLineChars="50"/>
        <w:rPr>
          <w:rFonts w:ascii="宋体" w:hAnsi="宋体" w:cs="宋体"/>
          <w:color w:val="auto"/>
          <w:kern w:val="0"/>
          <w:sz w:val="22"/>
          <w:szCs w:val="22"/>
          <w:highlight w:val="none"/>
        </w:rPr>
      </w:pPr>
    </w:p>
    <w:p w14:paraId="6428A6B4">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4</w:t>
      </w:r>
      <w:r>
        <w:rPr>
          <w:rFonts w:ascii="宋体" w:hAnsi="宋体" w:cs="宋体"/>
          <w:color w:val="auto"/>
          <w:kern w:val="0"/>
          <w:sz w:val="22"/>
          <w:szCs w:val="22"/>
          <w:highlight w:val="none"/>
        </w:rPr>
        <w:t>6.3</w:t>
      </w:r>
      <w:r>
        <w:rPr>
          <w:rFonts w:hint="eastAsia" w:ascii="宋体" w:hAnsi="宋体" w:cs="宋体"/>
          <w:color w:val="auto"/>
          <w:kern w:val="0"/>
          <w:sz w:val="22"/>
          <w:szCs w:val="22"/>
          <w:highlight w:val="none"/>
        </w:rPr>
        <w:t>承包人测量放线的责任：发包人可协助提供测量基准点、基准线和水准点，由承包人负责自行施测核准，并对其施测核准结果承担全部责任，因施测核准结果误差产生的工程量变化，不再调整合同价款。承包人发现发包人提供的上述基准资料存在明显错误或疏忽的，应及时通知监理人。</w:t>
      </w:r>
    </w:p>
    <w:p w14:paraId="2DE15DC0">
      <w:pPr>
        <w:spacing w:line="420" w:lineRule="exact"/>
        <w:ind w:firstLine="110" w:firstLineChars="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发包人提供地质勘探、地形测量以经主管部门审核的施工图纸，其余资料由承包人负责收集。</w:t>
      </w:r>
    </w:p>
    <w:p w14:paraId="76718B11">
      <w:pPr>
        <w:spacing w:line="420" w:lineRule="exact"/>
        <w:ind w:firstLine="110" w:firstLineChars="50"/>
        <w:rPr>
          <w:rFonts w:hint="eastAsia" w:ascii="宋体" w:hAnsi="宋体" w:cs="宋体"/>
          <w:color w:val="auto"/>
          <w:kern w:val="0"/>
          <w:sz w:val="22"/>
          <w:szCs w:val="22"/>
          <w:highlight w:val="none"/>
        </w:rPr>
      </w:pPr>
    </w:p>
    <w:p w14:paraId="2720E265">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46.4 测量放线误差的约定：</w:t>
      </w:r>
      <w:r>
        <w:rPr>
          <w:rFonts w:hint="eastAsia" w:ascii="宋体" w:hAnsi="宋体" w:cs="宋体"/>
          <w:color w:val="auto"/>
          <w:kern w:val="0"/>
          <w:sz w:val="22"/>
          <w:szCs w:val="22"/>
          <w:highlight w:val="none"/>
          <w:u w:val="single"/>
        </w:rPr>
        <w:t>测量基准点、基准线和水准点经承包人核准后，承包人应及时对工程原始地面或断面进行复测校核，并于工程开工前7日内将测量成果（包括测量平面图、剖面图及计算成果等）报监理人，必要时监理人可见证承包人测量或自行抽测。若承包人未进行复测即破坏工程原始地面或断面，由此造成的责任由承包人承担。</w:t>
      </w:r>
    </w:p>
    <w:p w14:paraId="26634296">
      <w:pPr>
        <w:spacing w:line="420" w:lineRule="exact"/>
        <w:rPr>
          <w:rFonts w:ascii="宋体" w:hAnsi="宋体" w:cs="宋体"/>
          <w:color w:val="auto"/>
          <w:kern w:val="0"/>
          <w:sz w:val="22"/>
          <w:szCs w:val="22"/>
          <w:highlight w:val="none"/>
        </w:rPr>
      </w:pPr>
    </w:p>
    <w:p w14:paraId="1A8CD51E">
      <w:pPr>
        <w:pStyle w:val="3"/>
        <w:numPr>
          <w:ilvl w:val="0"/>
          <w:numId w:val="0"/>
        </w:numPr>
        <w:tabs>
          <w:tab w:val="left" w:pos="420"/>
        </w:tabs>
        <w:spacing w:line="420" w:lineRule="exact"/>
        <w:rPr>
          <w:rFonts w:hAnsi="宋体"/>
          <w:b/>
          <w:bCs/>
          <w:color w:val="auto"/>
          <w:sz w:val="22"/>
          <w:szCs w:val="22"/>
          <w:highlight w:val="none"/>
        </w:rPr>
      </w:pPr>
      <w:bookmarkStart w:id="695" w:name="_Toc1763"/>
      <w:bookmarkStart w:id="696" w:name="_Toc18547"/>
      <w:bookmarkStart w:id="697" w:name="_Toc155166183"/>
      <w:bookmarkStart w:id="698" w:name="_Toc8568"/>
      <w:bookmarkStart w:id="699" w:name="_Toc19045"/>
      <w:bookmarkStart w:id="700" w:name="_Toc469384108"/>
      <w:r>
        <w:rPr>
          <w:rFonts w:hint="eastAsia" w:hAnsi="宋体"/>
          <w:b/>
          <w:bCs/>
          <w:color w:val="auto"/>
          <w:sz w:val="22"/>
          <w:szCs w:val="22"/>
          <w:highlight w:val="none"/>
        </w:rPr>
        <w:t>48.发包人供应材料和工程设备</w:t>
      </w:r>
      <w:bookmarkEnd w:id="695"/>
      <w:bookmarkEnd w:id="696"/>
      <w:bookmarkEnd w:id="697"/>
      <w:bookmarkEnd w:id="698"/>
      <w:bookmarkEnd w:id="699"/>
      <w:bookmarkEnd w:id="700"/>
    </w:p>
    <w:p w14:paraId="1492B9A1">
      <w:pPr>
        <w:spacing w:line="420" w:lineRule="exact"/>
        <w:ind w:firstLine="110" w:firstLineChars="50"/>
        <w:rPr>
          <w:rFonts w:ascii="宋体" w:hAnsi="宋体" w:cs="宋体"/>
          <w:color w:val="auto"/>
          <w:kern w:val="0"/>
          <w:sz w:val="22"/>
          <w:szCs w:val="22"/>
          <w:highlight w:val="none"/>
        </w:rPr>
      </w:pPr>
    </w:p>
    <w:p w14:paraId="360DF263">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48.1 约定供应的材料和工程设备</w:t>
      </w:r>
    </w:p>
    <w:p w14:paraId="28DAC6FD">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■发包人不供应材料和工程设备，本条不适用。</w:t>
      </w:r>
    </w:p>
    <w:p w14:paraId="12C68809">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发包人供应材料和工程设备的，应与承包人约定“发包人供应材料和工程设备一览表”，作为本合同的附件。</w:t>
      </w:r>
    </w:p>
    <w:p w14:paraId="007FC552">
      <w:pPr>
        <w:spacing w:line="420" w:lineRule="exact"/>
        <w:ind w:firstLine="110" w:firstLineChars="50"/>
        <w:rPr>
          <w:rFonts w:ascii="宋体" w:hAnsi="宋体" w:cs="宋体"/>
          <w:color w:val="auto"/>
          <w:kern w:val="0"/>
          <w:sz w:val="22"/>
          <w:szCs w:val="22"/>
          <w:highlight w:val="none"/>
        </w:rPr>
      </w:pPr>
    </w:p>
    <w:p w14:paraId="7BCD5418">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48.8 发包人供应材料和工程设备的结算方式：</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3538321D">
      <w:pPr>
        <w:spacing w:line="420" w:lineRule="exact"/>
        <w:rPr>
          <w:rFonts w:ascii="宋体" w:hAnsi="宋体" w:cs="宋体"/>
          <w:color w:val="auto"/>
          <w:kern w:val="0"/>
          <w:sz w:val="22"/>
          <w:szCs w:val="22"/>
          <w:highlight w:val="none"/>
        </w:rPr>
      </w:pPr>
    </w:p>
    <w:p w14:paraId="745254B2">
      <w:pPr>
        <w:pStyle w:val="3"/>
        <w:numPr>
          <w:ilvl w:val="0"/>
          <w:numId w:val="0"/>
        </w:numPr>
        <w:tabs>
          <w:tab w:val="left" w:pos="420"/>
        </w:tabs>
        <w:spacing w:line="420" w:lineRule="exact"/>
        <w:rPr>
          <w:rFonts w:hAnsi="宋体"/>
          <w:b/>
          <w:bCs/>
          <w:color w:val="auto"/>
          <w:sz w:val="22"/>
          <w:szCs w:val="22"/>
          <w:highlight w:val="none"/>
        </w:rPr>
      </w:pPr>
      <w:bookmarkStart w:id="701" w:name="_Toc11289"/>
      <w:bookmarkStart w:id="702" w:name="_Toc155166184"/>
      <w:bookmarkStart w:id="703" w:name="_Toc28068"/>
      <w:bookmarkStart w:id="704" w:name="_Toc13426"/>
      <w:bookmarkStart w:id="705" w:name="_Toc469384109"/>
      <w:bookmarkStart w:id="706" w:name="_Toc7286"/>
      <w:r>
        <w:rPr>
          <w:rFonts w:hint="eastAsia" w:hAnsi="宋体"/>
          <w:b/>
          <w:bCs/>
          <w:color w:val="auto"/>
          <w:sz w:val="22"/>
          <w:szCs w:val="22"/>
          <w:highlight w:val="none"/>
        </w:rPr>
        <w:t>49. 承包人采购材料和工程设备</w:t>
      </w:r>
      <w:bookmarkEnd w:id="701"/>
      <w:bookmarkEnd w:id="702"/>
      <w:bookmarkEnd w:id="703"/>
      <w:bookmarkEnd w:id="704"/>
      <w:bookmarkEnd w:id="705"/>
      <w:bookmarkEnd w:id="706"/>
    </w:p>
    <w:p w14:paraId="173BE200">
      <w:pPr>
        <w:spacing w:line="420" w:lineRule="exact"/>
        <w:ind w:firstLine="110" w:firstLineChars="50"/>
        <w:rPr>
          <w:rFonts w:ascii="宋体" w:hAnsi="宋体" w:cs="宋体"/>
          <w:color w:val="auto"/>
          <w:kern w:val="0"/>
          <w:sz w:val="22"/>
          <w:szCs w:val="22"/>
          <w:highlight w:val="none"/>
        </w:rPr>
      </w:pPr>
    </w:p>
    <w:p w14:paraId="42F0E0A8">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49.1 承包人采购材料和工程设备</w:t>
      </w:r>
    </w:p>
    <w:p w14:paraId="67AF4137">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■按通用条款规定，由承包人负责运输和保管。</w:t>
      </w:r>
    </w:p>
    <w:p w14:paraId="3AA0BBB3">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□另作约定：</w:t>
      </w:r>
    </w:p>
    <w:p w14:paraId="2B0514CD">
      <w:pPr>
        <w:spacing w:line="420" w:lineRule="exact"/>
        <w:ind w:firstLine="110" w:firstLineChars="50"/>
        <w:rPr>
          <w:rFonts w:ascii="宋体" w:hAnsi="宋体" w:cs="宋体"/>
          <w:color w:val="auto"/>
          <w:kern w:val="0"/>
          <w:sz w:val="22"/>
          <w:szCs w:val="22"/>
          <w:highlight w:val="none"/>
        </w:rPr>
      </w:pPr>
    </w:p>
    <w:p w14:paraId="6FF459BD">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49.2 承包人供货要求：</w:t>
      </w:r>
    </w:p>
    <w:p w14:paraId="05258987">
      <w:pPr>
        <w:spacing w:line="420" w:lineRule="exact"/>
        <w:ind w:firstLine="389" w:firstLineChars="177"/>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（1）所使用材料必须附有材料合格证和材质鉴定单据，所有使用材料须全部按见证采样要求由现场监理人员见证取样送发包人认可的检测机构检测，检验结果经监理工程师和发包人认可后才可以使用。</w:t>
      </w:r>
    </w:p>
    <w:p w14:paraId="23EE5F59">
      <w:pPr>
        <w:spacing w:line="420" w:lineRule="exact"/>
        <w:ind w:firstLine="389" w:firstLineChars="177"/>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2）凡因承包人使用不合格产品或材料而造成的工程质量事故或人身伤亡事故，均由承包人负责赔偿并承担责任。承包人所采购的材料、设备在保修期内如出现产品质量问题，承包人必须负责更换，必要时承包人须向发包人提供有关产品资料和技术指导及零配件供应等售后服务。</w:t>
      </w:r>
    </w:p>
    <w:p w14:paraId="3B2397DB">
      <w:pPr>
        <w:spacing w:line="420" w:lineRule="exact"/>
        <w:ind w:firstLine="389" w:firstLineChars="177"/>
        <w:rPr>
          <w:rFonts w:ascii="宋体" w:hAnsi="宋体" w:cs="宋体"/>
          <w:color w:val="auto"/>
          <w:sz w:val="22"/>
          <w:szCs w:val="22"/>
          <w:highlight w:val="none"/>
          <w:u w:val="single"/>
        </w:rPr>
      </w:pPr>
      <w:bookmarkStart w:id="707" w:name="_Toc100504302"/>
      <w:bookmarkStart w:id="708" w:name="_Toc502849558"/>
      <w:bookmarkStart w:id="709" w:name="_Toc13641"/>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4</w:t>
      </w:r>
      <w:r>
        <w:rPr>
          <w:rFonts w:hint="eastAsia" w:ascii="宋体" w:hAnsi="宋体" w:cs="宋体"/>
          <w:color w:val="auto"/>
          <w:sz w:val="22"/>
          <w:szCs w:val="22"/>
          <w:highlight w:val="none"/>
          <w:u w:val="single"/>
        </w:rPr>
        <w:t>）施工图纸中设计的永久工程必须使用全新材料。</w:t>
      </w:r>
      <w:bookmarkEnd w:id="707"/>
      <w:bookmarkEnd w:id="708"/>
      <w:bookmarkEnd w:id="709"/>
    </w:p>
    <w:p w14:paraId="0D7FDA2B">
      <w:pPr>
        <w:spacing w:line="420" w:lineRule="exact"/>
        <w:ind w:firstLine="389" w:firstLineChars="177"/>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w:t>
      </w:r>
      <w:r>
        <w:rPr>
          <w:rFonts w:ascii="宋体" w:hAnsi="宋体" w:cs="宋体"/>
          <w:color w:val="auto"/>
          <w:sz w:val="22"/>
          <w:szCs w:val="22"/>
          <w:highlight w:val="none"/>
          <w:u w:val="single"/>
        </w:rPr>
        <w:t>5</w:t>
      </w:r>
      <w:r>
        <w:rPr>
          <w:rFonts w:hint="eastAsia" w:ascii="宋体" w:hAnsi="宋体" w:cs="宋体"/>
          <w:color w:val="auto"/>
          <w:sz w:val="22"/>
          <w:szCs w:val="22"/>
          <w:highlight w:val="none"/>
          <w:u w:val="single"/>
        </w:rPr>
        <w:t>）承包人应按照施工组织计划在材料使用前30日历天提出材料采购计划，报监理人审批，监理人在接单后3日历天内予以批复，并报发包人审核。确保工期按时进行。如需发包人提供的设备、材料及成品，同样需在30日历天前提出计划，如承包人未履行此提前告知的义务，相关损失均由承包人负责赔偿。</w:t>
      </w:r>
    </w:p>
    <w:p w14:paraId="4738F3C7">
      <w:pPr>
        <w:spacing w:line="420" w:lineRule="exact"/>
        <w:rPr>
          <w:rFonts w:ascii="宋体" w:hAnsi="宋体"/>
          <w:color w:val="auto"/>
          <w:highlight w:val="none"/>
        </w:rPr>
      </w:pPr>
    </w:p>
    <w:p w14:paraId="59DA5444">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4</w:t>
      </w:r>
      <w:r>
        <w:rPr>
          <w:rFonts w:ascii="宋体" w:hAnsi="宋体" w:cs="宋体"/>
          <w:color w:val="auto"/>
          <w:kern w:val="0"/>
          <w:sz w:val="22"/>
          <w:szCs w:val="22"/>
          <w:highlight w:val="none"/>
        </w:rPr>
        <w:t>9</w:t>
      </w:r>
      <w:r>
        <w:rPr>
          <w:rFonts w:hint="eastAsia" w:ascii="宋体" w:hAnsi="宋体" w:cs="宋体"/>
          <w:color w:val="auto"/>
          <w:kern w:val="0"/>
          <w:sz w:val="22"/>
          <w:szCs w:val="22"/>
          <w:highlight w:val="none"/>
        </w:rPr>
        <w:t>．3</w:t>
      </w:r>
      <w:r>
        <w:rPr>
          <w:rFonts w:hint="eastAsia" w:ascii="宋体" w:hAnsi="宋体" w:cs="宋体"/>
          <w:color w:val="auto"/>
          <w:kern w:val="0"/>
          <w:sz w:val="22"/>
          <w:szCs w:val="22"/>
          <w:highlight w:val="none"/>
          <w:u w:val="single"/>
        </w:rPr>
        <w:t>除满足通用条款第4</w:t>
      </w:r>
      <w:r>
        <w:rPr>
          <w:rFonts w:ascii="宋体" w:hAnsi="宋体" w:cs="宋体"/>
          <w:color w:val="auto"/>
          <w:kern w:val="0"/>
          <w:sz w:val="22"/>
          <w:szCs w:val="22"/>
          <w:highlight w:val="none"/>
          <w:u w:val="single"/>
        </w:rPr>
        <w:t>9.3项规定外，承包人所采购的材料和工程设备的型号、品牌和技术参数需经发包人和设计人双方同意后方能采购，若未经发包人和设计人双方同意便自行采购，材料和工程设备的型号、品牌和技术参数未达到相关标准要求的，承包人需重新进行采购，相关损失均由承包人承担。</w:t>
      </w:r>
    </w:p>
    <w:p w14:paraId="26C65913">
      <w:pPr>
        <w:spacing w:line="420" w:lineRule="exact"/>
        <w:ind w:firstLine="110" w:firstLineChars="50"/>
        <w:rPr>
          <w:rFonts w:ascii="宋体" w:hAnsi="宋体" w:cs="宋体"/>
          <w:color w:val="auto"/>
          <w:kern w:val="0"/>
          <w:sz w:val="22"/>
          <w:szCs w:val="22"/>
          <w:highlight w:val="none"/>
          <w:u w:val="single"/>
        </w:rPr>
      </w:pPr>
    </w:p>
    <w:p w14:paraId="6D83A6B9">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4</w:t>
      </w:r>
      <w:r>
        <w:rPr>
          <w:rFonts w:ascii="宋体" w:hAnsi="宋体" w:cs="宋体"/>
          <w:color w:val="auto"/>
          <w:kern w:val="0"/>
          <w:sz w:val="22"/>
          <w:szCs w:val="22"/>
          <w:highlight w:val="none"/>
        </w:rPr>
        <w:t>9.6</w:t>
      </w:r>
      <w:r>
        <w:rPr>
          <w:rFonts w:hint="eastAsia" w:ascii="宋体" w:hAnsi="宋体" w:cs="宋体"/>
          <w:color w:val="auto"/>
          <w:kern w:val="0"/>
          <w:sz w:val="22"/>
          <w:szCs w:val="22"/>
          <w:highlight w:val="none"/>
          <w:u w:val="single"/>
        </w:rPr>
        <w:t>除满足通用条款第4</w:t>
      </w:r>
      <w:r>
        <w:rPr>
          <w:rFonts w:ascii="宋体" w:hAnsi="宋体" w:cs="宋体"/>
          <w:color w:val="auto"/>
          <w:kern w:val="0"/>
          <w:sz w:val="22"/>
          <w:szCs w:val="22"/>
          <w:highlight w:val="none"/>
          <w:u w:val="single"/>
        </w:rPr>
        <w:t>9.6项规定外，</w:t>
      </w:r>
      <w:r>
        <w:rPr>
          <w:rFonts w:hint="eastAsia" w:ascii="宋体" w:hAnsi="宋体" w:cs="宋体"/>
          <w:color w:val="auto"/>
          <w:kern w:val="0"/>
          <w:sz w:val="22"/>
          <w:szCs w:val="22"/>
          <w:highlight w:val="none"/>
          <w:u w:val="single"/>
        </w:rPr>
        <w:t>工程所需材料、设备，如规格、品种或材质不能满足本合同工程的要求，必须以其它规格、品种代替或加工处理，应征得发包人同意，在办理有关变更手续后实行。由于代用或加工而发生的量差、价差及加工费用，由承包人负责。</w:t>
      </w:r>
    </w:p>
    <w:p w14:paraId="57A27742">
      <w:pPr>
        <w:spacing w:line="420" w:lineRule="exact"/>
        <w:ind w:firstLine="110" w:firstLineChars="50"/>
        <w:rPr>
          <w:rFonts w:ascii="宋体" w:hAnsi="宋体" w:cs="宋体"/>
          <w:color w:val="auto"/>
          <w:kern w:val="0"/>
          <w:sz w:val="22"/>
          <w:szCs w:val="22"/>
          <w:highlight w:val="none"/>
          <w:u w:val="single"/>
        </w:rPr>
      </w:pPr>
    </w:p>
    <w:p w14:paraId="06E18874">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49.8 发包人依法指定的生产厂家和供应商：</w:t>
      </w:r>
      <w:r>
        <w:rPr>
          <w:rFonts w:hint="eastAsia" w:ascii="宋体" w:hAnsi="宋体" w:cs="宋体"/>
          <w:color w:val="auto"/>
          <w:kern w:val="0"/>
          <w:sz w:val="22"/>
          <w:szCs w:val="22"/>
          <w:highlight w:val="none"/>
          <w:u w:val="single"/>
        </w:rPr>
        <w:t xml:space="preserve">                                               </w:t>
      </w:r>
    </w:p>
    <w:p w14:paraId="527B2E8B">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发包人要求的材料和工程设备建设标准、质量等级：</w:t>
      </w:r>
      <w:r>
        <w:rPr>
          <w:rFonts w:hint="eastAsia" w:ascii="宋体" w:hAnsi="宋体" w:cs="宋体"/>
          <w:color w:val="auto"/>
          <w:kern w:val="0"/>
          <w:sz w:val="22"/>
          <w:szCs w:val="22"/>
          <w:highlight w:val="none"/>
          <w:u w:val="single"/>
        </w:rPr>
        <w:t xml:space="preserve">                                </w:t>
      </w:r>
    </w:p>
    <w:p w14:paraId="33B99AC9">
      <w:pPr>
        <w:spacing w:line="420" w:lineRule="exact"/>
        <w:ind w:firstLine="770" w:firstLineChars="350"/>
        <w:rPr>
          <w:rFonts w:ascii="宋体" w:hAnsi="宋体" w:cs="宋体"/>
          <w:color w:val="auto"/>
          <w:kern w:val="0"/>
          <w:sz w:val="22"/>
          <w:szCs w:val="22"/>
          <w:highlight w:val="none"/>
        </w:rPr>
      </w:pPr>
      <w:r>
        <w:rPr>
          <w:rFonts w:hint="eastAsia" w:ascii="宋体" w:hAnsi="宋体" w:cs="宋体"/>
          <w:color w:val="auto"/>
          <w:kern w:val="0"/>
          <w:sz w:val="22"/>
          <w:szCs w:val="22"/>
          <w:highlight w:val="none"/>
        </w:rPr>
        <w:t>承包人不得以材料或设备的供货期无法满足工程进度为理由提出变更投标时确定的品牌，否则视为违约。</w:t>
      </w:r>
    </w:p>
    <w:p w14:paraId="4A7284ED">
      <w:pPr>
        <w:spacing w:line="420" w:lineRule="exact"/>
        <w:ind w:firstLine="110" w:firstLineChars="50"/>
        <w:rPr>
          <w:rFonts w:ascii="宋体" w:hAnsi="宋体" w:cs="宋体"/>
          <w:color w:val="auto"/>
          <w:kern w:val="0"/>
          <w:sz w:val="22"/>
          <w:szCs w:val="22"/>
          <w:highlight w:val="none"/>
          <w:u w:val="single"/>
        </w:rPr>
      </w:pPr>
    </w:p>
    <w:p w14:paraId="3DEE7BE4">
      <w:pPr>
        <w:pStyle w:val="3"/>
        <w:numPr>
          <w:ilvl w:val="0"/>
          <w:numId w:val="0"/>
        </w:numPr>
        <w:tabs>
          <w:tab w:val="left" w:pos="420"/>
        </w:tabs>
        <w:spacing w:line="420" w:lineRule="exact"/>
        <w:rPr>
          <w:rFonts w:hAnsi="宋体"/>
          <w:b/>
          <w:bCs/>
          <w:color w:val="auto"/>
          <w:sz w:val="22"/>
          <w:szCs w:val="22"/>
          <w:highlight w:val="none"/>
        </w:rPr>
      </w:pPr>
      <w:bookmarkStart w:id="710" w:name="_Toc134"/>
      <w:bookmarkStart w:id="711" w:name="_Toc155166185"/>
      <w:bookmarkStart w:id="712" w:name="_Toc3620"/>
      <w:bookmarkStart w:id="713" w:name="_Toc469384110"/>
      <w:bookmarkStart w:id="714" w:name="_Toc9903"/>
      <w:bookmarkStart w:id="715" w:name="_Toc19083"/>
      <w:r>
        <w:rPr>
          <w:rFonts w:hint="eastAsia" w:hAnsi="宋体"/>
          <w:b/>
          <w:bCs/>
          <w:color w:val="auto"/>
          <w:sz w:val="22"/>
          <w:szCs w:val="22"/>
          <w:highlight w:val="none"/>
        </w:rPr>
        <w:t>50. 材料和工程设备的检验试验</w:t>
      </w:r>
      <w:bookmarkEnd w:id="710"/>
      <w:bookmarkEnd w:id="711"/>
      <w:bookmarkEnd w:id="712"/>
      <w:bookmarkEnd w:id="713"/>
      <w:bookmarkEnd w:id="714"/>
      <w:bookmarkEnd w:id="715"/>
    </w:p>
    <w:p w14:paraId="4AFD4322">
      <w:pPr>
        <w:spacing w:line="420" w:lineRule="exact"/>
        <w:ind w:firstLine="110" w:firstLineChars="50"/>
        <w:rPr>
          <w:rFonts w:ascii="宋体" w:hAnsi="宋体" w:cs="宋体"/>
          <w:b/>
          <w:bCs/>
          <w:color w:val="auto"/>
          <w:kern w:val="0"/>
          <w:sz w:val="22"/>
          <w:szCs w:val="22"/>
          <w:highlight w:val="none"/>
        </w:rPr>
      </w:pPr>
    </w:p>
    <w:p w14:paraId="5F823FFF">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ascii="宋体" w:hAnsi="宋体" w:cs="宋体"/>
          <w:color w:val="auto"/>
          <w:kern w:val="0"/>
          <w:sz w:val="22"/>
          <w:szCs w:val="22"/>
          <w:highlight w:val="none"/>
        </w:rPr>
        <w:t>50.1</w:t>
      </w:r>
      <w:r>
        <w:rPr>
          <w:rFonts w:hint="eastAsia" w:ascii="宋体" w:hAnsi="宋体" w:cs="宋体"/>
          <w:color w:val="auto"/>
          <w:kern w:val="0"/>
          <w:sz w:val="22"/>
          <w:szCs w:val="22"/>
          <w:highlight w:val="none"/>
        </w:rPr>
        <w:t>进入现场检验试验</w:t>
      </w:r>
    </w:p>
    <w:p w14:paraId="56795384">
      <w:pPr>
        <w:spacing w:line="420" w:lineRule="exact"/>
        <w:ind w:firstLine="389" w:firstLineChars="177"/>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监理工程师及其委派的代表可进入施工场地、材料和工程设备的制造、加工或制配车间等场所参加材料和工程设备等产品的检验试验。</w:t>
      </w:r>
      <w:r>
        <w:rPr>
          <w:rFonts w:ascii="宋体" w:hAnsi="宋体" w:cs="宋体"/>
          <w:color w:val="auto"/>
          <w:sz w:val="22"/>
          <w:szCs w:val="22"/>
          <w:highlight w:val="none"/>
          <w:u w:val="single"/>
        </w:rPr>
        <w:t>承包人应无偿配合检测方的检测工作</w:t>
      </w:r>
      <w:r>
        <w:rPr>
          <w:rFonts w:hint="eastAsia" w:ascii="宋体" w:hAnsi="宋体" w:cs="宋体"/>
          <w:color w:val="auto"/>
          <w:sz w:val="22"/>
          <w:szCs w:val="22"/>
          <w:highlight w:val="none"/>
          <w:u w:val="single"/>
        </w:rPr>
        <w:t>（包括但不限于：承包人必须在发包人要求的时间内及时提供检测场地、检测点、检测用材料、通道、水电接驳等配合措施，积极配合发包人及第三方检测单位完成相关工程的专项检（监）测及材料检验试验工作）。但若检测结果未达到验收标准，承包人必须对存在的缺陷进行返工修复至合格为止。</w:t>
      </w:r>
    </w:p>
    <w:p w14:paraId="694C27B0">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50.2 见证取样检验试验的材料和工程设备</w:t>
      </w:r>
    </w:p>
    <w:p w14:paraId="1E7B17B7">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（1） 种类：</w:t>
      </w:r>
      <w:r>
        <w:rPr>
          <w:rFonts w:hint="eastAsia" w:ascii="宋体" w:hAnsi="宋体" w:cs="宋体"/>
          <w:color w:val="auto"/>
          <w:kern w:val="0"/>
          <w:sz w:val="22"/>
          <w:szCs w:val="22"/>
          <w:highlight w:val="none"/>
          <w:u w:val="single"/>
        </w:rPr>
        <w:t>以质量监督部门审核的送检计划为准。水工金属结构、启闭机及机电产品进场后的交货检查和验收中，承包人负责承担抽样检验的费用。</w:t>
      </w:r>
    </w:p>
    <w:p w14:paraId="63477ACF">
      <w:pPr>
        <w:spacing w:line="420" w:lineRule="exact"/>
        <w:ind w:firstLine="110" w:firstLineChars="50"/>
        <w:rPr>
          <w:rFonts w:ascii="宋体" w:hAnsi="宋体" w:cs="宋体"/>
          <w:color w:val="auto"/>
          <w:kern w:val="0"/>
          <w:sz w:val="22"/>
          <w:szCs w:val="22"/>
          <w:highlight w:val="none"/>
        </w:rPr>
      </w:pPr>
    </w:p>
    <w:p w14:paraId="254FA734">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（2） 检测机构：</w:t>
      </w:r>
      <w:r>
        <w:rPr>
          <w:rFonts w:hint="eastAsia" w:ascii="宋体" w:hAnsi="宋体" w:cs="宋体"/>
          <w:color w:val="auto"/>
          <w:kern w:val="0"/>
          <w:sz w:val="22"/>
          <w:szCs w:val="22"/>
          <w:highlight w:val="none"/>
          <w:u w:val="single"/>
        </w:rPr>
        <w:t xml:space="preserve">                                                                      </w:t>
      </w:r>
    </w:p>
    <w:p w14:paraId="1E6AB1CE">
      <w:pPr>
        <w:spacing w:line="420" w:lineRule="exact"/>
        <w:rPr>
          <w:rFonts w:ascii="宋体" w:hAnsi="宋体"/>
          <w:color w:val="auto"/>
          <w:sz w:val="24"/>
          <w:highlight w:val="none"/>
        </w:rPr>
      </w:pPr>
    </w:p>
    <w:p w14:paraId="7E89AB95">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5</w:t>
      </w:r>
      <w:r>
        <w:rPr>
          <w:rFonts w:ascii="宋体" w:hAnsi="宋体" w:cs="宋体"/>
          <w:color w:val="auto"/>
          <w:kern w:val="0"/>
          <w:sz w:val="22"/>
          <w:szCs w:val="22"/>
          <w:highlight w:val="none"/>
        </w:rPr>
        <w:t>0.5</w:t>
      </w:r>
      <w:r>
        <w:rPr>
          <w:rFonts w:hint="eastAsia" w:ascii="宋体" w:hAnsi="宋体" w:cs="宋体"/>
          <w:color w:val="auto"/>
          <w:kern w:val="0"/>
          <w:sz w:val="22"/>
          <w:szCs w:val="22"/>
          <w:highlight w:val="none"/>
        </w:rPr>
        <w:t>再次检验试验及其费用承担</w:t>
      </w:r>
    </w:p>
    <w:p w14:paraId="11BE8D23">
      <w:pPr>
        <w:spacing w:line="420" w:lineRule="exact"/>
        <w:ind w:firstLine="389" w:firstLineChars="177"/>
        <w:rPr>
          <w:rFonts w:ascii="宋体" w:hAnsi="宋体" w:cs="宋体"/>
          <w:color w:val="auto"/>
          <w:sz w:val="22"/>
          <w:szCs w:val="22"/>
          <w:highlight w:val="none"/>
        </w:rPr>
      </w:pPr>
      <w:r>
        <w:rPr>
          <w:rFonts w:ascii="宋体" w:hAnsi="宋体" w:cs="宋体"/>
          <w:color w:val="auto"/>
          <w:sz w:val="22"/>
          <w:szCs w:val="22"/>
          <w:highlight w:val="none"/>
        </w:rPr>
        <w:t>除</w:t>
      </w:r>
      <w:r>
        <w:rPr>
          <w:rFonts w:hint="eastAsia" w:ascii="宋体" w:hAnsi="宋体" w:cs="宋体"/>
          <w:color w:val="auto"/>
          <w:sz w:val="22"/>
          <w:szCs w:val="22"/>
          <w:highlight w:val="none"/>
        </w:rPr>
        <w:t>满足通用条款第</w:t>
      </w:r>
      <w:r>
        <w:rPr>
          <w:rFonts w:ascii="宋体" w:hAnsi="宋体" w:cs="宋体"/>
          <w:color w:val="auto"/>
          <w:sz w:val="22"/>
          <w:szCs w:val="22"/>
          <w:highlight w:val="none"/>
        </w:rPr>
        <w:t>50.5项规定外，</w:t>
      </w:r>
      <w:r>
        <w:rPr>
          <w:rFonts w:hint="eastAsia" w:ascii="宋体" w:hAnsi="宋体" w:cs="宋体"/>
          <w:color w:val="auto"/>
          <w:sz w:val="22"/>
          <w:szCs w:val="22"/>
          <w:highlight w:val="none"/>
        </w:rPr>
        <w:t>若检测结果未达到验收标准，承包人必须对存在的缺陷进行返工修复至合格为止，第二次之后的检测费用及全部修复费用均由承包人支付，费用按发包人与检测单位确定的费用支付。重新试验和检验结果证明该项材料、工程设备和工程符合合同要求，仍由承包人承担由此增加的费用，工期可顺延。在检测结果出具并经发包人确认后30个日历天内承包人向检测单位支付，否则发包人有权</w:t>
      </w:r>
      <w:r>
        <w:rPr>
          <w:rFonts w:hint="eastAsia" w:ascii="宋体" w:hAnsi="宋体" w:cs="宋体"/>
          <w:color w:val="auto"/>
          <w:sz w:val="22"/>
          <w:szCs w:val="22"/>
          <w:highlight w:val="none"/>
          <w:lang w:eastAsia="zh-CN"/>
        </w:rPr>
        <w:t>扣罚承包人违约金</w:t>
      </w:r>
      <w:r>
        <w:rPr>
          <w:rFonts w:hint="eastAsia" w:ascii="宋体" w:hAnsi="宋体" w:cs="宋体"/>
          <w:color w:val="auto"/>
          <w:sz w:val="22"/>
          <w:szCs w:val="22"/>
          <w:highlight w:val="none"/>
        </w:rPr>
        <w:t>。</w:t>
      </w:r>
    </w:p>
    <w:p w14:paraId="7700E158">
      <w:pPr>
        <w:spacing w:line="420" w:lineRule="exact"/>
        <w:ind w:firstLine="120" w:firstLineChars="50"/>
        <w:rPr>
          <w:rFonts w:hAnsi="宋体"/>
          <w:color w:val="auto"/>
          <w:sz w:val="24"/>
          <w:highlight w:val="none"/>
        </w:rPr>
      </w:pPr>
    </w:p>
    <w:p w14:paraId="37D9D2A1">
      <w:pPr>
        <w:spacing w:line="420" w:lineRule="exact"/>
        <w:ind w:firstLine="110" w:firstLineChars="50"/>
        <w:rPr>
          <w:rFonts w:ascii="宋体" w:hAnsi="宋体" w:cs="宋体"/>
          <w:color w:val="auto"/>
          <w:kern w:val="0"/>
          <w:sz w:val="22"/>
          <w:szCs w:val="22"/>
          <w:highlight w:val="none"/>
        </w:rPr>
      </w:pPr>
      <w:bookmarkStart w:id="716" w:name="_Toc469384111"/>
      <w:r>
        <w:rPr>
          <w:rFonts w:hint="eastAsia" w:ascii="宋体" w:hAnsi="宋体" w:cs="宋体"/>
          <w:color w:val="auto"/>
          <w:kern w:val="0"/>
          <w:sz w:val="22"/>
          <w:szCs w:val="22"/>
          <w:highlight w:val="none"/>
        </w:rPr>
        <w:t>5</w:t>
      </w:r>
      <w:r>
        <w:rPr>
          <w:rFonts w:ascii="宋体" w:hAnsi="宋体" w:cs="宋体"/>
          <w:color w:val="auto"/>
          <w:kern w:val="0"/>
          <w:sz w:val="22"/>
          <w:szCs w:val="22"/>
          <w:highlight w:val="none"/>
        </w:rPr>
        <w:t>0.7</w:t>
      </w:r>
      <w:r>
        <w:rPr>
          <w:rFonts w:hint="eastAsia" w:ascii="宋体" w:hAnsi="宋体" w:cs="宋体"/>
          <w:color w:val="auto"/>
          <w:kern w:val="0"/>
          <w:sz w:val="22"/>
          <w:szCs w:val="22"/>
          <w:highlight w:val="none"/>
        </w:rPr>
        <w:t>发包人按照规定可委托第三方检验试验单位负责本合同工程材料、设备、桩基、cctv等检测的检验试验。相关费用另行协商。</w:t>
      </w:r>
    </w:p>
    <w:p w14:paraId="6FD7C3D7">
      <w:pPr>
        <w:spacing w:line="420" w:lineRule="exact"/>
        <w:ind w:firstLine="110" w:firstLineChars="50"/>
        <w:rPr>
          <w:rFonts w:ascii="宋体" w:hAnsi="宋体" w:cs="宋体"/>
          <w:color w:val="auto"/>
          <w:kern w:val="0"/>
          <w:sz w:val="22"/>
          <w:szCs w:val="22"/>
          <w:highlight w:val="none"/>
        </w:rPr>
      </w:pPr>
    </w:p>
    <w:p w14:paraId="3A79F0A8">
      <w:pPr>
        <w:pStyle w:val="3"/>
        <w:numPr>
          <w:ilvl w:val="0"/>
          <w:numId w:val="0"/>
        </w:numPr>
        <w:tabs>
          <w:tab w:val="left" w:pos="420"/>
        </w:tabs>
        <w:spacing w:line="420" w:lineRule="exact"/>
        <w:rPr>
          <w:rFonts w:hAnsi="宋体"/>
          <w:b/>
          <w:bCs/>
          <w:color w:val="auto"/>
          <w:sz w:val="22"/>
          <w:szCs w:val="22"/>
          <w:highlight w:val="none"/>
        </w:rPr>
      </w:pPr>
      <w:bookmarkStart w:id="717" w:name="_Toc18555"/>
      <w:bookmarkStart w:id="718" w:name="_Toc15685"/>
      <w:bookmarkStart w:id="719" w:name="_Toc7229"/>
      <w:bookmarkStart w:id="720" w:name="_Toc155166186"/>
      <w:bookmarkStart w:id="721" w:name="_Toc14955"/>
      <w:r>
        <w:rPr>
          <w:rFonts w:hint="eastAsia" w:hAnsi="宋体"/>
          <w:b/>
          <w:bCs/>
          <w:color w:val="auto"/>
          <w:sz w:val="22"/>
          <w:szCs w:val="22"/>
          <w:highlight w:val="none"/>
        </w:rPr>
        <w:t>51. 施工设备和临时设施</w:t>
      </w:r>
      <w:bookmarkEnd w:id="716"/>
      <w:bookmarkEnd w:id="717"/>
      <w:bookmarkEnd w:id="718"/>
      <w:bookmarkEnd w:id="719"/>
      <w:bookmarkEnd w:id="720"/>
      <w:bookmarkEnd w:id="721"/>
    </w:p>
    <w:p w14:paraId="5B7053CF">
      <w:pPr>
        <w:spacing w:line="420" w:lineRule="exact"/>
        <w:ind w:firstLine="110" w:firstLineChars="50"/>
        <w:rPr>
          <w:rFonts w:ascii="宋体" w:hAnsi="宋体" w:cs="宋体"/>
          <w:color w:val="auto"/>
          <w:sz w:val="22"/>
          <w:szCs w:val="22"/>
          <w:highlight w:val="none"/>
        </w:rPr>
      </w:pPr>
    </w:p>
    <w:p w14:paraId="4478005E">
      <w:pPr>
        <w:spacing w:line="420" w:lineRule="exact"/>
        <w:ind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 xml:space="preserve">  51.1 承包人配置施工设备和临时设施</w:t>
      </w:r>
    </w:p>
    <w:p w14:paraId="5271ED13">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sz w:val="22"/>
          <w:szCs w:val="22"/>
          <w:highlight w:val="none"/>
        </w:rPr>
        <w:t xml:space="preserve">  </w:t>
      </w:r>
      <w:r>
        <w:rPr>
          <w:rFonts w:hint="eastAsia" w:ascii="宋体" w:hAnsi="宋体" w:cs="宋体"/>
          <w:color w:val="auto"/>
          <w:kern w:val="0"/>
          <w:sz w:val="22"/>
          <w:szCs w:val="22"/>
          <w:highlight w:val="none"/>
        </w:rPr>
        <w:t>□ 按通用条款规定，承包人承担修建临时设施的费用。</w:t>
      </w:r>
    </w:p>
    <w:p w14:paraId="38BDD72B">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另作约定：</w:t>
      </w:r>
    </w:p>
    <w:p w14:paraId="30A69D4A">
      <w:pPr>
        <w:spacing w:line="420" w:lineRule="exact"/>
        <w:ind w:firstLine="550" w:firstLineChars="250"/>
        <w:rPr>
          <w:rFonts w:ascii="宋体" w:hAnsi="宋体" w:cs="宋体"/>
          <w:color w:val="auto"/>
          <w:sz w:val="22"/>
          <w:szCs w:val="22"/>
          <w:highlight w:val="none"/>
        </w:rPr>
      </w:pPr>
      <w:r>
        <w:rPr>
          <w:rFonts w:hint="eastAsia" w:ascii="宋体" w:hAnsi="宋体" w:cs="宋体"/>
          <w:color w:val="auto"/>
          <w:sz w:val="22"/>
          <w:szCs w:val="22"/>
          <w:highlight w:val="none"/>
        </w:rPr>
        <w:t>承</w:t>
      </w:r>
      <w:r>
        <w:rPr>
          <w:rFonts w:ascii="宋体" w:hAnsi="宋体" w:cs="宋体"/>
          <w:color w:val="auto"/>
          <w:sz w:val="22"/>
          <w:szCs w:val="22"/>
          <w:highlight w:val="none"/>
        </w:rPr>
        <w:t>包人承担修建临时设施的费用的范围：</w:t>
      </w:r>
      <w:r>
        <w:rPr>
          <w:rFonts w:hint="eastAsia" w:ascii="宋体" w:hAnsi="宋体" w:cs="宋体"/>
          <w:color w:val="auto"/>
          <w:sz w:val="22"/>
          <w:szCs w:val="22"/>
          <w:highlight w:val="none"/>
          <w:u w:val="single"/>
        </w:rPr>
        <w:t>由承包人承担，费用含在签约合同价中</w:t>
      </w:r>
      <w:r>
        <w:rPr>
          <w:rFonts w:ascii="宋体" w:hAnsi="宋体" w:cs="宋体"/>
          <w:color w:val="auto"/>
          <w:sz w:val="22"/>
          <w:szCs w:val="22"/>
          <w:highlight w:val="none"/>
        </w:rPr>
        <w:t>。</w:t>
      </w:r>
    </w:p>
    <w:p w14:paraId="1BB15BB3">
      <w:pPr>
        <w:spacing w:line="420" w:lineRule="exact"/>
        <w:ind w:firstLine="550" w:firstLineChars="250"/>
        <w:rPr>
          <w:rFonts w:ascii="宋体" w:hAnsi="宋体" w:cs="宋体"/>
          <w:color w:val="auto"/>
          <w:sz w:val="22"/>
          <w:szCs w:val="22"/>
          <w:highlight w:val="none"/>
        </w:rPr>
      </w:pPr>
      <w:r>
        <w:rPr>
          <w:rFonts w:ascii="宋体" w:hAnsi="宋体" w:cs="宋体"/>
          <w:color w:val="auto"/>
          <w:sz w:val="22"/>
          <w:szCs w:val="22"/>
          <w:highlight w:val="none"/>
        </w:rPr>
        <w:t>需要</w:t>
      </w:r>
      <w:r>
        <w:rPr>
          <w:rFonts w:hint="eastAsia" w:ascii="宋体" w:hAnsi="宋体" w:cs="宋体"/>
          <w:color w:val="auto"/>
          <w:sz w:val="22"/>
          <w:szCs w:val="22"/>
          <w:highlight w:val="none"/>
        </w:rPr>
        <w:t>承</w:t>
      </w:r>
      <w:r>
        <w:rPr>
          <w:rFonts w:ascii="宋体" w:hAnsi="宋体" w:cs="宋体"/>
          <w:color w:val="auto"/>
          <w:sz w:val="22"/>
          <w:szCs w:val="22"/>
          <w:highlight w:val="none"/>
        </w:rPr>
        <w:t>包人办理申请手续和承担相关费用的临时占地：</w:t>
      </w:r>
      <w:r>
        <w:rPr>
          <w:rFonts w:hint="eastAsia" w:ascii="宋体" w:hAnsi="宋体" w:cs="宋体"/>
          <w:color w:val="auto"/>
          <w:sz w:val="22"/>
          <w:szCs w:val="22"/>
          <w:highlight w:val="none"/>
          <w:u w:val="single"/>
        </w:rPr>
        <w:t>由承包人承担，费用含在签约合同价中</w:t>
      </w:r>
      <w:r>
        <w:rPr>
          <w:rFonts w:ascii="宋体" w:hAnsi="宋体" w:cs="宋体"/>
          <w:color w:val="auto"/>
          <w:sz w:val="22"/>
          <w:szCs w:val="22"/>
          <w:highlight w:val="none"/>
        </w:rPr>
        <w:t>。</w:t>
      </w:r>
    </w:p>
    <w:p w14:paraId="49D3F1D9">
      <w:pPr>
        <w:spacing w:line="420" w:lineRule="exact"/>
        <w:ind w:firstLine="110" w:firstLineChars="50"/>
        <w:rPr>
          <w:rFonts w:ascii="宋体" w:hAnsi="宋体" w:cs="宋体"/>
          <w:color w:val="auto"/>
          <w:kern w:val="0"/>
          <w:sz w:val="22"/>
          <w:szCs w:val="22"/>
          <w:highlight w:val="none"/>
        </w:rPr>
      </w:pPr>
    </w:p>
    <w:p w14:paraId="767137FB">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51.2 发包人提供的施工设备和临时设施：</w:t>
      </w:r>
      <w:r>
        <w:rPr>
          <w:rFonts w:hint="eastAsia" w:ascii="宋体" w:hAnsi="宋体" w:cs="宋体"/>
          <w:color w:val="auto"/>
          <w:sz w:val="22"/>
          <w:szCs w:val="22"/>
          <w:highlight w:val="none"/>
          <w:u w:val="single"/>
        </w:rPr>
        <w:t>不提供。</w:t>
      </w:r>
    </w:p>
    <w:p w14:paraId="5AE3324F">
      <w:pPr>
        <w:spacing w:line="420" w:lineRule="exact"/>
        <w:rPr>
          <w:rFonts w:ascii="宋体" w:hAnsi="宋体" w:cs="宋体"/>
          <w:color w:val="auto"/>
          <w:kern w:val="0"/>
          <w:sz w:val="22"/>
          <w:szCs w:val="22"/>
          <w:highlight w:val="none"/>
        </w:rPr>
      </w:pPr>
    </w:p>
    <w:p w14:paraId="35F28CB0">
      <w:pPr>
        <w:pStyle w:val="3"/>
        <w:numPr>
          <w:ilvl w:val="0"/>
          <w:numId w:val="0"/>
        </w:numPr>
        <w:tabs>
          <w:tab w:val="left" w:pos="420"/>
        </w:tabs>
        <w:spacing w:line="420" w:lineRule="exact"/>
        <w:rPr>
          <w:rFonts w:hAnsi="宋体"/>
          <w:b/>
          <w:bCs/>
          <w:color w:val="auto"/>
          <w:sz w:val="22"/>
          <w:szCs w:val="22"/>
          <w:highlight w:val="none"/>
        </w:rPr>
      </w:pPr>
      <w:bookmarkStart w:id="722" w:name="_Toc19296"/>
      <w:bookmarkStart w:id="723" w:name="_Toc20982"/>
      <w:bookmarkStart w:id="724" w:name="_Toc951"/>
      <w:bookmarkStart w:id="725" w:name="_Toc15379"/>
      <w:bookmarkStart w:id="726" w:name="_Toc155166187"/>
      <w:r>
        <w:rPr>
          <w:rFonts w:hint="eastAsia" w:hAnsi="宋体"/>
          <w:b/>
          <w:bCs/>
          <w:color w:val="auto"/>
          <w:sz w:val="22"/>
          <w:szCs w:val="22"/>
          <w:highlight w:val="none"/>
        </w:rPr>
        <w:t>5</w:t>
      </w:r>
      <w:r>
        <w:rPr>
          <w:rFonts w:hAnsi="宋体"/>
          <w:b/>
          <w:bCs/>
          <w:color w:val="auto"/>
          <w:sz w:val="22"/>
          <w:szCs w:val="22"/>
          <w:highlight w:val="none"/>
        </w:rPr>
        <w:t>2</w:t>
      </w:r>
      <w:r>
        <w:rPr>
          <w:rFonts w:hint="eastAsia" w:hAnsi="宋体"/>
          <w:b/>
          <w:bCs/>
          <w:color w:val="auto"/>
          <w:sz w:val="22"/>
          <w:szCs w:val="22"/>
          <w:highlight w:val="none"/>
        </w:rPr>
        <w:t>工程质量检查</w:t>
      </w:r>
      <w:bookmarkEnd w:id="722"/>
      <w:bookmarkEnd w:id="723"/>
      <w:bookmarkEnd w:id="724"/>
      <w:bookmarkEnd w:id="725"/>
      <w:bookmarkEnd w:id="726"/>
    </w:p>
    <w:p w14:paraId="7DE8A23A">
      <w:pPr>
        <w:spacing w:line="420" w:lineRule="exact"/>
        <w:ind w:firstLine="110" w:firstLineChars="50"/>
        <w:rPr>
          <w:rFonts w:ascii="宋体" w:hAnsi="宋体" w:cs="宋体"/>
          <w:color w:val="auto"/>
          <w:sz w:val="22"/>
          <w:szCs w:val="22"/>
          <w:highlight w:val="none"/>
        </w:rPr>
      </w:pPr>
    </w:p>
    <w:p w14:paraId="371AD647">
      <w:pPr>
        <w:spacing w:line="420" w:lineRule="exact"/>
        <w:ind w:firstLine="110" w:firstLineChars="50"/>
        <w:rPr>
          <w:rFonts w:ascii="宋体" w:hAnsi="宋体" w:cs="宋体"/>
          <w:color w:val="auto"/>
          <w:sz w:val="22"/>
          <w:szCs w:val="22"/>
          <w:highlight w:val="none"/>
        </w:rPr>
      </w:pPr>
      <w:bookmarkStart w:id="727" w:name="_Toc469384112"/>
      <w:r>
        <w:rPr>
          <w:rFonts w:ascii="宋体" w:hAnsi="宋体" w:cs="宋体"/>
          <w:color w:val="auto"/>
          <w:sz w:val="22"/>
          <w:szCs w:val="22"/>
          <w:highlight w:val="none"/>
        </w:rPr>
        <w:t>52.2</w:t>
      </w:r>
      <w:r>
        <w:rPr>
          <w:rFonts w:hint="eastAsia" w:ascii="宋体" w:hAnsi="宋体" w:cs="宋体"/>
          <w:color w:val="auto"/>
          <w:sz w:val="22"/>
          <w:szCs w:val="22"/>
          <w:highlight w:val="none"/>
        </w:rPr>
        <w:t>工程质量检查的要求应满足通用条款第5</w:t>
      </w:r>
      <w:r>
        <w:rPr>
          <w:rFonts w:ascii="宋体" w:hAnsi="宋体" w:cs="宋体"/>
          <w:color w:val="auto"/>
          <w:sz w:val="22"/>
          <w:szCs w:val="22"/>
          <w:highlight w:val="none"/>
        </w:rPr>
        <w:t>2.2</w:t>
      </w:r>
      <w:r>
        <w:rPr>
          <w:rFonts w:hint="eastAsia" w:ascii="宋体" w:hAnsi="宋体" w:cs="宋体"/>
          <w:color w:val="auto"/>
          <w:sz w:val="22"/>
          <w:szCs w:val="22"/>
          <w:highlight w:val="none"/>
        </w:rPr>
        <w:t>项规定。</w:t>
      </w:r>
    </w:p>
    <w:p w14:paraId="35A8059B">
      <w:pPr>
        <w:spacing w:line="420" w:lineRule="exact"/>
        <w:ind w:firstLine="550" w:firstLineChars="250"/>
        <w:rPr>
          <w:rFonts w:ascii="宋体" w:hAnsi="宋体" w:cs="宋体"/>
          <w:color w:val="auto"/>
          <w:sz w:val="22"/>
          <w:szCs w:val="22"/>
          <w:highlight w:val="none"/>
        </w:rPr>
      </w:pPr>
      <w:r>
        <w:rPr>
          <w:rFonts w:ascii="宋体" w:hAnsi="宋体" w:cs="宋体"/>
          <w:color w:val="auto"/>
          <w:sz w:val="22"/>
          <w:szCs w:val="22"/>
          <w:highlight w:val="none"/>
        </w:rPr>
        <w:t>承包人向监理人报送工程质量报表的期限：</w:t>
      </w:r>
      <w:r>
        <w:rPr>
          <w:rFonts w:hint="eastAsia" w:ascii="宋体" w:hAnsi="宋体" w:cs="宋体"/>
          <w:color w:val="auto"/>
          <w:sz w:val="22"/>
          <w:szCs w:val="22"/>
          <w:highlight w:val="none"/>
          <w:u w:val="single"/>
        </w:rPr>
        <w:t>施工期间每周一次</w:t>
      </w:r>
      <w:r>
        <w:rPr>
          <w:rFonts w:ascii="宋体" w:hAnsi="宋体" w:cs="宋体"/>
          <w:color w:val="auto"/>
          <w:sz w:val="22"/>
          <w:szCs w:val="22"/>
          <w:highlight w:val="none"/>
          <w:u w:val="single"/>
        </w:rPr>
        <w:t xml:space="preserve"> </w:t>
      </w:r>
      <w:r>
        <w:rPr>
          <w:rFonts w:ascii="宋体" w:hAnsi="宋体" w:cs="宋体"/>
          <w:color w:val="auto"/>
          <w:sz w:val="22"/>
          <w:szCs w:val="22"/>
          <w:highlight w:val="none"/>
        </w:rPr>
        <w:t>。</w:t>
      </w:r>
    </w:p>
    <w:p w14:paraId="62E86AE8">
      <w:pPr>
        <w:spacing w:line="420" w:lineRule="exact"/>
        <w:ind w:firstLine="550" w:firstLineChars="250"/>
        <w:rPr>
          <w:rFonts w:ascii="宋体" w:hAnsi="宋体" w:cs="宋体"/>
          <w:color w:val="auto"/>
          <w:sz w:val="22"/>
          <w:szCs w:val="22"/>
          <w:highlight w:val="none"/>
        </w:rPr>
      </w:pPr>
      <w:r>
        <w:rPr>
          <w:rFonts w:ascii="宋体" w:hAnsi="宋体" w:cs="宋体"/>
          <w:color w:val="auto"/>
          <w:sz w:val="22"/>
          <w:szCs w:val="22"/>
          <w:highlight w:val="none"/>
        </w:rPr>
        <w:t>承包人向监理人报送工程质量报表的要求：</w:t>
      </w:r>
      <w:r>
        <w:rPr>
          <w:rFonts w:hint="eastAsia" w:ascii="宋体" w:hAnsi="宋体" w:cs="宋体"/>
          <w:color w:val="auto"/>
          <w:sz w:val="22"/>
          <w:szCs w:val="22"/>
          <w:highlight w:val="none"/>
          <w:u w:val="single"/>
        </w:rPr>
        <w:t>包括但不限于现场质量资料、安全资料、施工计划、工程进度完成情况、现场图片等</w:t>
      </w:r>
      <w:r>
        <w:rPr>
          <w:rFonts w:ascii="宋体" w:hAnsi="宋体" w:cs="宋体"/>
          <w:color w:val="auto"/>
          <w:sz w:val="22"/>
          <w:szCs w:val="22"/>
          <w:highlight w:val="none"/>
        </w:rPr>
        <w:t>。</w:t>
      </w:r>
    </w:p>
    <w:p w14:paraId="31469C74">
      <w:pPr>
        <w:spacing w:line="420" w:lineRule="exact"/>
        <w:ind w:firstLine="550" w:firstLineChars="250"/>
        <w:rPr>
          <w:rFonts w:ascii="宋体" w:hAnsi="宋体" w:cs="宋体"/>
          <w:color w:val="auto"/>
          <w:sz w:val="22"/>
          <w:szCs w:val="22"/>
          <w:highlight w:val="none"/>
        </w:rPr>
      </w:pPr>
      <w:r>
        <w:rPr>
          <w:rFonts w:ascii="宋体" w:hAnsi="宋体" w:cs="宋体"/>
          <w:color w:val="auto"/>
          <w:sz w:val="22"/>
          <w:szCs w:val="22"/>
          <w:highlight w:val="none"/>
        </w:rPr>
        <w:t>监理人审查工程质量报表的期限</w:t>
      </w:r>
      <w:r>
        <w:rPr>
          <w:rFonts w:hint="eastAsia" w:ascii="宋体" w:hAnsi="宋体" w:cs="宋体"/>
          <w:color w:val="auto"/>
          <w:sz w:val="22"/>
          <w:szCs w:val="22"/>
          <w:highlight w:val="none"/>
        </w:rPr>
        <w:t>：</w:t>
      </w:r>
      <w:r>
        <w:rPr>
          <w:rFonts w:hint="eastAsia" w:ascii="宋体" w:hAnsi="宋体" w:cs="宋体"/>
          <w:color w:val="auto"/>
          <w:sz w:val="22"/>
          <w:szCs w:val="22"/>
          <w:highlight w:val="none"/>
          <w:u w:val="single"/>
        </w:rPr>
        <w:t>收到承包人相关资料后2日历天内完成</w:t>
      </w:r>
      <w:r>
        <w:rPr>
          <w:rFonts w:hint="eastAsia" w:ascii="宋体" w:hAnsi="宋体" w:cs="宋体"/>
          <w:color w:val="auto"/>
          <w:sz w:val="22"/>
          <w:szCs w:val="22"/>
          <w:highlight w:val="none"/>
        </w:rPr>
        <w:t>。</w:t>
      </w:r>
    </w:p>
    <w:p w14:paraId="328146A6">
      <w:pPr>
        <w:spacing w:line="420" w:lineRule="exact"/>
        <w:rPr>
          <w:rFonts w:ascii="宋体" w:hAnsi="宋体" w:cs="宋体"/>
          <w:color w:val="auto"/>
          <w:kern w:val="0"/>
          <w:sz w:val="22"/>
          <w:szCs w:val="22"/>
          <w:highlight w:val="none"/>
        </w:rPr>
      </w:pPr>
    </w:p>
    <w:p w14:paraId="70AC382A">
      <w:pPr>
        <w:pStyle w:val="3"/>
        <w:numPr>
          <w:ilvl w:val="0"/>
          <w:numId w:val="0"/>
        </w:numPr>
        <w:tabs>
          <w:tab w:val="left" w:pos="420"/>
        </w:tabs>
        <w:spacing w:line="420" w:lineRule="exact"/>
        <w:rPr>
          <w:rFonts w:hAnsi="宋体"/>
          <w:b/>
          <w:bCs/>
          <w:color w:val="auto"/>
          <w:sz w:val="22"/>
          <w:szCs w:val="22"/>
          <w:highlight w:val="none"/>
        </w:rPr>
      </w:pPr>
      <w:bookmarkStart w:id="728" w:name="_Toc19668"/>
      <w:bookmarkStart w:id="729" w:name="_Toc29110"/>
      <w:bookmarkStart w:id="730" w:name="_Toc19446"/>
      <w:bookmarkStart w:id="731" w:name="_Toc19624"/>
      <w:bookmarkStart w:id="732" w:name="_Toc155166188"/>
      <w:r>
        <w:rPr>
          <w:rFonts w:hint="eastAsia" w:hAnsi="宋体"/>
          <w:b/>
          <w:bCs/>
          <w:color w:val="auto"/>
          <w:sz w:val="22"/>
          <w:szCs w:val="22"/>
          <w:highlight w:val="none"/>
        </w:rPr>
        <w:t>53. 隐蔽工程和中间验收</w:t>
      </w:r>
      <w:bookmarkEnd w:id="727"/>
      <w:bookmarkEnd w:id="728"/>
      <w:bookmarkEnd w:id="729"/>
      <w:bookmarkEnd w:id="730"/>
      <w:bookmarkEnd w:id="731"/>
      <w:bookmarkEnd w:id="732"/>
    </w:p>
    <w:p w14:paraId="4AC4EB3E">
      <w:pPr>
        <w:spacing w:line="420" w:lineRule="exact"/>
        <w:ind w:firstLine="110" w:firstLineChars="50"/>
        <w:rPr>
          <w:rFonts w:ascii="宋体" w:hAnsi="宋体" w:cs="宋体"/>
          <w:color w:val="auto"/>
          <w:kern w:val="0"/>
          <w:sz w:val="22"/>
          <w:szCs w:val="22"/>
          <w:highlight w:val="none"/>
        </w:rPr>
      </w:pPr>
    </w:p>
    <w:p w14:paraId="5DEF94E0">
      <w:pPr>
        <w:spacing w:line="420" w:lineRule="exact"/>
        <w:ind w:left="120" w:leftChars="57"/>
        <w:rPr>
          <w:rFonts w:ascii="宋体" w:hAnsi="宋体" w:cs="宋体"/>
          <w:color w:val="auto"/>
          <w:kern w:val="0"/>
          <w:sz w:val="22"/>
          <w:szCs w:val="22"/>
          <w:highlight w:val="none"/>
        </w:rPr>
      </w:pPr>
      <w:r>
        <w:rPr>
          <w:rFonts w:hint="eastAsia" w:ascii="宋体" w:hAnsi="宋体" w:cs="宋体"/>
          <w:color w:val="auto"/>
          <w:kern w:val="0"/>
          <w:sz w:val="22"/>
          <w:szCs w:val="22"/>
          <w:highlight w:val="none"/>
        </w:rPr>
        <w:t>隐蔽工程或中间验收部位未经专业监理工程师验收合格，不得隐蔽或继续施工，否则该部分工程被视为不合格，由此所产生的返工费用由承包人承担。</w:t>
      </w:r>
    </w:p>
    <w:p w14:paraId="0308E9BC">
      <w:pPr>
        <w:spacing w:line="420" w:lineRule="exact"/>
        <w:ind w:left="120" w:leftChars="57"/>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工程竣工验收时，承包方负责向竣工验收委员会汇报并提交历次质量缺陷处理的备案资料。</w:t>
      </w:r>
    </w:p>
    <w:p w14:paraId="2161B0E3">
      <w:pPr>
        <w:spacing w:line="420" w:lineRule="exact"/>
        <w:ind w:firstLine="110" w:firstLineChars="50"/>
        <w:rPr>
          <w:rFonts w:ascii="宋体" w:hAnsi="宋体" w:cs="宋体"/>
          <w:color w:val="auto"/>
          <w:kern w:val="0"/>
          <w:sz w:val="22"/>
          <w:szCs w:val="22"/>
          <w:highlight w:val="none"/>
        </w:rPr>
      </w:pPr>
    </w:p>
    <w:p w14:paraId="40CC4E6F">
      <w:pPr>
        <w:spacing w:line="360" w:lineRule="auto"/>
        <w:ind w:firstLine="220" w:firstLineChars="100"/>
        <w:rPr>
          <w:rFonts w:hAnsi="宋体"/>
          <w:color w:val="auto"/>
          <w:sz w:val="24"/>
          <w:highlight w:val="none"/>
          <w:u w:val="single"/>
        </w:rPr>
      </w:pPr>
      <w:r>
        <w:rPr>
          <w:rFonts w:hint="eastAsia" w:ascii="宋体" w:hAnsi="宋体" w:cs="宋体"/>
          <w:color w:val="auto"/>
          <w:kern w:val="0"/>
          <w:sz w:val="22"/>
          <w:szCs w:val="22"/>
          <w:highlight w:val="none"/>
        </w:rPr>
        <w:t>53.1 中间验收的部位有：</w:t>
      </w:r>
      <w:r>
        <w:rPr>
          <w:rFonts w:ascii="宋体" w:hAnsi="宋体" w:cs="宋体"/>
          <w:color w:val="auto"/>
          <w:sz w:val="22"/>
          <w:szCs w:val="22"/>
          <w:highlight w:val="none"/>
          <w:u w:val="single"/>
        </w:rPr>
        <w:t>隐蔽工程项目</w:t>
      </w:r>
      <w:r>
        <w:rPr>
          <w:rFonts w:hint="eastAsia" w:ascii="宋体" w:hAnsi="宋体" w:cs="宋体"/>
          <w:color w:val="auto"/>
          <w:sz w:val="22"/>
          <w:szCs w:val="22"/>
          <w:highlight w:val="none"/>
          <w:u w:val="single"/>
        </w:rPr>
        <w:t>。</w:t>
      </w:r>
    </w:p>
    <w:p w14:paraId="626DB50C">
      <w:pPr>
        <w:spacing w:line="420" w:lineRule="exact"/>
        <w:ind w:firstLine="440" w:firstLineChars="200"/>
        <w:rPr>
          <w:rFonts w:ascii="宋体" w:hAnsi="宋体" w:cs="宋体"/>
          <w:color w:val="auto"/>
          <w:kern w:val="0"/>
          <w:sz w:val="22"/>
          <w:szCs w:val="22"/>
          <w:highlight w:val="none"/>
        </w:rPr>
      </w:pPr>
      <w:r>
        <w:rPr>
          <w:rFonts w:ascii="宋体" w:hAnsi="宋体" w:cs="宋体"/>
          <w:color w:val="auto"/>
          <w:kern w:val="0"/>
          <w:sz w:val="22"/>
          <w:szCs w:val="22"/>
          <w:highlight w:val="none"/>
        </w:rPr>
        <w:t>当工程进度达到本款约定的中间验收部位时，承包人应当进行自检，并在中间验收前48小时以书面形式通知监理人验收。书面通知应包括中间验收的内容、验收时间和地点。承包人应当准备验收记录。只有监理人验收合格并在验收记录上签字后，承包人方可继续施工。验收不合格的，承包人在</w:t>
      </w:r>
      <w:r>
        <w:rPr>
          <w:rFonts w:hint="eastAsia" w:ascii="宋体" w:hAnsi="宋体" w:cs="宋体"/>
          <w:color w:val="auto"/>
          <w:kern w:val="0"/>
          <w:sz w:val="22"/>
          <w:szCs w:val="22"/>
          <w:highlight w:val="none"/>
          <w:u w:val="single"/>
        </w:rPr>
        <w:t>2个日历天内</w:t>
      </w:r>
      <w:r>
        <w:rPr>
          <w:rFonts w:ascii="宋体" w:hAnsi="宋体" w:cs="宋体"/>
          <w:color w:val="auto"/>
          <w:kern w:val="0"/>
          <w:sz w:val="22"/>
          <w:szCs w:val="22"/>
          <w:highlight w:val="none"/>
        </w:rPr>
        <w:t>期限内进行修改后重新验收。</w:t>
      </w:r>
    </w:p>
    <w:p w14:paraId="67DF1F1A">
      <w:pPr>
        <w:spacing w:line="420" w:lineRule="exact"/>
        <w:ind w:firstLine="440" w:firstLineChars="200"/>
        <w:rPr>
          <w:rFonts w:ascii="宋体" w:hAnsi="宋体" w:cs="宋体"/>
          <w:color w:val="auto"/>
          <w:kern w:val="0"/>
          <w:sz w:val="22"/>
          <w:szCs w:val="22"/>
          <w:highlight w:val="none"/>
        </w:rPr>
      </w:pPr>
      <w:r>
        <w:rPr>
          <w:rFonts w:ascii="宋体" w:hAnsi="宋体" w:cs="宋体"/>
          <w:color w:val="auto"/>
          <w:kern w:val="0"/>
          <w:sz w:val="22"/>
          <w:szCs w:val="22"/>
          <w:highlight w:val="none"/>
        </w:rPr>
        <w:t>监理人不能按时进行验收的，应在验收前24小时以书面形式向承包人提出延期要求，延期不能超过48小时。监理人未能按本款约定的时限提出延期要求，又未按期进行验收的，承包人可自行组织验收，监理人必须认同验收记录。</w:t>
      </w:r>
    </w:p>
    <w:p w14:paraId="2A218924">
      <w:pPr>
        <w:spacing w:line="420" w:lineRule="exact"/>
        <w:ind w:firstLine="440" w:firstLineChars="200"/>
        <w:rPr>
          <w:rFonts w:ascii="宋体" w:hAnsi="宋体" w:cs="宋体"/>
          <w:color w:val="auto"/>
          <w:kern w:val="0"/>
          <w:sz w:val="22"/>
          <w:szCs w:val="22"/>
          <w:highlight w:val="none"/>
        </w:rPr>
      </w:pPr>
      <w:r>
        <w:rPr>
          <w:rFonts w:ascii="宋体" w:hAnsi="宋体" w:cs="宋体"/>
          <w:color w:val="auto"/>
          <w:kern w:val="0"/>
          <w:sz w:val="22"/>
          <w:szCs w:val="22"/>
          <w:highlight w:val="none"/>
        </w:rPr>
        <w:t>经监理人验收后工程质量符合约定的验收标准，但验收24小时后监理人仍不在验收记录上签字的，视为监理人已经认可验收记录，承包人可继续施工。</w:t>
      </w:r>
    </w:p>
    <w:p w14:paraId="183FABE2">
      <w:pPr>
        <w:spacing w:line="420" w:lineRule="exact"/>
        <w:rPr>
          <w:rFonts w:ascii="宋体" w:hAnsi="宋体" w:cs="宋体"/>
          <w:color w:val="auto"/>
          <w:kern w:val="0"/>
          <w:sz w:val="22"/>
          <w:szCs w:val="22"/>
          <w:highlight w:val="none"/>
        </w:rPr>
      </w:pPr>
    </w:p>
    <w:p w14:paraId="71916A08">
      <w:pPr>
        <w:spacing w:line="420" w:lineRule="exact"/>
        <w:rPr>
          <w:rFonts w:ascii="宋体" w:hAnsi="宋体" w:cs="宋体"/>
          <w:color w:val="auto"/>
          <w:kern w:val="0"/>
          <w:sz w:val="22"/>
          <w:szCs w:val="22"/>
          <w:highlight w:val="none"/>
        </w:rPr>
      </w:pPr>
      <w:bookmarkStart w:id="733" w:name="_Toc469384113"/>
      <w:r>
        <w:rPr>
          <w:rFonts w:hint="eastAsia" w:ascii="宋体" w:hAnsi="宋体" w:cs="宋体"/>
          <w:color w:val="auto"/>
          <w:kern w:val="0"/>
          <w:sz w:val="22"/>
          <w:szCs w:val="22"/>
          <w:highlight w:val="none"/>
        </w:rPr>
        <w:t>5</w:t>
      </w:r>
      <w:r>
        <w:rPr>
          <w:rFonts w:ascii="宋体" w:hAnsi="宋体" w:cs="宋体"/>
          <w:color w:val="auto"/>
          <w:kern w:val="0"/>
          <w:sz w:val="22"/>
          <w:szCs w:val="22"/>
          <w:highlight w:val="none"/>
        </w:rPr>
        <w:t>3.6隐蔽工程和中间验收的</w:t>
      </w:r>
      <w:r>
        <w:rPr>
          <w:rFonts w:hint="eastAsia" w:ascii="宋体" w:hAnsi="宋体" w:cs="宋体"/>
          <w:color w:val="auto"/>
          <w:kern w:val="0"/>
          <w:sz w:val="22"/>
          <w:szCs w:val="22"/>
          <w:highlight w:val="none"/>
        </w:rPr>
        <w:t>其他约定：</w:t>
      </w:r>
    </w:p>
    <w:p w14:paraId="0437DB10">
      <w:pPr>
        <w:spacing w:line="420" w:lineRule="exact"/>
        <w:rPr>
          <w:rFonts w:ascii="宋体" w:hAnsi="宋体" w:cs="宋体"/>
          <w:color w:val="auto"/>
          <w:kern w:val="0"/>
          <w:sz w:val="22"/>
          <w:szCs w:val="22"/>
          <w:highlight w:val="none"/>
        </w:rPr>
      </w:pPr>
    </w:p>
    <w:p w14:paraId="39A2098F">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w:t>
      </w:r>
      <w:r>
        <w:rPr>
          <w:rFonts w:ascii="宋体" w:hAnsi="宋体" w:cs="宋体"/>
          <w:color w:val="auto"/>
          <w:kern w:val="0"/>
          <w:sz w:val="22"/>
          <w:szCs w:val="22"/>
          <w:highlight w:val="none"/>
        </w:rPr>
        <w:t>1</w:t>
      </w:r>
      <w:r>
        <w:rPr>
          <w:rFonts w:hint="eastAsia" w:ascii="宋体" w:hAnsi="宋体" w:cs="宋体"/>
          <w:color w:val="auto"/>
          <w:kern w:val="0"/>
          <w:sz w:val="22"/>
          <w:szCs w:val="22"/>
          <w:highlight w:val="none"/>
        </w:rPr>
        <w:t>）</w:t>
      </w:r>
      <w:r>
        <w:rPr>
          <w:rFonts w:ascii="宋体" w:hAnsi="宋体" w:cs="宋体"/>
          <w:color w:val="auto"/>
          <w:kern w:val="0"/>
          <w:sz w:val="22"/>
          <w:szCs w:val="22"/>
          <w:highlight w:val="none"/>
        </w:rPr>
        <w:t>监理人对工程隐蔽部位进行检查的期限：</w:t>
      </w:r>
      <w:r>
        <w:rPr>
          <w:rFonts w:ascii="宋体" w:hAnsi="宋体" w:cs="宋体"/>
          <w:color w:val="auto"/>
          <w:kern w:val="0"/>
          <w:sz w:val="22"/>
          <w:szCs w:val="22"/>
          <w:highlight w:val="none"/>
          <w:u w:val="single"/>
        </w:rPr>
        <w:t>收到承包人自检确认的工程隐蔽部位具备覆盖条件</w:t>
      </w:r>
      <w:r>
        <w:rPr>
          <w:rFonts w:hint="eastAsia" w:ascii="宋体" w:hAnsi="宋体" w:cs="宋体"/>
          <w:color w:val="auto"/>
          <w:kern w:val="0"/>
          <w:sz w:val="22"/>
          <w:szCs w:val="22"/>
          <w:highlight w:val="none"/>
          <w:u w:val="single"/>
        </w:rPr>
        <w:t>的书面申请</w:t>
      </w:r>
      <w:r>
        <w:rPr>
          <w:rFonts w:ascii="宋体" w:hAnsi="宋体" w:cs="宋体"/>
          <w:color w:val="auto"/>
          <w:kern w:val="0"/>
          <w:sz w:val="22"/>
          <w:szCs w:val="22"/>
          <w:highlight w:val="none"/>
          <w:u w:val="single"/>
        </w:rPr>
        <w:t xml:space="preserve"> 24 小时内进行检查并签字确认</w:t>
      </w:r>
      <w:r>
        <w:rPr>
          <w:rFonts w:ascii="宋体" w:hAnsi="宋体" w:cs="宋体"/>
          <w:color w:val="auto"/>
          <w:kern w:val="0"/>
          <w:sz w:val="22"/>
          <w:szCs w:val="22"/>
          <w:highlight w:val="none"/>
        </w:rPr>
        <w:t>。</w:t>
      </w:r>
    </w:p>
    <w:p w14:paraId="4BAC0D0D">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w:t>
      </w:r>
      <w:r>
        <w:rPr>
          <w:rFonts w:ascii="宋体" w:hAnsi="宋体" w:cs="宋体"/>
          <w:color w:val="auto"/>
          <w:kern w:val="0"/>
          <w:sz w:val="22"/>
          <w:szCs w:val="22"/>
          <w:highlight w:val="none"/>
        </w:rPr>
        <w:t>2</w:t>
      </w:r>
      <w:r>
        <w:rPr>
          <w:rFonts w:hint="eastAsia" w:ascii="宋体" w:hAnsi="宋体" w:cs="宋体"/>
          <w:color w:val="auto"/>
          <w:kern w:val="0"/>
          <w:sz w:val="22"/>
          <w:szCs w:val="22"/>
          <w:highlight w:val="none"/>
        </w:rPr>
        <w:t>）验收人员组成：</w:t>
      </w:r>
      <w:r>
        <w:rPr>
          <w:rFonts w:hint="eastAsia" w:ascii="宋体" w:hAnsi="宋体" w:cs="宋体"/>
          <w:color w:val="auto"/>
          <w:kern w:val="0"/>
          <w:sz w:val="22"/>
          <w:szCs w:val="22"/>
          <w:highlight w:val="none"/>
          <w:u w:val="single"/>
        </w:rPr>
        <w:t>发包人、监理单位、承包人及其他有关单位。属隐蔽工程的由上述单位验收签证。</w:t>
      </w:r>
    </w:p>
    <w:p w14:paraId="71E59EF1">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w:t>
      </w:r>
      <w:r>
        <w:rPr>
          <w:rFonts w:ascii="宋体" w:hAnsi="宋体" w:cs="宋体"/>
          <w:color w:val="auto"/>
          <w:kern w:val="0"/>
          <w:sz w:val="22"/>
          <w:szCs w:val="22"/>
          <w:highlight w:val="none"/>
        </w:rPr>
        <w:t>3</w:t>
      </w:r>
      <w:r>
        <w:rPr>
          <w:rFonts w:hint="eastAsia" w:ascii="宋体" w:hAnsi="宋体" w:cs="宋体"/>
          <w:color w:val="auto"/>
          <w:kern w:val="0"/>
          <w:sz w:val="22"/>
          <w:szCs w:val="22"/>
          <w:highlight w:val="none"/>
        </w:rPr>
        <w:t>）双方约定对管道及管井进行闭水试验，未经专业监理工程师验收合格，不得隐蔽或继续施工，否则该部分工程被视为不合格，由此所产生的返工费用由承包人承担。</w:t>
      </w:r>
    </w:p>
    <w:p w14:paraId="721E7F60">
      <w:pPr>
        <w:spacing w:line="420" w:lineRule="exact"/>
        <w:rPr>
          <w:rFonts w:ascii="宋体" w:hAnsi="宋体" w:cs="宋体"/>
          <w:color w:val="auto"/>
          <w:kern w:val="0"/>
          <w:sz w:val="22"/>
          <w:szCs w:val="22"/>
          <w:highlight w:val="none"/>
        </w:rPr>
      </w:pPr>
    </w:p>
    <w:p w14:paraId="29D6B872">
      <w:pPr>
        <w:pStyle w:val="3"/>
        <w:numPr>
          <w:ilvl w:val="0"/>
          <w:numId w:val="0"/>
        </w:numPr>
        <w:tabs>
          <w:tab w:val="left" w:pos="420"/>
        </w:tabs>
        <w:spacing w:line="420" w:lineRule="exact"/>
        <w:rPr>
          <w:rFonts w:hAnsi="宋体"/>
          <w:b/>
          <w:bCs/>
          <w:color w:val="auto"/>
          <w:sz w:val="22"/>
          <w:szCs w:val="22"/>
          <w:highlight w:val="none"/>
        </w:rPr>
      </w:pPr>
      <w:bookmarkStart w:id="734" w:name="_Toc6843"/>
      <w:bookmarkStart w:id="735" w:name="_Toc5544"/>
      <w:bookmarkStart w:id="736" w:name="_Toc15210"/>
      <w:bookmarkStart w:id="737" w:name="_Toc19368"/>
      <w:bookmarkStart w:id="738" w:name="_Toc155166189"/>
      <w:r>
        <w:rPr>
          <w:rFonts w:hint="eastAsia" w:hAnsi="宋体"/>
          <w:b/>
          <w:bCs/>
          <w:color w:val="auto"/>
          <w:sz w:val="22"/>
          <w:szCs w:val="22"/>
          <w:highlight w:val="none"/>
        </w:rPr>
        <w:t>55. 工程试车</w:t>
      </w:r>
      <w:bookmarkEnd w:id="733"/>
      <w:bookmarkEnd w:id="734"/>
      <w:bookmarkEnd w:id="735"/>
      <w:bookmarkEnd w:id="736"/>
      <w:bookmarkEnd w:id="737"/>
      <w:bookmarkEnd w:id="738"/>
    </w:p>
    <w:p w14:paraId="7C20A099">
      <w:pPr>
        <w:spacing w:line="420" w:lineRule="exact"/>
        <w:ind w:firstLine="110" w:firstLineChars="50"/>
        <w:rPr>
          <w:rFonts w:ascii="宋体" w:hAnsi="宋体" w:cs="宋体"/>
          <w:color w:val="auto"/>
          <w:kern w:val="0"/>
          <w:sz w:val="22"/>
          <w:szCs w:val="22"/>
          <w:highlight w:val="none"/>
        </w:rPr>
      </w:pPr>
    </w:p>
    <w:p w14:paraId="67185FB7">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55.1 试车内容</w:t>
      </w:r>
    </w:p>
    <w:p w14:paraId="1CA950F9">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不需要试车的，本条不适用。</w:t>
      </w:r>
    </w:p>
    <w:p w14:paraId="6F51A4E1">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需要试车的，试车的内容和要求：</w:t>
      </w:r>
      <w:r>
        <w:rPr>
          <w:rFonts w:hint="eastAsia" w:ascii="宋体" w:hAnsi="宋体" w:cs="宋体"/>
          <w:color w:val="auto"/>
          <w:kern w:val="0"/>
          <w:sz w:val="22"/>
          <w:szCs w:val="22"/>
          <w:highlight w:val="none"/>
          <w:u w:val="single"/>
        </w:rPr>
        <w:t xml:space="preserve">                                                      </w:t>
      </w:r>
    </w:p>
    <w:p w14:paraId="1BBF9ACB">
      <w:pPr>
        <w:spacing w:line="420" w:lineRule="exact"/>
        <w:ind w:firstLine="110" w:firstLineChars="50"/>
        <w:rPr>
          <w:rFonts w:ascii="宋体" w:hAnsi="宋体" w:cs="宋体"/>
          <w:color w:val="auto"/>
          <w:kern w:val="0"/>
          <w:sz w:val="22"/>
          <w:szCs w:val="22"/>
          <w:highlight w:val="none"/>
        </w:rPr>
      </w:pPr>
    </w:p>
    <w:p w14:paraId="222DEECB">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5</w:t>
      </w:r>
      <w:r>
        <w:rPr>
          <w:rFonts w:ascii="宋体" w:hAnsi="宋体" w:cs="宋体"/>
          <w:color w:val="auto"/>
          <w:kern w:val="0"/>
          <w:sz w:val="22"/>
          <w:szCs w:val="22"/>
          <w:highlight w:val="none"/>
        </w:rPr>
        <w:t>5.5</w:t>
      </w:r>
      <w:r>
        <w:rPr>
          <w:rFonts w:hint="eastAsia" w:ascii="宋体" w:hAnsi="宋体" w:cs="宋体"/>
          <w:color w:val="auto"/>
          <w:kern w:val="0"/>
          <w:sz w:val="22"/>
          <w:szCs w:val="22"/>
          <w:highlight w:val="none"/>
        </w:rPr>
        <w:t>试车费用和不达要求处理</w:t>
      </w:r>
    </w:p>
    <w:p w14:paraId="535C5D27">
      <w:pPr>
        <w:spacing w:line="360" w:lineRule="auto"/>
        <w:ind w:firstLine="440" w:firstLineChars="200"/>
        <w:rPr>
          <w:rFonts w:ascii="宋体" w:hAnsi="宋体" w:cs="宋体"/>
          <w:color w:val="auto"/>
          <w:kern w:val="0"/>
          <w:sz w:val="22"/>
          <w:szCs w:val="22"/>
          <w:highlight w:val="none"/>
        </w:rPr>
      </w:pPr>
    </w:p>
    <w:p w14:paraId="29DC9F34">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试车费用的承担：</w:t>
      </w:r>
    </w:p>
    <w:p w14:paraId="1C8CCD81">
      <w:pPr>
        <w:spacing w:line="360" w:lineRule="auto"/>
        <w:ind w:firstLine="440" w:firstLineChars="200"/>
        <w:rPr>
          <w:rFonts w:ascii="宋体" w:hAnsi="宋体" w:cs="宋体"/>
          <w:color w:val="auto"/>
          <w:kern w:val="0"/>
          <w:sz w:val="22"/>
          <w:szCs w:val="22"/>
          <w:highlight w:val="none"/>
          <w:u w:val="single"/>
        </w:rPr>
      </w:pPr>
      <w:r>
        <w:rPr>
          <w:rFonts w:ascii="宋体" w:hAnsi="宋体" w:cs="宋体"/>
          <w:color w:val="auto"/>
          <w:kern w:val="0"/>
          <w:sz w:val="22"/>
          <w:szCs w:val="22"/>
          <w:highlight w:val="none"/>
          <w:u w:val="single"/>
        </w:rPr>
        <w:t>（1）工程设备安装具备单机无负荷试车条件，由承包人组织试车，费用由承包人承担。</w:t>
      </w:r>
    </w:p>
    <w:p w14:paraId="21FE1000">
      <w:pPr>
        <w:spacing w:line="360" w:lineRule="auto"/>
        <w:ind w:firstLine="440" w:firstLineChars="200"/>
        <w:rPr>
          <w:rFonts w:ascii="宋体" w:hAnsi="宋体" w:cs="宋体"/>
          <w:color w:val="auto"/>
          <w:kern w:val="0"/>
          <w:sz w:val="22"/>
          <w:szCs w:val="22"/>
          <w:highlight w:val="none"/>
          <w:u w:val="single"/>
        </w:rPr>
      </w:pPr>
      <w:r>
        <w:rPr>
          <w:rFonts w:ascii="宋体" w:hAnsi="宋体" w:cs="宋体"/>
          <w:color w:val="auto"/>
          <w:kern w:val="0"/>
          <w:sz w:val="22"/>
          <w:szCs w:val="22"/>
          <w:highlight w:val="none"/>
          <w:u w:val="single"/>
        </w:rPr>
        <w:t>（2）工程设备安装具备无负荷联动试车条件，由发包人组织试车，费用由</w:t>
      </w:r>
      <w:r>
        <w:rPr>
          <w:rFonts w:hint="eastAsia" w:ascii="宋体" w:hAnsi="宋体" w:cs="宋体"/>
          <w:color w:val="auto"/>
          <w:kern w:val="0"/>
          <w:sz w:val="22"/>
          <w:szCs w:val="22"/>
          <w:highlight w:val="none"/>
          <w:u w:val="single"/>
        </w:rPr>
        <w:t>承包人</w:t>
      </w:r>
      <w:r>
        <w:rPr>
          <w:rFonts w:ascii="宋体" w:hAnsi="宋体" w:cs="宋体"/>
          <w:color w:val="auto"/>
          <w:kern w:val="0"/>
          <w:sz w:val="22"/>
          <w:szCs w:val="22"/>
          <w:highlight w:val="none"/>
          <w:u w:val="single"/>
        </w:rPr>
        <w:t>承担。</w:t>
      </w:r>
    </w:p>
    <w:p w14:paraId="50944606">
      <w:pPr>
        <w:spacing w:line="360" w:lineRule="auto"/>
        <w:ind w:firstLine="440" w:firstLineChars="200"/>
        <w:rPr>
          <w:rFonts w:ascii="宋体" w:hAnsi="宋体" w:cs="宋体"/>
          <w:color w:val="auto"/>
          <w:kern w:val="0"/>
          <w:sz w:val="22"/>
          <w:szCs w:val="22"/>
          <w:highlight w:val="none"/>
          <w:u w:val="single"/>
        </w:rPr>
      </w:pPr>
      <w:r>
        <w:rPr>
          <w:rFonts w:ascii="宋体" w:hAnsi="宋体" w:cs="宋体"/>
          <w:color w:val="auto"/>
          <w:kern w:val="0"/>
          <w:sz w:val="22"/>
          <w:szCs w:val="22"/>
          <w:highlight w:val="none"/>
          <w:u w:val="single"/>
        </w:rPr>
        <w:t>（3）投料试车应在工程竣工验收后由发包人负责，如发包人要求在工程竣工验收前进行或需要承包人配合时，应征得承包人同意，另行签订补充协议。</w:t>
      </w:r>
    </w:p>
    <w:p w14:paraId="4BF6036D">
      <w:pPr>
        <w:spacing w:line="360" w:lineRule="auto"/>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试车达不到验收要求的，按照通用条款第5</w:t>
      </w:r>
      <w:r>
        <w:rPr>
          <w:rFonts w:ascii="宋体" w:hAnsi="宋体" w:cs="宋体"/>
          <w:color w:val="auto"/>
          <w:kern w:val="0"/>
          <w:sz w:val="22"/>
          <w:szCs w:val="22"/>
          <w:highlight w:val="none"/>
          <w:u w:val="single"/>
        </w:rPr>
        <w:t>5.5</w:t>
      </w:r>
      <w:r>
        <w:rPr>
          <w:rFonts w:hint="eastAsia" w:ascii="宋体" w:hAnsi="宋体" w:cs="宋体"/>
          <w:color w:val="auto"/>
          <w:kern w:val="0"/>
          <w:sz w:val="22"/>
          <w:szCs w:val="22"/>
          <w:highlight w:val="none"/>
          <w:u w:val="single"/>
        </w:rPr>
        <w:t>项处理。</w:t>
      </w:r>
    </w:p>
    <w:p w14:paraId="54CEC52D">
      <w:pPr>
        <w:spacing w:line="360" w:lineRule="auto"/>
        <w:ind w:firstLine="440" w:firstLineChars="200"/>
        <w:rPr>
          <w:rFonts w:ascii="宋体" w:hAnsi="宋体" w:cs="宋体"/>
          <w:color w:val="auto"/>
          <w:kern w:val="0"/>
          <w:sz w:val="22"/>
          <w:szCs w:val="22"/>
          <w:highlight w:val="none"/>
        </w:rPr>
      </w:pPr>
    </w:p>
    <w:p w14:paraId="44F6D5FA">
      <w:pPr>
        <w:pStyle w:val="3"/>
        <w:numPr>
          <w:ilvl w:val="0"/>
          <w:numId w:val="0"/>
        </w:numPr>
        <w:tabs>
          <w:tab w:val="left" w:pos="420"/>
        </w:tabs>
        <w:spacing w:line="420" w:lineRule="exact"/>
        <w:rPr>
          <w:rFonts w:hAnsi="宋体"/>
          <w:b/>
          <w:bCs/>
          <w:color w:val="auto"/>
          <w:sz w:val="22"/>
          <w:szCs w:val="22"/>
          <w:highlight w:val="none"/>
        </w:rPr>
      </w:pPr>
      <w:bookmarkStart w:id="739" w:name="_Toc10597"/>
      <w:bookmarkStart w:id="740" w:name="_Toc13990"/>
      <w:bookmarkStart w:id="741" w:name="_Toc469384114"/>
      <w:bookmarkStart w:id="742" w:name="_Toc10286"/>
      <w:bookmarkStart w:id="743" w:name="_Toc155166190"/>
      <w:bookmarkStart w:id="744" w:name="_Toc23087"/>
      <w:r>
        <w:rPr>
          <w:rFonts w:hint="eastAsia" w:hAnsi="宋体"/>
          <w:b/>
          <w:bCs/>
          <w:color w:val="auto"/>
          <w:sz w:val="22"/>
          <w:szCs w:val="22"/>
          <w:highlight w:val="none"/>
        </w:rPr>
        <w:t>56．工程变更</w:t>
      </w:r>
      <w:bookmarkEnd w:id="739"/>
      <w:bookmarkEnd w:id="740"/>
      <w:bookmarkEnd w:id="741"/>
      <w:bookmarkEnd w:id="742"/>
      <w:bookmarkEnd w:id="743"/>
      <w:bookmarkEnd w:id="744"/>
    </w:p>
    <w:p w14:paraId="0E57CBB6">
      <w:pPr>
        <w:spacing w:line="420" w:lineRule="exact"/>
        <w:rPr>
          <w:rFonts w:ascii="宋体" w:hAnsi="宋体" w:cs="宋体"/>
          <w:color w:val="auto"/>
          <w:kern w:val="0"/>
          <w:sz w:val="22"/>
          <w:szCs w:val="22"/>
          <w:highlight w:val="none"/>
        </w:rPr>
      </w:pPr>
    </w:p>
    <w:p w14:paraId="0FE0CDA4">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ascii="宋体" w:hAnsi="宋体" w:cs="宋体"/>
          <w:color w:val="auto"/>
          <w:kern w:val="0"/>
          <w:sz w:val="22"/>
          <w:szCs w:val="22"/>
          <w:highlight w:val="none"/>
        </w:rPr>
        <w:t>56.2</w:t>
      </w:r>
      <w:r>
        <w:rPr>
          <w:rFonts w:hint="eastAsia" w:ascii="宋体" w:hAnsi="宋体" w:cs="宋体"/>
          <w:color w:val="auto"/>
          <w:kern w:val="0"/>
          <w:sz w:val="22"/>
          <w:szCs w:val="22"/>
          <w:highlight w:val="none"/>
        </w:rPr>
        <w:t>工程变更内容</w:t>
      </w:r>
    </w:p>
    <w:p w14:paraId="609A6FE7">
      <w:pPr>
        <w:spacing w:line="360" w:lineRule="auto"/>
        <w:ind w:firstLine="440" w:firstLineChars="200"/>
        <w:rPr>
          <w:rFonts w:ascii="宋体" w:hAnsi="宋体" w:cs="宋体"/>
          <w:color w:val="auto"/>
          <w:kern w:val="0"/>
          <w:sz w:val="22"/>
          <w:szCs w:val="22"/>
          <w:highlight w:val="none"/>
          <w:u w:val="single"/>
        </w:rPr>
      </w:pPr>
    </w:p>
    <w:p w14:paraId="43FD1BB5">
      <w:pPr>
        <w:spacing w:line="360" w:lineRule="auto"/>
        <w:ind w:firstLine="440" w:firstLineChars="200"/>
        <w:rPr>
          <w:rFonts w:ascii="宋体" w:hAnsi="宋体" w:cs="宋体"/>
          <w:color w:val="auto"/>
          <w:kern w:val="0"/>
          <w:sz w:val="22"/>
          <w:szCs w:val="22"/>
          <w:highlight w:val="none"/>
          <w:u w:val="single"/>
        </w:rPr>
      </w:pPr>
      <w:bookmarkStart w:id="745" w:name="_Toc469384115"/>
      <w:r>
        <w:rPr>
          <w:rFonts w:hint="eastAsia" w:ascii="宋体" w:hAnsi="宋体" w:cs="宋体"/>
          <w:color w:val="auto"/>
          <w:kern w:val="0"/>
          <w:sz w:val="22"/>
          <w:szCs w:val="22"/>
          <w:highlight w:val="none"/>
          <w:u w:val="single"/>
        </w:rPr>
        <w:t>（6）改变合同中任何一项工作已批准的施工工艺；</w:t>
      </w:r>
    </w:p>
    <w:p w14:paraId="6A68E962">
      <w:pPr>
        <w:spacing w:line="360" w:lineRule="auto"/>
        <w:ind w:firstLine="440" w:firstLineChars="200"/>
        <w:rPr>
          <w:rFonts w:ascii="宋体" w:hAnsi="宋体" w:cs="宋体"/>
          <w:color w:val="auto"/>
          <w:kern w:val="0"/>
          <w:sz w:val="22"/>
          <w:szCs w:val="22"/>
          <w:highlight w:val="none"/>
          <w:u w:val="single"/>
        </w:rPr>
      </w:pPr>
      <w:bookmarkStart w:id="746" w:name="_Hlk142746226"/>
    </w:p>
    <w:p w14:paraId="3E3C7B34">
      <w:pPr>
        <w:spacing w:line="360" w:lineRule="auto"/>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（7）以下情形不属于工程变更范围：</w:t>
      </w:r>
    </w:p>
    <w:p w14:paraId="543B9B2D">
      <w:pPr>
        <w:spacing w:line="360" w:lineRule="auto"/>
        <w:ind w:firstLine="440" w:firstLineChars="2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fldChar w:fldCharType="begin"/>
      </w:r>
      <w:r>
        <w:rPr>
          <w:rFonts w:hint="eastAsia" w:ascii="宋体" w:hAnsi="宋体" w:cs="宋体"/>
          <w:color w:val="auto"/>
          <w:kern w:val="0"/>
          <w:sz w:val="22"/>
          <w:szCs w:val="22"/>
          <w:highlight w:val="none"/>
          <w:u w:val="single"/>
        </w:rPr>
        <w:instrText xml:space="preserve"> = 1 \* GB3 </w:instrText>
      </w:r>
      <w:r>
        <w:rPr>
          <w:rFonts w:hint="eastAsia" w:ascii="宋体" w:hAnsi="宋体" w:cs="宋体"/>
          <w:color w:val="auto"/>
          <w:kern w:val="0"/>
          <w:sz w:val="22"/>
          <w:szCs w:val="22"/>
          <w:highlight w:val="none"/>
          <w:u w:val="single"/>
        </w:rPr>
        <w:fldChar w:fldCharType="separate"/>
      </w:r>
      <w:r>
        <w:rPr>
          <w:rFonts w:hint="eastAsia" w:ascii="宋体" w:hAnsi="宋体" w:cs="宋体"/>
          <w:color w:val="auto"/>
          <w:kern w:val="0"/>
          <w:sz w:val="22"/>
          <w:szCs w:val="22"/>
          <w:highlight w:val="none"/>
          <w:u w:val="single"/>
        </w:rPr>
        <w:t>①</w:t>
      </w:r>
      <w:r>
        <w:rPr>
          <w:rFonts w:hint="eastAsia" w:ascii="宋体" w:hAnsi="宋体" w:cs="宋体"/>
          <w:color w:val="auto"/>
          <w:kern w:val="0"/>
          <w:sz w:val="22"/>
          <w:szCs w:val="22"/>
          <w:highlight w:val="none"/>
          <w:u w:val="single"/>
        </w:rPr>
        <w:fldChar w:fldCharType="end"/>
      </w:r>
      <w:r>
        <w:rPr>
          <w:rFonts w:hint="eastAsia" w:ascii="宋体" w:hAnsi="宋体" w:cs="宋体"/>
          <w:color w:val="auto"/>
          <w:kern w:val="0"/>
          <w:sz w:val="22"/>
          <w:szCs w:val="22"/>
          <w:highlight w:val="none"/>
          <w:u w:val="single"/>
        </w:rPr>
        <w:t>承包人未能在本工程招标文件规定的有效提问时限内指出《工程量清单》中错漏项目的，中标后的承包人不得以工程量清单中的错漏项目为由，向发包人提出变更及索赔要求。</w:t>
      </w:r>
    </w:p>
    <w:p w14:paraId="04282A75">
      <w:pPr>
        <w:spacing w:line="360" w:lineRule="auto"/>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fldChar w:fldCharType="begin"/>
      </w:r>
      <w:r>
        <w:rPr>
          <w:rFonts w:hint="eastAsia" w:ascii="宋体" w:hAnsi="宋体" w:cs="宋体"/>
          <w:color w:val="auto"/>
          <w:kern w:val="0"/>
          <w:sz w:val="22"/>
          <w:szCs w:val="22"/>
          <w:highlight w:val="none"/>
          <w:u w:val="single"/>
        </w:rPr>
        <w:instrText xml:space="preserve"> = 2 \* GB3 </w:instrText>
      </w:r>
      <w:r>
        <w:rPr>
          <w:rFonts w:hint="eastAsia" w:ascii="宋体" w:hAnsi="宋体" w:cs="宋体"/>
          <w:color w:val="auto"/>
          <w:kern w:val="0"/>
          <w:sz w:val="22"/>
          <w:szCs w:val="22"/>
          <w:highlight w:val="none"/>
          <w:u w:val="single"/>
        </w:rPr>
        <w:fldChar w:fldCharType="separate"/>
      </w:r>
      <w:r>
        <w:rPr>
          <w:rFonts w:hint="eastAsia" w:ascii="宋体" w:hAnsi="宋体" w:cs="宋体"/>
          <w:color w:val="auto"/>
          <w:kern w:val="0"/>
          <w:sz w:val="22"/>
          <w:szCs w:val="22"/>
          <w:highlight w:val="none"/>
          <w:u w:val="single"/>
        </w:rPr>
        <w:t>②</w:t>
      </w:r>
      <w:r>
        <w:rPr>
          <w:rFonts w:hint="eastAsia" w:ascii="宋体" w:hAnsi="宋体" w:cs="宋体"/>
          <w:color w:val="auto"/>
          <w:kern w:val="0"/>
          <w:sz w:val="22"/>
          <w:szCs w:val="22"/>
          <w:highlight w:val="none"/>
          <w:u w:val="single"/>
        </w:rPr>
        <w:fldChar w:fldCharType="end"/>
      </w:r>
      <w:r>
        <w:rPr>
          <w:rFonts w:hint="eastAsia" w:ascii="宋体" w:hAnsi="宋体" w:cs="宋体"/>
          <w:color w:val="auto"/>
          <w:kern w:val="0"/>
          <w:sz w:val="22"/>
          <w:szCs w:val="22"/>
          <w:highlight w:val="none"/>
          <w:u w:val="single"/>
        </w:rPr>
        <w:t>发包人在工程招标文件及其配套的补充通知、设计图纸等文件中已明确应由承包人承担的工作内容、义务和风险，如工程实体的实施（含临时工程）、现场安全生产措施、物价正常波动等。</w:t>
      </w:r>
    </w:p>
    <w:p w14:paraId="18BCDF83">
      <w:pPr>
        <w:spacing w:line="360" w:lineRule="auto"/>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fldChar w:fldCharType="begin"/>
      </w:r>
      <w:r>
        <w:rPr>
          <w:rFonts w:hint="eastAsia" w:ascii="宋体" w:hAnsi="宋体" w:cs="宋体"/>
          <w:color w:val="auto"/>
          <w:kern w:val="0"/>
          <w:sz w:val="22"/>
          <w:szCs w:val="22"/>
          <w:highlight w:val="none"/>
          <w:u w:val="single"/>
        </w:rPr>
        <w:instrText xml:space="preserve"> = 3 \* GB3 </w:instrText>
      </w:r>
      <w:r>
        <w:rPr>
          <w:rFonts w:hint="eastAsia" w:ascii="宋体" w:hAnsi="宋体" w:cs="宋体"/>
          <w:color w:val="auto"/>
          <w:kern w:val="0"/>
          <w:sz w:val="22"/>
          <w:szCs w:val="22"/>
          <w:highlight w:val="none"/>
          <w:u w:val="single"/>
        </w:rPr>
        <w:fldChar w:fldCharType="separate"/>
      </w:r>
      <w:r>
        <w:rPr>
          <w:rFonts w:hint="eastAsia" w:ascii="宋体" w:hAnsi="宋体" w:cs="宋体"/>
          <w:color w:val="auto"/>
          <w:kern w:val="0"/>
          <w:sz w:val="22"/>
          <w:szCs w:val="22"/>
          <w:highlight w:val="none"/>
          <w:u w:val="single"/>
        </w:rPr>
        <w:t>③</w:t>
      </w:r>
      <w:r>
        <w:rPr>
          <w:rFonts w:hint="eastAsia" w:ascii="宋体" w:hAnsi="宋体" w:cs="宋体"/>
          <w:color w:val="auto"/>
          <w:kern w:val="0"/>
          <w:sz w:val="22"/>
          <w:szCs w:val="22"/>
          <w:highlight w:val="none"/>
          <w:u w:val="single"/>
        </w:rPr>
        <w:fldChar w:fldCharType="end"/>
      </w:r>
      <w:r>
        <w:rPr>
          <w:rFonts w:hint="eastAsia" w:ascii="宋体" w:hAnsi="宋体" w:cs="宋体"/>
          <w:color w:val="auto"/>
          <w:kern w:val="0"/>
          <w:sz w:val="22"/>
          <w:szCs w:val="22"/>
          <w:highlight w:val="none"/>
          <w:u w:val="single"/>
        </w:rPr>
        <w:t>施工图纸与工程量清单不一致（存在漏项或计量不准确等）</w:t>
      </w:r>
      <w:r>
        <w:rPr>
          <w:rFonts w:hint="eastAsia" w:ascii="Cambria Math" w:hAnsi="Cambria Math" w:cs="Cambria Math"/>
          <w:color w:val="auto"/>
          <w:kern w:val="0"/>
          <w:sz w:val="22"/>
          <w:szCs w:val="22"/>
          <w:highlight w:val="none"/>
          <w:u w:val="single"/>
        </w:rPr>
        <w:t>，但未超出相关合同计量条款约定的调整界限</w:t>
      </w:r>
      <w:r>
        <w:rPr>
          <w:rFonts w:hint="eastAsia" w:ascii="宋体" w:hAnsi="宋体" w:cs="宋体"/>
          <w:color w:val="auto"/>
          <w:kern w:val="0"/>
          <w:sz w:val="22"/>
          <w:szCs w:val="22"/>
          <w:highlight w:val="none"/>
          <w:u w:val="single"/>
        </w:rPr>
        <w:t>。</w:t>
      </w:r>
    </w:p>
    <w:p w14:paraId="026E1D91">
      <w:pPr>
        <w:spacing w:line="360" w:lineRule="auto"/>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fldChar w:fldCharType="begin"/>
      </w:r>
      <w:r>
        <w:rPr>
          <w:rFonts w:hint="eastAsia" w:ascii="宋体" w:hAnsi="宋体" w:cs="宋体"/>
          <w:color w:val="auto"/>
          <w:kern w:val="0"/>
          <w:sz w:val="22"/>
          <w:szCs w:val="22"/>
          <w:highlight w:val="none"/>
          <w:u w:val="single"/>
        </w:rPr>
        <w:instrText xml:space="preserve"> = 4 \* GB3 </w:instrText>
      </w:r>
      <w:r>
        <w:rPr>
          <w:rFonts w:hint="eastAsia" w:ascii="宋体" w:hAnsi="宋体" w:cs="宋体"/>
          <w:color w:val="auto"/>
          <w:kern w:val="0"/>
          <w:sz w:val="22"/>
          <w:szCs w:val="22"/>
          <w:highlight w:val="none"/>
          <w:u w:val="single"/>
        </w:rPr>
        <w:fldChar w:fldCharType="separate"/>
      </w:r>
      <w:r>
        <w:rPr>
          <w:rFonts w:hint="eastAsia" w:ascii="宋体" w:hAnsi="宋体" w:cs="宋体"/>
          <w:color w:val="auto"/>
          <w:kern w:val="0"/>
          <w:sz w:val="22"/>
          <w:szCs w:val="22"/>
          <w:highlight w:val="none"/>
          <w:u w:val="single"/>
        </w:rPr>
        <w:t>④</w:t>
      </w:r>
      <w:r>
        <w:rPr>
          <w:rFonts w:hint="eastAsia" w:ascii="宋体" w:hAnsi="宋体" w:cs="宋体"/>
          <w:color w:val="auto"/>
          <w:kern w:val="0"/>
          <w:sz w:val="22"/>
          <w:szCs w:val="22"/>
          <w:highlight w:val="none"/>
          <w:u w:val="single"/>
        </w:rPr>
        <w:fldChar w:fldCharType="end"/>
      </w:r>
      <w:r>
        <w:rPr>
          <w:rFonts w:hint="eastAsia" w:ascii="宋体" w:hAnsi="宋体" w:cs="宋体"/>
          <w:color w:val="auto"/>
          <w:kern w:val="0"/>
          <w:sz w:val="22"/>
          <w:szCs w:val="22"/>
          <w:highlight w:val="none"/>
          <w:u w:val="single"/>
        </w:rPr>
        <w:t>承包人投标失误，如工程量、单价、总价计算错误，对现场施工组织考虑不周等。</w:t>
      </w:r>
    </w:p>
    <w:p w14:paraId="1F1D14BC">
      <w:pPr>
        <w:spacing w:line="360" w:lineRule="auto"/>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fldChar w:fldCharType="begin"/>
      </w:r>
      <w:r>
        <w:rPr>
          <w:rFonts w:hint="eastAsia" w:ascii="宋体" w:hAnsi="宋体" w:cs="宋体"/>
          <w:color w:val="auto"/>
          <w:kern w:val="0"/>
          <w:sz w:val="22"/>
          <w:szCs w:val="22"/>
          <w:highlight w:val="none"/>
          <w:u w:val="single"/>
        </w:rPr>
        <w:instrText xml:space="preserve"> = 5 \* GB3 </w:instrText>
      </w:r>
      <w:r>
        <w:rPr>
          <w:rFonts w:hint="eastAsia" w:ascii="宋体" w:hAnsi="宋体" w:cs="宋体"/>
          <w:color w:val="auto"/>
          <w:kern w:val="0"/>
          <w:sz w:val="22"/>
          <w:szCs w:val="22"/>
          <w:highlight w:val="none"/>
          <w:u w:val="single"/>
        </w:rPr>
        <w:fldChar w:fldCharType="separate"/>
      </w:r>
      <w:r>
        <w:rPr>
          <w:rFonts w:hint="eastAsia" w:ascii="宋体" w:hAnsi="宋体" w:cs="宋体"/>
          <w:color w:val="auto"/>
          <w:kern w:val="0"/>
          <w:sz w:val="22"/>
          <w:szCs w:val="22"/>
          <w:highlight w:val="none"/>
          <w:u w:val="single"/>
        </w:rPr>
        <w:t>⑤</w:t>
      </w:r>
      <w:r>
        <w:rPr>
          <w:rFonts w:hint="eastAsia" w:ascii="宋体" w:hAnsi="宋体" w:cs="宋体"/>
          <w:color w:val="auto"/>
          <w:kern w:val="0"/>
          <w:sz w:val="22"/>
          <w:szCs w:val="22"/>
          <w:highlight w:val="none"/>
          <w:u w:val="single"/>
        </w:rPr>
        <w:fldChar w:fldCharType="end"/>
      </w:r>
      <w:r>
        <w:rPr>
          <w:rFonts w:hint="eastAsia" w:ascii="宋体" w:hAnsi="宋体" w:cs="宋体"/>
          <w:color w:val="auto"/>
          <w:kern w:val="0"/>
          <w:sz w:val="22"/>
          <w:szCs w:val="22"/>
          <w:highlight w:val="none"/>
          <w:u w:val="single"/>
        </w:rPr>
        <w:t>属于发包时约定由承包人统筹包干使用费用的项目（如一般临时工程、一般拆除工程、排水、承包人驻地建设、施工道路与通道、围蔽、支护、施工时借用道路通行费、配电变压器搬迁、临水临电接驳等）。</w:t>
      </w:r>
    </w:p>
    <w:p w14:paraId="53A676AC">
      <w:pPr>
        <w:spacing w:line="360" w:lineRule="auto"/>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⑥承包人应根据现场实际情况考虑切实可行的施工方案及费用，发包人一旦接受承包人的方案，发包人不再补偿因施工方案改变而引起的任何费用。施工过程中由于承包人的施工方案未考虑周全而造成的经济损失（包括但不限于调整施工方案所增加的费用、对发包人造成的经济损失）由承包人负责，情况严重时发包人可终止合同。</w:t>
      </w:r>
    </w:p>
    <w:p w14:paraId="17505B49">
      <w:pPr>
        <w:spacing w:line="360" w:lineRule="auto"/>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⑦发包人不提供土方的取土点及弃土点，承包人在投标报价时对因土方运距变化而引起的造价风险已充分考虑，费用包含于签约合同价中。</w:t>
      </w:r>
    </w:p>
    <w:p w14:paraId="6B84A11D">
      <w:pPr>
        <w:spacing w:line="360" w:lineRule="auto"/>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⑧</w:t>
      </w:r>
      <w:r>
        <w:rPr>
          <w:rFonts w:ascii="宋体" w:hAnsi="宋体" w:cs="宋体"/>
          <w:color w:val="auto"/>
          <w:kern w:val="0"/>
          <w:sz w:val="22"/>
          <w:szCs w:val="22"/>
          <w:highlight w:val="none"/>
          <w:u w:val="single"/>
        </w:rPr>
        <w:t>根据公路等路政管理部门的规定，若需承包人提交本工程的《安全技术预评价报告》时，此报告需</w:t>
      </w:r>
      <w:r>
        <w:rPr>
          <w:rFonts w:hint="eastAsia" w:ascii="宋体" w:hAnsi="宋体" w:cs="宋体"/>
          <w:color w:val="auto"/>
          <w:kern w:val="0"/>
          <w:sz w:val="22"/>
          <w:szCs w:val="22"/>
          <w:highlight w:val="none"/>
          <w:u w:val="single"/>
        </w:rPr>
        <w:t>由</w:t>
      </w:r>
      <w:r>
        <w:rPr>
          <w:rFonts w:ascii="宋体" w:hAnsi="宋体" w:cs="宋体"/>
          <w:color w:val="auto"/>
          <w:kern w:val="0"/>
          <w:sz w:val="22"/>
          <w:szCs w:val="22"/>
          <w:highlight w:val="none"/>
          <w:u w:val="single"/>
        </w:rPr>
        <w:t>具有相应资质的单位编写，并通过由发包人组织专家进行的评审，相关费用包含在</w:t>
      </w:r>
      <w:r>
        <w:rPr>
          <w:rFonts w:hint="eastAsia" w:ascii="宋体" w:hAnsi="宋体" w:cs="宋体"/>
          <w:color w:val="auto"/>
          <w:kern w:val="0"/>
          <w:sz w:val="22"/>
          <w:szCs w:val="22"/>
          <w:highlight w:val="none"/>
          <w:u w:val="single"/>
        </w:rPr>
        <w:t>签约合同价</w:t>
      </w:r>
      <w:r>
        <w:rPr>
          <w:rFonts w:ascii="宋体" w:hAnsi="宋体" w:cs="宋体"/>
          <w:color w:val="auto"/>
          <w:kern w:val="0"/>
          <w:sz w:val="22"/>
          <w:szCs w:val="22"/>
          <w:highlight w:val="none"/>
          <w:u w:val="single"/>
        </w:rPr>
        <w:t>内。</w:t>
      </w:r>
    </w:p>
    <w:p w14:paraId="5806797C">
      <w:pPr>
        <w:spacing w:line="360" w:lineRule="auto"/>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⑨承包人须考虑支付设置施工现场视频监控系统的费用，并包含在签约合同价当中。</w:t>
      </w:r>
    </w:p>
    <w:p w14:paraId="601D266A">
      <w:pPr>
        <w:spacing w:line="360" w:lineRule="auto"/>
        <w:ind w:firstLine="440" w:firstLineChars="200"/>
        <w:rPr>
          <w:rFonts w:hint="eastAsia" w:ascii="Cambria Math" w:hAnsi="Cambria Math" w:cs="Cambria Math"/>
          <w:color w:val="auto"/>
          <w:kern w:val="0"/>
          <w:sz w:val="22"/>
          <w:szCs w:val="22"/>
          <w:highlight w:val="none"/>
          <w:u w:val="single"/>
        </w:rPr>
      </w:pPr>
      <w:r>
        <w:rPr>
          <w:rFonts w:hint="eastAsia" w:ascii="宋体" w:hAnsi="宋体" w:cs="宋体"/>
          <w:color w:val="auto"/>
          <w:kern w:val="0"/>
          <w:sz w:val="22"/>
          <w:szCs w:val="22"/>
          <w:highlight w:val="none"/>
          <w:u w:val="single"/>
        </w:rPr>
        <w:t>⑩</w:t>
      </w:r>
      <w:r>
        <w:rPr>
          <w:rFonts w:hint="eastAsia" w:ascii="Cambria Math" w:hAnsi="Cambria Math" w:cs="Cambria Math"/>
          <w:color w:val="auto"/>
          <w:kern w:val="0"/>
          <w:sz w:val="22"/>
          <w:szCs w:val="22"/>
          <w:highlight w:val="none"/>
          <w:u w:val="single"/>
        </w:rPr>
        <w:t>因承包方自身技术力量、施工机械、流动资金以及其他应由承包方自身解决的问题等原因导致的工程无法实施或难以实施。</w:t>
      </w:r>
    </w:p>
    <w:p w14:paraId="431BC8C9">
      <w:pPr>
        <w:spacing w:line="360" w:lineRule="auto"/>
        <w:ind w:firstLine="440" w:firstLineChars="200"/>
        <w:rPr>
          <w:rFonts w:hint="eastAsia" w:ascii="Cambria Math" w:hAnsi="Cambria Math" w:cs="Cambria Math"/>
          <w:color w:val="auto"/>
          <w:kern w:val="0"/>
          <w:sz w:val="22"/>
          <w:szCs w:val="22"/>
          <w:highlight w:val="none"/>
          <w:u w:val="single"/>
        </w:rPr>
      </w:pPr>
      <w:r>
        <w:rPr>
          <w:rFonts w:ascii="Cambria Math" w:hAnsi="Cambria Math" w:cs="Cambria Math"/>
          <w:color w:val="auto"/>
          <w:kern w:val="0"/>
          <w:sz w:val="22"/>
          <w:szCs w:val="22"/>
          <w:highlight w:val="none"/>
          <w:u w:val="single"/>
        </w:rPr>
        <w:t>⑪</w:t>
      </w:r>
      <w:r>
        <w:rPr>
          <w:rFonts w:hint="eastAsia" w:ascii="Cambria Math" w:hAnsi="Cambria Math" w:cs="Cambria Math"/>
          <w:color w:val="auto"/>
          <w:kern w:val="0"/>
          <w:sz w:val="22"/>
          <w:szCs w:val="22"/>
          <w:highlight w:val="none"/>
          <w:u w:val="single"/>
        </w:rPr>
        <w:t>单项工程合同变更追加工程用款金额涉及招投标事项的，按《关于加强单项工程项目合同变更追加用款管理的通知》（穗财库[2009]21号）和《关于单项工程合同追加用款中有关招标事项》（穗财库[2010]38号）执行。</w:t>
      </w:r>
    </w:p>
    <w:p w14:paraId="3E0060E1">
      <w:pPr>
        <w:spacing w:line="360" w:lineRule="auto"/>
        <w:ind w:firstLine="440" w:firstLineChars="200"/>
        <w:rPr>
          <w:rFonts w:hint="eastAsia" w:ascii="Cambria Math" w:hAnsi="Cambria Math" w:cs="Cambria Math"/>
          <w:color w:val="auto"/>
          <w:kern w:val="0"/>
          <w:sz w:val="22"/>
          <w:szCs w:val="22"/>
          <w:highlight w:val="none"/>
          <w:u w:val="single"/>
        </w:rPr>
      </w:pPr>
      <w:r>
        <w:rPr>
          <w:rFonts w:ascii="Cambria Math" w:hAnsi="Cambria Math" w:cs="Cambria Math"/>
          <w:color w:val="auto"/>
          <w:kern w:val="0"/>
          <w:sz w:val="22"/>
          <w:szCs w:val="22"/>
          <w:highlight w:val="none"/>
          <w:u w:val="single"/>
        </w:rPr>
        <w:t>⑫</w:t>
      </w:r>
      <w:r>
        <w:rPr>
          <w:rFonts w:hint="eastAsia" w:ascii="Cambria Math" w:hAnsi="Cambria Math" w:cs="Cambria Math"/>
          <w:color w:val="auto"/>
          <w:kern w:val="0"/>
          <w:sz w:val="22"/>
          <w:szCs w:val="22"/>
          <w:highlight w:val="none"/>
          <w:u w:val="single"/>
        </w:rPr>
        <w:t xml:space="preserve">其他不属于变更的情形：                                          </w:t>
      </w:r>
    </w:p>
    <w:bookmarkEnd w:id="746"/>
    <w:p w14:paraId="560DBB04">
      <w:pPr>
        <w:spacing w:line="420" w:lineRule="exact"/>
        <w:ind w:firstLine="110" w:firstLineChars="50"/>
        <w:rPr>
          <w:rFonts w:ascii="宋体" w:hAnsi="宋体" w:cs="宋体"/>
          <w:color w:val="auto"/>
          <w:kern w:val="0"/>
          <w:sz w:val="22"/>
          <w:szCs w:val="22"/>
          <w:highlight w:val="none"/>
        </w:rPr>
      </w:pPr>
    </w:p>
    <w:p w14:paraId="06F25592">
      <w:pPr>
        <w:spacing w:line="420" w:lineRule="exact"/>
        <w:ind w:firstLine="110" w:firstLineChars="5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5</w:t>
      </w:r>
      <w:r>
        <w:rPr>
          <w:rFonts w:ascii="宋体" w:hAnsi="宋体" w:cs="宋体"/>
          <w:color w:val="auto"/>
          <w:kern w:val="0"/>
          <w:sz w:val="22"/>
          <w:szCs w:val="22"/>
          <w:highlight w:val="none"/>
        </w:rPr>
        <w:t>6.3</w:t>
      </w:r>
      <w:r>
        <w:rPr>
          <w:rFonts w:hint="eastAsia" w:ascii="宋体" w:hAnsi="宋体" w:cs="宋体"/>
          <w:color w:val="auto"/>
          <w:kern w:val="0"/>
          <w:sz w:val="22"/>
          <w:szCs w:val="22"/>
          <w:highlight w:val="none"/>
        </w:rPr>
        <w:t>工程变更程序的补充：</w:t>
      </w:r>
      <w:bookmarkStart w:id="747" w:name="_Toc418513114"/>
      <w:bookmarkStart w:id="748" w:name="_Toc532375858"/>
      <w:r>
        <w:rPr>
          <w:rFonts w:hint="eastAsia" w:ascii="宋体" w:hAnsi="宋体" w:cs="宋体"/>
          <w:color w:val="auto"/>
          <w:kern w:val="0"/>
          <w:sz w:val="22"/>
          <w:szCs w:val="22"/>
          <w:highlight w:val="none"/>
        </w:rPr>
        <w:t>按照《番禺区住房和城乡建设局等七部门关于印发&lt;番禺区财政学投资建设项目工程变更管理规定&gt;的通知》（番住建发〔2022〕153号）等相关文件要求执行。</w:t>
      </w:r>
      <w:bookmarkEnd w:id="747"/>
      <w:bookmarkEnd w:id="748"/>
    </w:p>
    <w:p w14:paraId="56FC1E6B">
      <w:pPr>
        <w:spacing w:line="420" w:lineRule="exact"/>
        <w:ind w:firstLine="110" w:firstLineChars="50"/>
        <w:rPr>
          <w:rFonts w:hint="eastAsia" w:ascii="宋体" w:hAnsi="宋体" w:cs="宋体"/>
          <w:color w:val="auto"/>
          <w:kern w:val="0"/>
          <w:sz w:val="22"/>
          <w:szCs w:val="22"/>
          <w:highlight w:val="none"/>
        </w:rPr>
      </w:pPr>
    </w:p>
    <w:p w14:paraId="55C6DBB9">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56.4 承包人提出工程变更建议</w:t>
      </w:r>
    </w:p>
    <w:p w14:paraId="59FF4084">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发包人采纳承包人建议带来利益的计奖方法：</w:t>
      </w:r>
      <w:r>
        <w:rPr>
          <w:rFonts w:hint="eastAsia" w:ascii="宋体" w:hAnsi="宋体" w:cs="宋体"/>
          <w:color w:val="auto"/>
          <w:kern w:val="0"/>
          <w:sz w:val="22"/>
          <w:szCs w:val="22"/>
          <w:highlight w:val="none"/>
          <w:u w:val="single"/>
        </w:rPr>
        <w:t>无约定。</w:t>
      </w:r>
    </w:p>
    <w:p w14:paraId="7F797C92">
      <w:pPr>
        <w:spacing w:line="420" w:lineRule="exact"/>
        <w:ind w:firstLine="110" w:firstLineChars="50"/>
        <w:rPr>
          <w:rFonts w:ascii="宋体" w:hAnsi="宋体" w:cs="宋体"/>
          <w:color w:val="auto"/>
          <w:kern w:val="0"/>
          <w:sz w:val="22"/>
          <w:szCs w:val="22"/>
          <w:highlight w:val="none"/>
          <w:u w:val="single"/>
        </w:rPr>
      </w:pPr>
    </w:p>
    <w:p w14:paraId="75658802">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5</w:t>
      </w:r>
      <w:r>
        <w:rPr>
          <w:rFonts w:ascii="宋体" w:hAnsi="宋体" w:cs="宋体"/>
          <w:color w:val="auto"/>
          <w:kern w:val="0"/>
          <w:sz w:val="22"/>
          <w:szCs w:val="22"/>
          <w:highlight w:val="none"/>
          <w:u w:val="single"/>
        </w:rPr>
        <w:t>6.5</w:t>
      </w:r>
      <w:r>
        <w:rPr>
          <w:rFonts w:hint="eastAsia" w:ascii="宋体" w:hAnsi="宋体" w:cs="宋体"/>
          <w:color w:val="auto"/>
          <w:kern w:val="0"/>
          <w:sz w:val="22"/>
          <w:szCs w:val="22"/>
          <w:highlight w:val="none"/>
          <w:u w:val="single"/>
        </w:rPr>
        <w:t>工程变更导致合同价款和工期调整</w:t>
      </w:r>
    </w:p>
    <w:p w14:paraId="3E8C1027">
      <w:pPr>
        <w:spacing w:line="360" w:lineRule="auto"/>
        <w:ind w:firstLine="440" w:firstLineChars="200"/>
        <w:rPr>
          <w:rFonts w:ascii="Cambria Math" w:hAnsi="Cambria Math" w:cs="Cambria Math"/>
          <w:color w:val="auto"/>
          <w:kern w:val="0"/>
          <w:sz w:val="22"/>
          <w:szCs w:val="22"/>
          <w:highlight w:val="none"/>
          <w:u w:val="single"/>
        </w:rPr>
      </w:pPr>
    </w:p>
    <w:p w14:paraId="6E76FCE5">
      <w:pPr>
        <w:spacing w:line="360" w:lineRule="auto"/>
        <w:ind w:firstLine="440" w:firstLineChars="200"/>
        <w:rPr>
          <w:rFonts w:ascii="Cambria Math" w:hAnsi="Cambria Math" w:cs="Cambria Math"/>
          <w:color w:val="auto"/>
          <w:kern w:val="0"/>
          <w:sz w:val="22"/>
          <w:szCs w:val="22"/>
          <w:highlight w:val="none"/>
          <w:u w:val="single"/>
        </w:rPr>
      </w:pPr>
      <w:r>
        <w:rPr>
          <w:rFonts w:hint="eastAsia" w:ascii="Cambria Math" w:hAnsi="Cambria Math" w:cs="Cambria Math"/>
          <w:color w:val="auto"/>
          <w:kern w:val="0"/>
          <w:sz w:val="22"/>
          <w:szCs w:val="22"/>
          <w:highlight w:val="none"/>
          <w:u w:val="single"/>
        </w:rPr>
        <w:t>（</w:t>
      </w:r>
      <w:r>
        <w:rPr>
          <w:rFonts w:ascii="Cambria Math" w:hAnsi="Cambria Math" w:cs="Cambria Math"/>
          <w:color w:val="auto"/>
          <w:kern w:val="0"/>
          <w:sz w:val="22"/>
          <w:szCs w:val="22"/>
          <w:highlight w:val="none"/>
          <w:u w:val="single"/>
        </w:rPr>
        <w:t>1</w:t>
      </w:r>
      <w:r>
        <w:rPr>
          <w:rFonts w:hint="eastAsia" w:ascii="Cambria Math" w:hAnsi="Cambria Math" w:cs="Cambria Math"/>
          <w:color w:val="auto"/>
          <w:kern w:val="0"/>
          <w:sz w:val="22"/>
          <w:szCs w:val="22"/>
          <w:highlight w:val="none"/>
          <w:u w:val="single"/>
        </w:rPr>
        <w:t>）</w:t>
      </w:r>
      <w:r>
        <w:rPr>
          <w:rFonts w:ascii="Cambria Math" w:hAnsi="Cambria Math" w:cs="Cambria Math"/>
          <w:color w:val="auto"/>
          <w:kern w:val="0"/>
          <w:sz w:val="22"/>
          <w:szCs w:val="22"/>
          <w:highlight w:val="none"/>
          <w:u w:val="single"/>
        </w:rPr>
        <w:t>变更估价</w:t>
      </w:r>
    </w:p>
    <w:p w14:paraId="25E085AE">
      <w:pPr>
        <w:spacing w:line="360" w:lineRule="auto"/>
        <w:ind w:firstLine="440" w:firstLineChars="200"/>
        <w:rPr>
          <w:rFonts w:ascii="Cambria Math" w:hAnsi="Cambria Math" w:cs="Cambria Math"/>
          <w:color w:val="auto"/>
          <w:kern w:val="0"/>
          <w:sz w:val="22"/>
          <w:szCs w:val="22"/>
          <w:highlight w:val="none"/>
          <w:u w:val="single"/>
        </w:rPr>
      </w:pPr>
      <w:r>
        <w:rPr>
          <w:rFonts w:hint="eastAsia" w:ascii="Cambria Math" w:hAnsi="Cambria Math" w:cs="Cambria Math"/>
          <w:color w:val="auto"/>
          <w:kern w:val="0"/>
          <w:sz w:val="22"/>
          <w:szCs w:val="22"/>
          <w:highlight w:val="none"/>
          <w:u w:val="single"/>
        </w:rPr>
        <w:t>①</w:t>
      </w:r>
      <w:r>
        <w:rPr>
          <w:rFonts w:ascii="Cambria Math" w:hAnsi="Cambria Math" w:cs="Cambria Math"/>
          <w:color w:val="auto"/>
          <w:kern w:val="0"/>
          <w:sz w:val="22"/>
          <w:szCs w:val="22"/>
          <w:highlight w:val="none"/>
          <w:u w:val="single"/>
        </w:rPr>
        <w:t>承包人提交变更报价书的期限：</w:t>
      </w:r>
      <w:r>
        <w:rPr>
          <w:rFonts w:hint="eastAsia" w:ascii="Cambria Math" w:hAnsi="Cambria Math" w:cs="Cambria Math"/>
          <w:color w:val="auto"/>
          <w:kern w:val="0"/>
          <w:sz w:val="22"/>
          <w:szCs w:val="22"/>
          <w:highlight w:val="none"/>
          <w:u w:val="single"/>
        </w:rPr>
        <w:t>3个工作日。</w:t>
      </w:r>
    </w:p>
    <w:p w14:paraId="41483DAB">
      <w:pPr>
        <w:spacing w:line="360" w:lineRule="auto"/>
        <w:ind w:firstLine="440" w:firstLineChars="200"/>
        <w:rPr>
          <w:rFonts w:ascii="Cambria Math" w:hAnsi="Cambria Math" w:cs="Cambria Math"/>
          <w:color w:val="auto"/>
          <w:kern w:val="0"/>
          <w:sz w:val="22"/>
          <w:szCs w:val="22"/>
          <w:highlight w:val="none"/>
          <w:u w:val="single"/>
        </w:rPr>
      </w:pPr>
      <w:r>
        <w:rPr>
          <w:rFonts w:hint="eastAsia" w:ascii="Cambria Math" w:hAnsi="Cambria Math" w:cs="Cambria Math"/>
          <w:color w:val="auto"/>
          <w:kern w:val="0"/>
          <w:sz w:val="22"/>
          <w:szCs w:val="22"/>
          <w:highlight w:val="none"/>
          <w:u w:val="single"/>
        </w:rPr>
        <w:t>②</w:t>
      </w:r>
      <w:r>
        <w:rPr>
          <w:rFonts w:ascii="Cambria Math" w:hAnsi="Cambria Math" w:cs="Cambria Math"/>
          <w:color w:val="auto"/>
          <w:kern w:val="0"/>
          <w:sz w:val="22"/>
          <w:szCs w:val="22"/>
          <w:highlight w:val="none"/>
          <w:u w:val="single"/>
        </w:rPr>
        <w:t>监理人商定或确定变更价格的期限：</w:t>
      </w:r>
      <w:r>
        <w:rPr>
          <w:rFonts w:hint="eastAsia" w:ascii="Cambria Math" w:hAnsi="Cambria Math" w:cs="Cambria Math"/>
          <w:color w:val="auto"/>
          <w:kern w:val="0"/>
          <w:sz w:val="22"/>
          <w:szCs w:val="22"/>
          <w:highlight w:val="none"/>
          <w:u w:val="single"/>
        </w:rPr>
        <w:t>3个工作日。</w:t>
      </w:r>
    </w:p>
    <w:p w14:paraId="6D5C420C">
      <w:pPr>
        <w:spacing w:line="360" w:lineRule="auto"/>
        <w:ind w:firstLine="440" w:firstLineChars="200"/>
        <w:rPr>
          <w:rFonts w:ascii="Cambria Math" w:hAnsi="Cambria Math" w:cs="Cambria Math"/>
          <w:color w:val="auto"/>
          <w:kern w:val="0"/>
          <w:sz w:val="22"/>
          <w:szCs w:val="22"/>
          <w:highlight w:val="none"/>
          <w:u w:val="single"/>
        </w:rPr>
      </w:pPr>
      <w:r>
        <w:rPr>
          <w:rFonts w:hint="eastAsia" w:ascii="Cambria Math" w:hAnsi="Cambria Math" w:cs="Cambria Math"/>
          <w:color w:val="auto"/>
          <w:kern w:val="0"/>
          <w:sz w:val="22"/>
          <w:szCs w:val="22"/>
          <w:highlight w:val="none"/>
          <w:u w:val="single"/>
        </w:rPr>
        <w:t>③</w:t>
      </w:r>
      <w:r>
        <w:rPr>
          <w:rFonts w:ascii="Cambria Math" w:hAnsi="Cambria Math" w:cs="Cambria Math"/>
          <w:color w:val="auto"/>
          <w:kern w:val="0"/>
          <w:sz w:val="22"/>
          <w:szCs w:val="22"/>
          <w:highlight w:val="none"/>
          <w:u w:val="single"/>
        </w:rPr>
        <w:t>收到变更指示后，如承包人未在规定的期限内提交变更报价书的，</w:t>
      </w:r>
      <w:r>
        <w:rPr>
          <w:rFonts w:hint="eastAsia" w:ascii="Cambria Math" w:hAnsi="Cambria Math" w:cs="Cambria Math"/>
          <w:color w:val="auto"/>
          <w:kern w:val="0"/>
          <w:sz w:val="22"/>
          <w:szCs w:val="22"/>
          <w:highlight w:val="none"/>
          <w:u w:val="single"/>
        </w:rPr>
        <w:t>监理人可自行决定是否调整合同价款以及如果监理人决定调整合同价款时，相应调整的具体金额。变更项目的最终价以相关部门评审为准。</w:t>
      </w:r>
    </w:p>
    <w:p w14:paraId="5879F40B">
      <w:pPr>
        <w:spacing w:line="360" w:lineRule="auto"/>
        <w:ind w:firstLine="440" w:firstLineChars="200"/>
        <w:rPr>
          <w:rFonts w:ascii="Cambria Math" w:hAnsi="Cambria Math" w:cs="Cambria Math"/>
          <w:color w:val="auto"/>
          <w:kern w:val="0"/>
          <w:sz w:val="22"/>
          <w:szCs w:val="22"/>
          <w:highlight w:val="none"/>
          <w:u w:val="single"/>
        </w:rPr>
      </w:pPr>
      <w:r>
        <w:rPr>
          <w:rFonts w:hint="eastAsia" w:ascii="Cambria Math" w:hAnsi="Cambria Math" w:cs="Cambria Math"/>
          <w:color w:val="auto"/>
          <w:kern w:val="0"/>
          <w:sz w:val="22"/>
          <w:szCs w:val="22"/>
          <w:highlight w:val="none"/>
          <w:u w:val="single"/>
        </w:rPr>
        <w:t>④承包人承诺：所有变更工程和新增工程引起的计价、计量调整、报批和审批过程，均不得影响变更的执行，承包人不得以此为理由公开或变相拖延或延误新增或变更工程的实施，否则，承包人须承担由此造成的发包人经济损失及工期延误的责任。</w:t>
      </w:r>
    </w:p>
    <w:p w14:paraId="52571E61">
      <w:pPr>
        <w:spacing w:line="360" w:lineRule="auto"/>
        <w:ind w:firstLine="440" w:firstLineChars="200"/>
        <w:rPr>
          <w:rFonts w:ascii="Cambria Math" w:hAnsi="Cambria Math" w:cs="Cambria Math"/>
          <w:color w:val="auto"/>
          <w:kern w:val="0"/>
          <w:sz w:val="22"/>
          <w:szCs w:val="22"/>
          <w:highlight w:val="none"/>
          <w:u w:val="single"/>
        </w:rPr>
      </w:pPr>
    </w:p>
    <w:p w14:paraId="7831E5F4">
      <w:pPr>
        <w:spacing w:line="360" w:lineRule="auto"/>
        <w:ind w:firstLine="440" w:firstLineChars="200"/>
        <w:rPr>
          <w:rFonts w:ascii="Cambria Math" w:hAnsi="Cambria Math" w:cs="Cambria Math"/>
          <w:color w:val="auto"/>
          <w:kern w:val="0"/>
          <w:sz w:val="22"/>
          <w:szCs w:val="22"/>
          <w:highlight w:val="none"/>
          <w:u w:val="single"/>
        </w:rPr>
      </w:pPr>
      <w:r>
        <w:rPr>
          <w:rFonts w:hint="eastAsia" w:ascii="Cambria Math" w:hAnsi="Cambria Math" w:cs="Cambria Math"/>
          <w:color w:val="auto"/>
          <w:kern w:val="0"/>
          <w:sz w:val="22"/>
          <w:szCs w:val="22"/>
          <w:highlight w:val="none"/>
          <w:u w:val="single"/>
        </w:rPr>
        <w:t>（</w:t>
      </w:r>
      <w:r>
        <w:rPr>
          <w:rFonts w:ascii="Cambria Math" w:hAnsi="Cambria Math" w:cs="Cambria Math"/>
          <w:color w:val="auto"/>
          <w:kern w:val="0"/>
          <w:sz w:val="22"/>
          <w:szCs w:val="22"/>
          <w:highlight w:val="none"/>
          <w:u w:val="single"/>
        </w:rPr>
        <w:t>2</w:t>
      </w:r>
      <w:r>
        <w:rPr>
          <w:rFonts w:hint="eastAsia" w:ascii="Cambria Math" w:hAnsi="Cambria Math" w:cs="Cambria Math"/>
          <w:color w:val="auto"/>
          <w:kern w:val="0"/>
          <w:sz w:val="22"/>
          <w:szCs w:val="22"/>
          <w:highlight w:val="none"/>
          <w:u w:val="single"/>
        </w:rPr>
        <w:t>）</w:t>
      </w:r>
      <w:r>
        <w:rPr>
          <w:rFonts w:ascii="Cambria Math" w:hAnsi="Cambria Math" w:cs="Cambria Math"/>
          <w:color w:val="auto"/>
          <w:kern w:val="0"/>
          <w:sz w:val="22"/>
          <w:szCs w:val="22"/>
          <w:highlight w:val="none"/>
          <w:u w:val="single"/>
        </w:rPr>
        <w:t>变更的估价原则</w:t>
      </w:r>
    </w:p>
    <w:p w14:paraId="09FF671F">
      <w:pPr>
        <w:spacing w:line="360" w:lineRule="auto"/>
        <w:ind w:firstLine="440" w:firstLineChars="200"/>
        <w:rPr>
          <w:rFonts w:hint="eastAsia" w:ascii="Cambria Math" w:hAnsi="Cambria Math" w:cs="Cambria Math"/>
          <w:color w:val="auto"/>
          <w:kern w:val="0"/>
          <w:sz w:val="22"/>
          <w:szCs w:val="22"/>
          <w:highlight w:val="none"/>
          <w:u w:val="single"/>
        </w:rPr>
      </w:pPr>
      <w:r>
        <w:rPr>
          <w:rFonts w:hint="eastAsia" w:ascii="Cambria Math" w:hAnsi="Cambria Math" w:cs="Cambria Math"/>
          <w:color w:val="auto"/>
          <w:kern w:val="0"/>
          <w:sz w:val="22"/>
          <w:szCs w:val="22"/>
          <w:highlight w:val="none"/>
          <w:u w:val="single"/>
          <w:lang w:eastAsia="zh-CN"/>
        </w:rPr>
        <w:t>（</w:t>
      </w:r>
      <w:r>
        <w:rPr>
          <w:rFonts w:hint="eastAsia" w:ascii="Cambria Math" w:hAnsi="Cambria Math" w:cs="Cambria Math"/>
          <w:color w:val="auto"/>
          <w:kern w:val="0"/>
          <w:sz w:val="22"/>
          <w:szCs w:val="22"/>
          <w:highlight w:val="none"/>
          <w:u w:val="single"/>
          <w:lang w:val="en-US" w:eastAsia="zh-CN"/>
        </w:rPr>
        <w:t>2.1）</w:t>
      </w:r>
      <w:r>
        <w:rPr>
          <w:rFonts w:hint="eastAsia" w:ascii="Cambria Math" w:hAnsi="Cambria Math" w:cs="Cambria Math"/>
          <w:color w:val="auto"/>
          <w:kern w:val="0"/>
          <w:sz w:val="22"/>
          <w:szCs w:val="22"/>
          <w:highlight w:val="none"/>
          <w:u w:val="single"/>
        </w:rPr>
        <w:t xml:space="preserve"> 已标价工程量清单中有适用于变更工作的子目的，采用该子目的单价。</w:t>
      </w:r>
    </w:p>
    <w:p w14:paraId="10A193B6">
      <w:pPr>
        <w:spacing w:line="360" w:lineRule="auto"/>
        <w:ind w:firstLine="440" w:firstLineChars="200"/>
        <w:rPr>
          <w:rFonts w:hint="eastAsia" w:ascii="Cambria Math" w:hAnsi="Cambria Math" w:cs="Cambria Math"/>
          <w:color w:val="auto"/>
          <w:kern w:val="0"/>
          <w:sz w:val="22"/>
          <w:szCs w:val="22"/>
          <w:highlight w:val="none"/>
          <w:u w:val="single"/>
        </w:rPr>
      </w:pPr>
      <w:r>
        <w:rPr>
          <w:rFonts w:hint="eastAsia" w:ascii="Cambria Math" w:hAnsi="Cambria Math" w:cs="Cambria Math"/>
          <w:color w:val="auto"/>
          <w:kern w:val="0"/>
          <w:sz w:val="22"/>
          <w:szCs w:val="22"/>
          <w:highlight w:val="none"/>
          <w:u w:val="single"/>
          <w:lang w:eastAsia="zh-CN"/>
        </w:rPr>
        <w:t>（</w:t>
      </w:r>
      <w:r>
        <w:rPr>
          <w:rFonts w:hint="eastAsia" w:ascii="Cambria Math" w:hAnsi="Cambria Math" w:cs="Cambria Math"/>
          <w:color w:val="auto"/>
          <w:kern w:val="0"/>
          <w:sz w:val="22"/>
          <w:szCs w:val="22"/>
          <w:highlight w:val="none"/>
          <w:u w:val="single"/>
          <w:lang w:val="en-US" w:eastAsia="zh-CN"/>
        </w:rPr>
        <w:t>2.2）</w:t>
      </w:r>
      <w:r>
        <w:rPr>
          <w:rFonts w:hint="eastAsia" w:ascii="Cambria Math" w:hAnsi="Cambria Math" w:cs="Cambria Math"/>
          <w:color w:val="auto"/>
          <w:kern w:val="0"/>
          <w:sz w:val="22"/>
          <w:szCs w:val="22"/>
          <w:highlight w:val="none"/>
          <w:u w:val="single"/>
        </w:rPr>
        <w:t xml:space="preserve"> 已标价工程量清单中无适用于变更工作的子目，但有类似子目的，可在合理范围内参照类似子目的单价，由监理人按</w:t>
      </w:r>
      <w:r>
        <w:rPr>
          <w:rFonts w:hint="eastAsia" w:ascii="Cambria Math" w:hAnsi="Cambria Math" w:cs="Cambria Math"/>
          <w:color w:val="auto"/>
          <w:kern w:val="0"/>
          <w:sz w:val="22"/>
          <w:szCs w:val="22"/>
          <w:highlight w:val="none"/>
          <w:u w:val="single"/>
          <w:lang w:eastAsia="zh-CN"/>
        </w:rPr>
        <w:t>合同相关</w:t>
      </w:r>
      <w:r>
        <w:rPr>
          <w:rFonts w:hint="eastAsia" w:ascii="Cambria Math" w:hAnsi="Cambria Math" w:cs="Cambria Math"/>
          <w:color w:val="auto"/>
          <w:kern w:val="0"/>
          <w:sz w:val="22"/>
          <w:szCs w:val="22"/>
          <w:highlight w:val="none"/>
          <w:u w:val="single"/>
        </w:rPr>
        <w:t>商定或确定变更工作的单价。</w:t>
      </w:r>
    </w:p>
    <w:p w14:paraId="2973CADE">
      <w:pPr>
        <w:spacing w:line="360" w:lineRule="auto"/>
        <w:ind w:firstLine="660" w:firstLineChars="300"/>
        <w:rPr>
          <w:rFonts w:hint="eastAsia" w:ascii="Cambria Math" w:hAnsi="Cambria Math" w:cs="Cambria Math"/>
          <w:color w:val="auto"/>
          <w:kern w:val="0"/>
          <w:sz w:val="22"/>
          <w:szCs w:val="22"/>
          <w:highlight w:val="none"/>
          <w:u w:val="single"/>
        </w:rPr>
      </w:pPr>
      <w:r>
        <w:rPr>
          <w:rFonts w:hint="eastAsia" w:ascii="Cambria Math" w:hAnsi="Cambria Math" w:cs="Cambria Math"/>
          <w:color w:val="auto"/>
          <w:kern w:val="0"/>
          <w:sz w:val="22"/>
          <w:szCs w:val="22"/>
          <w:highlight w:val="none"/>
          <w:u w:val="single"/>
          <w:lang w:eastAsia="zh-CN"/>
        </w:rPr>
        <w:t>（</w:t>
      </w:r>
      <w:r>
        <w:rPr>
          <w:rFonts w:hint="eastAsia" w:ascii="Cambria Math" w:hAnsi="Cambria Math" w:cs="Cambria Math"/>
          <w:color w:val="auto"/>
          <w:kern w:val="0"/>
          <w:sz w:val="22"/>
          <w:szCs w:val="22"/>
          <w:highlight w:val="none"/>
          <w:u w:val="single"/>
          <w:lang w:val="en-US" w:eastAsia="zh-CN"/>
        </w:rPr>
        <w:t>2.3）</w:t>
      </w:r>
      <w:r>
        <w:rPr>
          <w:rFonts w:hint="eastAsia" w:ascii="Cambria Math" w:hAnsi="Cambria Math" w:cs="Cambria Math"/>
          <w:color w:val="auto"/>
          <w:kern w:val="0"/>
          <w:sz w:val="22"/>
          <w:szCs w:val="22"/>
          <w:highlight w:val="none"/>
          <w:u w:val="single"/>
        </w:rPr>
        <w:t>已标价工程量清单中无适用或类似子目的单价，可按照成本加利润的原则，由监理人按</w:t>
      </w:r>
      <w:r>
        <w:rPr>
          <w:rFonts w:hint="eastAsia" w:ascii="Cambria Math" w:hAnsi="Cambria Math" w:cs="Cambria Math"/>
          <w:color w:val="auto"/>
          <w:kern w:val="0"/>
          <w:sz w:val="22"/>
          <w:szCs w:val="22"/>
          <w:highlight w:val="none"/>
          <w:u w:val="single"/>
          <w:lang w:eastAsia="zh-CN"/>
        </w:rPr>
        <w:t>合同相关</w:t>
      </w:r>
      <w:r>
        <w:rPr>
          <w:rFonts w:hint="eastAsia" w:ascii="Cambria Math" w:hAnsi="Cambria Math" w:cs="Cambria Math"/>
          <w:color w:val="auto"/>
          <w:kern w:val="0"/>
          <w:sz w:val="22"/>
          <w:szCs w:val="22"/>
          <w:highlight w:val="none"/>
          <w:u w:val="single"/>
        </w:rPr>
        <w:t>商定或确定变更工作的单价。</w:t>
      </w:r>
    </w:p>
    <w:p w14:paraId="3D6FE46A">
      <w:pPr>
        <w:spacing w:line="360" w:lineRule="auto"/>
        <w:ind w:firstLine="660" w:firstLineChars="300"/>
        <w:rPr>
          <w:rFonts w:hint="default" w:ascii="Cambria Math" w:hAnsi="Cambria Math" w:eastAsia="宋体" w:cs="Cambria Math"/>
          <w:color w:val="auto"/>
          <w:kern w:val="0"/>
          <w:sz w:val="22"/>
          <w:szCs w:val="22"/>
          <w:highlight w:val="none"/>
          <w:u w:val="single"/>
          <w:lang w:val="en-US" w:eastAsia="zh-CN"/>
        </w:rPr>
      </w:pPr>
      <w:r>
        <w:rPr>
          <w:rFonts w:hint="eastAsia" w:ascii="Cambria Math" w:hAnsi="Cambria Math" w:cs="Cambria Math"/>
          <w:color w:val="auto"/>
          <w:kern w:val="0"/>
          <w:sz w:val="22"/>
          <w:szCs w:val="22"/>
          <w:highlight w:val="none"/>
          <w:u w:val="single"/>
          <w:lang w:eastAsia="zh-CN"/>
        </w:rPr>
        <w:t>（</w:t>
      </w:r>
      <w:r>
        <w:rPr>
          <w:rFonts w:hint="eastAsia" w:ascii="Cambria Math" w:hAnsi="Cambria Math" w:cs="Cambria Math"/>
          <w:color w:val="auto"/>
          <w:kern w:val="0"/>
          <w:sz w:val="22"/>
          <w:szCs w:val="22"/>
          <w:highlight w:val="none"/>
          <w:u w:val="single"/>
          <w:lang w:val="en-US" w:eastAsia="zh-CN"/>
        </w:rPr>
        <w:t>2.4）本合同《工程量清单》中无适用变更工作的项目或无类似项目的单价或合价时，则采用变更项目施工时段的市场价和按《广州地区建设工程常用材料综合价格》（2018年第三季度）计算的定额价的低值作为变更项目的计价基础，并按照中标合同总价的下浮率（即中标价相对于最高投标限价的下浮比率）核定变更项目的单价和总价，按发包人有关规定办理有关变更审价程序后调整。</w:t>
      </w:r>
      <w:r>
        <w:rPr>
          <w:rFonts w:hint="default" w:ascii="Cambria Math" w:hAnsi="Cambria Math" w:cs="Cambria Math"/>
          <w:color w:val="auto"/>
          <w:kern w:val="0"/>
          <w:sz w:val="22"/>
          <w:szCs w:val="22"/>
          <w:highlight w:val="none"/>
          <w:u w:val="single"/>
          <w:lang w:val="en-US" w:eastAsia="zh-CN"/>
        </w:rPr>
        <w:t>”</w:t>
      </w:r>
    </w:p>
    <w:p w14:paraId="168D9017">
      <w:pPr>
        <w:spacing w:line="420" w:lineRule="exact"/>
        <w:ind w:firstLine="0" w:firstLineChars="0"/>
        <w:rPr>
          <w:rFonts w:ascii="宋体" w:hAnsi="宋体" w:cs="宋体"/>
          <w:color w:val="auto"/>
          <w:kern w:val="0"/>
          <w:sz w:val="22"/>
          <w:szCs w:val="22"/>
          <w:highlight w:val="none"/>
          <w:u w:val="single"/>
        </w:rPr>
      </w:pPr>
    </w:p>
    <w:p w14:paraId="709216D1">
      <w:pPr>
        <w:pStyle w:val="3"/>
        <w:numPr>
          <w:ilvl w:val="0"/>
          <w:numId w:val="0"/>
        </w:numPr>
        <w:tabs>
          <w:tab w:val="left" w:pos="420"/>
        </w:tabs>
        <w:spacing w:line="420" w:lineRule="exact"/>
        <w:rPr>
          <w:rFonts w:hAnsi="宋体"/>
          <w:b/>
          <w:bCs/>
          <w:color w:val="auto"/>
          <w:sz w:val="22"/>
          <w:szCs w:val="22"/>
          <w:highlight w:val="none"/>
        </w:rPr>
      </w:pPr>
      <w:bookmarkStart w:id="749" w:name="_Toc13145"/>
      <w:bookmarkStart w:id="750" w:name="_Toc155166191"/>
      <w:bookmarkStart w:id="751" w:name="_Toc21347"/>
      <w:bookmarkStart w:id="752" w:name="_Toc16822"/>
      <w:bookmarkStart w:id="753" w:name="_Toc4239"/>
      <w:r>
        <w:rPr>
          <w:rFonts w:hint="eastAsia" w:hAnsi="宋体"/>
          <w:b/>
          <w:bCs/>
          <w:color w:val="auto"/>
          <w:sz w:val="22"/>
          <w:szCs w:val="22"/>
          <w:highlight w:val="none"/>
        </w:rPr>
        <w:t>★58. 竣工验收</w:t>
      </w:r>
      <w:bookmarkEnd w:id="745"/>
      <w:bookmarkEnd w:id="749"/>
      <w:bookmarkEnd w:id="750"/>
      <w:bookmarkEnd w:id="751"/>
      <w:bookmarkEnd w:id="752"/>
      <w:bookmarkEnd w:id="753"/>
    </w:p>
    <w:p w14:paraId="7843BDD6">
      <w:pPr>
        <w:spacing w:line="420" w:lineRule="exact"/>
        <w:ind w:firstLine="110" w:firstLineChars="50"/>
        <w:rPr>
          <w:rFonts w:ascii="宋体" w:hAnsi="宋体" w:cs="宋体"/>
          <w:color w:val="auto"/>
          <w:kern w:val="0"/>
          <w:sz w:val="22"/>
          <w:szCs w:val="22"/>
          <w:highlight w:val="none"/>
        </w:rPr>
      </w:pPr>
    </w:p>
    <w:p w14:paraId="2EEE9FD5">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b/>
          <w:bCs/>
          <w:color w:val="auto"/>
          <w:sz w:val="22"/>
          <w:szCs w:val="22"/>
          <w:highlight w:val="none"/>
        </w:rPr>
        <w:t>★</w:t>
      </w:r>
      <w:r>
        <w:rPr>
          <w:rFonts w:hint="eastAsia" w:ascii="宋体" w:hAnsi="宋体" w:cs="宋体"/>
          <w:color w:val="auto"/>
          <w:kern w:val="0"/>
          <w:sz w:val="22"/>
          <w:szCs w:val="22"/>
          <w:highlight w:val="none"/>
        </w:rPr>
        <w:t xml:space="preserve"> 58.1 竣工验收标准</w:t>
      </w:r>
    </w:p>
    <w:p w14:paraId="446A9680">
      <w:pPr>
        <w:spacing w:line="420" w:lineRule="exact"/>
        <w:ind w:firstLine="110" w:firstLineChars="50"/>
        <w:rPr>
          <w:rFonts w:ascii="Cambria Math" w:hAnsi="Cambria Math" w:cs="Cambria Math"/>
          <w:color w:val="auto"/>
          <w:kern w:val="0"/>
          <w:sz w:val="22"/>
          <w:szCs w:val="22"/>
          <w:highlight w:val="none"/>
          <w:u w:val="single"/>
        </w:rPr>
      </w:pPr>
      <w:r>
        <w:rPr>
          <w:rFonts w:hint="eastAsia" w:ascii="宋体" w:hAnsi="宋体" w:cs="宋体"/>
          <w:color w:val="auto"/>
          <w:kern w:val="0"/>
          <w:sz w:val="22"/>
          <w:szCs w:val="22"/>
          <w:highlight w:val="none"/>
        </w:rPr>
        <w:t xml:space="preserve">   合同工程竣工验收标准：</w:t>
      </w:r>
      <w:r>
        <w:rPr>
          <w:rFonts w:hint="eastAsia" w:ascii="Cambria Math" w:hAnsi="Cambria Math" w:cs="Cambria Math"/>
          <w:color w:val="auto"/>
          <w:kern w:val="0"/>
          <w:sz w:val="22"/>
          <w:szCs w:val="22"/>
          <w:highlight w:val="none"/>
          <w:u w:val="single"/>
        </w:rPr>
        <w:t>按国家有关现行工程质量验收标准执行，且验收达到合格等级。</w:t>
      </w:r>
    </w:p>
    <w:p w14:paraId="0EEA0A68">
      <w:pPr>
        <w:spacing w:line="420" w:lineRule="exact"/>
        <w:rPr>
          <w:rFonts w:hint="eastAsia" w:hAnsi="宋体"/>
          <w:color w:val="auto"/>
          <w:sz w:val="24"/>
          <w:highlight w:val="none"/>
          <w:u w:val="single"/>
        </w:rPr>
      </w:pPr>
    </w:p>
    <w:p w14:paraId="5DFA44AF">
      <w:pPr>
        <w:spacing w:line="420" w:lineRule="exact"/>
        <w:rPr>
          <w:rFonts w:ascii="宋体" w:hAnsi="宋体" w:cs="宋体"/>
          <w:color w:val="auto"/>
          <w:kern w:val="0"/>
          <w:sz w:val="22"/>
          <w:szCs w:val="22"/>
          <w:highlight w:val="none"/>
        </w:rPr>
      </w:pPr>
      <w:r>
        <w:rPr>
          <w:rFonts w:hAnsi="宋体"/>
          <w:color w:val="auto"/>
          <w:sz w:val="24"/>
          <w:highlight w:val="none"/>
        </w:rPr>
        <w:t xml:space="preserve">  </w:t>
      </w:r>
      <w:r>
        <w:rPr>
          <w:rFonts w:hint="eastAsia" w:ascii="宋体" w:hAnsi="宋体" w:cs="宋体"/>
          <w:b/>
          <w:bCs/>
          <w:color w:val="auto"/>
          <w:kern w:val="0"/>
          <w:sz w:val="22"/>
          <w:szCs w:val="22"/>
          <w:highlight w:val="none"/>
        </w:rPr>
        <w:t>★</w:t>
      </w:r>
      <w:r>
        <w:rPr>
          <w:rFonts w:hint="eastAsia" w:ascii="宋体" w:hAnsi="宋体" w:cs="宋体"/>
          <w:color w:val="auto"/>
          <w:kern w:val="0"/>
          <w:sz w:val="22"/>
          <w:szCs w:val="22"/>
          <w:highlight w:val="none"/>
        </w:rPr>
        <w:t>58.8 单位工程和工程部位验收</w:t>
      </w:r>
    </w:p>
    <w:p w14:paraId="7C216CD2">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合同工程无单位工程、无工程部位提前验收的，本款不适用。</w:t>
      </w:r>
    </w:p>
    <w:p w14:paraId="3CFA6B3F">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合同工程单位工程或工程部位需提前验收的，各单位工程或工程部位的名称、竣工验收时间和范围如下：</w:t>
      </w:r>
    </w:p>
    <w:p w14:paraId="5DD2DC4A">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（1）</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（名称）工程或部位，竣工验收时间为 </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，其范围包括：</w:t>
      </w:r>
      <w:r>
        <w:rPr>
          <w:rFonts w:hint="eastAsia" w:ascii="宋体" w:hAnsi="宋体" w:cs="宋体"/>
          <w:color w:val="auto"/>
          <w:kern w:val="0"/>
          <w:sz w:val="22"/>
          <w:szCs w:val="22"/>
          <w:highlight w:val="none"/>
          <w:u w:val="single"/>
        </w:rPr>
        <w:t xml:space="preserve">                                                   </w:t>
      </w:r>
    </w:p>
    <w:p w14:paraId="41CE683F">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（名称）工程或部位，竣工验收时间为  </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，其范围包括：                                                 </w:t>
      </w:r>
    </w:p>
    <w:p w14:paraId="2F67C246">
      <w:pPr>
        <w:spacing w:line="420" w:lineRule="exact"/>
        <w:rPr>
          <w:rFonts w:ascii="宋体" w:hAnsi="宋体" w:cs="宋体"/>
          <w:color w:val="auto"/>
          <w:kern w:val="0"/>
          <w:sz w:val="22"/>
          <w:szCs w:val="22"/>
          <w:highlight w:val="none"/>
        </w:rPr>
      </w:pPr>
    </w:p>
    <w:p w14:paraId="16C69BF1">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58.9 施工期运行</w:t>
      </w:r>
    </w:p>
    <w:p w14:paraId="37AB0B59">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合同工程无单位工程、无工程部位在施工期运行的，本款不适用。</w:t>
      </w:r>
    </w:p>
    <w:p w14:paraId="7A8347F8">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合同工程单位工程或工程部位需在施工期运行的，各单位工程或工程部位的名称、运行时间如下：</w:t>
      </w:r>
    </w:p>
    <w:p w14:paraId="02BB32DF">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color w:val="auto"/>
          <w:kern w:val="0"/>
          <w:sz w:val="22"/>
          <w:szCs w:val="22"/>
          <w:highlight w:val="none"/>
          <w:u w:val="single"/>
        </w:rPr>
        <w:t>按发包人及监理人的规定</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32D918A3">
      <w:pPr>
        <w:spacing w:line="420" w:lineRule="exact"/>
        <w:rPr>
          <w:rFonts w:ascii="宋体" w:hAnsi="宋体" w:cs="宋体"/>
          <w:color w:val="auto"/>
          <w:kern w:val="0"/>
          <w:sz w:val="22"/>
          <w:szCs w:val="22"/>
          <w:highlight w:val="none"/>
        </w:rPr>
      </w:pPr>
    </w:p>
    <w:p w14:paraId="60C70C2E">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58.10 竣工清场</w:t>
      </w:r>
    </w:p>
    <w:p w14:paraId="40F81112">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按通用条款规定。</w:t>
      </w:r>
    </w:p>
    <w:p w14:paraId="47B254E5">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另作约定： </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1EB29F81">
      <w:pPr>
        <w:spacing w:line="420" w:lineRule="exact"/>
        <w:rPr>
          <w:rFonts w:ascii="宋体" w:hAnsi="宋体" w:cs="宋体"/>
          <w:color w:val="auto"/>
          <w:kern w:val="0"/>
          <w:sz w:val="22"/>
          <w:szCs w:val="22"/>
          <w:highlight w:val="none"/>
        </w:rPr>
      </w:pPr>
    </w:p>
    <w:p w14:paraId="7745C2F2">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58.11施工队伍的撤离</w:t>
      </w:r>
    </w:p>
    <w:p w14:paraId="64E705AB">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按通用条款规定，承包人的人员和施工设备全部撤离施工现场。</w:t>
      </w:r>
    </w:p>
    <w:p w14:paraId="015A5694">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p>
    <w:p w14:paraId="5370B1E7">
      <w:pPr>
        <w:spacing w:line="360" w:lineRule="auto"/>
        <w:ind w:firstLine="440" w:firstLineChars="200"/>
        <w:rPr>
          <w:rFonts w:ascii="Cambria Math" w:hAnsi="Cambria Math" w:cs="Cambria Math"/>
          <w:color w:val="auto"/>
          <w:kern w:val="0"/>
          <w:sz w:val="22"/>
          <w:szCs w:val="22"/>
          <w:highlight w:val="none"/>
          <w:u w:val="single"/>
        </w:rPr>
      </w:pPr>
      <w:r>
        <w:rPr>
          <w:rFonts w:ascii="Cambria Math" w:hAnsi="Cambria Math" w:cs="Cambria Math"/>
          <w:color w:val="auto"/>
          <w:kern w:val="0"/>
          <w:sz w:val="22"/>
          <w:szCs w:val="22"/>
          <w:highlight w:val="none"/>
          <w:u w:val="single"/>
        </w:rPr>
        <w:t>承包人按照通用合同条款第58.11款约定撤离施工场地（现场）时，监理人和承包人应当办理永久工程和施工场地移交手续，移交手续以书面方式出具，并分别经过发包人、监理人和承包人的签认。但是，监理人和发包人未按专用合同条款82项约定的期限办清竣工结算和竣工付款的，本工程不得交付使用，发包人和监理人也无权要求承包人按合同约定的期限撤离施工场地（现场）和办理工程移交手续。</w:t>
      </w:r>
    </w:p>
    <w:p w14:paraId="2CE37AD8">
      <w:pPr>
        <w:spacing w:line="360" w:lineRule="auto"/>
        <w:ind w:firstLine="440" w:firstLineChars="200"/>
        <w:rPr>
          <w:rFonts w:ascii="Cambria Math" w:hAnsi="Cambria Math" w:cs="Cambria Math"/>
          <w:color w:val="auto"/>
          <w:kern w:val="0"/>
          <w:sz w:val="22"/>
          <w:szCs w:val="22"/>
          <w:highlight w:val="none"/>
          <w:u w:val="single"/>
        </w:rPr>
      </w:pPr>
      <w:r>
        <w:rPr>
          <w:rFonts w:ascii="Cambria Math" w:hAnsi="Cambria Math" w:cs="Cambria Math"/>
          <w:color w:val="auto"/>
          <w:kern w:val="0"/>
          <w:sz w:val="22"/>
          <w:szCs w:val="22"/>
          <w:highlight w:val="none"/>
          <w:u w:val="single"/>
        </w:rPr>
        <w:t>缺陷责任期满时，承包人可以继续在施工场地保留的人员和施工设备以及最终撤离的期限：缺陷责任期满</w:t>
      </w:r>
      <w:r>
        <w:rPr>
          <w:rFonts w:hint="eastAsia" w:ascii="Cambria Math" w:hAnsi="Cambria Math" w:cs="Cambria Math"/>
          <w:color w:val="auto"/>
          <w:kern w:val="0"/>
          <w:sz w:val="22"/>
          <w:szCs w:val="22"/>
          <w:highlight w:val="none"/>
          <w:u w:val="single"/>
        </w:rPr>
        <w:t>之日起10个日历天内</w:t>
      </w:r>
      <w:r>
        <w:rPr>
          <w:rFonts w:ascii="Cambria Math" w:hAnsi="Cambria Math" w:cs="Cambria Math"/>
          <w:color w:val="auto"/>
          <w:kern w:val="0"/>
          <w:sz w:val="22"/>
          <w:szCs w:val="22"/>
          <w:highlight w:val="none"/>
          <w:u w:val="single"/>
        </w:rPr>
        <w:t>。</w:t>
      </w:r>
    </w:p>
    <w:p w14:paraId="33C8A3EE">
      <w:pPr>
        <w:spacing w:line="360" w:lineRule="auto"/>
        <w:ind w:firstLine="440" w:firstLineChars="200"/>
        <w:rPr>
          <w:rFonts w:ascii="Cambria Math" w:hAnsi="Cambria Math" w:cs="Cambria Math"/>
          <w:color w:val="auto"/>
          <w:kern w:val="0"/>
          <w:sz w:val="22"/>
          <w:szCs w:val="22"/>
          <w:highlight w:val="none"/>
          <w:u w:val="single"/>
        </w:rPr>
      </w:pPr>
    </w:p>
    <w:p w14:paraId="0A71B605">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5</w:t>
      </w:r>
      <w:r>
        <w:rPr>
          <w:rFonts w:ascii="宋体" w:hAnsi="宋体" w:cs="宋体"/>
          <w:color w:val="auto"/>
          <w:kern w:val="0"/>
          <w:sz w:val="22"/>
          <w:szCs w:val="22"/>
          <w:highlight w:val="none"/>
        </w:rPr>
        <w:t>8.13</w:t>
      </w:r>
      <w:r>
        <w:rPr>
          <w:rFonts w:hint="eastAsia" w:ascii="宋体" w:hAnsi="宋体" w:cs="宋体"/>
          <w:color w:val="auto"/>
          <w:kern w:val="0"/>
          <w:sz w:val="22"/>
          <w:szCs w:val="22"/>
          <w:highlight w:val="none"/>
        </w:rPr>
        <w:t>工程竣工质量争议的责任</w:t>
      </w:r>
    </w:p>
    <w:p w14:paraId="172D1F18">
      <w:pPr>
        <w:spacing w:line="360" w:lineRule="auto"/>
        <w:ind w:firstLine="440" w:firstLineChars="200"/>
        <w:rPr>
          <w:rFonts w:ascii="Cambria Math" w:hAnsi="Cambria Math" w:cs="Cambria Math"/>
          <w:color w:val="auto"/>
          <w:kern w:val="0"/>
          <w:sz w:val="22"/>
          <w:szCs w:val="22"/>
          <w:highlight w:val="none"/>
          <w:u w:val="single"/>
        </w:rPr>
      </w:pPr>
      <w:r>
        <w:rPr>
          <w:rFonts w:ascii="Cambria Math" w:hAnsi="Cambria Math" w:cs="Cambria Math"/>
          <w:color w:val="auto"/>
          <w:kern w:val="0"/>
          <w:sz w:val="22"/>
          <w:szCs w:val="22"/>
          <w:highlight w:val="none"/>
          <w:u w:val="single"/>
        </w:rPr>
        <w:t>发包人和承包人对工程质量有争议的，除可按合同条款第58.13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14:paraId="7F88D072">
      <w:pPr>
        <w:spacing w:line="360" w:lineRule="auto"/>
        <w:ind w:firstLine="440" w:firstLineChars="200"/>
        <w:rPr>
          <w:rFonts w:ascii="Cambria Math" w:hAnsi="Cambria Math" w:cs="Cambria Math"/>
          <w:color w:val="auto"/>
          <w:kern w:val="0"/>
          <w:sz w:val="22"/>
          <w:szCs w:val="22"/>
          <w:highlight w:val="none"/>
          <w:u w:val="single"/>
        </w:rPr>
      </w:pPr>
    </w:p>
    <w:p w14:paraId="6B91B416">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5</w:t>
      </w:r>
      <w:r>
        <w:rPr>
          <w:rFonts w:ascii="宋体" w:hAnsi="宋体" w:cs="宋体"/>
          <w:color w:val="auto"/>
          <w:kern w:val="0"/>
          <w:sz w:val="22"/>
          <w:szCs w:val="22"/>
          <w:highlight w:val="none"/>
        </w:rPr>
        <w:t>8.14</w:t>
      </w:r>
      <w:r>
        <w:rPr>
          <w:rFonts w:hint="eastAsia" w:ascii="宋体" w:hAnsi="宋体" w:cs="宋体"/>
          <w:color w:val="auto"/>
          <w:kern w:val="0"/>
          <w:sz w:val="22"/>
          <w:szCs w:val="22"/>
          <w:highlight w:val="none"/>
        </w:rPr>
        <w:t>竣工验收其他要求：</w:t>
      </w:r>
    </w:p>
    <w:p w14:paraId="6C931FE0">
      <w:pPr>
        <w:spacing w:line="42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竣工验收申请报告：</w:t>
      </w:r>
      <w:r>
        <w:rPr>
          <w:rFonts w:ascii="宋体" w:hAnsi="宋体" w:cs="宋体"/>
          <w:color w:val="auto"/>
          <w:kern w:val="0"/>
          <w:sz w:val="22"/>
          <w:szCs w:val="22"/>
          <w:highlight w:val="none"/>
          <w:u w:val="single"/>
        </w:rPr>
        <w:t>承包人负责整理和提交的竣工验收资料应当符合工程所在地建设行政主管部门和（或）城市建设档案管理机构有关施工资料的要求，具体内容包括：</w:t>
      </w:r>
    </w:p>
    <w:p w14:paraId="63F3E04C">
      <w:pPr>
        <w:spacing w:line="42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承包人在竣工验收后十个工作天内，向发包人提交。竣工备案手续由承包人办理，竣工验收资料须按工程档案管理的有关要求编制成册，竣工图纸应委托设计单位绘制。</w:t>
      </w:r>
    </w:p>
    <w:p w14:paraId="33323BCC">
      <w:pPr>
        <w:spacing w:line="420" w:lineRule="exact"/>
        <w:ind w:firstLine="440" w:firstLineChars="200"/>
        <w:rPr>
          <w:rFonts w:ascii="宋体" w:hAnsi="宋体" w:cs="宋体"/>
          <w:color w:val="auto"/>
          <w:kern w:val="0"/>
          <w:sz w:val="22"/>
          <w:szCs w:val="22"/>
          <w:highlight w:val="none"/>
          <w:u w:val="single"/>
        </w:rPr>
      </w:pPr>
      <w:r>
        <w:rPr>
          <w:rFonts w:ascii="宋体" w:hAnsi="宋体" w:cs="宋体"/>
          <w:color w:val="auto"/>
          <w:kern w:val="0"/>
          <w:sz w:val="22"/>
          <w:szCs w:val="22"/>
          <w:highlight w:val="none"/>
          <w:u w:val="single"/>
        </w:rPr>
        <w:t xml:space="preserve">竣工验收资料的份数： </w:t>
      </w:r>
      <w:r>
        <w:rPr>
          <w:rFonts w:hint="eastAsia" w:ascii="宋体" w:hAnsi="宋体" w:cs="宋体"/>
          <w:color w:val="auto"/>
          <w:kern w:val="0"/>
          <w:sz w:val="22"/>
          <w:szCs w:val="22"/>
          <w:highlight w:val="none"/>
          <w:u w:val="single"/>
        </w:rPr>
        <w:t>竣工验收资料4套、安全文明施工管理竣工资料2套（按《广州市市政基础设施（水务工程部分）工程档案编制指南》要求编制），竣工验收报告8份、竣工图纸5套、竣工图电子文件光盘2套</w:t>
      </w:r>
      <w:r>
        <w:rPr>
          <w:rFonts w:ascii="宋体" w:hAnsi="宋体" w:cs="宋体"/>
          <w:color w:val="auto"/>
          <w:kern w:val="0"/>
          <w:sz w:val="22"/>
          <w:szCs w:val="22"/>
          <w:highlight w:val="none"/>
          <w:u w:val="single"/>
        </w:rPr>
        <w:t>。</w:t>
      </w:r>
    </w:p>
    <w:p w14:paraId="1BF26DFF">
      <w:pPr>
        <w:spacing w:line="420" w:lineRule="exact"/>
        <w:ind w:firstLine="440" w:firstLineChars="200"/>
        <w:rPr>
          <w:rFonts w:ascii="宋体" w:hAnsi="宋体" w:cs="宋体"/>
          <w:color w:val="auto"/>
          <w:kern w:val="0"/>
          <w:sz w:val="22"/>
          <w:szCs w:val="22"/>
          <w:highlight w:val="none"/>
          <w:u w:val="single"/>
        </w:rPr>
      </w:pPr>
      <w:r>
        <w:rPr>
          <w:rFonts w:ascii="宋体" w:hAnsi="宋体" w:cs="宋体"/>
          <w:color w:val="auto"/>
          <w:kern w:val="0"/>
          <w:sz w:val="22"/>
          <w:szCs w:val="22"/>
          <w:highlight w:val="none"/>
          <w:u w:val="single"/>
        </w:rPr>
        <w:t>竣工验收资料的费用支付方式：</w:t>
      </w:r>
      <w:r>
        <w:rPr>
          <w:rFonts w:hint="eastAsia" w:ascii="宋体" w:hAnsi="宋体" w:cs="宋体"/>
          <w:color w:val="auto"/>
          <w:kern w:val="0"/>
          <w:sz w:val="22"/>
          <w:szCs w:val="22"/>
          <w:highlight w:val="none"/>
          <w:u w:val="single"/>
        </w:rPr>
        <w:t>制作费用已包含在签约合同价内</w:t>
      </w:r>
      <w:r>
        <w:rPr>
          <w:rFonts w:ascii="宋体" w:hAnsi="宋体" w:cs="宋体"/>
          <w:color w:val="auto"/>
          <w:kern w:val="0"/>
          <w:sz w:val="22"/>
          <w:szCs w:val="22"/>
          <w:highlight w:val="none"/>
          <w:u w:val="single"/>
        </w:rPr>
        <w:t>。</w:t>
      </w:r>
    </w:p>
    <w:p w14:paraId="122FB519">
      <w:pPr>
        <w:spacing w:line="420" w:lineRule="exact"/>
        <w:ind w:firstLine="440" w:firstLineChars="200"/>
        <w:rPr>
          <w:rFonts w:ascii="宋体" w:hAnsi="宋体" w:cs="宋体"/>
          <w:color w:val="auto"/>
          <w:kern w:val="0"/>
          <w:sz w:val="22"/>
          <w:szCs w:val="22"/>
          <w:highlight w:val="none"/>
          <w:u w:val="single"/>
        </w:rPr>
      </w:pPr>
    </w:p>
    <w:p w14:paraId="53F9503E">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5</w:t>
      </w:r>
      <w:r>
        <w:rPr>
          <w:rFonts w:ascii="宋体" w:hAnsi="宋体" w:cs="宋体"/>
          <w:color w:val="auto"/>
          <w:kern w:val="0"/>
          <w:sz w:val="22"/>
          <w:szCs w:val="22"/>
          <w:highlight w:val="none"/>
        </w:rPr>
        <w:t>8.15</w:t>
      </w:r>
      <w:r>
        <w:rPr>
          <w:rFonts w:ascii="宋体" w:hAnsi="宋体" w:cs="宋体"/>
          <w:color w:val="auto"/>
          <w:kern w:val="0"/>
          <w:sz w:val="22"/>
          <w:szCs w:val="22"/>
          <w:highlight w:val="none"/>
          <w:u w:val="single"/>
        </w:rPr>
        <w:t>经验收合格的工程，实际竣工日期为承包人按照第58.14款提交竣工验收申请报告或按照本款重新提交竣工验收申请报告的日期（以两者中时间在后者为准）。</w:t>
      </w:r>
    </w:p>
    <w:p w14:paraId="5724AB38">
      <w:pPr>
        <w:spacing w:line="420" w:lineRule="exact"/>
        <w:rPr>
          <w:rFonts w:ascii="宋体" w:hAnsi="宋体" w:cs="宋体"/>
          <w:color w:val="auto"/>
          <w:kern w:val="0"/>
          <w:sz w:val="22"/>
          <w:szCs w:val="22"/>
          <w:highlight w:val="none"/>
          <w:u w:val="single"/>
        </w:rPr>
      </w:pPr>
    </w:p>
    <w:p w14:paraId="3B68409B">
      <w:pPr>
        <w:pStyle w:val="3"/>
        <w:numPr>
          <w:ilvl w:val="0"/>
          <w:numId w:val="0"/>
        </w:numPr>
        <w:tabs>
          <w:tab w:val="left" w:pos="420"/>
        </w:tabs>
        <w:spacing w:line="420" w:lineRule="exact"/>
        <w:rPr>
          <w:rFonts w:hAnsi="宋体"/>
          <w:b/>
          <w:bCs/>
          <w:color w:val="auto"/>
          <w:sz w:val="22"/>
          <w:szCs w:val="22"/>
          <w:highlight w:val="none"/>
        </w:rPr>
      </w:pPr>
      <w:bookmarkStart w:id="754" w:name="_Toc22846"/>
      <w:bookmarkStart w:id="755" w:name="_Toc155166192"/>
      <w:bookmarkStart w:id="756" w:name="_Toc20851"/>
      <w:bookmarkStart w:id="757" w:name="_Toc469384116"/>
      <w:bookmarkStart w:id="758" w:name="_Toc20609"/>
      <w:bookmarkStart w:id="759" w:name="_Toc688"/>
      <w:r>
        <w:rPr>
          <w:rFonts w:hint="eastAsia" w:hAnsi="宋体"/>
          <w:b/>
          <w:bCs/>
          <w:color w:val="auto"/>
          <w:sz w:val="22"/>
          <w:szCs w:val="22"/>
          <w:highlight w:val="none"/>
        </w:rPr>
        <w:t>59. 缺陷责任与质量保修</w:t>
      </w:r>
      <w:bookmarkEnd w:id="754"/>
      <w:bookmarkEnd w:id="755"/>
      <w:bookmarkEnd w:id="756"/>
      <w:bookmarkEnd w:id="757"/>
      <w:bookmarkEnd w:id="758"/>
      <w:bookmarkEnd w:id="759"/>
    </w:p>
    <w:p w14:paraId="486F1D31">
      <w:pPr>
        <w:spacing w:line="420" w:lineRule="exact"/>
        <w:rPr>
          <w:rFonts w:ascii="宋体" w:hAnsi="宋体" w:cs="宋体"/>
          <w:color w:val="auto"/>
          <w:kern w:val="0"/>
          <w:sz w:val="22"/>
          <w:szCs w:val="22"/>
          <w:highlight w:val="none"/>
        </w:rPr>
      </w:pPr>
    </w:p>
    <w:p w14:paraId="6A7B6E7C">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59.1 缺陷责任期计算</w:t>
      </w:r>
    </w:p>
    <w:p w14:paraId="5156CB1A">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缺陷责任期：</w:t>
      </w:r>
      <w:r>
        <w:rPr>
          <w:rFonts w:hint="eastAsia" w:hAnsi="宋体"/>
          <w:color w:val="auto"/>
          <w:sz w:val="22"/>
          <w:szCs w:val="22"/>
          <w:highlight w:val="none"/>
          <w:u w:val="single"/>
        </w:rPr>
        <w:t>1年，从工程通过合同工程完工验收后开始计算。</w:t>
      </w:r>
    </w:p>
    <w:p w14:paraId="12CE4BF5">
      <w:pPr>
        <w:spacing w:line="420" w:lineRule="exact"/>
        <w:rPr>
          <w:rFonts w:ascii="宋体" w:hAnsi="宋体" w:cs="宋体"/>
          <w:color w:val="auto"/>
          <w:kern w:val="0"/>
          <w:sz w:val="22"/>
          <w:szCs w:val="22"/>
          <w:highlight w:val="none"/>
        </w:rPr>
      </w:pPr>
    </w:p>
    <w:p w14:paraId="611D493B">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ascii="宋体" w:hAnsi="宋体" w:cs="宋体"/>
          <w:color w:val="auto"/>
          <w:kern w:val="0"/>
          <w:sz w:val="22"/>
          <w:szCs w:val="22"/>
          <w:highlight w:val="none"/>
        </w:rPr>
        <w:t>59.7</w:t>
      </w:r>
      <w:r>
        <w:rPr>
          <w:rFonts w:hint="eastAsia" w:ascii="宋体" w:hAnsi="宋体" w:cs="宋体"/>
          <w:color w:val="auto"/>
          <w:kern w:val="0"/>
          <w:sz w:val="22"/>
          <w:szCs w:val="22"/>
          <w:highlight w:val="none"/>
        </w:rPr>
        <w:t>签订工程质量保修书</w:t>
      </w:r>
    </w:p>
    <w:p w14:paraId="483E8CF1">
      <w:pPr>
        <w:spacing w:line="420" w:lineRule="exact"/>
        <w:ind w:firstLine="440" w:firstLineChars="200"/>
        <w:rPr>
          <w:rFonts w:ascii="宋体" w:hAnsi="宋体" w:cs="宋体"/>
          <w:color w:val="auto"/>
          <w:kern w:val="0"/>
          <w:sz w:val="22"/>
          <w:szCs w:val="22"/>
          <w:highlight w:val="none"/>
          <w:u w:val="single"/>
        </w:rPr>
      </w:pPr>
      <w:r>
        <w:rPr>
          <w:rFonts w:ascii="宋体" w:hAnsi="宋体" w:cs="宋体"/>
          <w:color w:val="auto"/>
          <w:kern w:val="0"/>
          <w:sz w:val="22"/>
          <w:szCs w:val="22"/>
          <w:highlight w:val="none"/>
          <w:u w:val="single"/>
        </w:rPr>
        <w:t>质量保修书是竣工验收申请报告的组成内容。承包人应当按照有关法律法规规定和合同所附的格式出具质量保修书，质量保修书的主要内容应当与本款上述约定内容一致。承包人在递交合同条款第58款约定的竣工验收报告的同时，将质量保修书一并报送监理人。</w:t>
      </w:r>
    </w:p>
    <w:p w14:paraId="3D33783B">
      <w:pPr>
        <w:spacing w:line="420" w:lineRule="exact"/>
        <w:ind w:firstLine="440" w:firstLineChars="200"/>
        <w:rPr>
          <w:rFonts w:ascii="宋体" w:hAnsi="宋体" w:cs="宋体"/>
          <w:color w:val="auto"/>
          <w:kern w:val="0"/>
          <w:sz w:val="22"/>
          <w:szCs w:val="22"/>
          <w:highlight w:val="none"/>
          <w:u w:val="single"/>
        </w:rPr>
      </w:pPr>
      <w:r>
        <w:rPr>
          <w:rFonts w:ascii="宋体" w:hAnsi="宋体" w:cs="宋体"/>
          <w:color w:val="auto"/>
          <w:kern w:val="0"/>
          <w:sz w:val="22"/>
          <w:szCs w:val="22"/>
          <w:highlight w:val="none"/>
          <w:u w:val="single"/>
        </w:rPr>
        <w:t>（1）工程质量保修范围：</w:t>
      </w:r>
      <w:r>
        <w:rPr>
          <w:rFonts w:hint="eastAsia" w:ascii="宋体" w:hAnsi="宋体" w:cs="宋体"/>
          <w:color w:val="auto"/>
          <w:kern w:val="0"/>
          <w:sz w:val="22"/>
          <w:szCs w:val="22"/>
          <w:highlight w:val="none"/>
          <w:u w:val="single"/>
        </w:rPr>
        <w:t>见本合同附件四《</w:t>
      </w:r>
      <w:r>
        <w:rPr>
          <w:rFonts w:ascii="宋体" w:hAnsi="宋体" w:cs="宋体"/>
          <w:color w:val="auto"/>
          <w:kern w:val="0"/>
          <w:sz w:val="22"/>
          <w:szCs w:val="22"/>
          <w:highlight w:val="none"/>
          <w:u w:val="single"/>
        </w:rPr>
        <w:t>质量保修书</w:t>
      </w:r>
      <w:r>
        <w:rPr>
          <w:rFonts w:hint="eastAsia" w:ascii="宋体" w:hAnsi="宋体" w:cs="宋体"/>
          <w:color w:val="auto"/>
          <w:kern w:val="0"/>
          <w:sz w:val="22"/>
          <w:szCs w:val="22"/>
          <w:highlight w:val="none"/>
          <w:u w:val="single"/>
        </w:rPr>
        <w:t>》。</w:t>
      </w:r>
    </w:p>
    <w:p w14:paraId="57A6E082">
      <w:pPr>
        <w:spacing w:line="420" w:lineRule="exact"/>
        <w:ind w:firstLine="440" w:firstLineChars="200"/>
        <w:rPr>
          <w:rFonts w:ascii="宋体" w:hAnsi="宋体" w:cs="宋体"/>
          <w:color w:val="auto"/>
          <w:kern w:val="0"/>
          <w:sz w:val="22"/>
          <w:szCs w:val="22"/>
          <w:highlight w:val="none"/>
          <w:u w:val="single"/>
        </w:rPr>
      </w:pPr>
      <w:r>
        <w:rPr>
          <w:rFonts w:ascii="宋体" w:hAnsi="宋体" w:cs="宋体"/>
          <w:color w:val="auto"/>
          <w:kern w:val="0"/>
          <w:sz w:val="22"/>
          <w:szCs w:val="22"/>
          <w:highlight w:val="none"/>
          <w:u w:val="single"/>
        </w:rPr>
        <w:t>（2）工程质量保修期限：</w:t>
      </w:r>
      <w:r>
        <w:rPr>
          <w:rFonts w:hint="eastAsia" w:ascii="宋体" w:hAnsi="宋体" w:cs="宋体"/>
          <w:color w:val="auto"/>
          <w:kern w:val="0"/>
          <w:sz w:val="22"/>
          <w:szCs w:val="22"/>
          <w:highlight w:val="none"/>
          <w:u w:val="single"/>
        </w:rPr>
        <w:t>见本合同附件四《</w:t>
      </w:r>
      <w:r>
        <w:rPr>
          <w:rFonts w:ascii="宋体" w:hAnsi="宋体" w:cs="宋体"/>
          <w:color w:val="auto"/>
          <w:kern w:val="0"/>
          <w:sz w:val="22"/>
          <w:szCs w:val="22"/>
          <w:highlight w:val="none"/>
          <w:u w:val="single"/>
        </w:rPr>
        <w:t>质量保修书</w:t>
      </w:r>
      <w:r>
        <w:rPr>
          <w:rFonts w:hint="eastAsia" w:ascii="宋体" w:hAnsi="宋体" w:cs="宋体"/>
          <w:color w:val="auto"/>
          <w:kern w:val="0"/>
          <w:sz w:val="22"/>
          <w:szCs w:val="22"/>
          <w:highlight w:val="none"/>
          <w:u w:val="single"/>
        </w:rPr>
        <w:t>》。</w:t>
      </w:r>
    </w:p>
    <w:p w14:paraId="0B2D31FD">
      <w:pPr>
        <w:spacing w:line="420" w:lineRule="exact"/>
        <w:ind w:firstLine="440" w:firstLineChars="200"/>
        <w:rPr>
          <w:rFonts w:ascii="宋体" w:hAnsi="宋体" w:cs="宋体"/>
          <w:color w:val="auto"/>
          <w:kern w:val="0"/>
          <w:sz w:val="22"/>
          <w:szCs w:val="22"/>
          <w:highlight w:val="none"/>
          <w:u w:val="single"/>
        </w:rPr>
      </w:pPr>
      <w:r>
        <w:rPr>
          <w:rFonts w:ascii="宋体" w:hAnsi="宋体" w:cs="宋体"/>
          <w:color w:val="auto"/>
          <w:kern w:val="0"/>
          <w:sz w:val="22"/>
          <w:szCs w:val="22"/>
          <w:highlight w:val="none"/>
          <w:u w:val="single"/>
        </w:rPr>
        <w:t>（3）工程质量保修责任：</w:t>
      </w:r>
      <w:r>
        <w:rPr>
          <w:rFonts w:hint="eastAsia" w:ascii="宋体" w:hAnsi="宋体" w:cs="宋体"/>
          <w:color w:val="auto"/>
          <w:kern w:val="0"/>
          <w:sz w:val="22"/>
          <w:szCs w:val="22"/>
          <w:highlight w:val="none"/>
          <w:u w:val="single"/>
        </w:rPr>
        <w:t>见本合同附件四《</w:t>
      </w:r>
      <w:r>
        <w:rPr>
          <w:rFonts w:ascii="宋体" w:hAnsi="宋体" w:cs="宋体"/>
          <w:color w:val="auto"/>
          <w:kern w:val="0"/>
          <w:sz w:val="22"/>
          <w:szCs w:val="22"/>
          <w:highlight w:val="none"/>
          <w:u w:val="single"/>
        </w:rPr>
        <w:t>质量保修书</w:t>
      </w:r>
      <w:r>
        <w:rPr>
          <w:rFonts w:hint="eastAsia" w:ascii="宋体" w:hAnsi="宋体" w:cs="宋体"/>
          <w:color w:val="auto"/>
          <w:kern w:val="0"/>
          <w:sz w:val="22"/>
          <w:szCs w:val="22"/>
          <w:highlight w:val="none"/>
          <w:u w:val="single"/>
        </w:rPr>
        <w:t>》。</w:t>
      </w:r>
    </w:p>
    <w:p w14:paraId="71274FE5">
      <w:pPr>
        <w:spacing w:line="420" w:lineRule="exact"/>
        <w:rPr>
          <w:rFonts w:ascii="宋体" w:hAnsi="宋体" w:cs="宋体"/>
          <w:color w:val="auto"/>
          <w:kern w:val="0"/>
          <w:sz w:val="22"/>
          <w:szCs w:val="22"/>
          <w:highlight w:val="none"/>
        </w:rPr>
      </w:pPr>
    </w:p>
    <w:p w14:paraId="49D5254A">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59.8 质量保修期计算</w:t>
      </w:r>
    </w:p>
    <w:p w14:paraId="1C521B00">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质量保修期：</w:t>
      </w:r>
      <w:r>
        <w:rPr>
          <w:rFonts w:hint="eastAsia" w:ascii="宋体" w:hAnsi="宋体" w:cs="宋体"/>
          <w:color w:val="auto"/>
          <w:kern w:val="0"/>
          <w:sz w:val="22"/>
          <w:szCs w:val="22"/>
          <w:highlight w:val="none"/>
          <w:u w:val="single"/>
        </w:rPr>
        <w:t>见本合同附件四《</w:t>
      </w:r>
      <w:r>
        <w:rPr>
          <w:rFonts w:ascii="宋体" w:hAnsi="宋体" w:cs="宋体"/>
          <w:color w:val="auto"/>
          <w:kern w:val="0"/>
          <w:sz w:val="22"/>
          <w:szCs w:val="22"/>
          <w:highlight w:val="none"/>
          <w:u w:val="single"/>
        </w:rPr>
        <w:t>质量保修书</w:t>
      </w:r>
      <w:r>
        <w:rPr>
          <w:rFonts w:hint="eastAsia" w:ascii="宋体" w:hAnsi="宋体" w:cs="宋体"/>
          <w:color w:val="auto"/>
          <w:kern w:val="0"/>
          <w:sz w:val="22"/>
          <w:szCs w:val="22"/>
          <w:highlight w:val="none"/>
          <w:u w:val="single"/>
        </w:rPr>
        <w:t>》。</w:t>
      </w:r>
    </w:p>
    <w:p w14:paraId="29F7F02F">
      <w:pPr>
        <w:spacing w:line="420" w:lineRule="exact"/>
        <w:rPr>
          <w:rFonts w:ascii="宋体" w:hAnsi="宋体" w:cs="宋体"/>
          <w:color w:val="auto"/>
          <w:kern w:val="0"/>
          <w:sz w:val="22"/>
          <w:szCs w:val="22"/>
          <w:highlight w:val="none"/>
        </w:rPr>
      </w:pPr>
    </w:p>
    <w:p w14:paraId="4A5A9092">
      <w:pPr>
        <w:pStyle w:val="3"/>
        <w:numPr>
          <w:ilvl w:val="0"/>
          <w:numId w:val="0"/>
        </w:numPr>
        <w:tabs>
          <w:tab w:val="left" w:pos="420"/>
        </w:tabs>
        <w:spacing w:line="420" w:lineRule="exact"/>
        <w:rPr>
          <w:rFonts w:hAnsi="宋体"/>
          <w:b/>
          <w:bCs/>
          <w:color w:val="auto"/>
          <w:sz w:val="22"/>
          <w:szCs w:val="22"/>
          <w:highlight w:val="none"/>
        </w:rPr>
      </w:pPr>
      <w:bookmarkStart w:id="760" w:name="_Toc155166193"/>
      <w:bookmarkStart w:id="761" w:name="_Toc8212"/>
      <w:bookmarkStart w:id="762" w:name="_Toc21036"/>
      <w:bookmarkStart w:id="763" w:name="_Toc20987"/>
      <w:bookmarkStart w:id="764" w:name="_Toc469384117"/>
      <w:bookmarkStart w:id="765" w:name="_Toc25589"/>
      <w:r>
        <w:rPr>
          <w:rFonts w:hint="eastAsia" w:hAnsi="宋体"/>
          <w:b/>
          <w:bCs/>
          <w:color w:val="auto"/>
          <w:sz w:val="22"/>
          <w:szCs w:val="22"/>
          <w:highlight w:val="none"/>
        </w:rPr>
        <w:t>61. 工程量</w:t>
      </w:r>
      <w:bookmarkEnd w:id="760"/>
      <w:bookmarkEnd w:id="761"/>
      <w:bookmarkEnd w:id="762"/>
      <w:bookmarkEnd w:id="763"/>
      <w:bookmarkEnd w:id="764"/>
      <w:bookmarkEnd w:id="765"/>
    </w:p>
    <w:p w14:paraId="06A0BAFA">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p>
    <w:p w14:paraId="6E0AB26A">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61.1 清单工程量包括的工作内容</w:t>
      </w:r>
    </w:p>
    <w:p w14:paraId="7537F4E7">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按通用条款规定。</w:t>
      </w:r>
    </w:p>
    <w:p w14:paraId="5471F5D7">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p>
    <w:p w14:paraId="506D878E">
      <w:pPr>
        <w:spacing w:line="420" w:lineRule="exact"/>
        <w:rPr>
          <w:rFonts w:ascii="宋体" w:hAnsi="宋体" w:cs="宋体"/>
          <w:color w:val="auto"/>
          <w:kern w:val="0"/>
          <w:sz w:val="22"/>
          <w:szCs w:val="22"/>
          <w:highlight w:val="none"/>
        </w:rPr>
      </w:pPr>
    </w:p>
    <w:p w14:paraId="437C1499">
      <w:pPr>
        <w:pStyle w:val="3"/>
        <w:numPr>
          <w:ilvl w:val="0"/>
          <w:numId w:val="0"/>
        </w:numPr>
        <w:tabs>
          <w:tab w:val="left" w:pos="420"/>
        </w:tabs>
        <w:spacing w:line="420" w:lineRule="exact"/>
        <w:rPr>
          <w:rFonts w:hAnsi="宋体"/>
          <w:b/>
          <w:bCs/>
          <w:color w:val="auto"/>
          <w:sz w:val="22"/>
          <w:szCs w:val="22"/>
          <w:highlight w:val="none"/>
        </w:rPr>
      </w:pPr>
      <w:bookmarkStart w:id="766" w:name="_Toc15120"/>
      <w:bookmarkStart w:id="767" w:name="_Toc27830"/>
      <w:bookmarkStart w:id="768" w:name="_Toc155166194"/>
      <w:bookmarkStart w:id="769" w:name="_Toc15046"/>
      <w:bookmarkStart w:id="770" w:name="_Toc25329"/>
      <w:bookmarkStart w:id="771" w:name="_Toc469384118"/>
      <w:r>
        <w:rPr>
          <w:rFonts w:hint="eastAsia" w:hAnsi="宋体"/>
          <w:b/>
          <w:bCs/>
          <w:color w:val="auto"/>
          <w:sz w:val="22"/>
          <w:szCs w:val="22"/>
          <w:highlight w:val="none"/>
        </w:rPr>
        <w:t>6</w:t>
      </w:r>
      <w:r>
        <w:rPr>
          <w:rFonts w:hAnsi="宋体"/>
          <w:b/>
          <w:bCs/>
          <w:color w:val="auto"/>
          <w:sz w:val="22"/>
          <w:szCs w:val="22"/>
          <w:highlight w:val="none"/>
        </w:rPr>
        <w:t>2.</w:t>
      </w:r>
      <w:r>
        <w:rPr>
          <w:rFonts w:hint="eastAsia" w:hAnsi="宋体"/>
          <w:b/>
          <w:bCs/>
          <w:color w:val="auto"/>
          <w:sz w:val="22"/>
          <w:szCs w:val="22"/>
          <w:highlight w:val="none"/>
        </w:rPr>
        <w:t>工程计量和计价</w:t>
      </w:r>
      <w:bookmarkEnd w:id="766"/>
      <w:bookmarkEnd w:id="767"/>
      <w:bookmarkEnd w:id="768"/>
      <w:bookmarkEnd w:id="769"/>
      <w:bookmarkEnd w:id="770"/>
    </w:p>
    <w:p w14:paraId="6DF45A76">
      <w:pPr>
        <w:spacing w:line="420" w:lineRule="exact"/>
        <w:rPr>
          <w:rFonts w:ascii="宋体" w:hAnsi="宋体" w:cs="宋体"/>
          <w:color w:val="auto"/>
          <w:kern w:val="0"/>
          <w:sz w:val="22"/>
          <w:szCs w:val="22"/>
          <w:highlight w:val="none"/>
        </w:rPr>
      </w:pPr>
    </w:p>
    <w:p w14:paraId="4FA5FC8E">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6</w:t>
      </w:r>
      <w:r>
        <w:rPr>
          <w:rFonts w:ascii="宋体" w:hAnsi="宋体" w:cs="宋体"/>
          <w:color w:val="auto"/>
          <w:kern w:val="0"/>
          <w:sz w:val="22"/>
          <w:szCs w:val="22"/>
          <w:highlight w:val="none"/>
        </w:rPr>
        <w:t>2.3</w:t>
      </w:r>
      <w:r>
        <w:rPr>
          <w:rFonts w:hint="eastAsia" w:ascii="宋体" w:hAnsi="宋体" w:cs="宋体"/>
          <w:color w:val="auto"/>
          <w:kern w:val="0"/>
          <w:sz w:val="22"/>
          <w:szCs w:val="22"/>
          <w:highlight w:val="none"/>
        </w:rPr>
        <w:t>已完工程款额报告的提交和核实</w:t>
      </w:r>
    </w:p>
    <w:p w14:paraId="44A907BB">
      <w:pPr>
        <w:spacing w:line="42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除满足通用条款第6</w:t>
      </w:r>
      <w:r>
        <w:rPr>
          <w:rFonts w:ascii="宋体" w:hAnsi="宋体" w:cs="宋体"/>
          <w:color w:val="auto"/>
          <w:kern w:val="0"/>
          <w:sz w:val="22"/>
          <w:szCs w:val="22"/>
          <w:highlight w:val="none"/>
        </w:rPr>
        <w:t>2.3</w:t>
      </w:r>
      <w:r>
        <w:rPr>
          <w:rFonts w:hint="eastAsia" w:ascii="宋体" w:hAnsi="宋体" w:cs="宋体"/>
          <w:color w:val="auto"/>
          <w:kern w:val="0"/>
          <w:sz w:val="22"/>
          <w:szCs w:val="22"/>
          <w:highlight w:val="none"/>
        </w:rPr>
        <w:t>项规定外，承包人向工程师提交已完工程量报告的时间：</w:t>
      </w:r>
      <w:r>
        <w:rPr>
          <w:rFonts w:hint="eastAsia" w:ascii="宋体" w:hAnsi="宋体" w:cs="宋体"/>
          <w:color w:val="auto"/>
          <w:kern w:val="0"/>
          <w:sz w:val="22"/>
          <w:szCs w:val="22"/>
          <w:highlight w:val="none"/>
          <w:u w:val="single"/>
        </w:rPr>
        <w:t xml:space="preserve"> 每月15号 </w:t>
      </w:r>
      <w:r>
        <w:rPr>
          <w:rFonts w:hint="eastAsia" w:ascii="宋体" w:hAnsi="宋体" w:cs="宋体"/>
          <w:color w:val="auto"/>
          <w:kern w:val="0"/>
          <w:sz w:val="22"/>
          <w:szCs w:val="22"/>
          <w:highlight w:val="none"/>
        </w:rPr>
        <w:t>。</w:t>
      </w:r>
    </w:p>
    <w:p w14:paraId="276796AB">
      <w:pPr>
        <w:spacing w:line="420" w:lineRule="exact"/>
        <w:rPr>
          <w:rFonts w:ascii="宋体" w:hAnsi="宋体" w:cs="宋体"/>
          <w:color w:val="auto"/>
          <w:kern w:val="0"/>
          <w:sz w:val="22"/>
          <w:szCs w:val="22"/>
          <w:highlight w:val="none"/>
        </w:rPr>
      </w:pPr>
    </w:p>
    <w:p w14:paraId="22C2E1AC">
      <w:pPr>
        <w:pStyle w:val="3"/>
        <w:numPr>
          <w:ilvl w:val="0"/>
          <w:numId w:val="0"/>
        </w:numPr>
        <w:tabs>
          <w:tab w:val="left" w:pos="420"/>
        </w:tabs>
        <w:spacing w:line="420" w:lineRule="exact"/>
        <w:rPr>
          <w:rFonts w:hAnsi="宋体"/>
          <w:b/>
          <w:bCs/>
          <w:color w:val="auto"/>
          <w:sz w:val="22"/>
          <w:szCs w:val="22"/>
          <w:highlight w:val="none"/>
        </w:rPr>
      </w:pPr>
      <w:bookmarkStart w:id="772" w:name="_Toc19708"/>
      <w:bookmarkStart w:id="773" w:name="_Toc12943"/>
      <w:bookmarkStart w:id="774" w:name="_Toc24462"/>
      <w:bookmarkStart w:id="775" w:name="_Toc155166195"/>
      <w:bookmarkStart w:id="776" w:name="_Toc1242"/>
      <w:r>
        <w:rPr>
          <w:rFonts w:hint="eastAsia" w:hAnsi="宋体"/>
          <w:b/>
          <w:bCs/>
          <w:color w:val="auto"/>
          <w:sz w:val="22"/>
          <w:szCs w:val="22"/>
          <w:highlight w:val="none"/>
        </w:rPr>
        <w:t>★63. 暂列金额</w:t>
      </w:r>
      <w:bookmarkEnd w:id="771"/>
      <w:bookmarkEnd w:id="772"/>
      <w:bookmarkEnd w:id="773"/>
      <w:bookmarkEnd w:id="774"/>
      <w:bookmarkEnd w:id="775"/>
      <w:bookmarkEnd w:id="776"/>
    </w:p>
    <w:p w14:paraId="6F2198CD">
      <w:pPr>
        <w:spacing w:line="420" w:lineRule="exact"/>
        <w:rPr>
          <w:rFonts w:ascii="宋体" w:hAnsi="宋体" w:cs="宋体"/>
          <w:color w:val="auto"/>
          <w:kern w:val="0"/>
          <w:sz w:val="22"/>
          <w:szCs w:val="22"/>
          <w:highlight w:val="none"/>
        </w:rPr>
      </w:pPr>
    </w:p>
    <w:p w14:paraId="04797871">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63.1 合同工程的暂列金额为 </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749E5F2C">
      <w:pPr>
        <w:spacing w:line="420" w:lineRule="exact"/>
        <w:rPr>
          <w:rFonts w:ascii="宋体" w:hAnsi="宋体" w:cs="宋体"/>
          <w:color w:val="auto"/>
          <w:kern w:val="0"/>
          <w:sz w:val="22"/>
          <w:szCs w:val="22"/>
          <w:highlight w:val="none"/>
        </w:rPr>
      </w:pPr>
    </w:p>
    <w:p w14:paraId="49A5A876">
      <w:pPr>
        <w:pStyle w:val="3"/>
        <w:numPr>
          <w:ilvl w:val="0"/>
          <w:numId w:val="0"/>
        </w:numPr>
        <w:tabs>
          <w:tab w:val="left" w:pos="420"/>
        </w:tabs>
        <w:spacing w:line="420" w:lineRule="exact"/>
        <w:rPr>
          <w:rFonts w:hAnsi="宋体"/>
          <w:b/>
          <w:bCs/>
          <w:color w:val="auto"/>
          <w:sz w:val="22"/>
          <w:szCs w:val="22"/>
          <w:highlight w:val="none"/>
        </w:rPr>
      </w:pPr>
      <w:bookmarkStart w:id="777" w:name="_Toc25863"/>
      <w:bookmarkStart w:id="778" w:name="_Toc24037"/>
      <w:bookmarkStart w:id="779" w:name="_Toc469384119"/>
      <w:bookmarkStart w:id="780" w:name="_Toc19909"/>
      <w:bookmarkStart w:id="781" w:name="_Toc13260"/>
      <w:bookmarkStart w:id="782" w:name="_Toc155166196"/>
      <w:r>
        <w:rPr>
          <w:rFonts w:hint="eastAsia" w:hAnsi="宋体"/>
          <w:b/>
          <w:bCs/>
          <w:color w:val="auto"/>
          <w:sz w:val="22"/>
          <w:szCs w:val="22"/>
          <w:highlight w:val="none"/>
        </w:rPr>
        <w:t>★65. 暂估价</w:t>
      </w:r>
      <w:bookmarkEnd w:id="777"/>
      <w:bookmarkEnd w:id="778"/>
      <w:bookmarkEnd w:id="779"/>
      <w:bookmarkEnd w:id="780"/>
      <w:bookmarkEnd w:id="781"/>
      <w:bookmarkEnd w:id="782"/>
    </w:p>
    <w:p w14:paraId="0035762B">
      <w:pPr>
        <w:spacing w:line="420" w:lineRule="exact"/>
        <w:rPr>
          <w:rFonts w:ascii="宋体" w:hAnsi="宋体" w:cs="宋体"/>
          <w:color w:val="auto"/>
          <w:kern w:val="0"/>
          <w:sz w:val="22"/>
          <w:szCs w:val="22"/>
          <w:highlight w:val="none"/>
        </w:rPr>
      </w:pPr>
    </w:p>
    <w:p w14:paraId="2519202C">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b/>
          <w:bCs/>
          <w:color w:val="auto"/>
          <w:sz w:val="22"/>
          <w:szCs w:val="22"/>
          <w:highlight w:val="none"/>
        </w:rPr>
        <w:t>★</w:t>
      </w:r>
      <w:r>
        <w:rPr>
          <w:rFonts w:hint="eastAsia" w:ascii="宋体" w:hAnsi="宋体" w:cs="宋体"/>
          <w:color w:val="auto"/>
          <w:kern w:val="0"/>
          <w:sz w:val="22"/>
          <w:szCs w:val="22"/>
          <w:highlight w:val="none"/>
        </w:rPr>
        <w:t>65.1 招标暂估价项目</w:t>
      </w:r>
    </w:p>
    <w:p w14:paraId="63920654">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必须招标暂估价项目合同双方当事人的权利、义务</w:t>
      </w:r>
    </w:p>
    <w:p w14:paraId="5BC78357">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材料、工程设备：</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1D5FEAF2">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专业工程：</w:t>
      </w:r>
      <w:r>
        <w:rPr>
          <w:rFonts w:hint="eastAsia" w:ascii="宋体" w:hAnsi="宋体" w:cs="宋体"/>
          <w:color w:val="auto"/>
          <w:kern w:val="0"/>
          <w:sz w:val="22"/>
          <w:szCs w:val="22"/>
          <w:highlight w:val="none"/>
          <w:u w:val="single"/>
        </w:rPr>
        <w:t xml:space="preserve">                                                                           </w:t>
      </w:r>
    </w:p>
    <w:p w14:paraId="7E61BDFC">
      <w:pPr>
        <w:spacing w:line="420" w:lineRule="exact"/>
        <w:rPr>
          <w:rFonts w:ascii="宋体" w:hAnsi="宋体" w:cs="宋体"/>
          <w:color w:val="auto"/>
          <w:kern w:val="0"/>
          <w:sz w:val="22"/>
          <w:szCs w:val="22"/>
          <w:highlight w:val="none"/>
        </w:rPr>
      </w:pPr>
    </w:p>
    <w:p w14:paraId="2CDDFAFE">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65.3 非招标专业工程款的确定</w:t>
      </w:r>
    </w:p>
    <w:p w14:paraId="79F53C9F">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按通用条款规定，由造价工程师与分包人确定。</w:t>
      </w:r>
    </w:p>
    <w:p w14:paraId="2817AC3F">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p>
    <w:p w14:paraId="26F9F90A">
      <w:pPr>
        <w:spacing w:line="420" w:lineRule="exact"/>
        <w:rPr>
          <w:rFonts w:ascii="宋体" w:hAnsi="宋体" w:cs="宋体"/>
          <w:color w:val="auto"/>
          <w:kern w:val="0"/>
          <w:sz w:val="22"/>
          <w:szCs w:val="22"/>
          <w:highlight w:val="none"/>
        </w:rPr>
      </w:pPr>
    </w:p>
    <w:p w14:paraId="353F7A59">
      <w:pPr>
        <w:pStyle w:val="3"/>
        <w:numPr>
          <w:ilvl w:val="0"/>
          <w:numId w:val="0"/>
        </w:numPr>
        <w:tabs>
          <w:tab w:val="left" w:pos="420"/>
        </w:tabs>
        <w:spacing w:line="420" w:lineRule="exact"/>
        <w:rPr>
          <w:rFonts w:hAnsi="宋体"/>
          <w:b/>
          <w:bCs/>
          <w:color w:val="auto"/>
          <w:sz w:val="22"/>
          <w:szCs w:val="22"/>
          <w:highlight w:val="none"/>
        </w:rPr>
      </w:pPr>
      <w:bookmarkStart w:id="783" w:name="_Toc155166197"/>
      <w:bookmarkStart w:id="784" w:name="_Toc469384120"/>
      <w:bookmarkStart w:id="785" w:name="_Toc7958"/>
      <w:bookmarkStart w:id="786" w:name="_Toc17076"/>
      <w:bookmarkStart w:id="787" w:name="_Toc9696"/>
      <w:bookmarkStart w:id="788" w:name="_Toc2673"/>
      <w:r>
        <w:rPr>
          <w:rFonts w:hint="eastAsia" w:hAnsi="宋体"/>
          <w:b/>
          <w:bCs/>
          <w:color w:val="auto"/>
          <w:sz w:val="22"/>
          <w:szCs w:val="22"/>
          <w:highlight w:val="none"/>
        </w:rPr>
        <w:t>★66. 提前竣工奖与误期赔偿费</w:t>
      </w:r>
      <w:bookmarkEnd w:id="783"/>
      <w:bookmarkEnd w:id="784"/>
      <w:bookmarkEnd w:id="785"/>
      <w:bookmarkEnd w:id="786"/>
      <w:bookmarkEnd w:id="787"/>
      <w:bookmarkEnd w:id="788"/>
    </w:p>
    <w:p w14:paraId="4F854E16">
      <w:pPr>
        <w:spacing w:line="420" w:lineRule="exact"/>
        <w:rPr>
          <w:rFonts w:ascii="宋体" w:hAnsi="宋体" w:cs="宋体"/>
          <w:color w:val="auto"/>
          <w:kern w:val="0"/>
          <w:sz w:val="22"/>
          <w:szCs w:val="22"/>
          <w:highlight w:val="none"/>
        </w:rPr>
      </w:pPr>
    </w:p>
    <w:p w14:paraId="5DA705FF">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66.1 提前竣工奖</w:t>
      </w:r>
    </w:p>
    <w:p w14:paraId="3AF47A5D">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（1） 提前竣工奖额度</w:t>
      </w:r>
    </w:p>
    <w:p w14:paraId="5AB5D200">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没约定提前竣工奖的，本款不适用。</w:t>
      </w:r>
    </w:p>
    <w:p w14:paraId="59F3B89F">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约定提前竣工奖的，每日历天应奖额度为 </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788C2E12">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约定提前竣工奖的，，为 </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3F3AD291">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（2） 提前竣工奖的最高限额</w:t>
      </w:r>
    </w:p>
    <w:p w14:paraId="5394B1CB">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按通用条款规定为合同价款的5%，即</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21C3190F">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p>
    <w:p w14:paraId="55213DEA">
      <w:pPr>
        <w:spacing w:line="420" w:lineRule="exact"/>
        <w:rPr>
          <w:rFonts w:ascii="宋体" w:hAnsi="宋体" w:cs="宋体"/>
          <w:color w:val="auto"/>
          <w:kern w:val="0"/>
          <w:sz w:val="22"/>
          <w:szCs w:val="22"/>
          <w:highlight w:val="none"/>
        </w:rPr>
      </w:pPr>
    </w:p>
    <w:p w14:paraId="4125E869">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66.2 误期赔偿费</w:t>
      </w:r>
    </w:p>
    <w:p w14:paraId="0A6C4678">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（1） 每日历天应赔偿额度为</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623EAA8F">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 误期赔偿费的最高限额</w:t>
      </w:r>
    </w:p>
    <w:p w14:paraId="694F12F6">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□按通用条款规定为合同价款的5%，即</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2CCAA1F0">
      <w:pPr>
        <w:spacing w:line="420" w:lineRule="exact"/>
        <w:ind w:firstLine="330" w:firstLineChars="1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■另作约定：</w:t>
      </w:r>
      <w:r>
        <w:rPr>
          <w:rFonts w:hint="eastAsia" w:ascii="宋体" w:hAnsi="宋体" w:cs="宋体"/>
          <w:color w:val="auto"/>
          <w:kern w:val="0"/>
          <w:sz w:val="22"/>
          <w:szCs w:val="22"/>
          <w:highlight w:val="none"/>
          <w:u w:val="single"/>
        </w:rPr>
        <w:t xml:space="preserve">按附件十一《施工管理及处罚条例》。 </w:t>
      </w:r>
    </w:p>
    <w:p w14:paraId="0B0C2387">
      <w:pPr>
        <w:spacing w:line="420" w:lineRule="exact"/>
        <w:rPr>
          <w:rFonts w:ascii="宋体" w:hAnsi="宋体" w:cs="宋体"/>
          <w:color w:val="auto"/>
          <w:kern w:val="0"/>
          <w:sz w:val="22"/>
          <w:szCs w:val="22"/>
          <w:highlight w:val="none"/>
          <w:u w:val="single"/>
        </w:rPr>
      </w:pPr>
    </w:p>
    <w:p w14:paraId="3B73DD1D">
      <w:pPr>
        <w:pStyle w:val="3"/>
        <w:numPr>
          <w:ilvl w:val="0"/>
          <w:numId w:val="0"/>
        </w:numPr>
        <w:tabs>
          <w:tab w:val="left" w:pos="420"/>
        </w:tabs>
        <w:spacing w:line="420" w:lineRule="exact"/>
        <w:rPr>
          <w:rFonts w:hAnsi="宋体"/>
          <w:b/>
          <w:bCs/>
          <w:color w:val="auto"/>
          <w:sz w:val="22"/>
          <w:szCs w:val="22"/>
          <w:highlight w:val="none"/>
        </w:rPr>
      </w:pPr>
      <w:bookmarkStart w:id="789" w:name="_Toc2186"/>
      <w:bookmarkStart w:id="790" w:name="_Toc3237"/>
      <w:bookmarkStart w:id="791" w:name="_Toc469384121"/>
      <w:bookmarkStart w:id="792" w:name="_Toc14569"/>
      <w:bookmarkStart w:id="793" w:name="_Toc9338"/>
      <w:bookmarkStart w:id="794" w:name="_Toc155166198"/>
      <w:r>
        <w:rPr>
          <w:rFonts w:hint="eastAsia" w:hAnsi="宋体"/>
          <w:b/>
          <w:bCs/>
          <w:color w:val="auto"/>
          <w:sz w:val="22"/>
          <w:szCs w:val="22"/>
          <w:highlight w:val="none"/>
        </w:rPr>
        <w:t>★67. 工程优质费、工程建设标准费用</w:t>
      </w:r>
      <w:bookmarkEnd w:id="789"/>
      <w:bookmarkEnd w:id="790"/>
      <w:bookmarkEnd w:id="791"/>
      <w:bookmarkEnd w:id="792"/>
      <w:bookmarkEnd w:id="793"/>
      <w:bookmarkEnd w:id="794"/>
    </w:p>
    <w:p w14:paraId="0197C0E5">
      <w:pPr>
        <w:spacing w:line="420" w:lineRule="exact"/>
        <w:rPr>
          <w:rFonts w:ascii="宋体" w:hAnsi="宋体" w:cs="宋体"/>
          <w:color w:val="auto"/>
          <w:kern w:val="0"/>
          <w:sz w:val="22"/>
          <w:szCs w:val="22"/>
          <w:highlight w:val="none"/>
        </w:rPr>
      </w:pPr>
    </w:p>
    <w:p w14:paraId="35A9C11B">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67.1 工程优质费的计算方法</w:t>
      </w:r>
    </w:p>
    <w:p w14:paraId="3FE23FDA">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约定工程优质费的，其计算方法：</w:t>
      </w:r>
      <w:r>
        <w:rPr>
          <w:rFonts w:hint="eastAsia" w:ascii="宋体" w:hAnsi="宋体" w:cs="宋体"/>
          <w:color w:val="auto"/>
          <w:kern w:val="0"/>
          <w:sz w:val="22"/>
          <w:szCs w:val="22"/>
          <w:highlight w:val="none"/>
          <w:u w:val="single"/>
        </w:rPr>
        <w:t xml:space="preserve">                                                       </w:t>
      </w:r>
    </w:p>
    <w:p w14:paraId="6F39E8AF">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按分部分项工程费为基础计算：</w:t>
      </w:r>
      <w:r>
        <w:rPr>
          <w:rFonts w:hint="eastAsia" w:ascii="宋体" w:hAnsi="宋体" w:cs="宋体"/>
          <w:color w:val="auto"/>
          <w:kern w:val="0"/>
          <w:sz w:val="22"/>
          <w:szCs w:val="22"/>
          <w:highlight w:val="none"/>
          <w:u w:val="single"/>
        </w:rPr>
        <w:t xml:space="preserve">                                                    </w:t>
      </w:r>
    </w:p>
    <w:p w14:paraId="3BA9C824">
      <w:pPr>
        <w:spacing w:line="420" w:lineRule="exact"/>
        <w:rPr>
          <w:rFonts w:ascii="宋体" w:hAnsi="宋体" w:cs="宋体"/>
          <w:color w:val="auto"/>
          <w:kern w:val="0"/>
          <w:sz w:val="22"/>
          <w:szCs w:val="22"/>
          <w:highlight w:val="none"/>
        </w:rPr>
      </w:pPr>
    </w:p>
    <w:p w14:paraId="76C6A90F">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b/>
          <w:bCs/>
          <w:color w:val="auto"/>
          <w:sz w:val="22"/>
          <w:szCs w:val="22"/>
          <w:highlight w:val="none"/>
        </w:rPr>
        <w:t>★</w:t>
      </w:r>
      <w:r>
        <w:rPr>
          <w:rFonts w:hint="eastAsia" w:ascii="宋体" w:hAnsi="宋体" w:cs="宋体"/>
          <w:color w:val="auto"/>
          <w:kern w:val="0"/>
          <w:sz w:val="22"/>
          <w:szCs w:val="22"/>
          <w:highlight w:val="none"/>
        </w:rPr>
        <w:t>67.2 工程优质费的计算额度：</w:t>
      </w:r>
    </w:p>
    <w:p w14:paraId="7E021A7F">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按通用条款规定计算。</w:t>
      </w:r>
    </w:p>
    <w:p w14:paraId="2CDD5C8D">
      <w:pPr>
        <w:spacing w:line="420" w:lineRule="exact"/>
        <w:ind w:left="220" w:hanging="220" w:hanging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另作约定（工程优质费率参考广东省建设工程计价依据工程优质费、广州市住房和城乡建设局发布的工程优质费率；合同工程同时获得下列多个奖项的，只按最高奖项的额度计算。）：</w:t>
      </w:r>
    </w:p>
    <w:p w14:paraId="695FB1DA">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国家级质量奖，工程优质费</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53A7BF7C">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省级质量奖，工程优质费</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29E21C1D">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市级质量奖，工程优质费</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7AAE1D5A">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其它</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，工程优质费</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22A78F8F">
      <w:pPr>
        <w:spacing w:line="420" w:lineRule="exact"/>
        <w:rPr>
          <w:rFonts w:ascii="宋体" w:hAnsi="宋体" w:cs="宋体"/>
          <w:color w:val="auto"/>
          <w:kern w:val="0"/>
          <w:sz w:val="22"/>
          <w:szCs w:val="22"/>
          <w:highlight w:val="none"/>
          <w:u w:val="single"/>
        </w:rPr>
      </w:pPr>
    </w:p>
    <w:p w14:paraId="47095311">
      <w:pPr>
        <w:pStyle w:val="3"/>
        <w:numPr>
          <w:ilvl w:val="0"/>
          <w:numId w:val="0"/>
        </w:numPr>
        <w:tabs>
          <w:tab w:val="left" w:pos="420"/>
        </w:tabs>
        <w:spacing w:before="0" w:line="420" w:lineRule="exact"/>
        <w:ind w:left="537" w:leftChars="57" w:hanging="417" w:hangingChars="189"/>
        <w:rPr>
          <w:rFonts w:hAnsi="宋体"/>
          <w:b/>
          <w:bCs/>
          <w:color w:val="auto"/>
          <w:sz w:val="22"/>
          <w:szCs w:val="22"/>
          <w:highlight w:val="none"/>
        </w:rPr>
      </w:pPr>
      <w:bookmarkStart w:id="795" w:name="_Toc26292"/>
      <w:bookmarkStart w:id="796" w:name="_Toc9994"/>
      <w:bookmarkStart w:id="797" w:name="_Toc28567"/>
      <w:bookmarkStart w:id="798" w:name="_Toc155166199"/>
      <w:bookmarkStart w:id="799" w:name="_Toc469384122"/>
      <w:bookmarkStart w:id="800" w:name="_Toc13024"/>
      <w:r>
        <w:rPr>
          <w:rFonts w:hint="eastAsia" w:hAnsi="宋体"/>
          <w:b/>
          <w:bCs/>
          <w:color w:val="auto"/>
          <w:sz w:val="22"/>
          <w:szCs w:val="22"/>
          <w:highlight w:val="none"/>
        </w:rPr>
        <w:t>★68. 合同价款的约定与调整</w:t>
      </w:r>
      <w:bookmarkEnd w:id="795"/>
      <w:bookmarkEnd w:id="796"/>
      <w:bookmarkEnd w:id="797"/>
      <w:bookmarkEnd w:id="798"/>
      <w:bookmarkEnd w:id="799"/>
      <w:bookmarkEnd w:id="800"/>
    </w:p>
    <w:p w14:paraId="008C8B88">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68.2合同价款的方式</w:t>
      </w:r>
    </w:p>
    <w:p w14:paraId="01EB917B">
      <w:pPr>
        <w:spacing w:line="420" w:lineRule="exact"/>
        <w:ind w:firstLine="220" w:firstLineChars="1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bookmarkStart w:id="801" w:name="_Hlk142749097"/>
      <w:r>
        <w:rPr>
          <w:rFonts w:hint="eastAsia" w:ascii="宋体" w:hAnsi="宋体" w:cs="宋体"/>
          <w:color w:val="auto"/>
          <w:kern w:val="0"/>
          <w:sz w:val="22"/>
          <w:szCs w:val="22"/>
          <w:highlight w:val="none"/>
        </w:rPr>
        <w:t>■</w:t>
      </w:r>
      <w:bookmarkEnd w:id="801"/>
      <w:r>
        <w:rPr>
          <w:rFonts w:hint="eastAsia" w:ascii="宋体" w:hAnsi="宋体" w:cs="宋体"/>
          <w:color w:val="auto"/>
          <w:kern w:val="0"/>
          <w:sz w:val="22"/>
          <w:szCs w:val="22"/>
          <w:highlight w:val="none"/>
        </w:rPr>
        <w:t>总价合同。</w:t>
      </w:r>
    </w:p>
    <w:p w14:paraId="638A8532">
      <w:pPr>
        <w:spacing w:line="420" w:lineRule="exact"/>
        <w:ind w:left="239" w:leftChars="114"/>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本合同项目的工程承包价是由承包人按招标文件图纸的承包内容、承包范围和工程量以及招标文件的而规定，采用</w:t>
      </w:r>
      <w:r>
        <w:rPr>
          <w:rFonts w:hint="eastAsia" w:ascii="宋体" w:hAnsi="宋体" w:cs="宋体"/>
          <w:color w:val="auto"/>
          <w:kern w:val="0"/>
          <w:sz w:val="22"/>
          <w:szCs w:val="22"/>
          <w:highlight w:val="none"/>
          <w:u w:val="single"/>
        </w:rPr>
        <w:t xml:space="preserve"> 按招标图纸固定总价承包 </w:t>
      </w:r>
      <w:r>
        <w:rPr>
          <w:rFonts w:hint="eastAsia" w:ascii="宋体" w:hAnsi="宋体" w:cs="宋体"/>
          <w:color w:val="auto"/>
          <w:kern w:val="0"/>
          <w:sz w:val="22"/>
          <w:szCs w:val="22"/>
          <w:highlight w:val="none"/>
        </w:rPr>
        <w:t>计价方法，根据承包人自身的条件和能力，结合工程现场实际情况，考虑风险后编制的，除发包人对原设计要求或同意变更外，承包人必须按本承包价进行按图包工、包料、包质量、包安全生产、包工期、包文明施工、包措施费、包移交、包结算、包工程组织实施工作和资料整理，包组织竣工验收等总价包干。</w:t>
      </w:r>
    </w:p>
    <w:p w14:paraId="3B4C879C">
      <w:pPr>
        <w:spacing w:line="420" w:lineRule="exact"/>
        <w:ind w:firstLine="220" w:firstLineChars="1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合同总价中包括的风险范围包括但不限于：</w:t>
      </w:r>
    </w:p>
    <w:p w14:paraId="65F07F5F">
      <w:pPr>
        <w:spacing w:line="42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1</w:t>
      </w:r>
      <w:r>
        <w:rPr>
          <w:rFonts w:hint="eastAsia" w:ascii="宋体" w:hAnsi="宋体" w:cs="宋体"/>
          <w:color w:val="auto"/>
          <w:kern w:val="0"/>
          <w:sz w:val="22"/>
          <w:szCs w:val="22"/>
          <w:highlight w:val="none"/>
          <w:u w:val="single"/>
        </w:rPr>
        <w:t>）招标文件中提示的风险；</w:t>
      </w:r>
    </w:p>
    <w:p w14:paraId="6936E305">
      <w:pPr>
        <w:spacing w:line="42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2</w:t>
      </w: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rPr>
        <w:t>除非合同中另有规定，报价汇总中的价格应包括施工设备、临时用水、用电、进场道路、临时设施费、赶工措施费、交通安全维护设施费、技术措施费、绿化养护费用、工程施工、劳务、管理、材料、安装、维护、保险、利润、税金和政策性文件规定及合同中包含的所有风险、责任等各项应有费用。并包括执行和完成本合同工程时所有附带工作及费用，不论它们是否在合同文件中有所说明。</w:t>
      </w:r>
    </w:p>
    <w:p w14:paraId="4B05F426">
      <w:pPr>
        <w:spacing w:line="42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3</w:t>
      </w:r>
      <w:r>
        <w:rPr>
          <w:rFonts w:hint="eastAsia" w:ascii="宋体" w:hAnsi="宋体" w:cs="宋体"/>
          <w:color w:val="auto"/>
          <w:kern w:val="0"/>
          <w:sz w:val="22"/>
          <w:szCs w:val="22"/>
          <w:highlight w:val="none"/>
          <w:u w:val="single"/>
        </w:rPr>
        <w:t>）承包人承担的风险费用包括但不限于：①承包人在施工过程所需的施工风险处理费用及不可预见费用。承包人在施工过程造成附近建筑物、构筑物、管线、绿化、市政设施、农用地及现场已完成的构件破坏，需要原状恢复的费用，并满足物业产权人的验收要求；②凡施工图设计中未有详细注明的做法，则按国家及广东省有关设计规范及施工验收规范进行施工的费用；③施工用的临时运输道路及临时征地的使用；④施工过程中如需对路面开凿及修复的，发包人提供的路面开凿及修复的数量仅供参考，承包人在投标时应已充分考虑本工程符合竣工验收标准，相应增加的施工措施费用，承包人不得以施工方案变更为借口，提出增加费用的要求；⑤管道基坑开挖严格按相应施工图及施工规范进行施工的相关费用。若因征地拆迁原因导致工程项目无法实施时，依据设计要求的深度，按未完成工程量扣减相应的工程款，如图纸无具体设计要求，则依据基坑支护设计规范扣减未完成部分的的工程款，其风险由承包人承担。⑥基坑支护及顶管施工、沉井施工等专项施工方案的设计、评审及施工验收等费用；⑦除行政部门规定由发包人支付的相关行政费用外，承包人应负责办理向市政、公路、水利、海事、航道等职能部门的申报手续并通过审批。</w:t>
      </w:r>
    </w:p>
    <w:p w14:paraId="26AF18EF">
      <w:pPr>
        <w:spacing w:line="420" w:lineRule="exact"/>
        <w:ind w:firstLine="220" w:firstLineChars="100"/>
        <w:jc w:val="lef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风险费用的计算方法：</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655C1BD8">
      <w:pPr>
        <w:spacing w:line="420" w:lineRule="exact"/>
        <w:ind w:firstLine="220" w:firstLineChars="1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风险范围以外合同价款调整方法：</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14:paraId="7B11188D">
      <w:pPr>
        <w:spacing w:line="420" w:lineRule="exact"/>
        <w:ind w:left="178" w:leftChars="85" w:firstLine="52" w:firstLineChars="24"/>
        <w:jc w:val="lef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本合同项目的承包范围、承包内容为总价包干，当原承包范围、承包内容出现经发包人批准的设计变更（包括超出本合同的承包范围、承包内容的设计变更项目）以及</w:t>
      </w:r>
      <w:r>
        <w:rPr>
          <w:rFonts w:hint="eastAsia" w:ascii="宋体" w:hAnsi="宋体" w:cs="宋体"/>
          <w:color w:val="auto"/>
          <w:kern w:val="0"/>
          <w:sz w:val="22"/>
          <w:szCs w:val="22"/>
          <w:highlight w:val="none"/>
          <w:u w:val="single"/>
        </w:rPr>
        <w:t xml:space="preserve">                     </w:t>
      </w:r>
    </w:p>
    <w:p w14:paraId="36A17BFE">
      <w:pPr>
        <w:spacing w:line="420" w:lineRule="exact"/>
        <w:ind w:left="178" w:leftChars="85" w:firstLine="2"/>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时，变更项目的工程造价采用</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计价方法进行计价，并按照国家、省、市有关规范、规定以及计价办法、工程量计算规则执行，工程量按</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计价方法计算，其中的人工、材料、机械台班价格按实际施工期间建设行政主管部门发布的</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规定执行，建设行政主管部门没有发布的某些内容、品种由发包人和承包人约定按</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计算；或由发包人和承包人约定人工、材料、机械台班价格根据建设标准要求按</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计算。如变更项目采用定额计价的，造价的确定依据广东省计价依据、广东省相关定额、广州市补充定额，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w:t>
      </w:r>
    </w:p>
    <w:p w14:paraId="118A869C">
      <w:pPr>
        <w:spacing w:line="420" w:lineRule="exact"/>
        <w:ind w:left="178" w:leftChars="85" w:firstLine="382" w:firstLineChars="174"/>
        <w:jc w:val="lef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措施项目费、其他项目费的调整：□按通用条款规定的调整事件内容调整；□按广东省定额规定计算；□由发包人和承包人根据实际情况约定按</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调整。</w:t>
      </w:r>
    </w:p>
    <w:p w14:paraId="75BC10BC">
      <w:pPr>
        <w:spacing w:line="420" w:lineRule="exact"/>
        <w:ind w:left="120" w:leftChars="57"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其它调整内容：</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0C7118E3">
      <w:pPr>
        <w:spacing w:line="420" w:lineRule="exact"/>
        <w:ind w:firstLine="550" w:firstLineChars="2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本合同项目的结算造价确定方式：</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26AE5E27">
      <w:pPr>
        <w:spacing w:line="420" w:lineRule="exact"/>
        <w:jc w:val="left"/>
        <w:rPr>
          <w:rFonts w:ascii="宋体" w:hAnsi="宋体" w:cs="宋体"/>
          <w:color w:val="auto"/>
          <w:kern w:val="0"/>
          <w:sz w:val="22"/>
          <w:szCs w:val="22"/>
          <w:highlight w:val="none"/>
        </w:rPr>
      </w:pPr>
    </w:p>
    <w:p w14:paraId="363AE0E7">
      <w:pPr>
        <w:spacing w:line="420" w:lineRule="exact"/>
        <w:ind w:firstLine="330" w:firstLineChars="1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□单价合同</w:t>
      </w:r>
    </w:p>
    <w:p w14:paraId="385F526C">
      <w:pPr>
        <w:spacing w:line="420" w:lineRule="exact"/>
        <w:ind w:left="239" w:leftChars="114" w:firstLine="550" w:firstLineChars="2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本合同项目的工程承包价是由承包人以招标文件以及招标文件的图纸为依据，采用工程量清单计价方法，根据国家标准</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以及</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计价办法，按照招标文件中工程量清单所开列的工作内容和估计工程量填报相应的综合单价后并累计合价，再加上措施项目费、其他项目费、规费和税金以及</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等计算的合同价。结算时发包人依据中华人民共和国国家标准</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和</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计价办法，以及图纸、</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等规定计量确认的实际工程量乘以中标的综合单价，再加上措施项目费、其他项目费、规费、税金以及</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等计算的结算造价。</w:t>
      </w:r>
    </w:p>
    <w:p w14:paraId="75E09A07">
      <w:pPr>
        <w:spacing w:line="420" w:lineRule="exact"/>
        <w:ind w:firstLine="778" w:firstLineChars="354"/>
        <w:jc w:val="left"/>
        <w:rPr>
          <w:rFonts w:ascii="宋体" w:hAnsi="宋体" w:cs="宋体"/>
          <w:color w:val="auto"/>
          <w:sz w:val="22"/>
          <w:szCs w:val="22"/>
          <w:highlight w:val="none"/>
          <w:u w:val="single"/>
        </w:rPr>
      </w:pPr>
      <w:r>
        <w:rPr>
          <w:rFonts w:hint="eastAsia" w:ascii="宋体" w:hAnsi="宋体" w:cs="宋体"/>
          <w:color w:val="auto"/>
          <w:kern w:val="0"/>
          <w:sz w:val="22"/>
          <w:szCs w:val="22"/>
          <w:highlight w:val="none"/>
        </w:rPr>
        <w:t>综合单价包含的风险范围：</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2B2B7044">
      <w:pPr>
        <w:spacing w:line="420" w:lineRule="exact"/>
        <w:ind w:firstLine="778" w:firstLineChars="354"/>
        <w:jc w:val="left"/>
        <w:rPr>
          <w:rFonts w:ascii="宋体" w:hAnsi="宋体" w:cs="宋体"/>
          <w:color w:val="auto"/>
          <w:sz w:val="22"/>
          <w:szCs w:val="22"/>
          <w:highlight w:val="none"/>
          <w:u w:val="single"/>
        </w:rPr>
      </w:pPr>
      <w:r>
        <w:rPr>
          <w:rFonts w:hint="eastAsia" w:ascii="宋体" w:hAnsi="宋体" w:cs="宋体"/>
          <w:color w:val="auto"/>
          <w:kern w:val="0"/>
          <w:sz w:val="22"/>
          <w:szCs w:val="22"/>
          <w:highlight w:val="none"/>
        </w:rPr>
        <w:t>风险费用的计算方法：</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319FF594">
      <w:pPr>
        <w:spacing w:line="420" w:lineRule="exact"/>
        <w:ind w:firstLine="778" w:firstLineChars="354"/>
        <w:jc w:val="left"/>
        <w:rPr>
          <w:rFonts w:ascii="宋体" w:hAnsi="宋体" w:cs="宋体"/>
          <w:color w:val="auto"/>
          <w:sz w:val="22"/>
          <w:szCs w:val="22"/>
          <w:highlight w:val="none"/>
        </w:rPr>
      </w:pPr>
      <w:r>
        <w:rPr>
          <w:rFonts w:hint="eastAsia" w:ascii="宋体" w:hAnsi="宋体" w:cs="宋体"/>
          <w:color w:val="auto"/>
          <w:kern w:val="0"/>
          <w:sz w:val="22"/>
          <w:szCs w:val="22"/>
          <w:highlight w:val="none"/>
        </w:rPr>
        <w:t>风险范围以外合同价格的调整方法：</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p>
    <w:p w14:paraId="12E07732">
      <w:pPr>
        <w:spacing w:line="420" w:lineRule="exact"/>
        <w:ind w:left="239" w:leftChars="114"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在项目实施期间，招标文件工程量清单漏项的项目、设计变更的项目，经发包人审批确认后，按下列办法进行工程量及综合单价的计算：工程量依据国家标准</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以及</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计价办法，以及图纸、</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等规定计量确认的实际工程量为准；综合单价计算方法为：</w:t>
      </w:r>
    </w:p>
    <w:p w14:paraId="3F0CA52D">
      <w:pPr>
        <w:spacing w:line="420" w:lineRule="exact"/>
        <w:ind w:left="239" w:leftChars="114"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1、中标的工程量清单中已有相同项目的综合单价，则沿用该综合单价。</w:t>
      </w:r>
    </w:p>
    <w:p w14:paraId="78338555">
      <w:pPr>
        <w:spacing w:line="420" w:lineRule="exact"/>
        <w:ind w:left="239" w:leftChars="114"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2、中标的工程量清单中的项目与清单漏项的项目、设计变更的项目，两者只存在项目中材料费最高的材料的材质、型号、规格不同时，则新的综合单价只换算原清单项目综合单价中材料费最高的材料单价，其它不变。</w:t>
      </w:r>
    </w:p>
    <w:p w14:paraId="241A589F">
      <w:pPr>
        <w:spacing w:line="420" w:lineRule="exact"/>
        <w:ind w:left="239" w:leftChars="114"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3、中标的工程量清单中没有相同项目的，则作为新增项目，采用定额计价办法，依据广东省计价依据、广东省相关定额和广州市补充定额，以及所有定额对应的计价办法进行计价，工程量按</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计价方法计算，其中的人工、材料、机械台班价格按实际施工期间建设行政主管部门发布的</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规定执行，建设行政主管部门没有发布的某些内容、品种由发包人和承包人约定按</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计算；或由发包人和承包人约定人工、材料、机械台班价格根据建设标准要求按</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计算。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w:t>
      </w:r>
    </w:p>
    <w:p w14:paraId="0DC79267">
      <w:pPr>
        <w:spacing w:line="420" w:lineRule="exact"/>
        <w:ind w:left="239" w:leftChars="114" w:firstLine="330" w:firstLineChars="150"/>
        <w:jc w:val="lef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中标的投标报价相对于招标文件工程量清单有漏项或未填报综合单价项目，此项目的费用</w:t>
      </w:r>
      <w:r>
        <w:rPr>
          <w:rFonts w:hint="eastAsia" w:ascii="宋体" w:hAnsi="宋体" w:cs="宋体"/>
          <w:color w:val="auto"/>
          <w:kern w:val="0"/>
          <w:sz w:val="22"/>
          <w:szCs w:val="22"/>
          <w:highlight w:val="none"/>
          <w:u w:val="single"/>
        </w:rPr>
        <w:t xml:space="preserve">    </w:t>
      </w:r>
    </w:p>
    <w:p w14:paraId="048F0EE4">
      <w:pPr>
        <w:spacing w:line="420" w:lineRule="exact"/>
        <w:ind w:left="233" w:leftChars="86" w:hanging="52" w:hangingChars="24"/>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4F347CA6">
      <w:pPr>
        <w:spacing w:line="420" w:lineRule="exact"/>
        <w:ind w:left="239" w:leftChars="114" w:firstLine="330" w:firstLineChars="150"/>
        <w:jc w:val="lef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招标文件工程量清单中的项目在实际施工中没有做的项目，此项目的费用</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32CACCFC">
      <w:pPr>
        <w:spacing w:line="420" w:lineRule="exact"/>
        <w:ind w:left="239" w:leftChars="114" w:firstLine="330" w:firstLineChars="150"/>
        <w:jc w:val="lef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措施项目费、其他项目费的调整：□按通用条款规定的调整事件内容调整；□按广东省定额规定计算；□由发包人和承包人根据实际情况约定按</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调整。</w:t>
      </w:r>
    </w:p>
    <w:p w14:paraId="25A6461A">
      <w:pPr>
        <w:spacing w:line="420" w:lineRule="exact"/>
        <w:ind w:firstLine="550" w:firstLineChars="2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其它调整内容：</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450FBB2E">
      <w:pPr>
        <w:spacing w:line="420" w:lineRule="exact"/>
        <w:ind w:firstLine="550" w:firstLineChars="2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本合同项目的结算造价确定方式：</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4EB6306B">
      <w:pPr>
        <w:spacing w:line="420" w:lineRule="exact"/>
        <w:ind w:firstLine="220" w:firstLineChars="1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按实结算合同。</w:t>
      </w:r>
    </w:p>
    <w:p w14:paraId="6379C4DF">
      <w:pPr>
        <w:pStyle w:val="22"/>
        <w:adjustRightInd w:val="0"/>
        <w:snapToGrid w:val="0"/>
        <w:spacing w:line="420" w:lineRule="exact"/>
        <w:ind w:left="178" w:leftChars="85" w:firstLine="437" w:firstLineChars="199"/>
        <w:jc w:val="left"/>
        <w:rPr>
          <w:rFonts w:hAnsi="宋体"/>
          <w:color w:val="auto"/>
          <w:kern w:val="0"/>
          <w:sz w:val="22"/>
          <w:szCs w:val="22"/>
          <w:highlight w:val="none"/>
        </w:rPr>
      </w:pPr>
      <w:r>
        <w:rPr>
          <w:rFonts w:hint="eastAsia" w:hAnsi="宋体"/>
          <w:color w:val="auto"/>
          <w:kern w:val="0"/>
          <w:sz w:val="22"/>
          <w:szCs w:val="22"/>
          <w:highlight w:val="none"/>
        </w:rPr>
        <w:t>本合同项目的工程承包价（暂定合同价）由承包人按发包人提供的图纸、勘察资料、工期、质量要求、保养期要求、</w:t>
      </w:r>
      <w:r>
        <w:rPr>
          <w:rFonts w:hint="eastAsia" w:hAnsi="宋体"/>
          <w:color w:val="auto"/>
          <w:kern w:val="0"/>
          <w:sz w:val="22"/>
          <w:szCs w:val="22"/>
          <w:highlight w:val="none"/>
          <w:u w:val="single"/>
        </w:rPr>
        <w:t xml:space="preserve">         </w:t>
      </w:r>
      <w:r>
        <w:rPr>
          <w:rFonts w:hint="eastAsia" w:hAnsi="宋体"/>
          <w:color w:val="auto"/>
          <w:kern w:val="0"/>
          <w:sz w:val="22"/>
          <w:szCs w:val="22"/>
          <w:highlight w:val="none"/>
        </w:rPr>
        <w:t>等，结合施工现场实际情况制定的施工方案、施工组织设计，依据有关规范、规定，采用</w:t>
      </w:r>
      <w:r>
        <w:rPr>
          <w:rFonts w:hint="eastAsia" w:hAnsi="宋体"/>
          <w:color w:val="auto"/>
          <w:kern w:val="0"/>
          <w:sz w:val="22"/>
          <w:szCs w:val="22"/>
          <w:highlight w:val="none"/>
          <w:u w:val="single"/>
        </w:rPr>
        <w:t xml:space="preserve">                      </w:t>
      </w:r>
      <w:r>
        <w:rPr>
          <w:rFonts w:hint="eastAsia" w:hAnsi="宋体"/>
          <w:color w:val="auto"/>
          <w:kern w:val="0"/>
          <w:sz w:val="22"/>
          <w:szCs w:val="22"/>
          <w:highlight w:val="none"/>
        </w:rPr>
        <w:t>计价方法编制的预算价，经监理单位、建设管理单位、发包人、</w:t>
      </w:r>
      <w:r>
        <w:rPr>
          <w:rFonts w:hint="eastAsia" w:hAnsi="宋体"/>
          <w:color w:val="auto"/>
          <w:kern w:val="0"/>
          <w:sz w:val="22"/>
          <w:szCs w:val="22"/>
          <w:highlight w:val="none"/>
          <w:u w:val="single"/>
        </w:rPr>
        <w:t xml:space="preserve">          </w:t>
      </w:r>
      <w:r>
        <w:rPr>
          <w:rFonts w:hint="eastAsia" w:hAnsi="宋体"/>
          <w:color w:val="auto"/>
          <w:kern w:val="0"/>
          <w:sz w:val="22"/>
          <w:szCs w:val="22"/>
          <w:highlight w:val="none"/>
        </w:rPr>
        <w:t>审核后，按审核价</w:t>
      </w:r>
      <w:r>
        <w:rPr>
          <w:rFonts w:hint="eastAsia" w:hAnsi="宋体"/>
          <w:color w:val="auto"/>
          <w:kern w:val="0"/>
          <w:sz w:val="22"/>
          <w:szCs w:val="22"/>
          <w:highlight w:val="none"/>
          <w:u w:val="single"/>
        </w:rPr>
        <w:t xml:space="preserve">        </w:t>
      </w:r>
      <w:r>
        <w:rPr>
          <w:rFonts w:hint="eastAsia" w:hAnsi="宋体"/>
          <w:color w:val="auto"/>
          <w:kern w:val="0"/>
          <w:sz w:val="22"/>
          <w:szCs w:val="22"/>
          <w:highlight w:val="none"/>
        </w:rPr>
        <w:t>形成的承包价（暂定合同价）。</w:t>
      </w:r>
    </w:p>
    <w:p w14:paraId="7F2C1DF6">
      <w:pPr>
        <w:pStyle w:val="22"/>
        <w:adjustRightInd w:val="0"/>
        <w:snapToGrid w:val="0"/>
        <w:spacing w:line="420" w:lineRule="exact"/>
        <w:ind w:left="178" w:leftChars="85" w:firstLine="437" w:firstLineChars="199"/>
        <w:jc w:val="left"/>
        <w:rPr>
          <w:rFonts w:hAnsi="宋体"/>
          <w:color w:val="auto"/>
          <w:kern w:val="0"/>
          <w:sz w:val="22"/>
          <w:szCs w:val="22"/>
          <w:highlight w:val="none"/>
        </w:rPr>
      </w:pPr>
      <w:r>
        <w:rPr>
          <w:rFonts w:hint="eastAsia" w:hAnsi="宋体"/>
          <w:color w:val="auto"/>
          <w:kern w:val="0"/>
          <w:sz w:val="22"/>
          <w:szCs w:val="22"/>
          <w:highlight w:val="none"/>
        </w:rPr>
        <w:t>本合同项目结算时，项目的结算造价采用</w:t>
      </w:r>
      <w:r>
        <w:rPr>
          <w:rFonts w:hint="eastAsia" w:hAnsi="宋体"/>
          <w:color w:val="auto"/>
          <w:kern w:val="0"/>
          <w:sz w:val="22"/>
          <w:szCs w:val="22"/>
          <w:highlight w:val="none"/>
          <w:u w:val="single"/>
        </w:rPr>
        <w:t xml:space="preserve">                  </w:t>
      </w:r>
      <w:r>
        <w:rPr>
          <w:rFonts w:hint="eastAsia" w:hAnsi="宋体"/>
          <w:color w:val="auto"/>
          <w:kern w:val="0"/>
          <w:sz w:val="22"/>
          <w:szCs w:val="22"/>
          <w:highlight w:val="none"/>
        </w:rPr>
        <w:t>计价方法进行计价。并按照国家、省、市有关规范、规定以及计价办法、工程量计算规则执行，工程量按</w:t>
      </w:r>
      <w:r>
        <w:rPr>
          <w:rFonts w:hint="eastAsia" w:hAnsi="宋体"/>
          <w:color w:val="auto"/>
          <w:kern w:val="0"/>
          <w:sz w:val="22"/>
          <w:szCs w:val="22"/>
          <w:highlight w:val="none"/>
          <w:u w:val="single"/>
        </w:rPr>
        <w:t xml:space="preserve">                     </w:t>
      </w:r>
      <w:r>
        <w:rPr>
          <w:rFonts w:hint="eastAsia" w:hAnsi="宋体"/>
          <w:color w:val="auto"/>
          <w:kern w:val="0"/>
          <w:sz w:val="22"/>
          <w:szCs w:val="22"/>
          <w:highlight w:val="none"/>
        </w:rPr>
        <w:t>计价方法计算，其中的人工、材料、机械台班价格按实际施工期间建设行政主管部门发布的</w:t>
      </w:r>
      <w:r>
        <w:rPr>
          <w:rFonts w:hint="eastAsia" w:hAnsi="宋体"/>
          <w:color w:val="auto"/>
          <w:kern w:val="0"/>
          <w:sz w:val="22"/>
          <w:szCs w:val="22"/>
          <w:highlight w:val="none"/>
          <w:u w:val="single"/>
        </w:rPr>
        <w:t xml:space="preserve">          </w:t>
      </w:r>
      <w:r>
        <w:rPr>
          <w:rFonts w:hint="eastAsia" w:hAnsi="宋体"/>
          <w:color w:val="auto"/>
          <w:kern w:val="0"/>
          <w:sz w:val="22"/>
          <w:szCs w:val="22"/>
          <w:highlight w:val="none"/>
        </w:rPr>
        <w:t>规定执行，建设行政主管部门没有发布的某些内容、品种由发包人和承包人约定按</w:t>
      </w:r>
      <w:r>
        <w:rPr>
          <w:rFonts w:hint="eastAsia" w:hAnsi="宋体"/>
          <w:color w:val="auto"/>
          <w:kern w:val="0"/>
          <w:sz w:val="22"/>
          <w:szCs w:val="22"/>
          <w:highlight w:val="none"/>
          <w:u w:val="single"/>
        </w:rPr>
        <w:t xml:space="preserve">                     </w:t>
      </w:r>
      <w:r>
        <w:rPr>
          <w:rFonts w:hint="eastAsia" w:hAnsi="宋体"/>
          <w:color w:val="auto"/>
          <w:kern w:val="0"/>
          <w:sz w:val="22"/>
          <w:szCs w:val="22"/>
          <w:highlight w:val="none"/>
        </w:rPr>
        <w:t>计算；或由发包人和承包人约定人工、材料、机械台班价格根据建设标准要求按</w:t>
      </w:r>
      <w:r>
        <w:rPr>
          <w:rFonts w:hint="eastAsia" w:hAnsi="宋体"/>
          <w:color w:val="auto"/>
          <w:kern w:val="0"/>
          <w:sz w:val="22"/>
          <w:szCs w:val="22"/>
          <w:highlight w:val="none"/>
          <w:u w:val="single"/>
        </w:rPr>
        <w:t xml:space="preserve">                      </w:t>
      </w:r>
      <w:r>
        <w:rPr>
          <w:rFonts w:hint="eastAsia" w:hAnsi="宋体"/>
          <w:color w:val="auto"/>
          <w:kern w:val="0"/>
          <w:sz w:val="22"/>
          <w:szCs w:val="22"/>
          <w:highlight w:val="none"/>
        </w:rPr>
        <w:t>计算。如采用定额计价的，造价的确定依据广东省计价依据、广东省相关定额、广州市补充定额，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w:t>
      </w:r>
    </w:p>
    <w:p w14:paraId="1C94E4A8">
      <w:pPr>
        <w:pStyle w:val="22"/>
        <w:adjustRightInd w:val="0"/>
        <w:snapToGrid w:val="0"/>
        <w:spacing w:line="420" w:lineRule="exact"/>
        <w:ind w:left="178" w:leftChars="85" w:firstLine="437" w:firstLineChars="199"/>
        <w:jc w:val="left"/>
        <w:rPr>
          <w:rFonts w:hAnsi="宋体"/>
          <w:color w:val="auto"/>
          <w:kern w:val="0"/>
          <w:sz w:val="22"/>
          <w:szCs w:val="22"/>
          <w:highlight w:val="none"/>
        </w:rPr>
      </w:pPr>
      <w:r>
        <w:rPr>
          <w:rFonts w:hint="eastAsia" w:hAnsi="宋体"/>
          <w:color w:val="auto"/>
          <w:kern w:val="0"/>
          <w:sz w:val="22"/>
          <w:szCs w:val="22"/>
          <w:highlight w:val="none"/>
        </w:rPr>
        <w:t>其它调整内：</w:t>
      </w:r>
      <w:r>
        <w:rPr>
          <w:rFonts w:hint="eastAsia" w:hAnsi="宋体"/>
          <w:color w:val="auto"/>
          <w:kern w:val="0"/>
          <w:sz w:val="22"/>
          <w:szCs w:val="22"/>
          <w:highlight w:val="none"/>
          <w:u w:val="single"/>
        </w:rPr>
        <w:t xml:space="preserve">                                                           </w:t>
      </w:r>
      <w:r>
        <w:rPr>
          <w:rFonts w:hint="eastAsia" w:hAnsi="宋体"/>
          <w:color w:val="auto"/>
          <w:kern w:val="0"/>
          <w:sz w:val="22"/>
          <w:szCs w:val="22"/>
          <w:highlight w:val="none"/>
        </w:rPr>
        <w:t>。</w:t>
      </w:r>
    </w:p>
    <w:p w14:paraId="23A92DBB">
      <w:pPr>
        <w:pStyle w:val="22"/>
        <w:adjustRightInd w:val="0"/>
        <w:snapToGrid w:val="0"/>
        <w:spacing w:line="420" w:lineRule="exact"/>
        <w:ind w:left="178" w:leftChars="85" w:firstLine="437" w:firstLineChars="199"/>
        <w:jc w:val="left"/>
        <w:rPr>
          <w:rFonts w:hAnsi="宋体"/>
          <w:color w:val="auto"/>
          <w:kern w:val="0"/>
          <w:sz w:val="22"/>
          <w:szCs w:val="22"/>
          <w:highlight w:val="none"/>
        </w:rPr>
      </w:pPr>
      <w:r>
        <w:rPr>
          <w:rFonts w:hint="eastAsia" w:hAnsi="宋体"/>
          <w:color w:val="auto"/>
          <w:kern w:val="0"/>
          <w:sz w:val="22"/>
          <w:szCs w:val="22"/>
          <w:highlight w:val="none"/>
        </w:rPr>
        <w:t>本合同项目的结算造价确定方式：</w:t>
      </w:r>
      <w:r>
        <w:rPr>
          <w:rFonts w:hint="eastAsia" w:hAnsi="宋体"/>
          <w:color w:val="auto"/>
          <w:kern w:val="0"/>
          <w:sz w:val="22"/>
          <w:szCs w:val="22"/>
          <w:highlight w:val="none"/>
          <w:u w:val="single"/>
        </w:rPr>
        <w:t xml:space="preserve">                                         </w:t>
      </w:r>
      <w:r>
        <w:rPr>
          <w:rFonts w:hint="eastAsia" w:hAnsi="宋体"/>
          <w:color w:val="auto"/>
          <w:kern w:val="0"/>
          <w:sz w:val="22"/>
          <w:szCs w:val="22"/>
          <w:highlight w:val="none"/>
        </w:rPr>
        <w:t>。</w:t>
      </w:r>
    </w:p>
    <w:p w14:paraId="293BF1CA">
      <w:pPr>
        <w:pStyle w:val="22"/>
        <w:adjustRightInd w:val="0"/>
        <w:snapToGrid w:val="0"/>
        <w:spacing w:line="420" w:lineRule="exact"/>
        <w:ind w:left="178" w:leftChars="85" w:firstLine="437" w:firstLineChars="199"/>
        <w:jc w:val="left"/>
        <w:rPr>
          <w:rFonts w:hAnsi="宋体"/>
          <w:color w:val="auto"/>
          <w:kern w:val="0"/>
          <w:sz w:val="22"/>
          <w:szCs w:val="22"/>
          <w:highlight w:val="none"/>
        </w:rPr>
      </w:pPr>
    </w:p>
    <w:p w14:paraId="199B75EE">
      <w:pPr>
        <w:numPr>
          <w:ilvl w:val="0"/>
          <w:numId w:val="32"/>
        </w:numPr>
        <w:spacing w:line="420" w:lineRule="exact"/>
        <w:jc w:val="left"/>
        <w:rPr>
          <w:rFonts w:ascii="宋体" w:hAnsi="宋体" w:cs="宋体"/>
          <w:color w:val="auto"/>
          <w:kern w:val="0"/>
          <w:sz w:val="22"/>
          <w:szCs w:val="22"/>
          <w:highlight w:val="none"/>
          <w:u w:val="single"/>
        </w:rPr>
      </w:pPr>
      <w:r>
        <w:rPr>
          <w:rFonts w:hint="eastAsia" w:ascii="宋体" w:hAnsi="宋体" w:cs="宋体"/>
          <w:color w:val="auto"/>
          <w:sz w:val="22"/>
          <w:szCs w:val="22"/>
          <w:highlight w:val="none"/>
        </w:rPr>
        <w:t>其它价格形式</w:t>
      </w: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u w:val="single"/>
        </w:rPr>
        <w:t xml:space="preserve">                                                              </w:t>
      </w:r>
    </w:p>
    <w:p w14:paraId="52B06959">
      <w:pPr>
        <w:spacing w:line="420" w:lineRule="exact"/>
        <w:jc w:val="left"/>
        <w:rPr>
          <w:rFonts w:ascii="宋体" w:hAnsi="宋体" w:cs="宋体"/>
          <w:color w:val="auto"/>
          <w:kern w:val="0"/>
          <w:sz w:val="22"/>
          <w:szCs w:val="22"/>
          <w:highlight w:val="none"/>
        </w:rPr>
      </w:pPr>
    </w:p>
    <w:p w14:paraId="17FB6227">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68.3 合同价款的调整事件</w:t>
      </w:r>
    </w:p>
    <w:p w14:paraId="71BB665C">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按通用条款规定的调整事件。</w:t>
      </w:r>
    </w:p>
    <w:p w14:paraId="7EC7D3F1">
      <w:pPr>
        <w:spacing w:line="420" w:lineRule="exact"/>
        <w:rPr>
          <w:rFonts w:ascii="宋体" w:hAnsi="宋体" w:cs="宋体"/>
          <w:color w:val="auto"/>
          <w:kern w:val="0"/>
          <w:sz w:val="22"/>
          <w:szCs w:val="22"/>
          <w:highlight w:val="none"/>
        </w:rPr>
      </w:pPr>
    </w:p>
    <w:p w14:paraId="1A0C893A">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0EB7616D">
      <w:pPr>
        <w:spacing w:line="420" w:lineRule="exact"/>
        <w:rPr>
          <w:rFonts w:ascii="宋体" w:hAnsi="宋体" w:cs="宋体"/>
          <w:color w:val="auto"/>
          <w:kern w:val="0"/>
          <w:sz w:val="22"/>
          <w:szCs w:val="22"/>
          <w:highlight w:val="none"/>
        </w:rPr>
      </w:pPr>
    </w:p>
    <w:p w14:paraId="18DDFEFE">
      <w:pPr>
        <w:spacing w:line="420" w:lineRule="exact"/>
        <w:ind w:firstLine="110" w:firstLineChars="5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68.3（9）调整合同价款的其他事件：</w:t>
      </w:r>
      <w:r>
        <w:rPr>
          <w:rFonts w:hint="eastAsia" w:ascii="宋体" w:hAnsi="宋体" w:cs="宋体"/>
          <w:color w:val="auto"/>
          <w:kern w:val="0"/>
          <w:sz w:val="22"/>
          <w:szCs w:val="22"/>
          <w:highlight w:val="none"/>
          <w:u w:val="single"/>
        </w:rPr>
        <w:t>（a）本工程采用包工包料大包干的形式，投标总报价中的工程量是设计图纸中的总工程量汇总。承包人应有责任自行对图纸、合同《工程量清单》及施工现场进行核实。实际施工时的工程量与施工图纸、合同《工程量清单》中的工程量差异，已作为大包干风险，并考虑进合同总价中去，任何施工图纸上和合同《工程量清单》中的工程数量与实际施工时的工程量的差异，将不再进行调整。</w:t>
      </w:r>
    </w:p>
    <w:p w14:paraId="0691D593">
      <w:pPr>
        <w:spacing w:line="420" w:lineRule="exact"/>
        <w:ind w:firstLine="110" w:firstLineChars="5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b）除非合同另有规定外，合同总价内，已包括施工设备、劳务、管理、材料、安装、维护、保险、利润、税金及合同包含内的所有风险、责任等各项应有费用。并包括执行和完成本合同工程文件绘述的本工程时，不能或缺的或突然需要克服困难的所有附带工作及费用，不论它们是否在合同文件中有所说明。</w:t>
      </w:r>
    </w:p>
    <w:p w14:paraId="6E256F5C">
      <w:pPr>
        <w:spacing w:line="420" w:lineRule="exact"/>
        <w:ind w:firstLine="110" w:firstLineChars="5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（c）本工程最终按施工图纸及有效的变更进行验收，由于沉降等原因造成的工程量增减，合同价款不作调整。</w:t>
      </w:r>
    </w:p>
    <w:p w14:paraId="00465BC3">
      <w:pPr>
        <w:spacing w:line="420" w:lineRule="exact"/>
        <w:ind w:firstLine="110" w:firstLineChars="5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（d）本工程的监理单位的平行检测和建设单位的对比检测费用，</w:t>
      </w:r>
      <w:bookmarkStart w:id="802" w:name="_GoBack"/>
      <w:r>
        <w:rPr>
          <w:rFonts w:hint="eastAsia" w:ascii="宋体" w:hAnsi="宋体" w:cs="宋体"/>
          <w:color w:val="auto"/>
          <w:kern w:val="0"/>
          <w:sz w:val="22"/>
          <w:szCs w:val="22"/>
          <w:highlight w:val="none"/>
          <w:u w:val="single"/>
        </w:rPr>
        <w:t>以及按照验收规程对工程质量进行的第三方抽样检测费用由投标人承担，</w:t>
      </w:r>
      <w:bookmarkEnd w:id="802"/>
      <w:r>
        <w:rPr>
          <w:rFonts w:hint="eastAsia" w:ascii="宋体" w:hAnsi="宋体" w:cs="宋体"/>
          <w:color w:val="auto"/>
          <w:kern w:val="0"/>
          <w:sz w:val="22"/>
          <w:szCs w:val="22"/>
          <w:highlight w:val="none"/>
          <w:u w:val="single"/>
        </w:rPr>
        <w:t>相关费用包含在投标报价中。</w:t>
      </w:r>
    </w:p>
    <w:p w14:paraId="1850F252">
      <w:pPr>
        <w:spacing w:line="420" w:lineRule="exact"/>
        <w:rPr>
          <w:rFonts w:hAnsi="宋体"/>
          <w:color w:val="auto"/>
          <w:sz w:val="24"/>
          <w:highlight w:val="none"/>
        </w:rPr>
      </w:pPr>
    </w:p>
    <w:p w14:paraId="0FD70829">
      <w:pPr>
        <w:pStyle w:val="3"/>
        <w:numPr>
          <w:ilvl w:val="0"/>
          <w:numId w:val="0"/>
        </w:numPr>
        <w:tabs>
          <w:tab w:val="left" w:pos="420"/>
        </w:tabs>
        <w:spacing w:line="420" w:lineRule="exact"/>
        <w:rPr>
          <w:rFonts w:hAnsi="宋体"/>
          <w:b/>
          <w:bCs/>
          <w:color w:val="auto"/>
          <w:sz w:val="22"/>
          <w:szCs w:val="22"/>
          <w:highlight w:val="none"/>
        </w:rPr>
      </w:pPr>
      <w:bookmarkStart w:id="803" w:name="_Toc155166200"/>
      <w:bookmarkStart w:id="804" w:name="_Toc8639"/>
      <w:bookmarkStart w:id="805" w:name="_Toc6612"/>
      <w:bookmarkStart w:id="806" w:name="_Toc27932"/>
      <w:bookmarkStart w:id="807" w:name="_Toc131"/>
      <w:bookmarkStart w:id="808" w:name="_Toc469384123"/>
      <w:bookmarkStart w:id="809" w:name="_Hlk142749028"/>
      <w:r>
        <w:rPr>
          <w:rFonts w:hAnsi="宋体"/>
          <w:b/>
          <w:bCs/>
          <w:color w:val="auto"/>
          <w:sz w:val="22"/>
          <w:szCs w:val="22"/>
          <w:highlight w:val="none"/>
        </w:rPr>
        <w:t xml:space="preserve">72. </w:t>
      </w:r>
      <w:r>
        <w:rPr>
          <w:rFonts w:hint="eastAsia" w:hAnsi="宋体"/>
          <w:b/>
          <w:bCs/>
          <w:color w:val="auto"/>
          <w:sz w:val="22"/>
          <w:szCs w:val="22"/>
          <w:highlight w:val="none"/>
        </w:rPr>
        <w:t>工程变更事件</w:t>
      </w:r>
      <w:bookmarkEnd w:id="803"/>
      <w:bookmarkEnd w:id="804"/>
      <w:bookmarkEnd w:id="805"/>
      <w:bookmarkEnd w:id="806"/>
      <w:bookmarkEnd w:id="807"/>
      <w:bookmarkEnd w:id="808"/>
    </w:p>
    <w:p w14:paraId="07F07703">
      <w:pPr>
        <w:spacing w:line="420" w:lineRule="exact"/>
        <w:rPr>
          <w:rFonts w:ascii="宋体" w:hAnsi="宋体" w:cs="宋体"/>
          <w:b/>
          <w:bCs/>
          <w:color w:val="auto"/>
          <w:kern w:val="0"/>
          <w:sz w:val="22"/>
          <w:szCs w:val="22"/>
          <w:highlight w:val="none"/>
        </w:rPr>
      </w:pPr>
    </w:p>
    <w:p w14:paraId="0777C73A">
      <w:pPr>
        <w:spacing w:line="420" w:lineRule="exact"/>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72.4 调整承包人报价偏差的方法</w:t>
      </w:r>
    </w:p>
    <w:p w14:paraId="66CDAB26">
      <w:pPr>
        <w:spacing w:line="420" w:lineRule="exact"/>
        <w:ind w:firstLine="110" w:firstLineChars="50"/>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 按通用条款的规定调整。</w:t>
      </w:r>
    </w:p>
    <w:p w14:paraId="3DF171CC">
      <w:pPr>
        <w:spacing w:line="420" w:lineRule="exact"/>
        <w:ind w:firstLine="110" w:firstLineChars="50"/>
        <w:rPr>
          <w:rFonts w:ascii="宋体" w:hAnsi="宋体" w:cs="宋体"/>
          <w:color w:val="auto"/>
          <w:kern w:val="0"/>
          <w:sz w:val="22"/>
          <w:szCs w:val="22"/>
          <w:highlight w:val="none"/>
          <w:u w:val="single"/>
        </w:rPr>
      </w:pP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w:t>
      </w:r>
      <w:r>
        <w:rPr>
          <w:rFonts w:ascii="宋体" w:hAnsi="宋体" w:cs="宋体"/>
          <w:color w:val="auto"/>
          <w:kern w:val="0"/>
          <w:sz w:val="22"/>
          <w:szCs w:val="22"/>
          <w:highlight w:val="none"/>
        </w:rPr>
        <w:t xml:space="preserve"> 按照下列方法调整</w:t>
      </w:r>
      <w:bookmarkEnd w:id="809"/>
      <w:r>
        <w:rPr>
          <w:rFonts w:ascii="宋体" w:hAnsi="宋体" w:cs="宋体"/>
          <w:color w:val="auto"/>
          <w:kern w:val="0"/>
          <w:sz w:val="22"/>
          <w:szCs w:val="22"/>
          <w:highlight w:val="none"/>
        </w:rPr>
        <w:t>：</w:t>
      </w:r>
      <w:r>
        <w:rPr>
          <w:rFonts w:hint="eastAsia" w:ascii="宋体" w:hAnsi="宋体" w:cs="宋体"/>
          <w:color w:val="auto"/>
          <w:kern w:val="0"/>
          <w:sz w:val="22"/>
          <w:szCs w:val="22"/>
          <w:highlight w:val="none"/>
          <w:u w:val="single"/>
        </w:rPr>
        <w:t xml:space="preserve">不调整。 </w:t>
      </w:r>
    </w:p>
    <w:p w14:paraId="42F4AABB">
      <w:pPr>
        <w:spacing w:line="420" w:lineRule="exact"/>
        <w:rPr>
          <w:rFonts w:ascii="宋体" w:hAnsi="宋体" w:cs="宋体"/>
          <w:color w:val="auto"/>
          <w:kern w:val="0"/>
          <w:sz w:val="22"/>
          <w:szCs w:val="22"/>
          <w:highlight w:val="none"/>
          <w:u w:val="single"/>
        </w:rPr>
      </w:pPr>
    </w:p>
    <w:p w14:paraId="2856D3EB">
      <w:pPr>
        <w:pStyle w:val="3"/>
        <w:numPr>
          <w:ilvl w:val="0"/>
          <w:numId w:val="0"/>
        </w:numPr>
        <w:tabs>
          <w:tab w:val="left" w:pos="420"/>
        </w:tabs>
        <w:spacing w:line="420" w:lineRule="exact"/>
        <w:rPr>
          <w:rFonts w:hAnsi="宋体"/>
          <w:b/>
          <w:bCs/>
          <w:color w:val="auto"/>
          <w:sz w:val="22"/>
          <w:szCs w:val="22"/>
          <w:highlight w:val="none"/>
        </w:rPr>
      </w:pPr>
      <w:bookmarkStart w:id="810" w:name="_Toc3124"/>
      <w:bookmarkStart w:id="811" w:name="_Toc24587"/>
      <w:bookmarkStart w:id="812" w:name="_Toc29172"/>
      <w:bookmarkStart w:id="813" w:name="_Toc469384124"/>
      <w:bookmarkStart w:id="814" w:name="_Toc23887"/>
      <w:bookmarkStart w:id="815" w:name="_Toc155166201"/>
      <w:bookmarkStart w:id="816" w:name="_Hlk142749159"/>
      <w:bookmarkStart w:id="817" w:name="_Hlk142825374"/>
      <w:r>
        <w:rPr>
          <w:rFonts w:hAnsi="宋体"/>
          <w:b/>
          <w:bCs/>
          <w:color w:val="auto"/>
          <w:sz w:val="22"/>
          <w:szCs w:val="22"/>
          <w:highlight w:val="none"/>
        </w:rPr>
        <w:t xml:space="preserve">73. </w:t>
      </w:r>
      <w:r>
        <w:rPr>
          <w:rFonts w:hint="eastAsia" w:hAnsi="宋体"/>
          <w:b/>
          <w:bCs/>
          <w:color w:val="auto"/>
          <w:sz w:val="22"/>
          <w:szCs w:val="22"/>
          <w:highlight w:val="none"/>
        </w:rPr>
        <w:t>工程量偏差事件</w:t>
      </w:r>
      <w:bookmarkEnd w:id="810"/>
      <w:bookmarkEnd w:id="811"/>
      <w:bookmarkEnd w:id="812"/>
      <w:bookmarkEnd w:id="813"/>
      <w:bookmarkEnd w:id="814"/>
      <w:bookmarkEnd w:id="815"/>
    </w:p>
    <w:p w14:paraId="772F47C2">
      <w:pPr>
        <w:spacing w:line="420" w:lineRule="exact"/>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w:t>
      </w:r>
    </w:p>
    <w:p w14:paraId="431E2519">
      <w:pPr>
        <w:spacing w:line="420" w:lineRule="exact"/>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73.2 调整分部分项工程费的方法</w:t>
      </w:r>
    </w:p>
    <w:p w14:paraId="280900CB">
      <w:pPr>
        <w:spacing w:line="420" w:lineRule="exact"/>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调整结算分部分项工程费：</w:t>
      </w:r>
    </w:p>
    <w:p w14:paraId="0AB9484E">
      <w:pPr>
        <w:spacing w:line="420" w:lineRule="exact"/>
        <w:ind w:firstLine="110" w:firstLineChars="50"/>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 按通用条款的规定调整。</w:t>
      </w:r>
    </w:p>
    <w:p w14:paraId="3FE5E859">
      <w:pPr>
        <w:spacing w:line="420" w:lineRule="exact"/>
        <w:ind w:firstLine="110" w:firstLineChars="50"/>
        <w:rPr>
          <w:rFonts w:ascii="宋体" w:hAnsi="宋体" w:cs="宋体"/>
          <w:color w:val="auto"/>
          <w:kern w:val="0"/>
          <w:sz w:val="22"/>
          <w:szCs w:val="22"/>
          <w:highlight w:val="none"/>
          <w:u w:val="single"/>
        </w:rPr>
      </w:pPr>
      <w:r>
        <w:rPr>
          <w:rFonts w:ascii="宋体" w:hAnsi="宋体" w:cs="宋体"/>
          <w:color w:val="auto"/>
          <w:kern w:val="0"/>
          <w:sz w:val="22"/>
          <w:szCs w:val="22"/>
          <w:highlight w:val="none"/>
        </w:rPr>
        <w:t xml:space="preserve"> □ 按照下列方法调整：</w:t>
      </w:r>
      <w:r>
        <w:rPr>
          <w:rFonts w:ascii="宋体" w:hAnsi="宋体" w:cs="宋体"/>
          <w:color w:val="auto"/>
          <w:kern w:val="0"/>
          <w:sz w:val="22"/>
          <w:szCs w:val="22"/>
          <w:highlight w:val="none"/>
          <w:u w:val="single"/>
        </w:rPr>
        <w:t xml:space="preserve">                                                                           </w:t>
      </w:r>
    </w:p>
    <w:p w14:paraId="7A333C0D">
      <w:pPr>
        <w:spacing w:line="420" w:lineRule="exact"/>
        <w:ind w:firstLine="110" w:firstLineChars="50"/>
        <w:rPr>
          <w:rFonts w:ascii="宋体" w:hAnsi="宋体" w:cs="宋体"/>
          <w:color w:val="auto"/>
          <w:kern w:val="0"/>
          <w:sz w:val="22"/>
          <w:szCs w:val="22"/>
          <w:highlight w:val="none"/>
        </w:rPr>
      </w:pPr>
    </w:p>
    <w:p w14:paraId="1B5EECCC">
      <w:pPr>
        <w:spacing w:line="420" w:lineRule="exact"/>
        <w:ind w:firstLine="110" w:firstLineChars="50"/>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73.3 调整措施项目费的方法</w:t>
      </w:r>
    </w:p>
    <w:p w14:paraId="37AF303E">
      <w:pPr>
        <w:spacing w:line="420" w:lineRule="exact"/>
        <w:ind w:firstLine="110" w:firstLineChars="50"/>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调整结算措施项目费：</w:t>
      </w:r>
    </w:p>
    <w:p w14:paraId="3A06C3AF">
      <w:pPr>
        <w:spacing w:line="420" w:lineRule="exact"/>
        <w:ind w:firstLine="110" w:firstLineChars="50"/>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 按通用条款的规定调整。</w:t>
      </w:r>
    </w:p>
    <w:p w14:paraId="68B6BACA">
      <w:pPr>
        <w:spacing w:line="420" w:lineRule="exact"/>
        <w:ind w:firstLine="110" w:firstLineChars="50"/>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 按照下列方法调整</w:t>
      </w:r>
      <w:bookmarkEnd w:id="816"/>
      <w:r>
        <w:rPr>
          <w:rFonts w:ascii="宋体" w:hAnsi="宋体" w:cs="宋体"/>
          <w:color w:val="auto"/>
          <w:kern w:val="0"/>
          <w:sz w:val="22"/>
          <w:szCs w:val="22"/>
          <w:highlight w:val="none"/>
        </w:rPr>
        <w:t>：</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bookmarkEnd w:id="817"/>
    <w:p w14:paraId="0145284C">
      <w:pPr>
        <w:spacing w:line="420" w:lineRule="exact"/>
        <w:rPr>
          <w:rFonts w:ascii="宋体" w:hAnsi="宋体" w:cs="宋体"/>
          <w:color w:val="auto"/>
          <w:kern w:val="0"/>
          <w:sz w:val="22"/>
          <w:szCs w:val="22"/>
          <w:highlight w:val="none"/>
        </w:rPr>
      </w:pPr>
    </w:p>
    <w:p w14:paraId="465DB078">
      <w:pPr>
        <w:pStyle w:val="3"/>
        <w:numPr>
          <w:ilvl w:val="0"/>
          <w:numId w:val="0"/>
        </w:numPr>
        <w:tabs>
          <w:tab w:val="left" w:pos="420"/>
        </w:tabs>
        <w:spacing w:line="420" w:lineRule="exact"/>
        <w:rPr>
          <w:rFonts w:hAnsi="宋体"/>
          <w:b/>
          <w:bCs/>
          <w:color w:val="auto"/>
          <w:sz w:val="22"/>
          <w:szCs w:val="22"/>
          <w:highlight w:val="none"/>
        </w:rPr>
      </w:pPr>
      <w:bookmarkStart w:id="818" w:name="_Toc18319"/>
      <w:bookmarkStart w:id="819" w:name="_Toc155166202"/>
      <w:bookmarkStart w:id="820" w:name="_Toc469384125"/>
      <w:bookmarkStart w:id="821" w:name="_Toc14217"/>
      <w:bookmarkStart w:id="822" w:name="_Toc21945"/>
      <w:bookmarkStart w:id="823" w:name="_Toc32499"/>
      <w:r>
        <w:rPr>
          <w:rFonts w:hint="eastAsia" w:hAnsi="宋体"/>
          <w:b/>
          <w:bCs/>
          <w:color w:val="auto"/>
          <w:sz w:val="22"/>
          <w:szCs w:val="22"/>
          <w:highlight w:val="none"/>
        </w:rPr>
        <w:t>75. 现场签证事件</w:t>
      </w:r>
      <w:bookmarkEnd w:id="818"/>
      <w:bookmarkEnd w:id="819"/>
      <w:bookmarkEnd w:id="820"/>
      <w:bookmarkEnd w:id="821"/>
      <w:bookmarkEnd w:id="822"/>
      <w:bookmarkEnd w:id="823"/>
    </w:p>
    <w:p w14:paraId="246FED47">
      <w:pPr>
        <w:spacing w:line="420" w:lineRule="exact"/>
        <w:rPr>
          <w:rFonts w:ascii="宋体" w:hAnsi="宋体" w:cs="宋体"/>
          <w:color w:val="auto"/>
          <w:kern w:val="0"/>
          <w:sz w:val="22"/>
          <w:szCs w:val="22"/>
          <w:highlight w:val="none"/>
        </w:rPr>
      </w:pPr>
    </w:p>
    <w:p w14:paraId="548E974B">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75.3 现场签证报告的确认</w:t>
      </w:r>
    </w:p>
    <w:p w14:paraId="6CC2C770">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提交现场签证报告的时间：</w:t>
      </w:r>
    </w:p>
    <w:p w14:paraId="7715D79C">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bookmarkStart w:id="824" w:name="_Hlk142749538"/>
      <w:r>
        <w:rPr>
          <w:rFonts w:hint="eastAsia" w:ascii="宋体" w:hAnsi="宋体" w:cs="宋体"/>
          <w:color w:val="auto"/>
          <w:kern w:val="0"/>
          <w:sz w:val="22"/>
          <w:szCs w:val="22"/>
          <w:highlight w:val="none"/>
        </w:rPr>
        <w:t>■</w:t>
      </w:r>
      <w:bookmarkEnd w:id="824"/>
      <w:r>
        <w:rPr>
          <w:rFonts w:hint="eastAsia" w:ascii="宋体" w:hAnsi="宋体" w:cs="宋体"/>
          <w:color w:val="auto"/>
          <w:kern w:val="0"/>
          <w:sz w:val="22"/>
          <w:szCs w:val="22"/>
          <w:highlight w:val="none"/>
        </w:rPr>
        <w:t xml:space="preserve"> 按通用条款的规定的时间提交。</w:t>
      </w:r>
    </w:p>
    <w:p w14:paraId="6882DC04">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5C21786A">
      <w:pPr>
        <w:spacing w:line="420" w:lineRule="exact"/>
        <w:ind w:firstLine="110" w:firstLineChars="50"/>
        <w:rPr>
          <w:rFonts w:ascii="宋体" w:hAnsi="宋体" w:cs="宋体"/>
          <w:color w:val="auto"/>
          <w:kern w:val="0"/>
          <w:sz w:val="22"/>
          <w:szCs w:val="22"/>
          <w:highlight w:val="none"/>
        </w:rPr>
      </w:pPr>
    </w:p>
    <w:p w14:paraId="2C4FC725">
      <w:pPr>
        <w:pStyle w:val="3"/>
        <w:numPr>
          <w:ilvl w:val="0"/>
          <w:numId w:val="0"/>
        </w:numPr>
        <w:tabs>
          <w:tab w:val="left" w:pos="420"/>
        </w:tabs>
        <w:spacing w:line="420" w:lineRule="exact"/>
        <w:rPr>
          <w:rFonts w:hAnsi="宋体"/>
          <w:b/>
          <w:bCs/>
          <w:color w:val="auto"/>
          <w:sz w:val="22"/>
          <w:szCs w:val="22"/>
          <w:highlight w:val="none"/>
        </w:rPr>
      </w:pPr>
      <w:bookmarkStart w:id="825" w:name="_Toc155166203"/>
      <w:bookmarkStart w:id="826" w:name="_Toc1980"/>
      <w:bookmarkStart w:id="827" w:name="_Toc2959"/>
      <w:bookmarkStart w:id="828" w:name="_Toc469384126"/>
      <w:bookmarkStart w:id="829" w:name="_Toc7838"/>
      <w:bookmarkStart w:id="830" w:name="_Toc5765"/>
      <w:r>
        <w:rPr>
          <w:rFonts w:hint="eastAsia" w:hAnsi="宋体"/>
          <w:b/>
          <w:bCs/>
          <w:color w:val="auto"/>
          <w:sz w:val="22"/>
          <w:szCs w:val="22"/>
          <w:highlight w:val="none"/>
        </w:rPr>
        <w:t>★76. 物价涨落事件</w:t>
      </w:r>
      <w:bookmarkEnd w:id="825"/>
      <w:bookmarkEnd w:id="826"/>
      <w:bookmarkEnd w:id="827"/>
      <w:bookmarkEnd w:id="828"/>
      <w:bookmarkEnd w:id="829"/>
      <w:bookmarkEnd w:id="830"/>
    </w:p>
    <w:p w14:paraId="460734E8">
      <w:pPr>
        <w:spacing w:line="420" w:lineRule="exact"/>
        <w:ind w:firstLine="110" w:firstLineChars="50"/>
        <w:rPr>
          <w:rFonts w:ascii="宋体" w:hAnsi="宋体" w:cs="宋体"/>
          <w:color w:val="auto"/>
          <w:kern w:val="0"/>
          <w:sz w:val="22"/>
          <w:szCs w:val="22"/>
          <w:highlight w:val="none"/>
        </w:rPr>
      </w:pPr>
    </w:p>
    <w:p w14:paraId="6F5BDEBB">
      <w:pPr>
        <w:spacing w:line="420" w:lineRule="exact"/>
        <w:ind w:firstLine="440" w:firstLineChars="200"/>
        <w:jc w:val="left"/>
        <w:rPr>
          <w:rFonts w:ascii="宋体" w:hAnsi="宋体" w:cs="宋体"/>
          <w:color w:val="auto"/>
          <w:sz w:val="22"/>
          <w:szCs w:val="22"/>
          <w:highlight w:val="none"/>
          <w:u w:val="single"/>
        </w:rPr>
      </w:pPr>
      <w:r>
        <w:rPr>
          <w:rFonts w:hint="eastAsia" w:ascii="宋体" w:hAnsi="宋体" w:cs="宋体"/>
          <w:color w:val="auto"/>
          <w:kern w:val="0"/>
          <w:sz w:val="22"/>
          <w:szCs w:val="22"/>
          <w:highlight w:val="none"/>
        </w:rPr>
        <w:t>市场价格波动是否调整合同价格的约定：</w:t>
      </w:r>
      <w:r>
        <w:rPr>
          <w:rFonts w:hint="eastAsia" w:ascii="宋体" w:hAnsi="宋体" w:cs="宋体"/>
          <w:color w:val="auto"/>
          <w:sz w:val="22"/>
          <w:szCs w:val="22"/>
          <w:highlight w:val="none"/>
          <w:u w:val="single"/>
        </w:rPr>
        <w:t>按番府办函[2018]295号文执行。</w:t>
      </w:r>
    </w:p>
    <w:p w14:paraId="1CA8D445">
      <w:pPr>
        <w:spacing w:line="42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因市场价格波动调整合同价格，采用以下第</w:t>
      </w:r>
      <w:r>
        <w:rPr>
          <w:rFonts w:ascii="宋体" w:hAnsi="宋体" w:cs="宋体"/>
          <w:color w:val="auto"/>
          <w:sz w:val="22"/>
          <w:szCs w:val="22"/>
          <w:highlight w:val="none"/>
          <w:u w:val="single"/>
        </w:rPr>
        <w:t xml:space="preserve">   /</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种方式对合同价格进行调整：</w:t>
      </w:r>
    </w:p>
    <w:p w14:paraId="58607BD6">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第1种方式：采用造价信息进行价格调整。</w:t>
      </w:r>
    </w:p>
    <w:p w14:paraId="39826BC6">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（1）关于基准价格的约定：</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14:paraId="357C3883">
      <w:pPr>
        <w:spacing w:line="42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①承包人在已标价工程量清单或预算书中载明的材料单价低于基准价格的：专用合同条款合同履行期间材料单价涨幅以基准价格为基础超过</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%时，或材料单价跌幅以已标价工程量清单或预算书中载明材料单价为基础超过</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%时，其超过部分据实调整。</w:t>
      </w:r>
    </w:p>
    <w:p w14:paraId="33A63918">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 xml:space="preserve">  调整价格的材料品种：</w:t>
      </w:r>
      <w:r>
        <w:rPr>
          <w:rFonts w:hint="eastAsia" w:ascii="宋体" w:hAnsi="宋体" w:cs="宋体"/>
          <w:color w:val="auto"/>
          <w:sz w:val="22"/>
          <w:szCs w:val="22"/>
          <w:highlight w:val="none"/>
          <w:u w:val="single"/>
        </w:rPr>
        <w:t xml:space="preserve">                         </w:t>
      </w:r>
    </w:p>
    <w:p w14:paraId="04D888BC">
      <w:pPr>
        <w:spacing w:line="42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②承包人在已标价工程量清单或预算书中载明的材料单价高于基准价格的：专用合同条款合同履行期间材料单价跌幅以基准价格为基础超过</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%时，材料单价涨幅以已标价工程量清单或预算书中载明材料单价为基础超过</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%时，其超过部分据实调整。</w:t>
      </w:r>
    </w:p>
    <w:p w14:paraId="7261C353">
      <w:pPr>
        <w:spacing w:line="420" w:lineRule="exact"/>
        <w:ind w:firstLine="649" w:firstLineChars="295"/>
        <w:jc w:val="left"/>
        <w:rPr>
          <w:rFonts w:ascii="宋体" w:hAnsi="宋体" w:cs="宋体"/>
          <w:color w:val="auto"/>
          <w:sz w:val="22"/>
          <w:szCs w:val="22"/>
          <w:highlight w:val="none"/>
        </w:rPr>
      </w:pPr>
      <w:r>
        <w:rPr>
          <w:rFonts w:hint="eastAsia" w:ascii="宋体" w:hAnsi="宋体" w:cs="宋体"/>
          <w:color w:val="auto"/>
          <w:kern w:val="0"/>
          <w:sz w:val="22"/>
          <w:szCs w:val="22"/>
          <w:highlight w:val="none"/>
        </w:rPr>
        <w:t>调整价格的材料品种：</w:t>
      </w:r>
      <w:r>
        <w:rPr>
          <w:rFonts w:hint="eastAsia" w:ascii="宋体" w:hAnsi="宋体" w:cs="宋体"/>
          <w:color w:val="auto"/>
          <w:sz w:val="22"/>
          <w:szCs w:val="22"/>
          <w:highlight w:val="none"/>
          <w:u w:val="single"/>
        </w:rPr>
        <w:t xml:space="preserve">                         </w:t>
      </w:r>
    </w:p>
    <w:p w14:paraId="7FE4FE38">
      <w:pPr>
        <w:spacing w:line="42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③承包人在已标价工程量清单或预算书中载明的材料单价等于基准单价的：专用合同条款合同履行期间材料单价涨跌幅以基准单价为基础超过±</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%时，其超过部分据实调整。</w:t>
      </w:r>
    </w:p>
    <w:p w14:paraId="2D9DBAC0">
      <w:pPr>
        <w:spacing w:line="420" w:lineRule="exact"/>
        <w:ind w:firstLine="649" w:firstLineChars="295"/>
        <w:jc w:val="left"/>
        <w:rPr>
          <w:rFonts w:ascii="宋体" w:hAnsi="宋体" w:cs="宋体"/>
          <w:color w:val="auto"/>
          <w:sz w:val="22"/>
          <w:szCs w:val="22"/>
          <w:highlight w:val="none"/>
        </w:rPr>
      </w:pPr>
      <w:r>
        <w:rPr>
          <w:rFonts w:hint="eastAsia" w:ascii="宋体" w:hAnsi="宋体" w:cs="宋体"/>
          <w:color w:val="auto"/>
          <w:kern w:val="0"/>
          <w:sz w:val="22"/>
          <w:szCs w:val="22"/>
          <w:highlight w:val="none"/>
        </w:rPr>
        <w:t>调整价格的材料品种：</w:t>
      </w:r>
      <w:r>
        <w:rPr>
          <w:rFonts w:hint="eastAsia" w:ascii="宋体" w:hAnsi="宋体" w:cs="宋体"/>
          <w:color w:val="auto"/>
          <w:sz w:val="22"/>
          <w:szCs w:val="22"/>
          <w:highlight w:val="none"/>
          <w:u w:val="single"/>
        </w:rPr>
        <w:t xml:space="preserve">                         </w:t>
      </w:r>
    </w:p>
    <w:p w14:paraId="1BD1C254">
      <w:pPr>
        <w:spacing w:line="42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第2种方式：其他价格调整方式：</w:t>
      </w:r>
    </w:p>
    <w:p w14:paraId="7F364E3D">
      <w:pPr>
        <w:pStyle w:val="3"/>
        <w:numPr>
          <w:ilvl w:val="0"/>
          <w:numId w:val="0"/>
        </w:numPr>
        <w:tabs>
          <w:tab w:val="left" w:pos="420"/>
        </w:tabs>
        <w:spacing w:line="420" w:lineRule="exact"/>
        <w:rPr>
          <w:rFonts w:hAnsi="宋体"/>
          <w:b/>
          <w:bCs/>
          <w:color w:val="auto"/>
          <w:sz w:val="22"/>
          <w:szCs w:val="22"/>
          <w:highlight w:val="none"/>
        </w:rPr>
      </w:pPr>
      <w:bookmarkStart w:id="831" w:name="_Toc13178"/>
      <w:bookmarkStart w:id="832" w:name="_Toc155166204"/>
      <w:bookmarkStart w:id="833" w:name="_Toc2317"/>
      <w:bookmarkStart w:id="834" w:name="_Toc27209"/>
      <w:bookmarkStart w:id="835" w:name="_Toc469384127"/>
      <w:bookmarkStart w:id="836" w:name="_Toc8384"/>
      <w:r>
        <w:rPr>
          <w:rFonts w:hint="eastAsia" w:hAnsi="宋体"/>
          <w:b/>
          <w:bCs/>
          <w:color w:val="auto"/>
          <w:sz w:val="22"/>
          <w:szCs w:val="22"/>
          <w:highlight w:val="none"/>
        </w:rPr>
        <w:t>78. 支付事项</w:t>
      </w:r>
      <w:bookmarkEnd w:id="831"/>
      <w:bookmarkEnd w:id="832"/>
      <w:bookmarkEnd w:id="833"/>
      <w:bookmarkEnd w:id="834"/>
      <w:bookmarkEnd w:id="835"/>
      <w:bookmarkEnd w:id="836"/>
    </w:p>
    <w:p w14:paraId="7641D44A">
      <w:pPr>
        <w:spacing w:line="420" w:lineRule="exact"/>
        <w:rPr>
          <w:rFonts w:ascii="宋体" w:hAnsi="宋体" w:cs="宋体"/>
          <w:color w:val="auto"/>
          <w:kern w:val="0"/>
          <w:sz w:val="22"/>
          <w:szCs w:val="22"/>
          <w:highlight w:val="none"/>
        </w:rPr>
      </w:pPr>
    </w:p>
    <w:p w14:paraId="4DD014B6">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78.2 计算利息的利率</w:t>
      </w:r>
    </w:p>
    <w:p w14:paraId="1428CD08">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按照中国人民银行发布的同期同类贷款利率。</w:t>
      </w:r>
    </w:p>
    <w:p w14:paraId="3FA7A544">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政府工程则以财政审批时间为准，因政府相关部门财政审批迟延支付工程款的，发包人不承担违约责任。</w:t>
      </w:r>
    </w:p>
    <w:p w14:paraId="6523D542">
      <w:pPr>
        <w:spacing w:line="420" w:lineRule="exact"/>
        <w:rPr>
          <w:rFonts w:ascii="宋体" w:hAnsi="宋体" w:cs="宋体"/>
          <w:color w:val="auto"/>
          <w:kern w:val="0"/>
          <w:sz w:val="22"/>
          <w:szCs w:val="22"/>
          <w:highlight w:val="none"/>
          <w:u w:val="single"/>
        </w:rPr>
      </w:pPr>
    </w:p>
    <w:p w14:paraId="3935B08E">
      <w:pPr>
        <w:pStyle w:val="3"/>
        <w:numPr>
          <w:ilvl w:val="0"/>
          <w:numId w:val="0"/>
        </w:numPr>
        <w:tabs>
          <w:tab w:val="left" w:pos="420"/>
        </w:tabs>
        <w:spacing w:line="420" w:lineRule="exact"/>
        <w:rPr>
          <w:rFonts w:hAnsi="宋体"/>
          <w:b/>
          <w:bCs/>
          <w:color w:val="auto"/>
          <w:sz w:val="22"/>
          <w:szCs w:val="22"/>
          <w:highlight w:val="none"/>
        </w:rPr>
      </w:pPr>
      <w:bookmarkStart w:id="837" w:name="_Toc14883"/>
      <w:bookmarkStart w:id="838" w:name="_Toc155166205"/>
      <w:bookmarkStart w:id="839" w:name="_Toc31718"/>
      <w:bookmarkStart w:id="840" w:name="_Toc26395"/>
      <w:bookmarkStart w:id="841" w:name="_Toc17605"/>
      <w:bookmarkStart w:id="842" w:name="_Toc469384128"/>
      <w:r>
        <w:rPr>
          <w:rFonts w:hint="eastAsia" w:hAnsi="宋体"/>
          <w:b/>
          <w:bCs/>
          <w:color w:val="auto"/>
          <w:sz w:val="22"/>
          <w:szCs w:val="22"/>
          <w:highlight w:val="none"/>
        </w:rPr>
        <w:t>★79. 预付款</w:t>
      </w:r>
      <w:bookmarkEnd w:id="837"/>
      <w:bookmarkEnd w:id="838"/>
      <w:bookmarkEnd w:id="839"/>
      <w:bookmarkEnd w:id="840"/>
      <w:bookmarkEnd w:id="841"/>
      <w:bookmarkEnd w:id="842"/>
    </w:p>
    <w:p w14:paraId="3DD1782A">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p>
    <w:p w14:paraId="17ACE1A9">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ascii="宋体" w:hAnsi="宋体" w:cs="宋体"/>
          <w:color w:val="auto"/>
          <w:kern w:val="0"/>
          <w:sz w:val="22"/>
          <w:szCs w:val="22"/>
          <w:highlight w:val="none"/>
        </w:rPr>
        <w:t xml:space="preserve">79.1 </w:t>
      </w:r>
      <w:r>
        <w:rPr>
          <w:rFonts w:hint="eastAsia" w:ascii="宋体" w:hAnsi="宋体" w:cs="宋体"/>
          <w:color w:val="auto"/>
          <w:kern w:val="0"/>
          <w:sz w:val="22"/>
          <w:szCs w:val="22"/>
          <w:highlight w:val="none"/>
        </w:rPr>
        <w:t>预付款的约定及管理</w:t>
      </w:r>
    </w:p>
    <w:p w14:paraId="04314419">
      <w:pPr>
        <w:spacing w:line="420" w:lineRule="exact"/>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（1） 预付款的约定</w:t>
      </w:r>
    </w:p>
    <w:p w14:paraId="79136AA9">
      <w:pPr>
        <w:spacing w:line="420" w:lineRule="exact"/>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 没约定预付款的，本条不适用。</w:t>
      </w:r>
    </w:p>
    <w:p w14:paraId="0B48886F">
      <w:pPr>
        <w:spacing w:line="420" w:lineRule="exact"/>
        <w:rPr>
          <w:rFonts w:ascii="宋体" w:hAnsi="宋体" w:cs="宋体"/>
          <w:color w:val="auto"/>
          <w:kern w:val="0"/>
          <w:sz w:val="22"/>
          <w:szCs w:val="22"/>
          <w:highlight w:val="none"/>
        </w:rPr>
      </w:pP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■约定预付款的，预付款的金额为</w:t>
      </w:r>
      <w:r>
        <w:rPr>
          <w:rFonts w:hint="eastAsia" w:ascii="宋体" w:hAnsi="宋体" w:cs="宋体"/>
          <w:color w:val="auto"/>
          <w:kern w:val="0"/>
          <w:sz w:val="22"/>
          <w:szCs w:val="22"/>
          <w:highlight w:val="none"/>
          <w:u w:val="single"/>
        </w:rPr>
        <w:t>签约合同价的</w:t>
      </w:r>
      <w:r>
        <w:rPr>
          <w:rFonts w:ascii="宋体" w:hAnsi="宋体" w:cs="宋体"/>
          <w:color w:val="auto"/>
          <w:kern w:val="0"/>
          <w:sz w:val="22"/>
          <w:szCs w:val="22"/>
          <w:highlight w:val="none"/>
          <w:u w:val="single"/>
        </w:rPr>
        <w:t>30%</w:t>
      </w:r>
      <w:r>
        <w:rPr>
          <w:rFonts w:hint="eastAsia" w:ascii="宋体" w:hAnsi="宋体" w:cs="宋体"/>
          <w:color w:val="auto"/>
          <w:kern w:val="0"/>
          <w:sz w:val="22"/>
          <w:szCs w:val="22"/>
          <w:highlight w:val="none"/>
          <w:u w:val="single"/>
        </w:rPr>
        <w:t>（包括安全防护、文明施工措施项目费用）</w:t>
      </w:r>
      <w:r>
        <w:rPr>
          <w:rFonts w:hint="eastAsia" w:ascii="宋体" w:hAnsi="宋体" w:cs="宋体"/>
          <w:color w:val="auto"/>
          <w:kern w:val="0"/>
          <w:sz w:val="22"/>
          <w:szCs w:val="22"/>
          <w:highlight w:val="none"/>
        </w:rPr>
        <w:t>，其支付办法和抵扣方式，按本条有关专用条款的约定。</w:t>
      </w:r>
    </w:p>
    <w:p w14:paraId="09CFEBA0">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 预付款的最高限额</w:t>
      </w:r>
    </w:p>
    <w:p w14:paraId="314961AA">
      <w:pPr>
        <w:pStyle w:val="22"/>
        <w:adjustRightInd w:val="0"/>
        <w:snapToGrid w:val="0"/>
        <w:spacing w:line="420" w:lineRule="exact"/>
        <w:rPr>
          <w:rFonts w:hAnsi="宋体"/>
          <w:color w:val="auto"/>
          <w:kern w:val="0"/>
          <w:sz w:val="22"/>
          <w:szCs w:val="22"/>
          <w:highlight w:val="none"/>
        </w:rPr>
      </w:pPr>
      <w:r>
        <w:rPr>
          <w:rFonts w:hint="eastAsia" w:hAnsi="宋体"/>
          <w:color w:val="auto"/>
          <w:kern w:val="0"/>
          <w:sz w:val="22"/>
          <w:szCs w:val="22"/>
          <w:highlight w:val="none"/>
        </w:rPr>
        <w:t xml:space="preserve">  □预付比例不低于合同价款（扣除暂列金额）的10%，不高于合同价款（扣除暂列金额）的30%</w:t>
      </w:r>
    </w:p>
    <w:p w14:paraId="662E57FC">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，即 </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%，即  </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7C987BB7">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p>
    <w:p w14:paraId="19DA2BDF">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（3） </w:t>
      </w:r>
      <w:r>
        <w:rPr>
          <w:rFonts w:ascii="宋体" w:hAnsi="宋体" w:cs="宋体"/>
          <w:color w:val="auto"/>
          <w:kern w:val="0"/>
          <w:sz w:val="22"/>
          <w:szCs w:val="22"/>
          <w:highlight w:val="none"/>
        </w:rPr>
        <w:t>预付款</w:t>
      </w:r>
      <w:r>
        <w:rPr>
          <w:rFonts w:hint="eastAsia" w:ascii="宋体" w:hAnsi="宋体" w:cs="宋体"/>
          <w:color w:val="auto"/>
          <w:kern w:val="0"/>
          <w:sz w:val="22"/>
          <w:szCs w:val="22"/>
          <w:highlight w:val="none"/>
        </w:rPr>
        <w:t>支付后</w:t>
      </w:r>
      <w:r>
        <w:rPr>
          <w:rFonts w:ascii="宋体" w:hAnsi="宋体" w:cs="宋体"/>
          <w:color w:val="auto"/>
          <w:kern w:val="0"/>
          <w:sz w:val="22"/>
          <w:szCs w:val="22"/>
          <w:highlight w:val="none"/>
        </w:rPr>
        <w:t>的</w:t>
      </w:r>
      <w:r>
        <w:rPr>
          <w:rFonts w:hint="eastAsia" w:ascii="宋体" w:hAnsi="宋体" w:cs="宋体"/>
          <w:color w:val="auto"/>
          <w:kern w:val="0"/>
          <w:sz w:val="22"/>
          <w:szCs w:val="22"/>
          <w:highlight w:val="none"/>
        </w:rPr>
        <w:t>管理：</w:t>
      </w:r>
      <w:r>
        <w:rPr>
          <w:rFonts w:hint="eastAsia" w:ascii="宋体" w:hAnsi="宋体" w:cs="宋体"/>
          <w:color w:val="auto"/>
          <w:kern w:val="0"/>
          <w:sz w:val="22"/>
          <w:szCs w:val="22"/>
          <w:highlight w:val="none"/>
          <w:u w:val="single"/>
        </w:rPr>
        <w:t>若承包人收到预付款后，未能按发包人的要求组织进场开工，超期5天及以上的，则扣罚50%的预付款；超期10天及以上的，则扣罚全额的预付款。</w:t>
      </w:r>
    </w:p>
    <w:p w14:paraId="717E74C0">
      <w:pPr>
        <w:spacing w:line="420" w:lineRule="exact"/>
        <w:rPr>
          <w:rFonts w:ascii="宋体" w:hAnsi="宋体" w:cs="宋体"/>
          <w:color w:val="auto"/>
          <w:kern w:val="0"/>
          <w:sz w:val="22"/>
          <w:szCs w:val="22"/>
          <w:highlight w:val="none"/>
        </w:rPr>
      </w:pPr>
    </w:p>
    <w:p w14:paraId="4BEB9909">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79.2 提交预付款支付申请期限：</w:t>
      </w:r>
    </w:p>
    <w:p w14:paraId="78A29936">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按承包人在完成本款三项工作后的7天内。</w:t>
      </w:r>
    </w:p>
    <w:p w14:paraId="5C468194">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承包人收到开工令后，向发包人提交请款资料，并提供与预付款等额的增值税发票。</w:t>
      </w:r>
      <w:r>
        <w:rPr>
          <w:rFonts w:hint="eastAsia" w:ascii="宋体" w:hAnsi="宋体" w:cs="宋体"/>
          <w:color w:val="auto"/>
          <w:kern w:val="0"/>
          <w:sz w:val="22"/>
          <w:szCs w:val="22"/>
          <w:highlight w:val="none"/>
          <w:u w:val="single"/>
          <w:shd w:val="clear" w:color="auto" w:fill="auto"/>
        </w:rPr>
        <w:t>承包人不需向发包人提供与预付款等额的预付款保函。</w:t>
      </w:r>
      <w:r>
        <w:rPr>
          <w:rFonts w:hint="eastAsia" w:ascii="宋体" w:hAnsi="宋体" w:cs="宋体"/>
          <w:color w:val="auto"/>
          <w:kern w:val="0"/>
          <w:sz w:val="22"/>
          <w:szCs w:val="22"/>
          <w:highlight w:val="none"/>
          <w:u w:val="single"/>
        </w:rPr>
        <w:t>合同协议书签订后，经监理人出具付款证书报送发包人批准且经财政同意后，直接拨付合同价30%的预付款到承包人账户（包括安全防护、文明施工措施项目费用）。</w:t>
      </w:r>
    </w:p>
    <w:p w14:paraId="50C3F108">
      <w:pPr>
        <w:spacing w:line="420" w:lineRule="exact"/>
        <w:rPr>
          <w:rFonts w:ascii="宋体" w:hAnsi="宋体" w:cs="宋体"/>
          <w:color w:val="auto"/>
          <w:kern w:val="0"/>
          <w:sz w:val="22"/>
          <w:szCs w:val="22"/>
          <w:highlight w:val="none"/>
          <w:u w:val="single"/>
        </w:rPr>
      </w:pPr>
    </w:p>
    <w:p w14:paraId="0D11528A">
      <w:pPr>
        <w:spacing w:line="420" w:lineRule="exact"/>
        <w:rPr>
          <w:rFonts w:ascii="宋体" w:hAnsi="宋体" w:cs="宋体"/>
          <w:color w:val="auto"/>
          <w:kern w:val="0"/>
          <w:sz w:val="22"/>
          <w:szCs w:val="22"/>
          <w:highlight w:val="none"/>
          <w:shd w:val="clear" w:color="auto" w:fill="FFC000"/>
        </w:rPr>
      </w:pPr>
      <w:r>
        <w:rPr>
          <w:rFonts w:hint="eastAsia" w:ascii="宋体" w:hAnsi="宋体" w:cs="宋体"/>
          <w:color w:val="auto"/>
          <w:kern w:val="0"/>
          <w:sz w:val="22"/>
          <w:szCs w:val="22"/>
          <w:highlight w:val="none"/>
        </w:rPr>
        <w:t xml:space="preserve"> </w:t>
      </w:r>
      <w:r>
        <w:rPr>
          <w:rFonts w:hint="eastAsia" w:ascii="宋体" w:hAnsi="宋体" w:cs="宋体"/>
          <w:color w:val="auto"/>
          <w:kern w:val="0"/>
          <w:sz w:val="22"/>
          <w:szCs w:val="22"/>
          <w:highlight w:val="none"/>
          <w:shd w:val="clear" w:color="auto" w:fill="auto"/>
        </w:rPr>
        <w:t xml:space="preserve"> 79.4 预付款抵扣方式</w:t>
      </w:r>
    </w:p>
    <w:p w14:paraId="2F58E5AC">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预付款按照期中应支付工程款的</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%扣回，直到扣完为止。</w:t>
      </w:r>
    </w:p>
    <w:p w14:paraId="5BD6DE16">
      <w:pPr>
        <w:spacing w:line="420" w:lineRule="exact"/>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其它方式：</w:t>
      </w:r>
      <w:r>
        <w:rPr>
          <w:rFonts w:hint="eastAsia" w:ascii="宋体" w:hAnsi="宋体" w:cs="宋体"/>
          <w:color w:val="auto"/>
          <w:kern w:val="0"/>
          <w:sz w:val="22"/>
          <w:szCs w:val="22"/>
          <w:highlight w:val="none"/>
          <w:u w:val="single"/>
        </w:rPr>
        <w:t xml:space="preserve">承包人完成工程进度超过合同总价的30%后，发包人于次月开始按比例支付工程进度款，每期进度款拨付按已完成工程量支付总价的90%，并在第一次进度款中扣回30%的预付款 </w:t>
      </w:r>
    </w:p>
    <w:p w14:paraId="730CE0AD">
      <w:pPr>
        <w:spacing w:line="420" w:lineRule="exact"/>
        <w:rPr>
          <w:rFonts w:ascii="宋体" w:hAnsi="宋体" w:cs="宋体"/>
          <w:color w:val="auto"/>
          <w:kern w:val="0"/>
          <w:sz w:val="22"/>
          <w:szCs w:val="22"/>
          <w:highlight w:val="none"/>
          <w:u w:val="single"/>
        </w:rPr>
      </w:pPr>
    </w:p>
    <w:p w14:paraId="1905CF3D">
      <w:pPr>
        <w:spacing w:line="420" w:lineRule="exact"/>
        <w:rPr>
          <w:rFonts w:ascii="宋体" w:hAnsi="宋体" w:cs="宋体"/>
          <w:color w:val="auto"/>
          <w:kern w:val="0"/>
          <w:sz w:val="22"/>
          <w:szCs w:val="22"/>
          <w:highlight w:val="none"/>
        </w:rPr>
      </w:pPr>
      <w:r>
        <w:rPr>
          <w:rFonts w:ascii="宋体" w:hAnsi="宋体" w:cs="宋体"/>
          <w:color w:val="auto"/>
          <w:kern w:val="0"/>
          <w:sz w:val="22"/>
          <w:szCs w:val="22"/>
          <w:highlight w:val="none"/>
        </w:rPr>
        <w:t>79.5</w:t>
      </w:r>
      <w:r>
        <w:rPr>
          <w:rFonts w:hint="eastAsia" w:ascii="宋体" w:hAnsi="宋体" w:cs="宋体"/>
          <w:color w:val="auto"/>
          <w:kern w:val="0"/>
          <w:sz w:val="22"/>
          <w:szCs w:val="22"/>
          <w:highlight w:val="none"/>
        </w:rPr>
        <w:t>预付款保函的有效与退还：</w:t>
      </w:r>
      <w:r>
        <w:rPr>
          <w:rFonts w:hint="eastAsia" w:ascii="宋体" w:hAnsi="宋体" w:cs="宋体"/>
          <w:color w:val="auto"/>
          <w:kern w:val="0"/>
          <w:sz w:val="22"/>
          <w:szCs w:val="22"/>
          <w:highlight w:val="none"/>
          <w:u w:val="single"/>
        </w:rPr>
        <w:t>本项目不适用</w:t>
      </w:r>
      <w:r>
        <w:rPr>
          <w:rFonts w:hint="eastAsia" w:ascii="宋体" w:hAnsi="宋体" w:cs="宋体"/>
          <w:color w:val="auto"/>
          <w:kern w:val="0"/>
          <w:sz w:val="22"/>
          <w:szCs w:val="22"/>
          <w:highlight w:val="none"/>
        </w:rPr>
        <w:t>。</w:t>
      </w:r>
    </w:p>
    <w:p w14:paraId="03C72C96">
      <w:pPr>
        <w:spacing w:line="420" w:lineRule="exact"/>
        <w:rPr>
          <w:rFonts w:ascii="宋体" w:hAnsi="宋体" w:cs="宋体"/>
          <w:color w:val="auto"/>
          <w:kern w:val="0"/>
          <w:sz w:val="22"/>
          <w:szCs w:val="22"/>
          <w:highlight w:val="none"/>
        </w:rPr>
      </w:pPr>
    </w:p>
    <w:p w14:paraId="5B29A50C">
      <w:pPr>
        <w:pStyle w:val="3"/>
        <w:numPr>
          <w:ilvl w:val="0"/>
          <w:numId w:val="0"/>
        </w:numPr>
        <w:tabs>
          <w:tab w:val="left" w:pos="420"/>
        </w:tabs>
        <w:spacing w:line="420" w:lineRule="exact"/>
        <w:rPr>
          <w:rFonts w:hAnsi="宋体"/>
          <w:b/>
          <w:bCs/>
          <w:color w:val="auto"/>
          <w:sz w:val="22"/>
          <w:szCs w:val="22"/>
          <w:highlight w:val="none"/>
        </w:rPr>
      </w:pPr>
      <w:bookmarkStart w:id="843" w:name="_Toc12693"/>
      <w:bookmarkStart w:id="844" w:name="_Toc30435"/>
      <w:bookmarkStart w:id="845" w:name="_Toc6292"/>
      <w:bookmarkStart w:id="846" w:name="_Toc469384129"/>
      <w:bookmarkStart w:id="847" w:name="_Toc155166206"/>
      <w:bookmarkStart w:id="848" w:name="_Toc23659"/>
      <w:r>
        <w:rPr>
          <w:rFonts w:hint="eastAsia" w:hAnsi="宋体"/>
          <w:b/>
          <w:bCs/>
          <w:color w:val="auto"/>
          <w:sz w:val="22"/>
          <w:szCs w:val="22"/>
          <w:highlight w:val="none"/>
        </w:rPr>
        <w:t>★80. 绿色施工安全防护费</w:t>
      </w:r>
      <w:bookmarkEnd w:id="843"/>
      <w:bookmarkEnd w:id="844"/>
      <w:bookmarkEnd w:id="845"/>
      <w:bookmarkEnd w:id="846"/>
      <w:bookmarkEnd w:id="847"/>
      <w:bookmarkEnd w:id="848"/>
    </w:p>
    <w:p w14:paraId="7F513D0F">
      <w:pPr>
        <w:spacing w:line="420" w:lineRule="exact"/>
        <w:rPr>
          <w:rFonts w:ascii="宋体" w:hAnsi="宋体" w:cs="宋体"/>
          <w:color w:val="auto"/>
          <w:kern w:val="0"/>
          <w:sz w:val="22"/>
          <w:szCs w:val="22"/>
          <w:highlight w:val="none"/>
        </w:rPr>
      </w:pPr>
    </w:p>
    <w:p w14:paraId="4C77DB1D">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b/>
          <w:bCs/>
          <w:color w:val="auto"/>
          <w:sz w:val="22"/>
          <w:szCs w:val="22"/>
          <w:highlight w:val="none"/>
        </w:rPr>
        <w:t>★</w:t>
      </w:r>
      <w:r>
        <w:rPr>
          <w:rFonts w:hint="eastAsia" w:ascii="宋体" w:hAnsi="宋体" w:cs="宋体"/>
          <w:color w:val="auto"/>
          <w:kern w:val="0"/>
          <w:sz w:val="22"/>
          <w:szCs w:val="22"/>
          <w:highlight w:val="none"/>
        </w:rPr>
        <w:t xml:space="preserve">80.1 </w:t>
      </w:r>
      <w:r>
        <w:rPr>
          <w:rFonts w:hint="eastAsia" w:ascii="宋体" w:hAnsi="宋体" w:cs="宋体"/>
          <w:color w:val="auto"/>
          <w:sz w:val="22"/>
          <w:szCs w:val="22"/>
          <w:highlight w:val="none"/>
        </w:rPr>
        <w:t>绿色施工安全防护</w:t>
      </w:r>
      <w:r>
        <w:rPr>
          <w:rFonts w:hint="eastAsia" w:ascii="宋体" w:hAnsi="宋体" w:cs="宋体"/>
          <w:color w:val="auto"/>
          <w:kern w:val="0"/>
          <w:sz w:val="22"/>
          <w:szCs w:val="22"/>
          <w:highlight w:val="none"/>
        </w:rPr>
        <w:t>费的内容、范围和金额</w:t>
      </w:r>
    </w:p>
    <w:p w14:paraId="6859BFC1">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（1） 内容和范围</w:t>
      </w:r>
    </w:p>
    <w:p w14:paraId="7EC6FD66">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按通用条款的规定，以现行广东省统一工程计价依据规定、</w:t>
      </w:r>
      <w:r>
        <w:rPr>
          <w:rFonts w:hint="eastAsia" w:ascii="宋体" w:hAnsi="宋体" w:cs="宋体"/>
          <w:color w:val="auto"/>
          <w:sz w:val="22"/>
          <w:szCs w:val="22"/>
          <w:highlight w:val="none"/>
        </w:rPr>
        <w:t>省市造价管理部门发布管理文件</w:t>
      </w:r>
      <w:r>
        <w:rPr>
          <w:rFonts w:hint="eastAsia" w:ascii="宋体" w:hAnsi="宋体" w:cs="宋体"/>
          <w:color w:val="auto"/>
          <w:kern w:val="0"/>
          <w:sz w:val="22"/>
          <w:szCs w:val="22"/>
          <w:highlight w:val="none"/>
        </w:rPr>
        <w:t>为准。</w:t>
      </w:r>
    </w:p>
    <w:p w14:paraId="6DDC9E40">
      <w:pPr>
        <w:spacing w:line="420" w:lineRule="exact"/>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另作约定：本条款“绿色施工安全防护费”指“安全生产措施费”。</w:t>
      </w:r>
      <w:r>
        <w:rPr>
          <w:rFonts w:hint="eastAsia" w:ascii="宋体" w:hAnsi="宋体" w:cs="宋体"/>
          <w:color w:val="auto"/>
          <w:kern w:val="0"/>
          <w:sz w:val="22"/>
          <w:szCs w:val="22"/>
          <w:highlight w:val="none"/>
          <w:u w:val="single"/>
        </w:rPr>
        <w:t>本合同工程安全生产措施费的内容、范围和金额，以现行广东省统一工程计价依据规定为准。所有的安全生产措施费已经包含在承包人的投标报价中，发包人不另行支付。</w:t>
      </w:r>
    </w:p>
    <w:p w14:paraId="09FBFA5E">
      <w:pPr>
        <w:spacing w:line="42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安全生产措施费按照“专款专用、按实计量、独立拨付、独立核算”的原则进行管理，至安全生产措施费已经按实全部拨付，还需要进行安全生产措施费投入的，则需增加的安全生产措施费视为已经包含在投标报价中，承包人仍需提交安全生产措施费投入计划，并按批准的计划做好安全文明施工措施，但发包人不另外计量支付。</w:t>
      </w:r>
    </w:p>
    <w:p w14:paraId="2A81D54D">
      <w:pPr>
        <w:spacing w:line="420" w:lineRule="exact"/>
        <w:ind w:firstLine="440" w:firstLineChars="200"/>
        <w:rPr>
          <w:rFonts w:hint="eastAsia" w:ascii="宋体" w:hAnsi="宋体" w:cs="宋体"/>
          <w:color w:val="auto"/>
          <w:kern w:val="0"/>
          <w:sz w:val="22"/>
          <w:szCs w:val="22"/>
          <w:highlight w:val="none"/>
        </w:rPr>
      </w:pPr>
    </w:p>
    <w:p w14:paraId="43285F2D">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 </w:t>
      </w:r>
      <w:r>
        <w:rPr>
          <w:rFonts w:hint="eastAsia" w:ascii="宋体" w:hAnsi="宋体" w:cs="宋体"/>
          <w:color w:val="auto"/>
          <w:sz w:val="22"/>
          <w:szCs w:val="22"/>
          <w:highlight w:val="none"/>
        </w:rPr>
        <w:t>安全生产措施费</w:t>
      </w:r>
      <w:r>
        <w:rPr>
          <w:rFonts w:hint="eastAsia" w:ascii="宋体" w:hAnsi="宋体" w:cs="宋体"/>
          <w:color w:val="auto"/>
          <w:kern w:val="0"/>
          <w:sz w:val="22"/>
          <w:szCs w:val="22"/>
          <w:highlight w:val="none"/>
        </w:rPr>
        <w:t>的总金额为</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60F2BB85">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其中：施工扬尘污染防治措施费为</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0695A604">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用工实名管理费为</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0CB2B57C">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危大工程安全防护文明施工措施费</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405ED343">
      <w:pPr>
        <w:spacing w:line="420" w:lineRule="exact"/>
        <w:rPr>
          <w:rFonts w:ascii="宋体" w:hAnsi="宋体" w:cs="宋体"/>
          <w:color w:val="auto"/>
          <w:kern w:val="0"/>
          <w:sz w:val="22"/>
          <w:szCs w:val="22"/>
          <w:highlight w:val="none"/>
        </w:rPr>
      </w:pPr>
    </w:p>
    <w:p w14:paraId="601D3299">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80.2 支付申请的提交与核实</w:t>
      </w:r>
    </w:p>
    <w:p w14:paraId="04D7997D">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按通用条款的规定。</w:t>
      </w:r>
    </w:p>
    <w:p w14:paraId="4681FB17">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6EAEB024">
      <w:pPr>
        <w:spacing w:line="420" w:lineRule="exact"/>
        <w:rPr>
          <w:rFonts w:ascii="宋体" w:hAnsi="宋体" w:cs="宋体"/>
          <w:color w:val="auto"/>
          <w:kern w:val="0"/>
          <w:sz w:val="22"/>
          <w:szCs w:val="22"/>
          <w:highlight w:val="none"/>
        </w:rPr>
      </w:pPr>
    </w:p>
    <w:p w14:paraId="2DA3113B">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80.3 费用支付</w:t>
      </w:r>
    </w:p>
    <w:p w14:paraId="054DFE9D">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color w:val="auto"/>
          <w:sz w:val="22"/>
          <w:szCs w:val="22"/>
          <w:highlight w:val="none"/>
        </w:rPr>
        <w:t>绿色施工安全防护</w:t>
      </w:r>
      <w:r>
        <w:rPr>
          <w:rFonts w:hint="eastAsia" w:ascii="宋体" w:hAnsi="宋体" w:cs="宋体"/>
          <w:color w:val="auto"/>
          <w:kern w:val="0"/>
          <w:sz w:val="22"/>
          <w:szCs w:val="22"/>
          <w:highlight w:val="none"/>
        </w:rPr>
        <w:t>费的支付办法和抵扣方式：</w:t>
      </w:r>
    </w:p>
    <w:p w14:paraId="31FE3CF6">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按通用条款的规定。</w:t>
      </w:r>
    </w:p>
    <w:p w14:paraId="506C1406">
      <w:pPr>
        <w:pStyle w:val="22"/>
        <w:spacing w:line="360" w:lineRule="auto"/>
        <w:ind w:firstLine="220" w:firstLineChars="100"/>
        <w:rPr>
          <w:rFonts w:hAnsi="宋体"/>
          <w:color w:val="auto"/>
          <w:kern w:val="0"/>
          <w:sz w:val="22"/>
          <w:szCs w:val="22"/>
          <w:highlight w:val="none"/>
          <w:u w:val="single"/>
        </w:rPr>
      </w:pPr>
      <w:r>
        <w:rPr>
          <w:rFonts w:hint="eastAsia" w:hAnsi="宋体"/>
          <w:color w:val="auto"/>
          <w:kern w:val="0"/>
          <w:sz w:val="22"/>
          <w:szCs w:val="22"/>
          <w:highlight w:val="none"/>
        </w:rPr>
        <w:t>■ 另作约定：</w:t>
      </w:r>
      <w:r>
        <w:rPr>
          <w:rFonts w:hint="eastAsia" w:hAnsi="宋体"/>
          <w:color w:val="auto"/>
          <w:kern w:val="0"/>
          <w:sz w:val="22"/>
          <w:szCs w:val="22"/>
          <w:highlight w:val="none"/>
          <w:u w:val="single"/>
        </w:rPr>
        <w:t>经审查符合开工条件支付50%，中间安全评价合格后支付40%，工程竣工安全评价合格后支付10%。安全生产措施费须由发包人安全员及监理人对安全生产措施评价确认后，方可支付。</w:t>
      </w:r>
    </w:p>
    <w:p w14:paraId="54AFB18E">
      <w:pPr>
        <w:spacing w:line="420" w:lineRule="exact"/>
        <w:rPr>
          <w:rFonts w:ascii="宋体" w:hAnsi="宋体" w:cs="宋体"/>
          <w:color w:val="auto"/>
          <w:kern w:val="0"/>
          <w:sz w:val="22"/>
          <w:szCs w:val="22"/>
          <w:highlight w:val="none"/>
        </w:rPr>
      </w:pPr>
    </w:p>
    <w:p w14:paraId="3F090213">
      <w:pPr>
        <w:spacing w:line="420" w:lineRule="exact"/>
        <w:ind w:firstLine="221" w:firstLineChars="100"/>
        <w:rPr>
          <w:rFonts w:ascii="宋体" w:hAnsi="宋体" w:cs="宋体"/>
          <w:b/>
          <w:bCs/>
          <w:color w:val="auto"/>
          <w:kern w:val="0"/>
          <w:sz w:val="22"/>
          <w:szCs w:val="22"/>
          <w:highlight w:val="none"/>
        </w:rPr>
      </w:pPr>
      <w:r>
        <w:rPr>
          <w:rFonts w:hint="eastAsia" w:ascii="宋体" w:hAnsi="宋体" w:cs="宋体"/>
          <w:b/>
          <w:bCs/>
          <w:color w:val="auto"/>
          <w:sz w:val="22"/>
          <w:szCs w:val="22"/>
          <w:highlight w:val="none"/>
        </w:rPr>
        <w:t>★</w:t>
      </w:r>
      <w:r>
        <w:rPr>
          <w:rFonts w:hint="eastAsia" w:ascii="宋体" w:hAnsi="宋体" w:cs="宋体"/>
          <w:color w:val="auto"/>
          <w:kern w:val="0"/>
          <w:sz w:val="22"/>
          <w:szCs w:val="22"/>
          <w:highlight w:val="none"/>
        </w:rPr>
        <w:t>80.6 文明工地增加费</w:t>
      </w:r>
    </w:p>
    <w:p w14:paraId="76378BF1">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文明工地增加费的计算额度：</w:t>
      </w:r>
    </w:p>
    <w:p w14:paraId="5ABD6D3A">
      <w:pPr>
        <w:spacing w:line="420" w:lineRule="exact"/>
        <w:ind w:firstLine="110" w:firstLineChars="5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按通用条款规定计算。</w:t>
      </w:r>
    </w:p>
    <w:p w14:paraId="1F1F69B1">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按分部分项工程费为基础计算。</w:t>
      </w:r>
    </w:p>
    <w:p w14:paraId="0D98F682">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另作约定（文明工地增加费率参考广东省建设工程计价依据文明工地增加费、广州市住房和城乡建设局发布的文明工地增加费；合同工程同时获得下列多个奖项的，只按最高奖项的额度计算。）：</w:t>
      </w:r>
    </w:p>
    <w:p w14:paraId="4A6A556D">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color w:val="auto"/>
          <w:sz w:val="22"/>
          <w:szCs w:val="22"/>
          <w:highlight w:val="none"/>
        </w:rPr>
        <w:t>市级安全文明工地</w:t>
      </w:r>
      <w:r>
        <w:rPr>
          <w:rFonts w:hint="eastAsia" w:ascii="宋体" w:hAnsi="宋体" w:cs="宋体"/>
          <w:color w:val="auto"/>
          <w:kern w:val="0"/>
          <w:sz w:val="22"/>
          <w:szCs w:val="22"/>
          <w:highlight w:val="none"/>
        </w:rPr>
        <w:t>增加费</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5F2DF021">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color w:val="auto"/>
          <w:sz w:val="22"/>
          <w:szCs w:val="22"/>
          <w:highlight w:val="none"/>
        </w:rPr>
        <w:t>省级安全文明工地</w:t>
      </w:r>
      <w:r>
        <w:rPr>
          <w:rFonts w:hint="eastAsia" w:ascii="宋体" w:hAnsi="宋体" w:cs="宋体"/>
          <w:color w:val="auto"/>
          <w:kern w:val="0"/>
          <w:sz w:val="22"/>
          <w:szCs w:val="22"/>
          <w:highlight w:val="none"/>
        </w:rPr>
        <w:t>增加费</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619230A5">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color w:val="auto"/>
          <w:sz w:val="22"/>
          <w:szCs w:val="22"/>
          <w:highlight w:val="none"/>
        </w:rPr>
        <w:t>国家级安全文明工地</w:t>
      </w:r>
      <w:r>
        <w:rPr>
          <w:rFonts w:hint="eastAsia" w:ascii="宋体" w:hAnsi="宋体" w:cs="宋体"/>
          <w:color w:val="auto"/>
          <w:kern w:val="0"/>
          <w:sz w:val="22"/>
          <w:szCs w:val="22"/>
          <w:highlight w:val="none"/>
        </w:rPr>
        <w:t>增加费</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3182854A">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其它</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，文明工地增加费</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43F77C13">
      <w:pPr>
        <w:spacing w:line="420" w:lineRule="exact"/>
        <w:rPr>
          <w:rFonts w:ascii="宋体" w:hAnsi="宋体" w:cs="宋体"/>
          <w:color w:val="auto"/>
          <w:kern w:val="0"/>
          <w:sz w:val="22"/>
          <w:szCs w:val="22"/>
          <w:highlight w:val="none"/>
        </w:rPr>
      </w:pPr>
    </w:p>
    <w:p w14:paraId="253A3B1A">
      <w:pPr>
        <w:pStyle w:val="3"/>
        <w:numPr>
          <w:ilvl w:val="0"/>
          <w:numId w:val="0"/>
        </w:numPr>
        <w:tabs>
          <w:tab w:val="left" w:pos="420"/>
        </w:tabs>
        <w:spacing w:line="420" w:lineRule="exact"/>
        <w:rPr>
          <w:rFonts w:hAnsi="宋体"/>
          <w:b/>
          <w:bCs/>
          <w:color w:val="auto"/>
          <w:sz w:val="22"/>
          <w:szCs w:val="22"/>
          <w:highlight w:val="none"/>
        </w:rPr>
      </w:pPr>
      <w:bookmarkStart w:id="849" w:name="_Toc155166207"/>
      <w:bookmarkStart w:id="850" w:name="_Toc5882"/>
      <w:bookmarkStart w:id="851" w:name="_Toc29426"/>
      <w:bookmarkStart w:id="852" w:name="_Toc469384130"/>
      <w:bookmarkStart w:id="853" w:name="_Toc13007"/>
      <w:bookmarkStart w:id="854" w:name="_Toc29577"/>
      <w:r>
        <w:rPr>
          <w:rFonts w:hint="eastAsia" w:hAnsi="宋体"/>
          <w:b/>
          <w:bCs/>
          <w:color w:val="auto"/>
          <w:sz w:val="22"/>
          <w:szCs w:val="22"/>
          <w:highlight w:val="none"/>
        </w:rPr>
        <w:t>★81. 进度款</w:t>
      </w:r>
      <w:bookmarkEnd w:id="849"/>
      <w:bookmarkEnd w:id="850"/>
      <w:bookmarkEnd w:id="851"/>
      <w:bookmarkEnd w:id="852"/>
      <w:bookmarkEnd w:id="853"/>
      <w:bookmarkEnd w:id="854"/>
    </w:p>
    <w:p w14:paraId="308F837F">
      <w:pPr>
        <w:spacing w:line="420" w:lineRule="exact"/>
        <w:rPr>
          <w:rFonts w:ascii="宋体" w:hAnsi="宋体" w:cs="宋体"/>
          <w:color w:val="auto"/>
          <w:kern w:val="0"/>
          <w:sz w:val="22"/>
          <w:szCs w:val="22"/>
          <w:highlight w:val="none"/>
        </w:rPr>
      </w:pPr>
    </w:p>
    <w:p w14:paraId="5734012C">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81.1 约定支付期限和提交支付申请</w:t>
      </w:r>
    </w:p>
    <w:p w14:paraId="22ED4479">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（1） 支付期限、比例</w:t>
      </w:r>
    </w:p>
    <w:p w14:paraId="3A7DF120">
      <w:pPr>
        <w:spacing w:line="420" w:lineRule="exac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以月为单位，支付比例：</w:t>
      </w:r>
      <w:r>
        <w:rPr>
          <w:rFonts w:hint="eastAsia" w:ascii="宋体" w:hAnsi="宋体" w:cs="宋体"/>
          <w:color w:val="auto"/>
          <w:kern w:val="0"/>
          <w:sz w:val="22"/>
          <w:szCs w:val="22"/>
          <w:highlight w:val="none"/>
          <w:u w:val="single"/>
        </w:rPr>
        <w:t xml:space="preserve"> </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 xml:space="preserve">      </w:t>
      </w:r>
    </w:p>
    <w:p w14:paraId="6869C2F3">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以季度为单位，支付比例：</w:t>
      </w:r>
      <w:r>
        <w:rPr>
          <w:rFonts w:hint="eastAsia" w:ascii="宋体" w:hAnsi="宋体" w:cs="宋体"/>
          <w:color w:val="auto"/>
          <w:kern w:val="0"/>
          <w:sz w:val="22"/>
          <w:szCs w:val="22"/>
          <w:highlight w:val="none"/>
          <w:u w:val="single"/>
        </w:rPr>
        <w:t xml:space="preserve">   /       </w:t>
      </w:r>
      <w:r>
        <w:rPr>
          <w:rFonts w:hint="eastAsia" w:ascii="宋体" w:hAnsi="宋体" w:cs="宋体"/>
          <w:color w:val="auto"/>
          <w:kern w:val="0"/>
          <w:sz w:val="22"/>
          <w:szCs w:val="22"/>
          <w:highlight w:val="none"/>
        </w:rPr>
        <w:t>。</w:t>
      </w:r>
    </w:p>
    <w:p w14:paraId="237E566C">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以形象进度为准，具体为：</w:t>
      </w:r>
      <w:r>
        <w:rPr>
          <w:rFonts w:hint="eastAsia" w:ascii="宋体" w:hAnsi="宋体" w:cs="宋体"/>
          <w:color w:val="auto"/>
          <w:kern w:val="0"/>
          <w:sz w:val="22"/>
          <w:szCs w:val="22"/>
          <w:highlight w:val="none"/>
          <w:u w:val="single"/>
        </w:rPr>
        <w:t xml:space="preserve">   /       </w:t>
      </w:r>
      <w:r>
        <w:rPr>
          <w:rFonts w:hint="eastAsia" w:ascii="宋体" w:hAnsi="宋体" w:cs="宋体"/>
          <w:color w:val="auto"/>
          <w:kern w:val="0"/>
          <w:sz w:val="22"/>
          <w:szCs w:val="22"/>
          <w:highlight w:val="none"/>
        </w:rPr>
        <w:t>。</w:t>
      </w:r>
    </w:p>
    <w:p w14:paraId="16CBCB7A">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实施施工过程结算方式，具体为：</w:t>
      </w:r>
      <w:r>
        <w:rPr>
          <w:rFonts w:hint="eastAsia" w:ascii="宋体" w:hAnsi="宋体" w:cs="宋体"/>
          <w:color w:val="auto"/>
          <w:kern w:val="0"/>
          <w:sz w:val="22"/>
          <w:szCs w:val="22"/>
          <w:highlight w:val="none"/>
          <w:u w:val="single"/>
        </w:rPr>
        <w:t xml:space="preserve">   /       </w:t>
      </w:r>
      <w:r>
        <w:rPr>
          <w:rFonts w:hint="eastAsia" w:ascii="宋体" w:hAnsi="宋体" w:cs="宋体"/>
          <w:color w:val="auto"/>
          <w:kern w:val="0"/>
          <w:sz w:val="22"/>
          <w:szCs w:val="22"/>
          <w:highlight w:val="none"/>
        </w:rPr>
        <w:t>。</w:t>
      </w:r>
    </w:p>
    <w:p w14:paraId="0D250823">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其它方式：</w:t>
      </w:r>
    </w:p>
    <w:p w14:paraId="6B1E0E8D">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1）承包人完成工程进度超过合同总价的30%后，发包人于次月开始按比例支付工程进度款，每期进度款拨付按已完成工程量支付总价的90%</w:t>
      </w:r>
      <w:r>
        <w:rPr>
          <w:rFonts w:hint="eastAsia" w:ascii="宋体" w:hAnsi="宋体" w:eastAsia="宋体" w:cs="宋体"/>
          <w:color w:val="auto"/>
          <w:kern w:val="0"/>
          <w:sz w:val="22"/>
          <w:szCs w:val="22"/>
          <w:highlight w:val="none"/>
          <w:u w:val="single"/>
        </w:rPr>
        <w:t>，并在第一次进度款中扣回</w:t>
      </w:r>
      <w:r>
        <w:rPr>
          <w:rFonts w:hint="eastAsia" w:ascii="宋体" w:hAnsi="宋体" w:eastAsia="宋体" w:cs="宋体"/>
          <w:color w:val="auto"/>
          <w:kern w:val="0"/>
          <w:sz w:val="22"/>
          <w:szCs w:val="22"/>
          <w:highlight w:val="none"/>
          <w:u w:val="single"/>
          <w:lang w:val="en-US" w:eastAsia="zh-CN"/>
        </w:rPr>
        <w:t>30%</w:t>
      </w:r>
      <w:r>
        <w:rPr>
          <w:rFonts w:hint="eastAsia" w:ascii="宋体" w:hAnsi="宋体" w:eastAsia="宋体" w:cs="宋体"/>
          <w:color w:val="auto"/>
          <w:kern w:val="0"/>
          <w:sz w:val="22"/>
          <w:szCs w:val="22"/>
          <w:highlight w:val="none"/>
          <w:u w:val="single"/>
        </w:rPr>
        <w:t>的预付款，</w:t>
      </w:r>
      <w:r>
        <w:rPr>
          <w:rFonts w:hint="eastAsia" w:ascii="宋体" w:hAnsi="宋体" w:cs="宋体"/>
          <w:color w:val="auto"/>
          <w:kern w:val="0"/>
          <w:sz w:val="22"/>
          <w:szCs w:val="22"/>
          <w:highlight w:val="none"/>
          <w:u w:val="single"/>
        </w:rPr>
        <w:t>承包人需提交履约保函。</w:t>
      </w:r>
    </w:p>
    <w:p w14:paraId="665BAB69">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2）承包人完成单位工程验收后，发包人向承包人支付至合同总价（扣除合同内变更部分）的80%；</w:t>
      </w:r>
    </w:p>
    <w:p w14:paraId="02BC66BC">
      <w:pPr>
        <w:spacing w:line="420" w:lineRule="exact"/>
        <w:ind w:firstLine="220" w:firstLineChars="1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3）合同内变更部分根据变更实施进度支付，最多支付至变更合同暂定价的60%；</w:t>
      </w:r>
    </w:p>
    <w:p w14:paraId="6D3CC4FF">
      <w:pPr>
        <w:spacing w:line="420" w:lineRule="exact"/>
        <w:ind w:firstLine="220" w:firstLineChars="1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4）承包人完成单位工程验收后，60天内提交结算及相关组卷资料，发包人向承包人支付至合同总价（扣除合同内变更部分）的90%；</w:t>
      </w:r>
    </w:p>
    <w:p w14:paraId="46DFCAF8">
      <w:pPr>
        <w:spacing w:line="420" w:lineRule="exact"/>
        <w:ind w:firstLine="220" w:firstLineChars="1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5）通过工程结算评审并组卷资料审核通过后，支付到结算评审价的100%。</w:t>
      </w:r>
    </w:p>
    <w:p w14:paraId="47E7C150">
      <w:pPr>
        <w:spacing w:line="420" w:lineRule="exact"/>
        <w:ind w:firstLine="220" w:firstLineChars="1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6)承包人每次请款都务必提供履约保函复印件一份，以便发包人核对履约保函的有效期。</w:t>
      </w:r>
    </w:p>
    <w:p w14:paraId="41601B35">
      <w:pPr>
        <w:spacing w:line="420" w:lineRule="exact"/>
        <w:ind w:firstLine="220" w:firstLineChars="1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7)根据穗综税办[2019]17号和番财[2019]597号文件精神，注册地在广州市以外地区的承包人每次请款都务必提供在建筑服务发生地的《增值税预缴税款表》和《中华人民共和国税收完税证明》两种凭证。</w:t>
      </w:r>
    </w:p>
    <w:p w14:paraId="407E98A7">
      <w:pPr>
        <w:spacing w:line="420" w:lineRule="exact"/>
        <w:ind w:firstLine="220" w:firstLineChars="1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变更工程量不得在进度款中申报，必须待结算评审后，相关审核单位同意的基础上，方可请款；涉及工程量清单名目的代换，被代换的名目不再申报。</w:t>
      </w:r>
    </w:p>
    <w:p w14:paraId="63C822D1">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注：请款资料包括但不限于请款函、项目相关批文、相关合同、开户许可证、发票等。</w:t>
      </w:r>
    </w:p>
    <w:p w14:paraId="32161DC5">
      <w:pPr>
        <w:spacing w:line="420" w:lineRule="exact"/>
        <w:rPr>
          <w:rFonts w:ascii="宋体" w:hAnsi="宋体" w:cs="宋体"/>
          <w:color w:val="auto"/>
          <w:kern w:val="0"/>
          <w:sz w:val="22"/>
          <w:szCs w:val="22"/>
          <w:highlight w:val="none"/>
          <w:u w:val="single"/>
        </w:rPr>
      </w:pPr>
    </w:p>
    <w:p w14:paraId="215FE4A2">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81.1 （11）本期间应支付或扣留（回）的其他款项： </w:t>
      </w:r>
      <w:r>
        <w:rPr>
          <w:rFonts w:ascii="宋体" w:hAnsi="宋体" w:cs="宋体"/>
          <w:color w:val="auto"/>
          <w:kern w:val="0"/>
          <w:sz w:val="22"/>
          <w:szCs w:val="22"/>
          <w:highlight w:val="none"/>
        </w:rPr>
        <w:t xml:space="preserve">     /        </w:t>
      </w:r>
    </w:p>
    <w:p w14:paraId="28CE36ED">
      <w:pPr>
        <w:spacing w:line="420" w:lineRule="exact"/>
        <w:rPr>
          <w:rFonts w:ascii="宋体" w:hAnsi="宋体" w:cs="宋体"/>
          <w:color w:val="auto"/>
          <w:kern w:val="0"/>
          <w:sz w:val="22"/>
          <w:szCs w:val="22"/>
          <w:highlight w:val="none"/>
        </w:rPr>
      </w:pPr>
    </w:p>
    <w:p w14:paraId="4712B9A9">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ascii="宋体" w:hAnsi="宋体" w:cs="宋体"/>
          <w:color w:val="auto"/>
          <w:kern w:val="0"/>
          <w:sz w:val="22"/>
          <w:szCs w:val="22"/>
          <w:highlight w:val="none"/>
        </w:rPr>
        <w:t>13</w:t>
      </w:r>
      <w:r>
        <w:rPr>
          <w:rFonts w:hint="eastAsia" w:ascii="宋体" w:hAnsi="宋体" w:cs="宋体"/>
          <w:color w:val="auto"/>
          <w:kern w:val="0"/>
          <w:sz w:val="22"/>
          <w:szCs w:val="22"/>
          <w:highlight w:val="none"/>
        </w:rPr>
        <w:t>） 政府资金投资工程的支付期、支付办法</w:t>
      </w:r>
    </w:p>
    <w:p w14:paraId="1E9C3AD2">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按通用条款的规定。</w:t>
      </w:r>
    </w:p>
    <w:p w14:paraId="02E066A3">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实施施工过程结算方式：</w:t>
      </w:r>
      <w:r>
        <w:rPr>
          <w:rFonts w:hint="eastAsia" w:ascii="宋体" w:hAnsi="宋体" w:cs="宋体"/>
          <w:color w:val="auto"/>
          <w:kern w:val="0"/>
          <w:sz w:val="22"/>
          <w:szCs w:val="22"/>
          <w:highlight w:val="none"/>
          <w:u w:val="single"/>
        </w:rPr>
        <w:t xml:space="preserve">                                                                      </w:t>
      </w:r>
    </w:p>
    <w:p w14:paraId="1F6580DF">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其它方式：</w:t>
      </w:r>
    </w:p>
    <w:p w14:paraId="29C0EB44">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（a）工程款付款条件：</w:t>
      </w:r>
    </w:p>
    <w:p w14:paraId="44B7A721">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 xml:space="preserve">①当月工程质量应符合质量标准（设计、规范要求及招标文件要求）； </w:t>
      </w:r>
    </w:p>
    <w:p w14:paraId="3EFC4977">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②完成当月工程进度计划；</w:t>
      </w:r>
    </w:p>
    <w:p w14:paraId="0539E939">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③内业资料同步；</w:t>
      </w:r>
    </w:p>
    <w:p w14:paraId="0A96A3AE">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④试验（复试）报告证明所用材料合格或满足合同要求；</w:t>
      </w:r>
    </w:p>
    <w:p w14:paraId="470A1998">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⑤经监理工程师验收合格；</w:t>
      </w:r>
    </w:p>
    <w:p w14:paraId="54A61E84">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⑥安全文明施工符合国家规范、法规和招标文件的要求；。</w:t>
      </w:r>
    </w:p>
    <w:p w14:paraId="6E05C901">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⑦无因欠发施工人员工资，而出现上访或其他不良事件；</w:t>
      </w:r>
    </w:p>
    <w:p w14:paraId="07561E7A">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⑧无违反本合同相关制度。</w:t>
      </w:r>
    </w:p>
    <w:p w14:paraId="764A0A2E">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如未能达到以上要求，工程款停止支付，直至整改至符合以上要求。</w:t>
      </w:r>
    </w:p>
    <w:p w14:paraId="67DE0BEB">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（b）工程进度款支付的方式和时间：</w:t>
      </w:r>
    </w:p>
    <w:p w14:paraId="1640615F">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①若本合同工程是财政</w:t>
      </w:r>
      <w:r>
        <w:rPr>
          <w:rFonts w:ascii="宋体" w:hAnsi="宋体" w:cs="宋体"/>
          <w:color w:val="auto"/>
          <w:kern w:val="0"/>
          <w:sz w:val="22"/>
          <w:szCs w:val="22"/>
          <w:highlight w:val="none"/>
          <w:u w:val="single"/>
        </w:rPr>
        <w:t>投资项目</w:t>
      </w: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付款</w:t>
      </w:r>
      <w:r>
        <w:rPr>
          <w:rFonts w:hint="eastAsia" w:ascii="宋体" w:hAnsi="宋体" w:cs="宋体"/>
          <w:color w:val="auto"/>
          <w:kern w:val="0"/>
          <w:sz w:val="22"/>
          <w:szCs w:val="22"/>
          <w:highlight w:val="none"/>
          <w:u w:val="single"/>
        </w:rPr>
        <w:t>的具体</w:t>
      </w:r>
      <w:r>
        <w:rPr>
          <w:rFonts w:ascii="宋体" w:hAnsi="宋体" w:cs="宋体"/>
          <w:color w:val="auto"/>
          <w:kern w:val="0"/>
          <w:sz w:val="22"/>
          <w:szCs w:val="22"/>
          <w:highlight w:val="none"/>
          <w:u w:val="single"/>
        </w:rPr>
        <w:t>时间以财政部门批准为准</w:t>
      </w:r>
      <w:r>
        <w:rPr>
          <w:rFonts w:hint="eastAsia" w:ascii="宋体" w:hAnsi="宋体" w:cs="宋体"/>
          <w:color w:val="auto"/>
          <w:kern w:val="0"/>
          <w:sz w:val="22"/>
          <w:szCs w:val="22"/>
          <w:highlight w:val="none"/>
          <w:u w:val="single"/>
        </w:rPr>
        <w:t>。因政府相关部门财政审批迟延支付工程款的，发包人不承担违约责任。</w:t>
      </w:r>
    </w:p>
    <w:p w14:paraId="298E9183">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②工程款由工人工资款及其他款项组成，工程款应分别拨付至承包人为本工程开设的工人工资支付专用账户及工程项目其它费用支付专用账户中，账户由承包人监管。承包人开户时须向开户银行和发包人或本工程的支付方提交书面授权书，同意发包人或本工程的支付方有权查询本工程专户资金使用情况，或由发包人（或本项目的支付方）授权第三方中介机构对项目资金使用情况进行审计；授权开户银行每月定期向发包人报送资金收付账单（包括收付款人、金额、支出用途、支出依据等）。</w:t>
      </w:r>
    </w:p>
    <w:p w14:paraId="15F9D377">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承包人必须确保工程款用于本工程项目建设，做到专款专用；工程款必须优先保障工人工资。发包人定期对工程款的使用情况进行检查，承包人要积极配合。</w:t>
      </w:r>
    </w:p>
    <w:p w14:paraId="2BC0C9A7">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③本工程的预付款、安全文明施工费、进度款、结算款及质量保证金，按   %（工人工资款比例）和    %（工程款比例）分别划拨至承包人的工人工资支付专用账户及工程项目其它费用支付专用账户。必须进行招标的工程项目，工程进度款中的工人工资款比例参照施工招标的《中标通知书》中单列的人工费金额除以中标金额计算；其他工程项目的工程进度款中的工人工资款参照比例为15%，其它款项占总工程款85%，承包人不得将工人工资账户费用挪作它用。因工程变更引起工程量增加的，发包人与承包人未对新增工程量中的工人工资比例进行约定的，按原合同约定的工人工资比例执行。</w:t>
      </w:r>
    </w:p>
    <w:p w14:paraId="56D30D31">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④承包人每次请款时，必须向发包人提交完整的请款资料、与发包人审定额等额（若有约定从其约定）的增值税发票（发票应符合最新国家税法规定），发包人按合同约定支付工程相关款项。</w:t>
      </w:r>
    </w:p>
    <w:p w14:paraId="5BE7CE41">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⑤在本工程开工前，承包人负有依法支付本工程工人工资支付保证金的义务。双方根据相关政府规定及约定按以下支付方式处理本工程工人工资支付保证金：</w:t>
      </w:r>
    </w:p>
    <w:p w14:paraId="6C10BE6B">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依照《广州市建设领域施工企业工人工资支付保证金管理办法》（穗人社规字〔2023〕1号）规定，承包人向发包人提供相关请款资料，支付方将本工程工资支付保证金（本工程签约合同价的2%，且不超过200万，不低于10万元）存入承包人企业工人工资保证金专用账户；如果承包人企业工人工资保证金专用账户已达最高限额，应向发包人提供不需存储工人工资保证金且本工程已纳入工人工资保证金管理的证明资料，本工程的支付方将相应的款项支付至承包人的工人工资支付专用账户。若承包人未办理工人工资保证金专用账户开立及缴存手续，则开工后第一期月工程进度支付时间顺延。</w:t>
      </w:r>
    </w:p>
    <w:p w14:paraId="7DB7BA33">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⑥承包人进度付款申请单中申报的工程量经监理人、发包人审核后，由发包人向有关部门提出申请，审核通过后将工程款直接拨付到承包人账户。</w:t>
      </w:r>
    </w:p>
    <w:p w14:paraId="73875E11">
      <w:pPr>
        <w:spacing w:line="420" w:lineRule="exact"/>
        <w:rPr>
          <w:rFonts w:ascii="宋体" w:hAnsi="宋体" w:cs="宋体"/>
          <w:color w:val="auto"/>
          <w:kern w:val="0"/>
          <w:sz w:val="22"/>
          <w:szCs w:val="22"/>
          <w:highlight w:val="none"/>
        </w:rPr>
      </w:pPr>
    </w:p>
    <w:p w14:paraId="67A5AECC">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81.2 期中支付的最低限额为</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0F58D668">
      <w:pPr>
        <w:spacing w:line="420" w:lineRule="exact"/>
        <w:rPr>
          <w:rFonts w:ascii="宋体" w:hAnsi="宋体" w:cs="宋体"/>
          <w:color w:val="auto"/>
          <w:kern w:val="0"/>
          <w:sz w:val="22"/>
          <w:szCs w:val="22"/>
          <w:highlight w:val="none"/>
        </w:rPr>
      </w:pPr>
    </w:p>
    <w:p w14:paraId="5EF269CA">
      <w:pPr>
        <w:pStyle w:val="3"/>
        <w:numPr>
          <w:ilvl w:val="0"/>
          <w:numId w:val="0"/>
        </w:numPr>
        <w:tabs>
          <w:tab w:val="left" w:pos="420"/>
        </w:tabs>
        <w:spacing w:line="420" w:lineRule="exact"/>
        <w:rPr>
          <w:rFonts w:hAnsi="宋体"/>
          <w:b/>
          <w:bCs/>
          <w:color w:val="auto"/>
          <w:sz w:val="22"/>
          <w:szCs w:val="22"/>
          <w:highlight w:val="none"/>
        </w:rPr>
      </w:pPr>
      <w:bookmarkStart w:id="855" w:name="_Toc8291"/>
      <w:bookmarkStart w:id="856" w:name="_Toc155166208"/>
      <w:bookmarkStart w:id="857" w:name="_Toc469384131"/>
      <w:bookmarkStart w:id="858" w:name="_Toc30345"/>
      <w:bookmarkStart w:id="859" w:name="_Toc7933"/>
      <w:bookmarkStart w:id="860" w:name="_Toc16849"/>
      <w:r>
        <w:rPr>
          <w:rFonts w:hint="eastAsia" w:hAnsi="宋体"/>
          <w:b/>
          <w:bCs/>
          <w:color w:val="auto"/>
          <w:sz w:val="22"/>
          <w:szCs w:val="22"/>
          <w:highlight w:val="none"/>
        </w:rPr>
        <w:t>82. 竣工结算</w:t>
      </w:r>
      <w:bookmarkEnd w:id="855"/>
      <w:bookmarkEnd w:id="856"/>
      <w:bookmarkEnd w:id="857"/>
      <w:bookmarkEnd w:id="858"/>
      <w:bookmarkEnd w:id="859"/>
      <w:bookmarkEnd w:id="860"/>
    </w:p>
    <w:p w14:paraId="18D7A7D5">
      <w:pPr>
        <w:spacing w:line="420" w:lineRule="exact"/>
        <w:rPr>
          <w:rFonts w:ascii="宋体" w:hAnsi="宋体" w:cs="宋体"/>
          <w:color w:val="auto"/>
          <w:kern w:val="0"/>
          <w:sz w:val="22"/>
          <w:szCs w:val="22"/>
          <w:highlight w:val="none"/>
        </w:rPr>
      </w:pPr>
    </w:p>
    <w:p w14:paraId="56A9EE07">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82.1 </w:t>
      </w:r>
    </w:p>
    <w:p w14:paraId="48A6044A">
      <w:pPr>
        <w:spacing w:line="420" w:lineRule="exact"/>
        <w:ind w:firstLine="129" w:firstLineChars="59"/>
        <w:rPr>
          <w:rFonts w:ascii="宋体" w:hAnsi="宋体" w:cs="宋体"/>
          <w:color w:val="auto"/>
          <w:kern w:val="0"/>
          <w:sz w:val="22"/>
          <w:szCs w:val="22"/>
          <w:highlight w:val="none"/>
        </w:rPr>
      </w:pPr>
      <w:r>
        <w:rPr>
          <w:rFonts w:hint="eastAsia" w:ascii="宋体" w:hAnsi="宋体" w:cs="宋体"/>
          <w:color w:val="auto"/>
          <w:kern w:val="0"/>
          <w:sz w:val="22"/>
          <w:szCs w:val="22"/>
          <w:highlight w:val="none"/>
        </w:rPr>
        <w:t>（1）竣工结算的程序和时限：</w:t>
      </w:r>
    </w:p>
    <w:p w14:paraId="15BD49AE">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按通用条款的规定办理。</w:t>
      </w:r>
    </w:p>
    <w:p w14:paraId="71B587A4">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另作约定：</w:t>
      </w:r>
    </w:p>
    <w:p w14:paraId="059C90B5">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（1</w:t>
      </w:r>
      <w:r>
        <w:rPr>
          <w:rFonts w:ascii="宋体" w:hAnsi="宋体" w:cs="宋体"/>
          <w:color w:val="auto"/>
          <w:kern w:val="0"/>
          <w:sz w:val="22"/>
          <w:szCs w:val="22"/>
          <w:highlight w:val="none"/>
          <w:u w:val="single"/>
        </w:rPr>
        <w:t>.1</w:t>
      </w:r>
      <w:r>
        <w:rPr>
          <w:rFonts w:hint="eastAsia" w:ascii="宋体" w:hAnsi="宋体" w:cs="宋体"/>
          <w:color w:val="auto"/>
          <w:kern w:val="0"/>
          <w:sz w:val="22"/>
          <w:szCs w:val="22"/>
          <w:highlight w:val="none"/>
          <w:u w:val="single"/>
        </w:rPr>
        <w:t>）发包人收到竣工结算报告及结算资料后经评审，评审结果（即为本工程结算总价）确定后，承包人提出支付申请后28个日历天内发包人无正当理由不支付工程竣工结算价款，从第29个日历天起按当日由中国人民银行发布的同期同档次金融机构人民币贷款基准利率支付拖欠工程价款的利息，并承担违约责任。政府工程则以财政审批时间为准，因政府相关部门财政审批迟延支付工程款的，发包人不承担违约责任。</w:t>
      </w:r>
    </w:p>
    <w:p w14:paraId="5BF1921C">
      <w:pPr>
        <w:spacing w:line="420" w:lineRule="exact"/>
        <w:ind w:firstLine="220" w:firstLineChars="1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（1</w:t>
      </w:r>
      <w:r>
        <w:rPr>
          <w:rFonts w:ascii="宋体" w:hAnsi="宋体" w:cs="宋体"/>
          <w:color w:val="auto"/>
          <w:kern w:val="0"/>
          <w:sz w:val="22"/>
          <w:szCs w:val="22"/>
          <w:highlight w:val="none"/>
          <w:u w:val="single"/>
        </w:rPr>
        <w:t>.2</w:t>
      </w:r>
      <w:r>
        <w:rPr>
          <w:rFonts w:hint="eastAsia" w:ascii="宋体" w:hAnsi="宋体" w:cs="宋体"/>
          <w:color w:val="auto"/>
          <w:kern w:val="0"/>
          <w:sz w:val="22"/>
          <w:szCs w:val="22"/>
          <w:highlight w:val="none"/>
          <w:u w:val="single"/>
        </w:rPr>
        <w:t>）承包人提交竣工付款申请单的期限：工程款结算后28天内，最终以相关部门以及发包人核准时间为准。</w:t>
      </w:r>
    </w:p>
    <w:p w14:paraId="03F74A3F">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竣工付款申请单的内容：以财政资金拨付规定为准。</w:t>
      </w:r>
    </w:p>
    <w:p w14:paraId="31BC0BA5">
      <w:pPr>
        <w:spacing w:line="420" w:lineRule="exact"/>
        <w:ind w:firstLine="220" w:firstLineChars="1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承包人未按本项约定的期限和内容提交竣工付款申请单或者未按通用合同条款第</w:t>
      </w:r>
      <w:r>
        <w:rPr>
          <w:rFonts w:ascii="宋体" w:hAnsi="宋体" w:cs="宋体"/>
          <w:color w:val="auto"/>
          <w:kern w:val="0"/>
          <w:sz w:val="22"/>
          <w:szCs w:val="22"/>
          <w:highlight w:val="none"/>
          <w:u w:val="single"/>
        </w:rPr>
        <w:t>82.3</w:t>
      </w:r>
      <w:r>
        <w:rPr>
          <w:rFonts w:hint="eastAsia" w:ascii="宋体" w:hAnsi="宋体" w:cs="宋体"/>
          <w:color w:val="auto"/>
          <w:kern w:val="0"/>
          <w:sz w:val="22"/>
          <w:szCs w:val="22"/>
          <w:highlight w:val="none"/>
          <w:u w:val="single"/>
        </w:rPr>
        <w:t>条约定提交修正后的竣工付款申请单，经监理人催促后14天内仍未提交或者没有明确答复的，监理人和发包人有权根据已有资料进行审查，审查确定的竣工结算合同总价和竣工付款金额视同是经承包人认可的工程竣工结算合同总价和竣工付款金额。</w:t>
      </w:r>
    </w:p>
    <w:p w14:paraId="26794202">
      <w:pPr>
        <w:spacing w:line="420" w:lineRule="exact"/>
        <w:ind w:firstLine="220" w:firstLineChars="1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发包人和承包人应当在监理人颁发（出具）工程接收证书后56天内办清竣工结算和竣工付款。</w:t>
      </w:r>
    </w:p>
    <w:p w14:paraId="36564DC8">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（1</w:t>
      </w:r>
      <w:r>
        <w:rPr>
          <w:rFonts w:ascii="宋体" w:hAnsi="宋体" w:cs="宋体"/>
          <w:color w:val="auto"/>
          <w:kern w:val="0"/>
          <w:sz w:val="22"/>
          <w:szCs w:val="22"/>
          <w:highlight w:val="none"/>
          <w:u w:val="single"/>
        </w:rPr>
        <w:t>.3</w:t>
      </w:r>
      <w:r>
        <w:rPr>
          <w:rFonts w:hint="eastAsia" w:ascii="宋体" w:hAnsi="宋体" w:cs="宋体"/>
          <w:color w:val="auto"/>
          <w:kern w:val="0"/>
          <w:sz w:val="22"/>
          <w:szCs w:val="22"/>
          <w:highlight w:val="none"/>
          <w:u w:val="single"/>
        </w:rPr>
        <w:t>）工程单位工程验收报告经发包人认可后28个日历天内，承包人未能向发包人递交竣工结算报告及完整的结算资料，造成工程竣工结算不能正常进行或工程竣工结算价款不能及时支付，发包人要求交付工程的，承包人应当交付；发包人不要求交付工程的，承包人承担保管责任。若承包人在工程单位工程验收后二年内不能向发包人递交竣工结算报告及完整的结算资料，则视为承包人放弃工程款及相关权利，发包人有权不予支付工程款。</w:t>
      </w:r>
    </w:p>
    <w:p w14:paraId="20B2AA54">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（1</w:t>
      </w:r>
      <w:r>
        <w:rPr>
          <w:rFonts w:ascii="宋体" w:hAnsi="宋体" w:cs="宋体"/>
          <w:color w:val="auto"/>
          <w:kern w:val="0"/>
          <w:sz w:val="22"/>
          <w:szCs w:val="22"/>
          <w:highlight w:val="none"/>
          <w:u w:val="single"/>
        </w:rPr>
        <w:t>.4</w:t>
      </w:r>
      <w:r>
        <w:rPr>
          <w:rFonts w:hint="eastAsia" w:ascii="宋体" w:hAnsi="宋体" w:cs="宋体"/>
          <w:color w:val="auto"/>
          <w:kern w:val="0"/>
          <w:sz w:val="22"/>
          <w:szCs w:val="22"/>
          <w:highlight w:val="none"/>
          <w:u w:val="single"/>
        </w:rPr>
        <w:t>）</w:t>
      </w:r>
      <w:r>
        <w:rPr>
          <w:rFonts w:ascii="宋体" w:hAnsi="宋体" w:cs="宋体"/>
          <w:color w:val="auto"/>
          <w:kern w:val="0"/>
          <w:sz w:val="22"/>
          <w:szCs w:val="22"/>
          <w:highlight w:val="none"/>
          <w:u w:val="single"/>
        </w:rPr>
        <w:t>结算组织工作要求（见本合同附件十</w:t>
      </w:r>
      <w:r>
        <w:rPr>
          <w:rFonts w:hint="eastAsia" w:ascii="宋体" w:hAnsi="宋体" w:cs="宋体"/>
          <w:color w:val="auto"/>
          <w:kern w:val="0"/>
          <w:sz w:val="22"/>
          <w:szCs w:val="22"/>
          <w:highlight w:val="none"/>
          <w:u w:val="single"/>
        </w:rPr>
        <w:t>四</w:t>
      </w:r>
      <w:r>
        <w:rPr>
          <w:rFonts w:ascii="宋体" w:hAnsi="宋体" w:cs="宋体"/>
          <w:color w:val="auto"/>
          <w:kern w:val="0"/>
          <w:sz w:val="22"/>
          <w:szCs w:val="22"/>
          <w:highlight w:val="none"/>
          <w:u w:val="single"/>
        </w:rPr>
        <w:t>《工程结算工作协议书》）</w:t>
      </w:r>
      <w:r>
        <w:rPr>
          <w:rFonts w:hint="eastAsia" w:ascii="宋体" w:hAnsi="宋体" w:cs="宋体"/>
          <w:color w:val="auto"/>
          <w:kern w:val="0"/>
          <w:sz w:val="22"/>
          <w:szCs w:val="22"/>
          <w:highlight w:val="none"/>
          <w:u w:val="single"/>
        </w:rPr>
        <w:t>。</w:t>
      </w:r>
    </w:p>
    <w:p w14:paraId="6BE38F87">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（1</w:t>
      </w:r>
      <w:r>
        <w:rPr>
          <w:rFonts w:ascii="宋体" w:hAnsi="宋体" w:cs="宋体"/>
          <w:color w:val="auto"/>
          <w:kern w:val="0"/>
          <w:sz w:val="22"/>
          <w:szCs w:val="22"/>
          <w:highlight w:val="none"/>
          <w:u w:val="single"/>
        </w:rPr>
        <w:t>.5</w:t>
      </w:r>
      <w:r>
        <w:rPr>
          <w:rFonts w:hint="eastAsia" w:ascii="宋体" w:hAnsi="宋体" w:cs="宋体"/>
          <w:color w:val="auto"/>
          <w:kern w:val="0"/>
          <w:sz w:val="22"/>
          <w:szCs w:val="22"/>
          <w:highlight w:val="none"/>
          <w:u w:val="single"/>
        </w:rPr>
        <w:t>）发包人与承包人对工程竣工结算价款发生争议时，按本合同</w:t>
      </w:r>
      <w:r>
        <w:rPr>
          <w:rFonts w:ascii="宋体" w:hAnsi="宋体" w:cs="宋体"/>
          <w:color w:val="auto"/>
          <w:kern w:val="0"/>
          <w:sz w:val="22"/>
          <w:szCs w:val="22"/>
          <w:highlight w:val="none"/>
          <w:u w:val="single"/>
        </w:rPr>
        <w:t>附件十</w:t>
      </w:r>
      <w:r>
        <w:rPr>
          <w:rFonts w:hint="eastAsia" w:ascii="宋体" w:hAnsi="宋体" w:cs="宋体"/>
          <w:color w:val="auto"/>
          <w:kern w:val="0"/>
          <w:sz w:val="22"/>
          <w:szCs w:val="22"/>
          <w:highlight w:val="none"/>
          <w:u w:val="single"/>
        </w:rPr>
        <w:t>四</w:t>
      </w:r>
      <w:r>
        <w:rPr>
          <w:rFonts w:ascii="宋体" w:hAnsi="宋体" w:cs="宋体"/>
          <w:color w:val="auto"/>
          <w:kern w:val="0"/>
          <w:sz w:val="22"/>
          <w:szCs w:val="22"/>
          <w:highlight w:val="none"/>
          <w:u w:val="single"/>
        </w:rPr>
        <w:t>《工程结算工作协议书》</w:t>
      </w:r>
      <w:r>
        <w:rPr>
          <w:rFonts w:hint="eastAsia" w:ascii="宋体" w:hAnsi="宋体" w:cs="宋体"/>
          <w:color w:val="auto"/>
          <w:kern w:val="0"/>
          <w:sz w:val="22"/>
          <w:szCs w:val="22"/>
          <w:highlight w:val="none"/>
          <w:u w:val="single"/>
        </w:rPr>
        <w:t>关于争议的约定处理。</w:t>
      </w:r>
    </w:p>
    <w:p w14:paraId="6F836C7E">
      <w:pPr>
        <w:spacing w:line="420" w:lineRule="exact"/>
        <w:ind w:firstLine="129" w:firstLineChars="59"/>
        <w:rPr>
          <w:rFonts w:ascii="宋体" w:hAnsi="宋体" w:cs="宋体"/>
          <w:color w:val="auto"/>
          <w:sz w:val="22"/>
          <w:szCs w:val="22"/>
          <w:highlight w:val="none"/>
        </w:rPr>
      </w:pPr>
    </w:p>
    <w:p w14:paraId="05220411">
      <w:pPr>
        <w:spacing w:line="420" w:lineRule="exact"/>
        <w:ind w:firstLine="129" w:firstLineChars="59"/>
        <w:rPr>
          <w:rFonts w:ascii="宋体" w:hAnsi="宋体" w:cs="宋体"/>
          <w:color w:val="auto"/>
          <w:kern w:val="0"/>
          <w:sz w:val="22"/>
          <w:szCs w:val="22"/>
          <w:highlight w:val="none"/>
        </w:rPr>
      </w:pPr>
      <w:r>
        <w:rPr>
          <w:rFonts w:hint="eastAsia" w:ascii="宋体" w:hAnsi="宋体" w:cs="宋体"/>
          <w:color w:val="auto"/>
          <w:sz w:val="22"/>
          <w:szCs w:val="22"/>
          <w:highlight w:val="none"/>
        </w:rPr>
        <w:t>（2）施工过程结算约定：</w:t>
      </w:r>
    </w:p>
    <w:p w14:paraId="61BD66D6">
      <w:pPr>
        <w:spacing w:line="42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1、施工过程结算的程序</w:t>
      </w: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u w:val="single"/>
        </w:rPr>
        <w:t xml:space="preserve">                                                                </w:t>
      </w:r>
    </w:p>
    <w:p w14:paraId="536739B0">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2、</w:t>
      </w:r>
      <w:r>
        <w:rPr>
          <w:rFonts w:hint="eastAsia" w:ascii="宋体" w:hAnsi="宋体" w:cs="宋体"/>
          <w:color w:val="auto"/>
          <w:sz w:val="22"/>
          <w:szCs w:val="22"/>
          <w:highlight w:val="none"/>
        </w:rPr>
        <w:t>施工过程结算节点：</w:t>
      </w:r>
    </w:p>
    <w:p w14:paraId="4147DC8A">
      <w:pPr>
        <w:spacing w:line="420" w:lineRule="exact"/>
        <w:ind w:firstLine="220" w:firstLineChars="100"/>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工程分标段施工的，以标段完成后作为施工过程结算节点：</w:t>
      </w:r>
      <w:r>
        <w:rPr>
          <w:rFonts w:hint="eastAsia" w:ascii="宋体" w:hAnsi="宋体" w:cs="宋体"/>
          <w:color w:val="auto"/>
          <w:kern w:val="0"/>
          <w:sz w:val="22"/>
          <w:szCs w:val="22"/>
          <w:highlight w:val="none"/>
          <w:u w:val="single"/>
        </w:rPr>
        <w:t xml:space="preserve">                               </w:t>
      </w:r>
    </w:p>
    <w:p w14:paraId="24922B31">
      <w:pPr>
        <w:spacing w:line="420" w:lineRule="exact"/>
        <w:ind w:firstLine="220" w:firstLineChars="100"/>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以完成单项工程、单位工程、分部工程作为施工过程结算节点：</w:t>
      </w:r>
      <w:r>
        <w:rPr>
          <w:rFonts w:hint="eastAsia" w:ascii="宋体" w:hAnsi="宋体" w:cs="宋体"/>
          <w:color w:val="auto"/>
          <w:kern w:val="0"/>
          <w:sz w:val="22"/>
          <w:szCs w:val="22"/>
          <w:highlight w:val="none"/>
          <w:u w:val="single"/>
        </w:rPr>
        <w:t xml:space="preserve">                         </w:t>
      </w:r>
    </w:p>
    <w:p w14:paraId="0255D492">
      <w:pPr>
        <w:spacing w:line="420" w:lineRule="exact"/>
        <w:ind w:firstLine="220" w:firstLineChars="100"/>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规模较大的分部工程或分部工程计划完成时间一年以上的，以完成分部工程的进度节点或时间（季、年等）节点作为施工过程结算节点：</w:t>
      </w:r>
      <w:r>
        <w:rPr>
          <w:rFonts w:hint="eastAsia" w:ascii="宋体" w:hAnsi="宋体" w:cs="宋体"/>
          <w:color w:val="auto"/>
          <w:kern w:val="0"/>
          <w:sz w:val="22"/>
          <w:szCs w:val="22"/>
          <w:highlight w:val="none"/>
          <w:u w:val="single"/>
        </w:rPr>
        <w:t xml:space="preserve">                               </w:t>
      </w:r>
    </w:p>
    <w:p w14:paraId="78577A22">
      <w:pPr>
        <w:spacing w:line="420" w:lineRule="exact"/>
        <w:ind w:firstLine="220" w:firstLineChars="100"/>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以完成工程功能内容或专业工程作为施工过程结算节点：</w:t>
      </w:r>
      <w:r>
        <w:rPr>
          <w:rFonts w:hint="eastAsia" w:ascii="宋体" w:hAnsi="宋体" w:cs="宋体"/>
          <w:color w:val="auto"/>
          <w:kern w:val="0"/>
          <w:sz w:val="22"/>
          <w:szCs w:val="22"/>
          <w:highlight w:val="none"/>
          <w:u w:val="single"/>
        </w:rPr>
        <w:t xml:space="preserve">                               </w:t>
      </w:r>
    </w:p>
    <w:p w14:paraId="19B83A81">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□其它：</w:t>
      </w:r>
      <w:r>
        <w:rPr>
          <w:rFonts w:hint="eastAsia" w:ascii="宋体" w:hAnsi="宋体" w:cs="宋体"/>
          <w:color w:val="auto"/>
          <w:kern w:val="0"/>
          <w:sz w:val="22"/>
          <w:szCs w:val="22"/>
          <w:highlight w:val="none"/>
          <w:u w:val="single"/>
        </w:rPr>
        <w:t xml:space="preserve">                               </w:t>
      </w:r>
    </w:p>
    <w:p w14:paraId="3285F486">
      <w:pPr>
        <w:spacing w:line="420" w:lineRule="exact"/>
        <w:ind w:firstLine="220" w:firstLineChars="100"/>
        <w:rPr>
          <w:rFonts w:ascii="宋体" w:hAnsi="宋体" w:cs="宋体"/>
          <w:color w:val="auto"/>
          <w:sz w:val="22"/>
          <w:szCs w:val="22"/>
          <w:highlight w:val="none"/>
        </w:rPr>
      </w:pPr>
      <w:r>
        <w:rPr>
          <w:rFonts w:hint="eastAsia" w:ascii="宋体" w:hAnsi="宋体" w:cs="宋体"/>
          <w:color w:val="auto"/>
          <w:kern w:val="0"/>
          <w:sz w:val="22"/>
          <w:szCs w:val="22"/>
          <w:highlight w:val="none"/>
        </w:rPr>
        <w:t>3、</w:t>
      </w:r>
      <w:r>
        <w:rPr>
          <w:rFonts w:hint="eastAsia" w:ascii="宋体" w:hAnsi="宋体" w:cs="宋体"/>
          <w:color w:val="auto"/>
          <w:sz w:val="22"/>
          <w:szCs w:val="22"/>
          <w:highlight w:val="none"/>
        </w:rPr>
        <w:t>施工过程结算价款的编制与核对：</w:t>
      </w:r>
      <w:r>
        <w:rPr>
          <w:rFonts w:hint="eastAsia" w:ascii="宋体" w:hAnsi="宋体" w:cs="宋体"/>
          <w:color w:val="auto"/>
          <w:kern w:val="0"/>
          <w:sz w:val="22"/>
          <w:szCs w:val="22"/>
          <w:highlight w:val="none"/>
          <w:u w:val="single"/>
        </w:rPr>
        <w:t xml:space="preserve">                               </w:t>
      </w:r>
    </w:p>
    <w:p w14:paraId="1811752F">
      <w:pPr>
        <w:spacing w:line="42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4、采用施工过程结算方法时竣工结算价款的编制与核对：</w:t>
      </w:r>
      <w:r>
        <w:rPr>
          <w:rFonts w:hint="eastAsia" w:ascii="宋体" w:hAnsi="宋体" w:cs="宋体"/>
          <w:color w:val="auto"/>
          <w:kern w:val="0"/>
          <w:sz w:val="22"/>
          <w:szCs w:val="22"/>
          <w:highlight w:val="none"/>
          <w:u w:val="single"/>
        </w:rPr>
        <w:t xml:space="preserve">                               </w:t>
      </w:r>
    </w:p>
    <w:p w14:paraId="1573E719">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5、</w:t>
      </w:r>
      <w:r>
        <w:rPr>
          <w:rFonts w:hint="eastAsia" w:ascii="宋体" w:hAnsi="宋体" w:cs="宋体"/>
          <w:color w:val="auto"/>
          <w:sz w:val="22"/>
          <w:szCs w:val="22"/>
          <w:highlight w:val="none"/>
        </w:rPr>
        <w:t>施工过程结算支付时限</w:t>
      </w: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u w:val="single"/>
        </w:rPr>
        <w:t xml:space="preserve">                                                              </w:t>
      </w:r>
    </w:p>
    <w:p w14:paraId="7B04E988">
      <w:pPr>
        <w:spacing w:line="420" w:lineRule="exact"/>
        <w:ind w:firstLine="220" w:firstLineChars="1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6、</w:t>
      </w:r>
      <w:r>
        <w:rPr>
          <w:rFonts w:hint="eastAsia" w:ascii="宋体" w:hAnsi="宋体" w:cs="宋体"/>
          <w:color w:val="auto"/>
          <w:sz w:val="22"/>
          <w:szCs w:val="22"/>
          <w:highlight w:val="none"/>
        </w:rPr>
        <w:t>分段结算的其他约定</w:t>
      </w: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u w:val="single"/>
        </w:rPr>
        <w:t xml:space="preserve">                                                         。</w:t>
      </w:r>
    </w:p>
    <w:p w14:paraId="4DE2CDC3">
      <w:pPr>
        <w:spacing w:line="420" w:lineRule="exact"/>
        <w:ind w:firstLine="220" w:firstLineChars="100"/>
        <w:rPr>
          <w:rFonts w:ascii="宋体" w:hAnsi="宋体" w:cs="宋体"/>
          <w:color w:val="auto"/>
          <w:kern w:val="0"/>
          <w:sz w:val="22"/>
          <w:szCs w:val="22"/>
          <w:highlight w:val="none"/>
          <w:u w:val="single"/>
        </w:rPr>
      </w:pPr>
    </w:p>
    <w:p w14:paraId="1BD28820">
      <w:pPr>
        <w:spacing w:line="420" w:lineRule="exact"/>
        <w:ind w:firstLine="220" w:firstLineChars="100"/>
        <w:rPr>
          <w:rFonts w:ascii="宋体" w:hAnsi="宋体" w:cs="宋体"/>
          <w:color w:val="auto"/>
          <w:kern w:val="0"/>
          <w:sz w:val="22"/>
          <w:szCs w:val="22"/>
          <w:highlight w:val="none"/>
        </w:rPr>
      </w:pPr>
      <w:r>
        <w:rPr>
          <w:rFonts w:hint="eastAsia" w:ascii="宋体" w:hAnsi="宋体" w:cs="宋体"/>
          <w:color w:val="auto"/>
          <w:kern w:val="0"/>
          <w:sz w:val="22"/>
          <w:szCs w:val="22"/>
          <w:highlight w:val="none"/>
        </w:rPr>
        <w:t>82.2</w:t>
      </w:r>
    </w:p>
    <w:p w14:paraId="4FAD1F36">
      <w:pPr>
        <w:spacing w:line="42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（1）竣工结算文件清单：</w:t>
      </w:r>
    </w:p>
    <w:p w14:paraId="5C362A39">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（1）工程结算书</w:t>
      </w:r>
    </w:p>
    <w:p w14:paraId="7FE75149">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（2）工程量计算书</w:t>
      </w:r>
    </w:p>
    <w:p w14:paraId="4A047DED">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（3）钢筋抽料表（如有）</w:t>
      </w:r>
    </w:p>
    <w:p w14:paraId="57533C37">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（4）工程承包合同</w:t>
      </w:r>
    </w:p>
    <w:p w14:paraId="782CA009">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（5）工程竣工图（含电子版和相关部门要求的专用软件版本）</w:t>
      </w:r>
    </w:p>
    <w:p w14:paraId="78A0D024">
      <w:pPr>
        <w:spacing w:line="420" w:lineRule="exact"/>
        <w:ind w:left="589" w:leftChars="228" w:hanging="110" w:hangingChars="5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（6）工程竣工资料（含电子版及相关部门要求的专用软件版本、单位工程开工申请报告、单位工程工程竣工验收报告）</w:t>
      </w:r>
    </w:p>
    <w:p w14:paraId="12CB240D">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（7）图纸会审记录</w:t>
      </w:r>
    </w:p>
    <w:p w14:paraId="00F0446A">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（8）设计变更单</w:t>
      </w:r>
    </w:p>
    <w:p w14:paraId="315E5FBD">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（9）工程洽商记录</w:t>
      </w:r>
    </w:p>
    <w:p w14:paraId="202EE9D0">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（10）监理工程师通知或发包人施工指令</w:t>
      </w:r>
    </w:p>
    <w:p w14:paraId="7B7F4E2D">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（11）会议纪要</w:t>
      </w:r>
    </w:p>
    <w:p w14:paraId="10EF74F5">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（12）现场签证单</w:t>
      </w:r>
    </w:p>
    <w:p w14:paraId="6955F52B">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（13）材料设备单价呈批审核单</w:t>
      </w:r>
    </w:p>
    <w:p w14:paraId="670CE455">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（14）综合单价呈批审核单</w:t>
      </w:r>
    </w:p>
    <w:p w14:paraId="5428F9FF">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（15）招标文件、答疑纪要</w:t>
      </w:r>
    </w:p>
    <w:p w14:paraId="7BADBB22">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（16）投标文件（含经济标软件版）、中标通知书</w:t>
      </w:r>
    </w:p>
    <w:p w14:paraId="270DE5DA">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（17）发包人供应材料收货验收签收单</w:t>
      </w:r>
    </w:p>
    <w:p w14:paraId="3A9017EB">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（18）其他结算资料</w:t>
      </w:r>
    </w:p>
    <w:p w14:paraId="3FB8DAE8">
      <w:pPr>
        <w:spacing w:line="420" w:lineRule="exact"/>
        <w:ind w:firstLine="440" w:firstLineChars="200"/>
        <w:jc w:val="left"/>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（19）工期履行审核表</w:t>
      </w:r>
    </w:p>
    <w:p w14:paraId="694C3036">
      <w:pPr>
        <w:spacing w:line="420" w:lineRule="exact"/>
        <w:ind w:firstLine="440" w:firstLineChars="200"/>
        <w:jc w:val="left"/>
        <w:rPr>
          <w:rFonts w:ascii="宋体" w:hAnsi="宋体" w:cs="宋体"/>
          <w:color w:val="auto"/>
          <w:sz w:val="22"/>
          <w:szCs w:val="22"/>
          <w:highlight w:val="none"/>
          <w:u w:val="singl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（20）移交资料签收表</w:t>
      </w:r>
    </w:p>
    <w:p w14:paraId="06D82EA6">
      <w:pPr>
        <w:spacing w:line="420" w:lineRule="exact"/>
        <w:ind w:firstLine="440" w:firstLineChars="200"/>
        <w:jc w:val="left"/>
        <w:rPr>
          <w:rFonts w:ascii="宋体" w:hAnsi="宋体" w:cs="宋体"/>
          <w:color w:val="auto"/>
          <w:sz w:val="22"/>
          <w:szCs w:val="22"/>
          <w:highlight w:val="none"/>
          <w:u w:val="singl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（21）其它</w:t>
      </w:r>
    </w:p>
    <w:p w14:paraId="32F14978">
      <w:pPr>
        <w:spacing w:line="420" w:lineRule="exact"/>
        <w:ind w:firstLine="440" w:firstLineChars="200"/>
        <w:jc w:val="lef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（2）发包人对送审结算资料的具体要求：</w:t>
      </w:r>
      <w:r>
        <w:rPr>
          <w:rFonts w:hint="eastAsia" w:ascii="宋体" w:hAnsi="宋体" w:cs="宋体"/>
          <w:color w:val="auto"/>
          <w:kern w:val="0"/>
          <w:sz w:val="22"/>
          <w:szCs w:val="22"/>
          <w:highlight w:val="none"/>
          <w:u w:val="single"/>
        </w:rPr>
        <w:t xml:space="preserve">                            </w:t>
      </w:r>
    </w:p>
    <w:p w14:paraId="487FA7B8">
      <w:pPr>
        <w:spacing w:line="420" w:lineRule="exact"/>
        <w:jc w:val="left"/>
        <w:rPr>
          <w:rFonts w:ascii="宋体" w:hAnsi="宋体" w:cs="宋体"/>
          <w:color w:val="auto"/>
          <w:kern w:val="0"/>
          <w:sz w:val="22"/>
          <w:szCs w:val="22"/>
          <w:highlight w:val="none"/>
          <w:u w:val="single"/>
        </w:rPr>
      </w:pPr>
      <w:bookmarkStart w:id="861" w:name="_Toc469384132"/>
    </w:p>
    <w:p w14:paraId="6C8A593D">
      <w:pPr>
        <w:pStyle w:val="3"/>
        <w:numPr>
          <w:ilvl w:val="0"/>
          <w:numId w:val="0"/>
        </w:numPr>
        <w:tabs>
          <w:tab w:val="left" w:pos="420"/>
        </w:tabs>
        <w:spacing w:line="420" w:lineRule="exact"/>
        <w:rPr>
          <w:rFonts w:hAnsi="宋体"/>
          <w:b/>
          <w:bCs/>
          <w:color w:val="auto"/>
          <w:sz w:val="22"/>
          <w:szCs w:val="22"/>
          <w:highlight w:val="none"/>
        </w:rPr>
      </w:pPr>
      <w:bookmarkStart w:id="862" w:name="_Toc26792"/>
      <w:bookmarkStart w:id="863" w:name="_Toc12331"/>
      <w:bookmarkStart w:id="864" w:name="_Toc4051"/>
      <w:bookmarkStart w:id="865" w:name="_Toc2143"/>
      <w:bookmarkStart w:id="866" w:name="_Toc155166209"/>
      <w:r>
        <w:rPr>
          <w:rFonts w:hint="eastAsia" w:hAnsi="宋体"/>
          <w:b/>
          <w:bCs/>
          <w:color w:val="auto"/>
          <w:sz w:val="22"/>
          <w:szCs w:val="22"/>
          <w:highlight w:val="none"/>
        </w:rPr>
        <w:t>★83. 结算款</w:t>
      </w:r>
      <w:bookmarkEnd w:id="861"/>
      <w:bookmarkEnd w:id="862"/>
      <w:bookmarkEnd w:id="863"/>
      <w:bookmarkEnd w:id="864"/>
      <w:bookmarkEnd w:id="865"/>
      <w:bookmarkEnd w:id="866"/>
    </w:p>
    <w:p w14:paraId="3CE0C7E8">
      <w:pPr>
        <w:spacing w:line="420" w:lineRule="exact"/>
        <w:rPr>
          <w:rFonts w:ascii="宋体" w:hAnsi="宋体" w:cs="宋体"/>
          <w:color w:val="auto"/>
          <w:kern w:val="0"/>
          <w:sz w:val="22"/>
          <w:szCs w:val="22"/>
          <w:highlight w:val="none"/>
        </w:rPr>
      </w:pPr>
    </w:p>
    <w:p w14:paraId="065582BE">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bookmarkStart w:id="867" w:name="_Hlk142751206"/>
      <w:r>
        <w:rPr>
          <w:rFonts w:hint="eastAsia" w:ascii="宋体" w:hAnsi="宋体" w:cs="宋体"/>
          <w:color w:val="auto"/>
          <w:kern w:val="0"/>
          <w:sz w:val="22"/>
          <w:szCs w:val="22"/>
          <w:highlight w:val="none"/>
        </w:rPr>
        <w:t>83.1 提交竣工支付申请</w:t>
      </w:r>
    </w:p>
    <w:p w14:paraId="51AFF405">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（1） 竣工支付期限</w:t>
      </w:r>
    </w:p>
    <w:p w14:paraId="5984E806">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按通用条款的规定，在造价工程师签发竣工结算支付证书后的28天内。</w:t>
      </w:r>
    </w:p>
    <w:p w14:paraId="0174CE65">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另有约定：</w:t>
      </w:r>
      <w:r>
        <w:rPr>
          <w:rFonts w:hint="eastAsia" w:ascii="宋体" w:hAnsi="宋体" w:cs="宋体"/>
          <w:color w:val="auto"/>
          <w:kern w:val="0"/>
          <w:sz w:val="22"/>
          <w:szCs w:val="22"/>
          <w:highlight w:val="none"/>
          <w:u w:val="single"/>
        </w:rPr>
        <w:t>按专用条款第8</w:t>
      </w:r>
      <w:r>
        <w:rPr>
          <w:rFonts w:ascii="宋体" w:hAnsi="宋体" w:cs="宋体"/>
          <w:color w:val="auto"/>
          <w:kern w:val="0"/>
          <w:sz w:val="22"/>
          <w:szCs w:val="22"/>
          <w:highlight w:val="none"/>
          <w:u w:val="single"/>
        </w:rPr>
        <w:t>2.1</w:t>
      </w:r>
      <w:r>
        <w:rPr>
          <w:rFonts w:hint="eastAsia" w:ascii="宋体" w:hAnsi="宋体" w:cs="宋体"/>
          <w:color w:val="auto"/>
          <w:kern w:val="0"/>
          <w:sz w:val="22"/>
          <w:szCs w:val="22"/>
          <w:highlight w:val="none"/>
          <w:u w:val="single"/>
        </w:rPr>
        <w:t>项执行</w:t>
      </w:r>
      <w:r>
        <w:rPr>
          <w:rFonts w:hint="eastAsia" w:ascii="宋体" w:hAnsi="宋体" w:cs="宋体"/>
          <w:color w:val="auto"/>
          <w:kern w:val="0"/>
          <w:sz w:val="22"/>
          <w:szCs w:val="22"/>
          <w:highlight w:val="none"/>
        </w:rPr>
        <w:t>。</w:t>
      </w:r>
    </w:p>
    <w:p w14:paraId="61FCAC6D">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 政府资金投资工程的支付期、支付办法</w:t>
      </w:r>
    </w:p>
    <w:p w14:paraId="5BEF6C88">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按通用条款的规定。</w:t>
      </w:r>
    </w:p>
    <w:p w14:paraId="3192EBE6">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另作约定：</w:t>
      </w:r>
      <w:r>
        <w:rPr>
          <w:rFonts w:hint="eastAsia" w:ascii="宋体" w:hAnsi="宋体" w:cs="宋体"/>
          <w:color w:val="auto"/>
          <w:kern w:val="0"/>
          <w:sz w:val="22"/>
          <w:szCs w:val="22"/>
          <w:highlight w:val="none"/>
          <w:u w:val="single"/>
        </w:rPr>
        <w:t>按专用条款第8</w:t>
      </w:r>
      <w:r>
        <w:rPr>
          <w:rFonts w:ascii="宋体" w:hAnsi="宋体" w:cs="宋体"/>
          <w:color w:val="auto"/>
          <w:kern w:val="0"/>
          <w:sz w:val="22"/>
          <w:szCs w:val="22"/>
          <w:highlight w:val="none"/>
          <w:u w:val="single"/>
        </w:rPr>
        <w:t>2.1项执行</w:t>
      </w:r>
      <w:r>
        <w:rPr>
          <w:rFonts w:hint="eastAsia" w:ascii="宋体" w:hAnsi="宋体" w:cs="宋体"/>
          <w:color w:val="auto"/>
          <w:kern w:val="0"/>
          <w:sz w:val="22"/>
          <w:szCs w:val="22"/>
          <w:highlight w:val="none"/>
          <w:u w:val="single"/>
        </w:rPr>
        <w:t>。</w:t>
      </w:r>
    </w:p>
    <w:p w14:paraId="111FFCF9">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(3) 实施施工过程结算的，其竣工结算支付方法</w:t>
      </w:r>
      <w:bookmarkEnd w:id="867"/>
      <w:r>
        <w:rPr>
          <w:rFonts w:hint="eastAsia" w:ascii="宋体" w:hAnsi="宋体" w:cs="宋体"/>
          <w:color w:val="auto"/>
          <w:kern w:val="0"/>
          <w:sz w:val="22"/>
          <w:szCs w:val="22"/>
          <w:highlight w:val="none"/>
        </w:rPr>
        <w:t xml:space="preserve">： </w:t>
      </w:r>
      <w:r>
        <w:rPr>
          <w:rFonts w:hint="eastAsia" w:ascii="宋体" w:hAnsi="宋体" w:cs="宋体"/>
          <w:color w:val="auto"/>
          <w:kern w:val="0"/>
          <w:sz w:val="22"/>
          <w:szCs w:val="22"/>
          <w:highlight w:val="none"/>
          <w:u w:val="single"/>
        </w:rPr>
        <w:t xml:space="preserve">     /       </w:t>
      </w:r>
    </w:p>
    <w:p w14:paraId="0C0E1ECA">
      <w:pPr>
        <w:spacing w:line="420" w:lineRule="exact"/>
        <w:ind w:firstLine="110" w:firstLineChars="50"/>
        <w:rPr>
          <w:rFonts w:ascii="宋体" w:hAnsi="宋体" w:cs="宋体"/>
          <w:color w:val="auto"/>
          <w:kern w:val="0"/>
          <w:sz w:val="22"/>
          <w:szCs w:val="22"/>
          <w:highlight w:val="none"/>
        </w:rPr>
      </w:pPr>
    </w:p>
    <w:p w14:paraId="2F2C2647">
      <w:pPr>
        <w:pStyle w:val="3"/>
        <w:numPr>
          <w:ilvl w:val="0"/>
          <w:numId w:val="0"/>
        </w:numPr>
        <w:tabs>
          <w:tab w:val="left" w:pos="420"/>
        </w:tabs>
        <w:spacing w:line="420" w:lineRule="exact"/>
        <w:rPr>
          <w:rFonts w:hAnsi="宋体"/>
          <w:b/>
          <w:bCs/>
          <w:color w:val="auto"/>
          <w:sz w:val="22"/>
          <w:szCs w:val="22"/>
          <w:highlight w:val="none"/>
        </w:rPr>
      </w:pPr>
      <w:bookmarkStart w:id="868" w:name="_Toc28283"/>
      <w:bookmarkStart w:id="869" w:name="_Toc469384133"/>
      <w:bookmarkStart w:id="870" w:name="_Toc26347"/>
      <w:bookmarkStart w:id="871" w:name="_Toc10219"/>
      <w:bookmarkStart w:id="872" w:name="_Toc155166210"/>
      <w:bookmarkStart w:id="873" w:name="_Toc11010"/>
      <w:r>
        <w:rPr>
          <w:rFonts w:hint="eastAsia" w:hAnsi="宋体"/>
          <w:b/>
          <w:bCs/>
          <w:color w:val="auto"/>
          <w:sz w:val="22"/>
          <w:szCs w:val="22"/>
          <w:highlight w:val="none"/>
        </w:rPr>
        <w:t>★84. 质量保证金</w:t>
      </w:r>
      <w:bookmarkEnd w:id="868"/>
      <w:bookmarkEnd w:id="869"/>
      <w:bookmarkEnd w:id="870"/>
      <w:bookmarkEnd w:id="871"/>
      <w:bookmarkEnd w:id="872"/>
      <w:bookmarkEnd w:id="873"/>
    </w:p>
    <w:p w14:paraId="50E756FE">
      <w:pPr>
        <w:spacing w:line="420" w:lineRule="exact"/>
        <w:rPr>
          <w:rFonts w:ascii="宋体" w:hAnsi="宋体" w:cs="宋体"/>
          <w:color w:val="auto"/>
          <w:kern w:val="0"/>
          <w:sz w:val="22"/>
          <w:szCs w:val="22"/>
          <w:highlight w:val="none"/>
        </w:rPr>
      </w:pPr>
    </w:p>
    <w:p w14:paraId="775CD1BF">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84.2 质量保证金的约定与扣留</w:t>
      </w:r>
    </w:p>
    <w:p w14:paraId="64042618">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（1） 质量保证金的约定</w:t>
      </w:r>
    </w:p>
    <w:p w14:paraId="041570AB">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按通用条款规定为合同条款的3%(采用银行保函)，即 </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元。</w:t>
      </w:r>
    </w:p>
    <w:p w14:paraId="46228A24">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另有约定：</w:t>
      </w:r>
      <w:r>
        <w:rPr>
          <w:rFonts w:hint="eastAsia" w:ascii="宋体" w:hAnsi="宋体" w:cs="宋体"/>
          <w:color w:val="auto"/>
          <w:kern w:val="0"/>
          <w:sz w:val="22"/>
          <w:szCs w:val="22"/>
          <w:highlight w:val="none"/>
          <w:u w:val="single"/>
        </w:rPr>
        <w:t>发包人应按照合同约定方式预留质量保证金（保函），质量保证金（保函）总预留比例按工程价款结算总额的3%。合同约定由承包人以银行保函替代预留质量保证金的，保函金额按于工程价款结算总额的3%。履约保函的有效期应当自支付完工程尾款且质保期结束之日止。</w:t>
      </w:r>
    </w:p>
    <w:p w14:paraId="5203F13E">
      <w:pPr>
        <w:spacing w:line="420" w:lineRule="exact"/>
        <w:rPr>
          <w:rFonts w:ascii="宋体" w:hAnsi="宋体" w:cs="宋体"/>
          <w:color w:val="auto"/>
          <w:kern w:val="0"/>
          <w:sz w:val="22"/>
          <w:szCs w:val="22"/>
          <w:highlight w:val="none"/>
        </w:rPr>
      </w:pPr>
    </w:p>
    <w:p w14:paraId="188EB03C">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 质量保证金的扣留</w:t>
      </w:r>
    </w:p>
    <w:p w14:paraId="741880EF">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按通用条款的规定，按每支付期应支付给承包人的进度款和结算款的3%扣留。</w:t>
      </w:r>
    </w:p>
    <w:p w14:paraId="2BCDB167">
      <w:pPr>
        <w:spacing w:line="420" w:lineRule="exact"/>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 xml:space="preserve">  ■ 另有约定：</w:t>
      </w:r>
      <w:r>
        <w:rPr>
          <w:rFonts w:hint="eastAsia" w:ascii="宋体" w:hAnsi="宋体" w:cs="宋体"/>
          <w:color w:val="auto"/>
          <w:kern w:val="0"/>
          <w:sz w:val="22"/>
          <w:szCs w:val="22"/>
          <w:highlight w:val="none"/>
          <w:u w:val="single"/>
        </w:rPr>
        <w:t>保修责任期内，由承包人原因造成的工程缺陷，承包人应负责维修，如承包人不予维修的，发包人有权委托有资质的第三方进行维修，由此产生的鉴定及维修费用由承包人承担，发包人仅将第三方提供的维修发票复印件（发票付款方名称按财政支付规定）提供给承包人作为扣款凭证，发包人有权按合同约定在质量保证金中扣除，并由承包人承担违约责任；如承包人维修并承担相应费用后，仍不免除其对发包人损害赔偿责任。</w:t>
      </w:r>
    </w:p>
    <w:p w14:paraId="6A7F779A">
      <w:pPr>
        <w:spacing w:line="420" w:lineRule="exact"/>
        <w:rPr>
          <w:rFonts w:ascii="宋体" w:hAnsi="宋体" w:cs="宋体"/>
          <w:color w:val="auto"/>
          <w:kern w:val="0"/>
          <w:sz w:val="22"/>
          <w:szCs w:val="22"/>
          <w:highlight w:val="none"/>
        </w:rPr>
      </w:pPr>
    </w:p>
    <w:p w14:paraId="11E1655A">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8</w:t>
      </w:r>
      <w:r>
        <w:rPr>
          <w:rFonts w:ascii="宋体" w:hAnsi="宋体" w:cs="宋体"/>
          <w:color w:val="auto"/>
          <w:kern w:val="0"/>
          <w:sz w:val="22"/>
          <w:szCs w:val="22"/>
          <w:highlight w:val="none"/>
        </w:rPr>
        <w:t>4.3</w:t>
      </w:r>
      <w:r>
        <w:rPr>
          <w:rFonts w:hint="eastAsia" w:ascii="宋体" w:hAnsi="宋体" w:cs="宋体"/>
          <w:color w:val="auto"/>
          <w:kern w:val="0"/>
          <w:sz w:val="22"/>
          <w:szCs w:val="22"/>
          <w:highlight w:val="none"/>
        </w:rPr>
        <w:t>质量保证金的返还：</w:t>
      </w:r>
      <w:r>
        <w:rPr>
          <w:rFonts w:hint="eastAsia" w:ascii="宋体" w:hAnsi="宋体" w:cs="宋体"/>
          <w:color w:val="auto"/>
          <w:kern w:val="0"/>
          <w:sz w:val="22"/>
          <w:szCs w:val="22"/>
          <w:highlight w:val="none"/>
          <w:u w:val="single"/>
        </w:rPr>
        <w:t>在单位工程验收合格满一年且完成全部保修项目，经双方再次组织验收合格并签订移交书后，提交齐完整请款资料及工程结算总价3%发票的复印件后一个月内，无息付清扣除应扣款项（若有）后的余额。</w:t>
      </w:r>
    </w:p>
    <w:p w14:paraId="7182FAB4">
      <w:pPr>
        <w:spacing w:line="420" w:lineRule="exact"/>
        <w:rPr>
          <w:rFonts w:ascii="宋体" w:hAnsi="宋体" w:cs="宋体"/>
          <w:color w:val="auto"/>
          <w:kern w:val="0"/>
          <w:sz w:val="22"/>
          <w:szCs w:val="22"/>
          <w:highlight w:val="none"/>
        </w:rPr>
      </w:pPr>
    </w:p>
    <w:p w14:paraId="20F2524A">
      <w:pPr>
        <w:pStyle w:val="3"/>
        <w:numPr>
          <w:ilvl w:val="0"/>
          <w:numId w:val="0"/>
        </w:numPr>
        <w:tabs>
          <w:tab w:val="left" w:pos="420"/>
        </w:tabs>
        <w:spacing w:line="420" w:lineRule="exact"/>
        <w:rPr>
          <w:rFonts w:hAnsi="宋体"/>
          <w:b/>
          <w:bCs/>
          <w:color w:val="auto"/>
          <w:sz w:val="22"/>
          <w:szCs w:val="22"/>
          <w:highlight w:val="none"/>
        </w:rPr>
      </w:pPr>
      <w:bookmarkStart w:id="874" w:name="_Toc469384134"/>
      <w:bookmarkStart w:id="875" w:name="_Toc8540"/>
      <w:bookmarkStart w:id="876" w:name="_Toc155166211"/>
      <w:bookmarkStart w:id="877" w:name="_Toc31089"/>
      <w:bookmarkStart w:id="878" w:name="_Toc14211"/>
      <w:bookmarkStart w:id="879" w:name="_Toc4039"/>
      <w:r>
        <w:rPr>
          <w:rFonts w:hint="eastAsia" w:hAnsi="宋体"/>
          <w:b/>
          <w:bCs/>
          <w:color w:val="auto"/>
          <w:sz w:val="22"/>
          <w:szCs w:val="22"/>
          <w:highlight w:val="none"/>
        </w:rPr>
        <w:t>85. 最终清算款</w:t>
      </w:r>
      <w:bookmarkEnd w:id="874"/>
      <w:bookmarkEnd w:id="875"/>
      <w:bookmarkEnd w:id="876"/>
      <w:bookmarkEnd w:id="877"/>
      <w:bookmarkEnd w:id="878"/>
      <w:bookmarkEnd w:id="879"/>
    </w:p>
    <w:p w14:paraId="1A2AE9FC">
      <w:pPr>
        <w:spacing w:line="420" w:lineRule="exact"/>
        <w:rPr>
          <w:rFonts w:ascii="宋体" w:hAnsi="宋体" w:cs="宋体"/>
          <w:color w:val="auto"/>
          <w:kern w:val="0"/>
          <w:sz w:val="22"/>
          <w:szCs w:val="22"/>
          <w:highlight w:val="none"/>
        </w:rPr>
      </w:pPr>
    </w:p>
    <w:p w14:paraId="34ECADCE">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85.1 提交最终清算支付申请</w:t>
      </w:r>
    </w:p>
    <w:p w14:paraId="3ACD2DD6">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（1） 最终清算支付申请</w:t>
      </w:r>
    </w:p>
    <w:p w14:paraId="4B1D0963">
      <w:pPr>
        <w:spacing w:line="420" w:lineRule="exact"/>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提交份数：</w:t>
      </w:r>
      <w:r>
        <w:rPr>
          <w:rFonts w:hint="eastAsia" w:ascii="宋体" w:hAnsi="宋体" w:cs="宋体"/>
          <w:color w:val="auto"/>
          <w:kern w:val="0"/>
          <w:sz w:val="22"/>
          <w:szCs w:val="22"/>
          <w:highlight w:val="none"/>
          <w:u w:val="single"/>
        </w:rPr>
        <w:t>按发包人当期规定。</w:t>
      </w:r>
    </w:p>
    <w:p w14:paraId="63BDD8B3">
      <w:pPr>
        <w:spacing w:line="420" w:lineRule="exact"/>
        <w:ind w:firstLine="48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提交期限：</w:t>
      </w:r>
      <w:r>
        <w:rPr>
          <w:rFonts w:hint="eastAsia" w:ascii="宋体" w:hAnsi="宋体" w:cs="宋体"/>
          <w:color w:val="auto"/>
          <w:kern w:val="0"/>
          <w:sz w:val="22"/>
          <w:szCs w:val="22"/>
          <w:highlight w:val="none"/>
          <w:u w:val="single"/>
        </w:rPr>
        <w:t>按专用合同条款第</w:t>
      </w:r>
      <w:r>
        <w:rPr>
          <w:rFonts w:ascii="宋体" w:hAnsi="宋体" w:cs="宋体"/>
          <w:color w:val="auto"/>
          <w:kern w:val="0"/>
          <w:sz w:val="22"/>
          <w:szCs w:val="22"/>
          <w:highlight w:val="none"/>
          <w:u w:val="single"/>
        </w:rPr>
        <w:t>84.3</w:t>
      </w:r>
      <w:r>
        <w:rPr>
          <w:rFonts w:hint="eastAsia" w:ascii="宋体" w:hAnsi="宋体" w:cs="宋体"/>
          <w:color w:val="auto"/>
          <w:kern w:val="0"/>
          <w:sz w:val="22"/>
          <w:szCs w:val="22"/>
          <w:highlight w:val="none"/>
          <w:u w:val="single"/>
        </w:rPr>
        <w:t>项要求的期限。</w:t>
      </w:r>
    </w:p>
    <w:p w14:paraId="48618383">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  最终清算支付时限</w:t>
      </w:r>
    </w:p>
    <w:p w14:paraId="2410A11D">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按通用条款的规定，在造价工程师签发最终清算支付证书后的14天内。</w:t>
      </w:r>
    </w:p>
    <w:p w14:paraId="3F59F2A4">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另有约定：</w:t>
      </w:r>
      <w:r>
        <w:rPr>
          <w:rFonts w:hint="eastAsia" w:ascii="宋体" w:hAnsi="宋体" w:cs="宋体"/>
          <w:color w:val="auto"/>
          <w:kern w:val="0"/>
          <w:sz w:val="22"/>
          <w:szCs w:val="22"/>
          <w:highlight w:val="none"/>
          <w:u w:val="single"/>
        </w:rPr>
        <w:t>提交齐完整请款资料及工程结算总价3%发票的复印件后一个月内，无息付清扣除应扣款项（若有）后的余额。</w:t>
      </w:r>
      <w:r>
        <w:rPr>
          <w:rFonts w:hint="eastAsia" w:ascii="宋体" w:hAnsi="宋体" w:cs="宋体"/>
          <w:color w:val="auto"/>
          <w:kern w:val="0"/>
          <w:sz w:val="22"/>
          <w:szCs w:val="22"/>
          <w:highlight w:val="none"/>
        </w:rPr>
        <w:t xml:space="preserve">            </w:t>
      </w:r>
    </w:p>
    <w:p w14:paraId="608BC85F">
      <w:pPr>
        <w:spacing w:line="420" w:lineRule="exact"/>
        <w:rPr>
          <w:rFonts w:ascii="宋体" w:hAnsi="宋体" w:cs="宋体"/>
          <w:color w:val="auto"/>
          <w:kern w:val="0"/>
          <w:sz w:val="22"/>
          <w:szCs w:val="22"/>
          <w:highlight w:val="none"/>
        </w:rPr>
      </w:pPr>
    </w:p>
    <w:p w14:paraId="18D4D798">
      <w:pPr>
        <w:pStyle w:val="3"/>
        <w:numPr>
          <w:ilvl w:val="0"/>
          <w:numId w:val="0"/>
        </w:numPr>
        <w:tabs>
          <w:tab w:val="left" w:pos="420"/>
        </w:tabs>
        <w:spacing w:line="420" w:lineRule="exact"/>
        <w:rPr>
          <w:rFonts w:hAnsi="宋体"/>
          <w:b/>
          <w:bCs/>
          <w:color w:val="auto"/>
          <w:sz w:val="22"/>
          <w:szCs w:val="22"/>
          <w:highlight w:val="none"/>
        </w:rPr>
      </w:pPr>
      <w:bookmarkStart w:id="880" w:name="_Toc26505"/>
      <w:bookmarkStart w:id="881" w:name="_Toc32322"/>
      <w:bookmarkStart w:id="882" w:name="_Toc15675"/>
      <w:bookmarkStart w:id="883" w:name="_Toc155166212"/>
      <w:bookmarkStart w:id="884" w:name="_Toc469384135"/>
      <w:bookmarkStart w:id="885" w:name="_Toc5889"/>
      <w:r>
        <w:rPr>
          <w:rFonts w:hint="eastAsia" w:hAnsi="宋体"/>
          <w:b/>
          <w:bCs/>
          <w:color w:val="auto"/>
          <w:sz w:val="22"/>
          <w:szCs w:val="22"/>
          <w:highlight w:val="none"/>
        </w:rPr>
        <w:t>86. 合同争议</w:t>
      </w:r>
      <w:bookmarkEnd w:id="880"/>
      <w:bookmarkEnd w:id="881"/>
      <w:bookmarkEnd w:id="882"/>
      <w:bookmarkEnd w:id="883"/>
      <w:bookmarkEnd w:id="884"/>
      <w:bookmarkEnd w:id="885"/>
    </w:p>
    <w:p w14:paraId="4C3B5A5A">
      <w:pPr>
        <w:spacing w:line="420" w:lineRule="exact"/>
        <w:rPr>
          <w:rFonts w:ascii="宋体" w:hAnsi="宋体" w:cs="宋体"/>
          <w:color w:val="auto"/>
          <w:kern w:val="0"/>
          <w:sz w:val="22"/>
          <w:szCs w:val="22"/>
          <w:highlight w:val="none"/>
        </w:rPr>
      </w:pPr>
    </w:p>
    <w:p w14:paraId="7312D25A">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86.4 调解或认定</w:t>
      </w:r>
    </w:p>
    <w:p w14:paraId="6620EFF1">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争议调解或认定机构：</w:t>
      </w:r>
    </w:p>
    <w:p w14:paraId="5E304A9B">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按通用条款的规定。</w:t>
      </w:r>
    </w:p>
    <w:p w14:paraId="1FB83C4A">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另有约定：</w:t>
      </w:r>
    </w:p>
    <w:p w14:paraId="01DC41B8">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（1）</w:t>
      </w:r>
      <w:r>
        <w:rPr>
          <w:rFonts w:hint="eastAsia" w:ascii="宋体" w:hAnsi="宋体" w:cs="宋体"/>
          <w:color w:val="auto"/>
          <w:kern w:val="0"/>
          <w:sz w:val="22"/>
          <w:szCs w:val="22"/>
          <w:highlight w:val="none"/>
          <w:u w:val="single"/>
        </w:rPr>
        <w:t>依法向广州市番禺区人民法院起诉。</w:t>
      </w:r>
      <w:r>
        <w:rPr>
          <w:rFonts w:hint="eastAsia" w:ascii="宋体" w:hAnsi="宋体" w:cs="宋体"/>
          <w:color w:val="auto"/>
          <w:kern w:val="0"/>
          <w:sz w:val="22"/>
          <w:szCs w:val="22"/>
          <w:highlight w:val="none"/>
        </w:rPr>
        <w:t xml:space="preserve">        </w:t>
      </w:r>
    </w:p>
    <w:p w14:paraId="0373CA7C">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193166B4">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（3）</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7CD6D5C6">
      <w:pPr>
        <w:spacing w:line="420" w:lineRule="exact"/>
        <w:rPr>
          <w:rFonts w:ascii="宋体" w:hAnsi="宋体" w:cs="宋体"/>
          <w:color w:val="auto"/>
          <w:kern w:val="0"/>
          <w:sz w:val="22"/>
          <w:szCs w:val="22"/>
          <w:highlight w:val="none"/>
        </w:rPr>
      </w:pPr>
    </w:p>
    <w:p w14:paraId="55B621FB">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86.6 仲裁或诉讼</w:t>
      </w:r>
    </w:p>
    <w:p w14:paraId="19BA53FE">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解决争议的最终方式：</w:t>
      </w:r>
    </w:p>
    <w:p w14:paraId="45D79483">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向中国广州仲裁委员会申请仲裁。</w:t>
      </w:r>
    </w:p>
    <w:p w14:paraId="67A85F16">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向有管辖权的人民法院提起诉讼。</w:t>
      </w:r>
    </w:p>
    <w:p w14:paraId="3CC9E67F">
      <w:pPr>
        <w:spacing w:line="420" w:lineRule="exact"/>
        <w:rPr>
          <w:rFonts w:ascii="宋体" w:hAnsi="宋体" w:cs="宋体"/>
          <w:color w:val="auto"/>
          <w:kern w:val="0"/>
          <w:sz w:val="22"/>
          <w:szCs w:val="22"/>
          <w:highlight w:val="none"/>
        </w:rPr>
      </w:pPr>
    </w:p>
    <w:p w14:paraId="39D37A80">
      <w:pPr>
        <w:spacing w:line="420" w:lineRule="exact"/>
        <w:rPr>
          <w:rFonts w:ascii="宋体" w:hAnsi="宋体" w:cs="宋体"/>
          <w:color w:val="auto"/>
          <w:kern w:val="0"/>
          <w:sz w:val="22"/>
          <w:szCs w:val="22"/>
          <w:highlight w:val="none"/>
        </w:rPr>
      </w:pPr>
      <w:bookmarkStart w:id="886" w:name="_Toc469384136"/>
      <w:r>
        <w:rPr>
          <w:rFonts w:ascii="宋体" w:hAnsi="宋体" w:cs="宋体"/>
          <w:color w:val="auto"/>
          <w:kern w:val="0"/>
          <w:sz w:val="22"/>
          <w:szCs w:val="22"/>
          <w:highlight w:val="none"/>
        </w:rPr>
        <w:t>86.7</w:t>
      </w:r>
      <w:r>
        <w:rPr>
          <w:rFonts w:hint="eastAsia" w:ascii="宋体" w:hAnsi="宋体" w:cs="宋体"/>
          <w:color w:val="auto"/>
          <w:kern w:val="0"/>
          <w:sz w:val="22"/>
          <w:szCs w:val="22"/>
          <w:highlight w:val="none"/>
        </w:rPr>
        <w:t>争议期间继续施工</w:t>
      </w:r>
    </w:p>
    <w:p w14:paraId="1F557616">
      <w:pPr>
        <w:spacing w:line="42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本合同在履行时如发生争议，除发生通用条款第8</w:t>
      </w:r>
      <w:r>
        <w:rPr>
          <w:rFonts w:ascii="宋体" w:hAnsi="宋体" w:cs="宋体"/>
          <w:color w:val="auto"/>
          <w:kern w:val="0"/>
          <w:sz w:val="22"/>
          <w:szCs w:val="22"/>
          <w:highlight w:val="none"/>
          <w:u w:val="single"/>
        </w:rPr>
        <w:t>6.7</w:t>
      </w:r>
      <w:r>
        <w:rPr>
          <w:rFonts w:hint="eastAsia" w:ascii="宋体" w:hAnsi="宋体" w:cs="宋体"/>
          <w:color w:val="auto"/>
          <w:kern w:val="0"/>
          <w:sz w:val="22"/>
          <w:szCs w:val="22"/>
          <w:highlight w:val="none"/>
          <w:u w:val="single"/>
        </w:rPr>
        <w:t>项所列情况外，承包人在协商解决过程中不得因此停止施工，否则，发包人为确保工程按时竣工，有权委托其他施工单位进行施工，发生的费用由承包人承担；情况严重时发包人有权终止合同和要求承包人先行退场，退场后再进行工程结算。</w:t>
      </w:r>
    </w:p>
    <w:p w14:paraId="1FF6DE41">
      <w:pPr>
        <w:spacing w:line="420" w:lineRule="exact"/>
        <w:rPr>
          <w:rFonts w:ascii="宋体" w:hAnsi="宋体" w:cs="宋体"/>
          <w:color w:val="auto"/>
          <w:kern w:val="0"/>
          <w:sz w:val="22"/>
          <w:szCs w:val="22"/>
          <w:highlight w:val="none"/>
        </w:rPr>
      </w:pPr>
    </w:p>
    <w:p w14:paraId="7122C3CF">
      <w:pPr>
        <w:pStyle w:val="3"/>
        <w:numPr>
          <w:ilvl w:val="0"/>
          <w:numId w:val="0"/>
        </w:numPr>
        <w:tabs>
          <w:tab w:val="left" w:pos="420"/>
        </w:tabs>
        <w:spacing w:line="420" w:lineRule="exact"/>
        <w:rPr>
          <w:rFonts w:hAnsi="宋体"/>
          <w:b/>
          <w:bCs/>
          <w:color w:val="auto"/>
          <w:sz w:val="22"/>
          <w:szCs w:val="22"/>
          <w:highlight w:val="none"/>
        </w:rPr>
      </w:pPr>
      <w:bookmarkStart w:id="887" w:name="_Toc24503"/>
      <w:bookmarkStart w:id="888" w:name="_Toc29065"/>
      <w:bookmarkStart w:id="889" w:name="_Toc4587"/>
      <w:bookmarkStart w:id="890" w:name="_Toc155166213"/>
      <w:bookmarkStart w:id="891" w:name="_Toc17130"/>
      <w:r>
        <w:rPr>
          <w:rFonts w:hint="eastAsia" w:hAnsi="宋体"/>
          <w:b/>
          <w:bCs/>
          <w:color w:val="auto"/>
          <w:sz w:val="22"/>
          <w:szCs w:val="22"/>
          <w:highlight w:val="none"/>
        </w:rPr>
        <w:t>8</w:t>
      </w:r>
      <w:r>
        <w:rPr>
          <w:rFonts w:hAnsi="宋体"/>
          <w:b/>
          <w:bCs/>
          <w:color w:val="auto"/>
          <w:sz w:val="22"/>
          <w:szCs w:val="22"/>
          <w:highlight w:val="none"/>
        </w:rPr>
        <w:t>7.</w:t>
      </w:r>
      <w:r>
        <w:rPr>
          <w:rFonts w:hint="eastAsia" w:hAnsi="宋体"/>
          <w:b/>
          <w:bCs/>
          <w:color w:val="auto"/>
          <w:sz w:val="22"/>
          <w:szCs w:val="22"/>
          <w:highlight w:val="none"/>
        </w:rPr>
        <w:t>合同解除</w:t>
      </w:r>
      <w:bookmarkEnd w:id="887"/>
      <w:bookmarkEnd w:id="888"/>
      <w:bookmarkEnd w:id="889"/>
      <w:bookmarkEnd w:id="890"/>
      <w:bookmarkEnd w:id="891"/>
    </w:p>
    <w:p w14:paraId="6D1AE470">
      <w:pPr>
        <w:spacing w:line="420" w:lineRule="exact"/>
        <w:rPr>
          <w:rFonts w:ascii="宋体" w:hAnsi="宋体" w:cs="宋体"/>
          <w:color w:val="auto"/>
          <w:kern w:val="0"/>
          <w:sz w:val="22"/>
          <w:szCs w:val="22"/>
          <w:highlight w:val="none"/>
        </w:rPr>
      </w:pPr>
    </w:p>
    <w:p w14:paraId="65160643">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8</w:t>
      </w:r>
      <w:r>
        <w:rPr>
          <w:rFonts w:ascii="宋体" w:hAnsi="宋体" w:cs="宋体"/>
          <w:color w:val="auto"/>
          <w:kern w:val="0"/>
          <w:sz w:val="22"/>
          <w:szCs w:val="22"/>
          <w:highlight w:val="none"/>
        </w:rPr>
        <w:t>7.3</w:t>
      </w:r>
      <w:r>
        <w:rPr>
          <w:rFonts w:hint="eastAsia" w:ascii="宋体" w:hAnsi="宋体" w:cs="宋体"/>
          <w:color w:val="auto"/>
          <w:kern w:val="0"/>
          <w:sz w:val="22"/>
          <w:szCs w:val="22"/>
          <w:highlight w:val="none"/>
        </w:rPr>
        <w:t>因承包人的原因解除</w:t>
      </w:r>
    </w:p>
    <w:p w14:paraId="2B2D5BA5">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除通用条款8</w:t>
      </w:r>
      <w:r>
        <w:rPr>
          <w:rFonts w:ascii="宋体" w:hAnsi="宋体" w:cs="宋体"/>
          <w:color w:val="auto"/>
          <w:kern w:val="0"/>
          <w:sz w:val="22"/>
          <w:szCs w:val="22"/>
          <w:highlight w:val="none"/>
        </w:rPr>
        <w:t>7.3</w:t>
      </w:r>
      <w:r>
        <w:rPr>
          <w:rFonts w:hint="eastAsia" w:ascii="宋体" w:hAnsi="宋体" w:cs="宋体"/>
          <w:color w:val="auto"/>
          <w:kern w:val="0"/>
          <w:sz w:val="22"/>
          <w:szCs w:val="22"/>
          <w:highlight w:val="none"/>
        </w:rPr>
        <w:t>所列情形外，还包括以下情形：</w:t>
      </w:r>
    </w:p>
    <w:p w14:paraId="1C135D33">
      <w:pPr>
        <w:spacing w:line="42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①.未按期进场施工，逾期超过10个日历天的；</w:t>
      </w:r>
    </w:p>
    <w:p w14:paraId="3C77D4D7">
      <w:pPr>
        <w:spacing w:line="42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②.未按期完成总工程量的30%，逾期超过15个日历天的；</w:t>
      </w:r>
    </w:p>
    <w:p w14:paraId="334D90E1">
      <w:pPr>
        <w:spacing w:line="42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③.未按期完成总工程量的70%，逾期超过15个日历天的；</w:t>
      </w:r>
    </w:p>
    <w:p w14:paraId="3E1D3FDC">
      <w:pPr>
        <w:spacing w:line="42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④.未按期完成全部工程量并达到竣工验收要求，逾期超过30个日历天的。</w:t>
      </w:r>
    </w:p>
    <w:p w14:paraId="67238DED">
      <w:pPr>
        <w:spacing w:line="360" w:lineRule="auto"/>
        <w:ind w:firstLine="480" w:firstLineChars="200"/>
        <w:rPr>
          <w:rFonts w:ascii="宋体" w:hAnsi="宋体"/>
          <w:color w:val="auto"/>
          <w:sz w:val="24"/>
          <w:highlight w:val="none"/>
        </w:rPr>
      </w:pPr>
    </w:p>
    <w:p w14:paraId="27AC1767">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8</w:t>
      </w:r>
      <w:r>
        <w:rPr>
          <w:rFonts w:ascii="宋体" w:hAnsi="宋体" w:cs="宋体"/>
          <w:color w:val="auto"/>
          <w:kern w:val="0"/>
          <w:sz w:val="22"/>
          <w:szCs w:val="22"/>
          <w:highlight w:val="none"/>
        </w:rPr>
        <w:t>7.4</w:t>
      </w:r>
      <w:r>
        <w:rPr>
          <w:rFonts w:hint="eastAsia" w:ascii="宋体" w:hAnsi="宋体" w:cs="宋体"/>
          <w:color w:val="auto"/>
          <w:kern w:val="0"/>
          <w:sz w:val="22"/>
          <w:szCs w:val="22"/>
          <w:highlight w:val="none"/>
        </w:rPr>
        <w:t>因发包人的原因解除：</w:t>
      </w:r>
      <w:r>
        <w:rPr>
          <w:rFonts w:hint="eastAsia" w:ascii="宋体" w:hAnsi="宋体" w:cs="宋体"/>
          <w:color w:val="auto"/>
          <w:kern w:val="0"/>
          <w:sz w:val="22"/>
          <w:szCs w:val="22"/>
          <w:highlight w:val="none"/>
          <w:u w:val="single"/>
        </w:rPr>
        <w:t>不适用</w:t>
      </w:r>
      <w:r>
        <w:rPr>
          <w:rFonts w:hint="eastAsia" w:ascii="宋体" w:hAnsi="宋体" w:cs="宋体"/>
          <w:color w:val="auto"/>
          <w:kern w:val="0"/>
          <w:sz w:val="22"/>
          <w:szCs w:val="22"/>
          <w:highlight w:val="none"/>
        </w:rPr>
        <w:t>。</w:t>
      </w:r>
    </w:p>
    <w:p w14:paraId="7EFB9AA7">
      <w:pPr>
        <w:spacing w:line="420" w:lineRule="exact"/>
        <w:rPr>
          <w:rFonts w:ascii="宋体" w:hAnsi="宋体" w:cs="宋体"/>
          <w:color w:val="auto"/>
          <w:kern w:val="0"/>
          <w:sz w:val="22"/>
          <w:szCs w:val="22"/>
          <w:highlight w:val="none"/>
        </w:rPr>
      </w:pPr>
    </w:p>
    <w:p w14:paraId="2F908E0E">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8</w:t>
      </w:r>
      <w:r>
        <w:rPr>
          <w:rFonts w:ascii="宋体" w:hAnsi="宋体" w:cs="宋体"/>
          <w:color w:val="auto"/>
          <w:kern w:val="0"/>
          <w:sz w:val="22"/>
          <w:szCs w:val="22"/>
          <w:highlight w:val="none"/>
        </w:rPr>
        <w:t>7.6</w:t>
      </w:r>
      <w:r>
        <w:rPr>
          <w:rFonts w:hint="eastAsia" w:ascii="宋体" w:hAnsi="宋体" w:cs="宋体"/>
          <w:color w:val="auto"/>
          <w:kern w:val="0"/>
          <w:sz w:val="22"/>
          <w:szCs w:val="22"/>
          <w:highlight w:val="none"/>
        </w:rPr>
        <w:t>合同解除后双方的责任和义务</w:t>
      </w:r>
    </w:p>
    <w:p w14:paraId="7AC3BE80">
      <w:pPr>
        <w:spacing w:line="42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自承包人收到发包人解除合同通知之日起，合同解除。因上述原因解除合同的，承包人应在接到解除合同书面通知之日起5个日历天内确保施工人员无条件全部离场，且应与发包人做好离场交接手续。承包人逾期不离场的，发包人有权强制清场，所发生的一切清场费用由承包人自行承担。</w:t>
      </w:r>
    </w:p>
    <w:p w14:paraId="653FB084">
      <w:pPr>
        <w:spacing w:line="42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因上述原因解除合同的，承包人除应按前款规定按日支付解除合同前的违约金外，还应另外向发包人支付全部工程签约合同价的30%作为违约金。发包人的损失超出违约金部分的，发包人有权向承包人继续追偿。</w:t>
      </w:r>
    </w:p>
    <w:p w14:paraId="7D52ADBD">
      <w:pPr>
        <w:spacing w:line="420" w:lineRule="exact"/>
        <w:ind w:firstLine="440" w:firstLineChars="2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第一中标候选人因故与发包人解除合同的，由发包人依次与第二、第三中标候选人协商，按对应的投标报价签订合同，完成剩余工程量。</w:t>
      </w:r>
    </w:p>
    <w:p w14:paraId="7302DB0A">
      <w:pPr>
        <w:spacing w:line="420" w:lineRule="exact"/>
        <w:rPr>
          <w:rFonts w:ascii="宋体" w:hAnsi="宋体" w:cs="宋体"/>
          <w:color w:val="auto"/>
          <w:kern w:val="0"/>
          <w:sz w:val="22"/>
          <w:szCs w:val="22"/>
          <w:highlight w:val="none"/>
        </w:rPr>
      </w:pPr>
    </w:p>
    <w:p w14:paraId="660F0F33">
      <w:pPr>
        <w:pStyle w:val="3"/>
        <w:numPr>
          <w:ilvl w:val="0"/>
          <w:numId w:val="0"/>
        </w:numPr>
        <w:tabs>
          <w:tab w:val="left" w:pos="420"/>
        </w:tabs>
        <w:spacing w:line="420" w:lineRule="exact"/>
        <w:rPr>
          <w:rFonts w:hAnsi="宋体"/>
          <w:b/>
          <w:bCs/>
          <w:color w:val="auto"/>
          <w:sz w:val="22"/>
          <w:szCs w:val="22"/>
          <w:highlight w:val="none"/>
        </w:rPr>
      </w:pPr>
      <w:bookmarkStart w:id="892" w:name="_Toc155166214"/>
      <w:bookmarkStart w:id="893" w:name="_Toc22831"/>
      <w:bookmarkStart w:id="894" w:name="_Toc20200"/>
      <w:bookmarkStart w:id="895" w:name="_Toc10457"/>
      <w:bookmarkStart w:id="896" w:name="_Toc4902"/>
      <w:r>
        <w:rPr>
          <w:rFonts w:hint="eastAsia" w:hAnsi="宋体"/>
          <w:b/>
          <w:bCs/>
          <w:color w:val="auto"/>
          <w:sz w:val="22"/>
          <w:szCs w:val="22"/>
          <w:highlight w:val="none"/>
        </w:rPr>
        <w:t>94. 保密要求</w:t>
      </w:r>
      <w:bookmarkEnd w:id="886"/>
      <w:bookmarkEnd w:id="892"/>
      <w:bookmarkEnd w:id="893"/>
      <w:bookmarkEnd w:id="894"/>
      <w:bookmarkEnd w:id="895"/>
      <w:bookmarkEnd w:id="896"/>
    </w:p>
    <w:p w14:paraId="295C9095">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94.1 提供保密信息的期限：</w:t>
      </w:r>
    </w:p>
    <w:p w14:paraId="34A0BE4E">
      <w:pPr>
        <w:spacing w:line="420" w:lineRule="exact"/>
        <w:rPr>
          <w:rFonts w:ascii="宋体" w:hAnsi="宋体" w:cs="宋体"/>
          <w:color w:val="auto"/>
          <w:kern w:val="0"/>
          <w:sz w:val="22"/>
          <w:szCs w:val="22"/>
          <w:highlight w:val="none"/>
        </w:rPr>
      </w:pPr>
    </w:p>
    <w:p w14:paraId="431076EC">
      <w:pPr>
        <w:pStyle w:val="3"/>
        <w:numPr>
          <w:ilvl w:val="0"/>
          <w:numId w:val="0"/>
        </w:numPr>
        <w:tabs>
          <w:tab w:val="left" w:pos="420"/>
        </w:tabs>
        <w:spacing w:line="420" w:lineRule="exact"/>
        <w:rPr>
          <w:rFonts w:hAnsi="宋体"/>
          <w:b/>
          <w:bCs/>
          <w:color w:val="auto"/>
          <w:sz w:val="22"/>
          <w:szCs w:val="22"/>
          <w:highlight w:val="none"/>
        </w:rPr>
      </w:pPr>
      <w:bookmarkStart w:id="897" w:name="_Toc4761"/>
      <w:bookmarkStart w:id="898" w:name="_Toc3800"/>
      <w:bookmarkStart w:id="899" w:name="_Toc155166215"/>
      <w:bookmarkStart w:id="900" w:name="_Toc21797"/>
      <w:bookmarkStart w:id="901" w:name="_Toc469384137"/>
      <w:bookmarkStart w:id="902" w:name="_Toc12760"/>
      <w:r>
        <w:rPr>
          <w:rFonts w:hint="eastAsia" w:hAnsi="宋体"/>
          <w:b/>
          <w:bCs/>
          <w:color w:val="auto"/>
          <w:sz w:val="22"/>
          <w:szCs w:val="22"/>
          <w:highlight w:val="none"/>
        </w:rPr>
        <w:t>97. 合同份数</w:t>
      </w:r>
      <w:bookmarkEnd w:id="897"/>
      <w:bookmarkEnd w:id="898"/>
      <w:bookmarkEnd w:id="899"/>
      <w:bookmarkEnd w:id="900"/>
      <w:bookmarkEnd w:id="901"/>
      <w:bookmarkEnd w:id="902"/>
    </w:p>
    <w:p w14:paraId="47288EEC">
      <w:pPr>
        <w:spacing w:line="420" w:lineRule="exact"/>
        <w:rPr>
          <w:rFonts w:ascii="宋体" w:hAnsi="宋体" w:cs="宋体"/>
          <w:color w:val="auto"/>
          <w:kern w:val="0"/>
          <w:sz w:val="22"/>
          <w:szCs w:val="22"/>
          <w:highlight w:val="none"/>
        </w:rPr>
      </w:pPr>
    </w:p>
    <w:p w14:paraId="5B406FED">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94.1 约定提供合同文件</w:t>
      </w:r>
    </w:p>
    <w:p w14:paraId="387593F9">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提供合同文本：</w:t>
      </w:r>
    </w:p>
    <w:p w14:paraId="5D66ECD4">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按通用条款的规定，由发包人向承包人提供。</w:t>
      </w:r>
    </w:p>
    <w:p w14:paraId="79861588">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 另有约定：</w:t>
      </w:r>
      <w:r>
        <w:rPr>
          <w:rFonts w:hint="eastAsia" w:ascii="宋体" w:hAnsi="宋体" w:cs="宋体"/>
          <w:color w:val="auto"/>
          <w:kern w:val="0"/>
          <w:sz w:val="22"/>
          <w:szCs w:val="22"/>
          <w:highlight w:val="none"/>
          <w:u w:val="single"/>
        </w:rPr>
        <w:t xml:space="preserve">承包人向发包人提供。 </w:t>
      </w:r>
      <w:r>
        <w:rPr>
          <w:rFonts w:hint="eastAsia" w:ascii="宋体" w:hAnsi="宋体" w:cs="宋体"/>
          <w:color w:val="auto"/>
          <w:kern w:val="0"/>
          <w:sz w:val="22"/>
          <w:szCs w:val="22"/>
          <w:highlight w:val="none"/>
        </w:rPr>
        <w:t xml:space="preserve">           </w:t>
      </w:r>
    </w:p>
    <w:p w14:paraId="1FBA1729">
      <w:pPr>
        <w:spacing w:line="420" w:lineRule="exact"/>
        <w:rPr>
          <w:rFonts w:ascii="宋体" w:hAnsi="宋体" w:cs="宋体"/>
          <w:color w:val="auto"/>
          <w:kern w:val="0"/>
          <w:sz w:val="22"/>
          <w:szCs w:val="22"/>
          <w:highlight w:val="none"/>
        </w:rPr>
      </w:pPr>
    </w:p>
    <w:p w14:paraId="3811A76E">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94.2 正副本效力</w:t>
      </w:r>
    </w:p>
    <w:p w14:paraId="2B80CEB0">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合同的份数：</w:t>
      </w:r>
    </w:p>
    <w:p w14:paraId="1263C42E">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正本</w:t>
      </w:r>
      <w:r>
        <w:rPr>
          <w:rFonts w:hint="eastAsia" w:ascii="宋体" w:hAnsi="宋体" w:cs="宋体"/>
          <w:color w:val="auto"/>
          <w:kern w:val="0"/>
          <w:sz w:val="22"/>
          <w:szCs w:val="22"/>
          <w:highlight w:val="none"/>
          <w:u w:val="single"/>
        </w:rPr>
        <w:t xml:space="preserve"> 两</w:t>
      </w:r>
      <w:r>
        <w:rPr>
          <w:rFonts w:hint="eastAsia" w:ascii="宋体" w:hAnsi="宋体" w:cs="宋体"/>
          <w:color w:val="auto"/>
          <w:kern w:val="0"/>
          <w:sz w:val="22"/>
          <w:szCs w:val="22"/>
          <w:highlight w:val="none"/>
        </w:rPr>
        <w:t>份，副本</w:t>
      </w:r>
      <w:r>
        <w:rPr>
          <w:rFonts w:hint="eastAsia" w:ascii="宋体" w:hAnsi="宋体" w:cs="宋体"/>
          <w:color w:val="auto"/>
          <w:kern w:val="0"/>
          <w:sz w:val="22"/>
          <w:szCs w:val="22"/>
          <w:highlight w:val="none"/>
          <w:u w:val="single"/>
        </w:rPr>
        <w:t>捌</w:t>
      </w:r>
      <w:r>
        <w:rPr>
          <w:rFonts w:hint="eastAsia" w:ascii="宋体" w:hAnsi="宋体" w:cs="宋体"/>
          <w:color w:val="auto"/>
          <w:kern w:val="0"/>
          <w:sz w:val="22"/>
          <w:szCs w:val="22"/>
          <w:highlight w:val="none"/>
        </w:rPr>
        <w:t>份。</w:t>
      </w:r>
    </w:p>
    <w:p w14:paraId="1DEED7D5">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其中：发包人正本</w:t>
      </w:r>
      <w:r>
        <w:rPr>
          <w:rFonts w:hint="eastAsia" w:ascii="宋体" w:hAnsi="宋体" w:cs="宋体"/>
          <w:color w:val="auto"/>
          <w:kern w:val="0"/>
          <w:sz w:val="22"/>
          <w:szCs w:val="22"/>
          <w:highlight w:val="none"/>
          <w:u w:val="single"/>
        </w:rPr>
        <w:t xml:space="preserve"> 一 </w:t>
      </w:r>
      <w:r>
        <w:rPr>
          <w:rFonts w:hint="eastAsia" w:ascii="宋体" w:hAnsi="宋体" w:cs="宋体"/>
          <w:color w:val="auto"/>
          <w:kern w:val="0"/>
          <w:sz w:val="22"/>
          <w:szCs w:val="22"/>
          <w:highlight w:val="none"/>
        </w:rPr>
        <w:t>份，副本</w:t>
      </w:r>
      <w:r>
        <w:rPr>
          <w:rFonts w:hint="eastAsia" w:ascii="宋体" w:hAnsi="宋体" w:cs="宋体"/>
          <w:color w:val="auto"/>
          <w:kern w:val="0"/>
          <w:sz w:val="22"/>
          <w:szCs w:val="22"/>
          <w:highlight w:val="none"/>
          <w:u w:val="single"/>
        </w:rPr>
        <w:t xml:space="preserve"> 肆 </w:t>
      </w:r>
      <w:r>
        <w:rPr>
          <w:rFonts w:hint="eastAsia" w:ascii="宋体" w:hAnsi="宋体" w:cs="宋体"/>
          <w:color w:val="auto"/>
          <w:kern w:val="0"/>
          <w:sz w:val="22"/>
          <w:szCs w:val="22"/>
          <w:highlight w:val="none"/>
        </w:rPr>
        <w:t>份；</w:t>
      </w:r>
    </w:p>
    <w:p w14:paraId="021FA73D">
      <w:pPr>
        <w:spacing w:line="42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承包人正本</w:t>
      </w:r>
      <w:r>
        <w:rPr>
          <w:rFonts w:hint="eastAsia" w:ascii="宋体" w:hAnsi="宋体" w:cs="宋体"/>
          <w:color w:val="auto"/>
          <w:kern w:val="0"/>
          <w:sz w:val="22"/>
          <w:szCs w:val="22"/>
          <w:highlight w:val="none"/>
          <w:u w:val="single"/>
        </w:rPr>
        <w:t xml:space="preserve"> 一 </w:t>
      </w:r>
      <w:r>
        <w:rPr>
          <w:rFonts w:hint="eastAsia" w:ascii="宋体" w:hAnsi="宋体" w:cs="宋体"/>
          <w:color w:val="auto"/>
          <w:kern w:val="0"/>
          <w:sz w:val="22"/>
          <w:szCs w:val="22"/>
          <w:highlight w:val="none"/>
        </w:rPr>
        <w:t>份，副本</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rPr>
        <w:t xml:space="preserve">肆 </w:t>
      </w:r>
      <w:r>
        <w:rPr>
          <w:rFonts w:hint="eastAsia" w:ascii="宋体" w:hAnsi="宋体" w:cs="宋体"/>
          <w:color w:val="auto"/>
          <w:kern w:val="0"/>
          <w:sz w:val="22"/>
          <w:szCs w:val="22"/>
          <w:highlight w:val="none"/>
        </w:rPr>
        <w:t>份。</w:t>
      </w:r>
    </w:p>
    <w:p w14:paraId="146EC3E5">
      <w:pPr>
        <w:spacing w:line="420" w:lineRule="exact"/>
        <w:ind w:firstLine="330" w:firstLineChars="150"/>
        <w:rPr>
          <w:rFonts w:ascii="宋体" w:hAnsi="宋体" w:cs="宋体"/>
          <w:color w:val="auto"/>
          <w:kern w:val="0"/>
          <w:sz w:val="22"/>
          <w:szCs w:val="22"/>
          <w:highlight w:val="none"/>
        </w:rPr>
      </w:pPr>
      <w:r>
        <w:rPr>
          <w:rFonts w:hint="eastAsia" w:ascii="宋体" w:hAnsi="宋体" w:cs="宋体"/>
          <w:color w:val="auto"/>
          <w:kern w:val="0"/>
          <w:sz w:val="22"/>
          <w:szCs w:val="22"/>
          <w:highlight w:val="none"/>
        </w:rPr>
        <w:t>合同正、副本具有同等法律效力，当正、副本所表述的内容不一致时，以正本为准。</w:t>
      </w:r>
    </w:p>
    <w:p w14:paraId="528CB9B6">
      <w:pPr>
        <w:widowControl/>
        <w:jc w:val="left"/>
        <w:rPr>
          <w:rFonts w:ascii="宋体" w:hAnsi="宋体" w:cs="宋体"/>
          <w:color w:val="auto"/>
          <w:sz w:val="22"/>
          <w:szCs w:val="22"/>
          <w:highlight w:val="none"/>
        </w:rPr>
      </w:pPr>
      <w:r>
        <w:rPr>
          <w:rFonts w:ascii="宋体" w:hAnsi="宋体" w:cs="宋体"/>
          <w:color w:val="auto"/>
          <w:sz w:val="22"/>
          <w:szCs w:val="22"/>
          <w:highlight w:val="none"/>
        </w:rPr>
        <w:br w:type="page"/>
      </w:r>
    </w:p>
    <w:p w14:paraId="1DF6A19E">
      <w:pPr>
        <w:pStyle w:val="2"/>
        <w:tabs>
          <w:tab w:val="left" w:pos="420"/>
          <w:tab w:val="clear" w:pos="432"/>
        </w:tabs>
        <w:spacing w:line="420" w:lineRule="exact"/>
        <w:ind w:left="0" w:firstLine="0"/>
        <w:jc w:val="center"/>
        <w:rPr>
          <w:rFonts w:ascii="方正黑体_GBK" w:hAnsi="方正黑体_GBK" w:eastAsia="方正黑体_GBK" w:cs="方正黑体_GBK"/>
          <w:b/>
          <w:bCs/>
          <w:color w:val="auto"/>
          <w:highlight w:val="none"/>
        </w:rPr>
      </w:pPr>
      <w:bookmarkStart w:id="903" w:name="_Toc30039"/>
      <w:bookmarkStart w:id="904" w:name="_Toc21747"/>
      <w:bookmarkStart w:id="905" w:name="_Toc5158"/>
      <w:bookmarkStart w:id="906" w:name="_Toc469384138"/>
      <w:bookmarkStart w:id="907" w:name="_Toc18468"/>
      <w:bookmarkStart w:id="908" w:name="_Toc155166216"/>
      <w:bookmarkStart w:id="909" w:name="_Toc10644"/>
      <w:bookmarkStart w:id="910" w:name="_Toc11666"/>
      <w:bookmarkStart w:id="911" w:name="_Toc266892922"/>
      <w:r>
        <w:rPr>
          <w:rFonts w:hint="eastAsia" w:ascii="方正黑体_GBK" w:hAnsi="方正黑体_GBK" w:eastAsia="方正黑体_GBK" w:cs="方正黑体_GBK"/>
          <w:b/>
          <w:bCs/>
          <w:color w:val="auto"/>
          <w:highlight w:val="none"/>
        </w:rPr>
        <w:t>第四部分  附件与格式</w:t>
      </w:r>
      <w:bookmarkEnd w:id="903"/>
      <w:bookmarkEnd w:id="904"/>
      <w:bookmarkEnd w:id="905"/>
      <w:bookmarkEnd w:id="906"/>
      <w:bookmarkEnd w:id="907"/>
      <w:bookmarkEnd w:id="908"/>
      <w:bookmarkEnd w:id="909"/>
      <w:bookmarkEnd w:id="910"/>
      <w:bookmarkEnd w:id="911"/>
    </w:p>
    <w:p w14:paraId="476134C7">
      <w:pPr>
        <w:spacing w:line="420" w:lineRule="exact"/>
        <w:outlineLvl w:val="1"/>
        <w:rPr>
          <w:rFonts w:ascii="宋体" w:hAnsi="宋体" w:cs="宋体"/>
          <w:b/>
          <w:bCs/>
          <w:color w:val="auto"/>
          <w:sz w:val="22"/>
          <w:szCs w:val="22"/>
          <w:highlight w:val="none"/>
        </w:rPr>
      </w:pPr>
      <w:bookmarkStart w:id="912" w:name="_Toc266892923"/>
      <w:bookmarkStart w:id="913" w:name="_Toc469384139"/>
      <w:bookmarkStart w:id="914" w:name="_Toc28945"/>
      <w:bookmarkStart w:id="915" w:name="_Toc155166217"/>
      <w:bookmarkStart w:id="916" w:name="_Toc28725"/>
      <w:bookmarkStart w:id="917" w:name="_Toc3155"/>
      <w:bookmarkStart w:id="918" w:name="_Toc26703"/>
      <w:r>
        <w:rPr>
          <w:rFonts w:hint="eastAsia" w:ascii="宋体" w:hAnsi="宋体" w:cs="宋体"/>
          <w:b/>
          <w:bCs/>
          <w:color w:val="auto"/>
          <w:sz w:val="22"/>
          <w:szCs w:val="22"/>
          <w:highlight w:val="none"/>
        </w:rPr>
        <w:t>附件一</w:t>
      </w:r>
      <w:bookmarkEnd w:id="912"/>
      <w:bookmarkEnd w:id="913"/>
      <w:bookmarkEnd w:id="914"/>
      <w:bookmarkStart w:id="919" w:name="_Toc9814"/>
      <w:bookmarkStart w:id="920" w:name="_Toc11637"/>
      <w:r>
        <w:rPr>
          <w:rFonts w:hint="eastAsia" w:ascii="宋体" w:hAnsi="宋体" w:cs="宋体"/>
          <w:b/>
          <w:bCs/>
          <w:color w:val="auto"/>
          <w:sz w:val="22"/>
          <w:szCs w:val="22"/>
          <w:highlight w:val="none"/>
        </w:rPr>
        <w:t>：承包人提供的材料和工程设备一览表</w:t>
      </w:r>
      <w:bookmarkEnd w:id="915"/>
      <w:bookmarkEnd w:id="916"/>
      <w:bookmarkEnd w:id="917"/>
      <w:bookmarkEnd w:id="918"/>
      <w:bookmarkEnd w:id="919"/>
      <w:bookmarkEnd w:id="920"/>
    </w:p>
    <w:p w14:paraId="5516F1AB">
      <w:pPr>
        <w:spacing w:line="420" w:lineRule="exact"/>
        <w:rPr>
          <w:rFonts w:ascii="宋体" w:hAnsi="宋体" w:cs="宋体"/>
          <w:color w:val="auto"/>
          <w:sz w:val="22"/>
          <w:szCs w:val="22"/>
          <w:highlight w:val="none"/>
        </w:rPr>
      </w:pPr>
    </w:p>
    <w:p w14:paraId="04322155">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承包人提供的材料和工程设备一览表</w:t>
      </w:r>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168"/>
        <w:gridCol w:w="1027"/>
        <w:gridCol w:w="612"/>
        <w:gridCol w:w="612"/>
        <w:gridCol w:w="612"/>
        <w:gridCol w:w="612"/>
        <w:gridCol w:w="896"/>
        <w:gridCol w:w="896"/>
        <w:gridCol w:w="896"/>
        <w:gridCol w:w="896"/>
      </w:tblGrid>
      <w:tr w14:paraId="7E73A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57" w:type="dxa"/>
            <w:noWrap w:val="0"/>
            <w:vAlign w:val="center"/>
          </w:tcPr>
          <w:p w14:paraId="0D04BA42">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序号</w:t>
            </w:r>
          </w:p>
        </w:tc>
        <w:tc>
          <w:tcPr>
            <w:tcW w:w="1168" w:type="dxa"/>
            <w:noWrap w:val="0"/>
            <w:vAlign w:val="center"/>
          </w:tcPr>
          <w:p w14:paraId="1FF90217">
            <w:pPr>
              <w:adjustRightInd w:val="0"/>
              <w:spacing w:before="240" w:after="60" w:line="420" w:lineRule="atLeast"/>
              <w:jc w:val="center"/>
              <w:textAlignment w:val="baseline"/>
              <w:rPr>
                <w:rFonts w:hint="eastAsia" w:ascii="Arial" w:hAnsi="宋体"/>
                <w:b/>
                <w:color w:val="auto"/>
                <w:sz w:val="24"/>
                <w:highlight w:val="none"/>
              </w:rPr>
            </w:pPr>
            <w:r>
              <w:rPr>
                <w:rFonts w:ascii="Arial" w:hAnsi="宋体"/>
                <w:b/>
                <w:color w:val="auto"/>
                <w:sz w:val="24"/>
                <w:highlight w:val="none"/>
              </w:rPr>
              <w:t>材料</w:t>
            </w:r>
          </w:p>
          <w:p w14:paraId="11E7FDB0">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设备</w:t>
            </w:r>
          </w:p>
          <w:p w14:paraId="12E70F5E">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名称</w:t>
            </w:r>
          </w:p>
        </w:tc>
        <w:tc>
          <w:tcPr>
            <w:tcW w:w="1027" w:type="dxa"/>
            <w:noWrap w:val="0"/>
            <w:vAlign w:val="center"/>
          </w:tcPr>
          <w:p w14:paraId="5DCA8667">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规格</w:t>
            </w:r>
          </w:p>
          <w:p w14:paraId="6338D672">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型号</w:t>
            </w:r>
          </w:p>
        </w:tc>
        <w:tc>
          <w:tcPr>
            <w:tcW w:w="612" w:type="dxa"/>
            <w:noWrap w:val="0"/>
            <w:vAlign w:val="center"/>
          </w:tcPr>
          <w:p w14:paraId="1FD13DE2">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单位</w:t>
            </w:r>
          </w:p>
        </w:tc>
        <w:tc>
          <w:tcPr>
            <w:tcW w:w="612" w:type="dxa"/>
            <w:noWrap w:val="0"/>
            <w:vAlign w:val="top"/>
          </w:tcPr>
          <w:p w14:paraId="1B2162C5">
            <w:pPr>
              <w:adjustRightInd w:val="0"/>
              <w:spacing w:before="240" w:after="60" w:line="420" w:lineRule="atLeast"/>
              <w:jc w:val="center"/>
              <w:textAlignment w:val="baseline"/>
              <w:rPr>
                <w:rFonts w:ascii="Arial" w:hAnsi="宋体"/>
                <w:b/>
                <w:color w:val="auto"/>
                <w:sz w:val="24"/>
                <w:highlight w:val="none"/>
              </w:rPr>
            </w:pPr>
          </w:p>
        </w:tc>
        <w:tc>
          <w:tcPr>
            <w:tcW w:w="612" w:type="dxa"/>
            <w:noWrap w:val="0"/>
            <w:vAlign w:val="center"/>
          </w:tcPr>
          <w:p w14:paraId="01B2ADEB">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数量</w:t>
            </w:r>
          </w:p>
        </w:tc>
        <w:tc>
          <w:tcPr>
            <w:tcW w:w="612" w:type="dxa"/>
            <w:noWrap w:val="0"/>
            <w:vAlign w:val="center"/>
          </w:tcPr>
          <w:p w14:paraId="350B666A">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单价</w:t>
            </w:r>
          </w:p>
        </w:tc>
        <w:tc>
          <w:tcPr>
            <w:tcW w:w="896" w:type="dxa"/>
            <w:noWrap w:val="0"/>
            <w:vAlign w:val="center"/>
          </w:tcPr>
          <w:p w14:paraId="21F308EB">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交货</w:t>
            </w:r>
          </w:p>
          <w:p w14:paraId="3883B039">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方式</w:t>
            </w:r>
          </w:p>
        </w:tc>
        <w:tc>
          <w:tcPr>
            <w:tcW w:w="896" w:type="dxa"/>
            <w:noWrap w:val="0"/>
            <w:vAlign w:val="center"/>
          </w:tcPr>
          <w:p w14:paraId="10D48868">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交货</w:t>
            </w:r>
          </w:p>
          <w:p w14:paraId="1C2AC8E4">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地点</w:t>
            </w:r>
          </w:p>
        </w:tc>
        <w:tc>
          <w:tcPr>
            <w:tcW w:w="896" w:type="dxa"/>
            <w:noWrap w:val="0"/>
            <w:vAlign w:val="center"/>
          </w:tcPr>
          <w:p w14:paraId="481172E1">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计划</w:t>
            </w:r>
          </w:p>
          <w:p w14:paraId="1FA56005">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交货</w:t>
            </w:r>
          </w:p>
          <w:p w14:paraId="081BE408">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时间</w:t>
            </w:r>
          </w:p>
        </w:tc>
        <w:tc>
          <w:tcPr>
            <w:tcW w:w="896" w:type="dxa"/>
            <w:noWrap w:val="0"/>
            <w:vAlign w:val="center"/>
          </w:tcPr>
          <w:p w14:paraId="763BFF98">
            <w:pPr>
              <w:adjustRightInd w:val="0"/>
              <w:spacing w:before="240" w:after="60" w:line="420" w:lineRule="atLeast"/>
              <w:jc w:val="center"/>
              <w:textAlignment w:val="baseline"/>
              <w:rPr>
                <w:rFonts w:ascii="Arial" w:hAnsi="Arial"/>
                <w:b/>
                <w:color w:val="auto"/>
                <w:sz w:val="24"/>
                <w:highlight w:val="none"/>
              </w:rPr>
            </w:pPr>
            <w:r>
              <w:rPr>
                <w:rFonts w:ascii="Arial" w:hAnsi="宋体"/>
                <w:b/>
                <w:color w:val="auto"/>
                <w:sz w:val="24"/>
                <w:highlight w:val="none"/>
              </w:rPr>
              <w:t>备注</w:t>
            </w:r>
          </w:p>
        </w:tc>
      </w:tr>
      <w:tr w14:paraId="6D55F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21670E5F">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01B86D2E">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6CB4A47F">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362059F4">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6894B37F">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058844EF">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4F40C6A0">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131326EF">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6B98093F">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08F11EB5">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0FA710AE">
            <w:pPr>
              <w:adjustRightInd w:val="0"/>
              <w:spacing w:before="240" w:after="60" w:line="420" w:lineRule="atLeast"/>
              <w:jc w:val="center"/>
              <w:textAlignment w:val="baseline"/>
              <w:rPr>
                <w:rFonts w:ascii="Arial" w:hAnsi="Arial"/>
                <w:b/>
                <w:color w:val="auto"/>
                <w:sz w:val="24"/>
                <w:highlight w:val="none"/>
              </w:rPr>
            </w:pPr>
          </w:p>
        </w:tc>
      </w:tr>
      <w:tr w14:paraId="21BB5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4E070D89">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3F8B9136">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15D6CC3F">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5528411E">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20EDED91">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4241D6B7">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065ABE44">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70775ABF">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4DAAD794">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6150B2AD">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34552115">
            <w:pPr>
              <w:adjustRightInd w:val="0"/>
              <w:spacing w:before="240" w:after="60" w:line="420" w:lineRule="atLeast"/>
              <w:jc w:val="center"/>
              <w:textAlignment w:val="baseline"/>
              <w:rPr>
                <w:rFonts w:ascii="Arial" w:hAnsi="Arial"/>
                <w:b/>
                <w:color w:val="auto"/>
                <w:sz w:val="24"/>
                <w:highlight w:val="none"/>
              </w:rPr>
            </w:pPr>
          </w:p>
        </w:tc>
      </w:tr>
      <w:tr w14:paraId="347BDC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7C574D36">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62CC54A1">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1A789054">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3C68C0EC">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4B177076">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0067A9B7">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4C17649C">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2554B42C">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083BB849">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1B876544">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4AFD3848">
            <w:pPr>
              <w:adjustRightInd w:val="0"/>
              <w:spacing w:before="240" w:after="60" w:line="420" w:lineRule="atLeast"/>
              <w:jc w:val="center"/>
              <w:textAlignment w:val="baseline"/>
              <w:rPr>
                <w:rFonts w:ascii="Arial" w:hAnsi="Arial"/>
                <w:b/>
                <w:color w:val="auto"/>
                <w:sz w:val="24"/>
                <w:highlight w:val="none"/>
              </w:rPr>
            </w:pPr>
          </w:p>
        </w:tc>
      </w:tr>
      <w:tr w14:paraId="11E459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3F5E88C4">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36E7EADB">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19047149">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11CDCB1B">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52CDBA74">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1F0279D1">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564C84A8">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1A8340F4">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1C611A47">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74A07DA2">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1352BBBE">
            <w:pPr>
              <w:adjustRightInd w:val="0"/>
              <w:spacing w:before="240" w:after="60" w:line="420" w:lineRule="atLeast"/>
              <w:jc w:val="center"/>
              <w:textAlignment w:val="baseline"/>
              <w:rPr>
                <w:rFonts w:ascii="Arial" w:hAnsi="Arial"/>
                <w:b/>
                <w:color w:val="auto"/>
                <w:sz w:val="24"/>
                <w:highlight w:val="none"/>
              </w:rPr>
            </w:pPr>
          </w:p>
        </w:tc>
      </w:tr>
      <w:tr w14:paraId="1741D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3BEB4AB3">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7B327FDA">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5AFB7C1D">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22756202">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3C49EEB1">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08A73A21">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08A2EEF0">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770FD363">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2C4B9D90">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1D4019CF">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0919081B">
            <w:pPr>
              <w:adjustRightInd w:val="0"/>
              <w:spacing w:before="240" w:after="60" w:line="420" w:lineRule="atLeast"/>
              <w:jc w:val="center"/>
              <w:textAlignment w:val="baseline"/>
              <w:rPr>
                <w:rFonts w:ascii="Arial" w:hAnsi="Arial"/>
                <w:b/>
                <w:color w:val="auto"/>
                <w:sz w:val="24"/>
                <w:highlight w:val="none"/>
              </w:rPr>
            </w:pPr>
          </w:p>
        </w:tc>
      </w:tr>
      <w:tr w14:paraId="0612E7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314D9BC1">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45118171">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16058292">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624B9788">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0F058832">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77B4783F">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22951FF3">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016814C0">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19F28776">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40B9804C">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284D066F">
            <w:pPr>
              <w:adjustRightInd w:val="0"/>
              <w:spacing w:before="240" w:after="60" w:line="420" w:lineRule="atLeast"/>
              <w:jc w:val="center"/>
              <w:textAlignment w:val="baseline"/>
              <w:rPr>
                <w:rFonts w:ascii="Arial" w:hAnsi="Arial"/>
                <w:b/>
                <w:color w:val="auto"/>
                <w:sz w:val="24"/>
                <w:highlight w:val="none"/>
              </w:rPr>
            </w:pPr>
          </w:p>
        </w:tc>
      </w:tr>
      <w:tr w14:paraId="19FD50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10E2C3A0">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0DED53CB">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00B30FEC">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49CA4F7E">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196BA9A6">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2E330671">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32EF89AB">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0122F3E3">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106B33E9">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38930BAF">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3CD052A2">
            <w:pPr>
              <w:adjustRightInd w:val="0"/>
              <w:spacing w:before="240" w:after="60" w:line="420" w:lineRule="atLeast"/>
              <w:jc w:val="center"/>
              <w:textAlignment w:val="baseline"/>
              <w:rPr>
                <w:rFonts w:ascii="Arial" w:hAnsi="Arial"/>
                <w:b/>
                <w:color w:val="auto"/>
                <w:sz w:val="24"/>
                <w:highlight w:val="none"/>
              </w:rPr>
            </w:pPr>
          </w:p>
        </w:tc>
      </w:tr>
      <w:tr w14:paraId="66637E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5522D50B">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4BA8FEF7">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3704D440">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1757C105">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1B763131">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06118B88">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3DAB515C">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5440F210">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12E03512">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7BC19CAF">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17EAE58D">
            <w:pPr>
              <w:adjustRightInd w:val="0"/>
              <w:spacing w:before="240" w:after="60" w:line="420" w:lineRule="atLeast"/>
              <w:jc w:val="center"/>
              <w:textAlignment w:val="baseline"/>
              <w:rPr>
                <w:rFonts w:ascii="Arial" w:hAnsi="Arial"/>
                <w:b/>
                <w:color w:val="auto"/>
                <w:sz w:val="24"/>
                <w:highlight w:val="none"/>
              </w:rPr>
            </w:pPr>
          </w:p>
        </w:tc>
      </w:tr>
      <w:tr w14:paraId="504369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19E2432C">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76B2403A">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408DB793">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445E0CD3">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05312192">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28390734">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30EA12C4">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372EC87E">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7C8AECAF">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5B7347B7">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43FD8807">
            <w:pPr>
              <w:adjustRightInd w:val="0"/>
              <w:spacing w:before="240" w:after="60" w:line="420" w:lineRule="atLeast"/>
              <w:jc w:val="center"/>
              <w:textAlignment w:val="baseline"/>
              <w:rPr>
                <w:rFonts w:ascii="Arial" w:hAnsi="Arial"/>
                <w:b/>
                <w:color w:val="auto"/>
                <w:sz w:val="24"/>
                <w:highlight w:val="none"/>
              </w:rPr>
            </w:pPr>
          </w:p>
        </w:tc>
      </w:tr>
      <w:tr w14:paraId="124A7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51B9512D">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67F542BA">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14A9EF55">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6313F1DB">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145C5E50">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17C7F095">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1A444A21">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5E28472A">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573F18CB">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18ABAF4E">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6D5CFBDF">
            <w:pPr>
              <w:adjustRightInd w:val="0"/>
              <w:spacing w:before="240" w:after="60" w:line="420" w:lineRule="atLeast"/>
              <w:jc w:val="center"/>
              <w:textAlignment w:val="baseline"/>
              <w:rPr>
                <w:rFonts w:ascii="Arial" w:hAnsi="Arial"/>
                <w:b/>
                <w:color w:val="auto"/>
                <w:sz w:val="24"/>
                <w:highlight w:val="none"/>
              </w:rPr>
            </w:pPr>
          </w:p>
        </w:tc>
      </w:tr>
      <w:tr w14:paraId="13EC5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49245E10">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3C753F4F">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1B861C2D">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3208E056">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61557115">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61A3D379">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417DFAD2">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3BFA540F">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5EE09A5E">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730364F8">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7A85D18C">
            <w:pPr>
              <w:adjustRightInd w:val="0"/>
              <w:spacing w:before="240" w:after="60" w:line="420" w:lineRule="atLeast"/>
              <w:jc w:val="center"/>
              <w:textAlignment w:val="baseline"/>
              <w:rPr>
                <w:rFonts w:ascii="Arial" w:hAnsi="Arial"/>
                <w:b/>
                <w:color w:val="auto"/>
                <w:sz w:val="24"/>
                <w:highlight w:val="none"/>
              </w:rPr>
            </w:pPr>
          </w:p>
        </w:tc>
      </w:tr>
      <w:tr w14:paraId="40CC9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5893A0FA">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24E84A14">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2B4DF494">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717F49ED">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58A573AD">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5030C244">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4788EFBB">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776563A1">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5AC820F7">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028578E4">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08147FC2">
            <w:pPr>
              <w:adjustRightInd w:val="0"/>
              <w:spacing w:before="240" w:after="60" w:line="420" w:lineRule="atLeast"/>
              <w:jc w:val="center"/>
              <w:textAlignment w:val="baseline"/>
              <w:rPr>
                <w:rFonts w:ascii="Arial" w:hAnsi="Arial"/>
                <w:b/>
                <w:color w:val="auto"/>
                <w:sz w:val="24"/>
                <w:highlight w:val="none"/>
              </w:rPr>
            </w:pPr>
          </w:p>
        </w:tc>
      </w:tr>
      <w:tr w14:paraId="578BA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1DD2AE08">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1C05D7D6">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7FFDE955">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0B27C2CD">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6871CD47">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36A80D5B">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1AD52773">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2C0A7C27">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0C3C0212">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69B97121">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2B41A1D0">
            <w:pPr>
              <w:adjustRightInd w:val="0"/>
              <w:spacing w:before="240" w:after="60" w:line="420" w:lineRule="atLeast"/>
              <w:jc w:val="center"/>
              <w:textAlignment w:val="baseline"/>
              <w:rPr>
                <w:rFonts w:ascii="Arial" w:hAnsi="Arial"/>
                <w:b/>
                <w:color w:val="auto"/>
                <w:sz w:val="24"/>
                <w:highlight w:val="none"/>
              </w:rPr>
            </w:pPr>
          </w:p>
        </w:tc>
      </w:tr>
      <w:tr w14:paraId="2849DC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14:paraId="61CE7BAD">
            <w:pPr>
              <w:adjustRightInd w:val="0"/>
              <w:spacing w:before="240" w:after="60" w:line="420" w:lineRule="atLeast"/>
              <w:jc w:val="center"/>
              <w:textAlignment w:val="baseline"/>
              <w:rPr>
                <w:rFonts w:ascii="Arial" w:hAnsi="Arial"/>
                <w:b/>
                <w:color w:val="auto"/>
                <w:sz w:val="24"/>
                <w:highlight w:val="none"/>
              </w:rPr>
            </w:pPr>
          </w:p>
        </w:tc>
        <w:tc>
          <w:tcPr>
            <w:tcW w:w="1168" w:type="dxa"/>
            <w:noWrap w:val="0"/>
            <w:vAlign w:val="top"/>
          </w:tcPr>
          <w:p w14:paraId="6E32EF02">
            <w:pPr>
              <w:adjustRightInd w:val="0"/>
              <w:spacing w:before="240" w:after="60" w:line="420" w:lineRule="atLeast"/>
              <w:jc w:val="center"/>
              <w:textAlignment w:val="baseline"/>
              <w:rPr>
                <w:rFonts w:ascii="Arial" w:hAnsi="Arial"/>
                <w:b/>
                <w:color w:val="auto"/>
                <w:sz w:val="24"/>
                <w:highlight w:val="none"/>
              </w:rPr>
            </w:pPr>
          </w:p>
        </w:tc>
        <w:tc>
          <w:tcPr>
            <w:tcW w:w="1027" w:type="dxa"/>
            <w:noWrap w:val="0"/>
            <w:vAlign w:val="top"/>
          </w:tcPr>
          <w:p w14:paraId="27CF0B7F">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68BF746E">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108C1E19">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5B79E395">
            <w:pPr>
              <w:adjustRightInd w:val="0"/>
              <w:spacing w:before="240" w:after="60" w:line="420" w:lineRule="atLeast"/>
              <w:jc w:val="center"/>
              <w:textAlignment w:val="baseline"/>
              <w:rPr>
                <w:rFonts w:ascii="Arial" w:hAnsi="Arial"/>
                <w:b/>
                <w:color w:val="auto"/>
                <w:sz w:val="24"/>
                <w:highlight w:val="none"/>
              </w:rPr>
            </w:pPr>
          </w:p>
        </w:tc>
        <w:tc>
          <w:tcPr>
            <w:tcW w:w="612" w:type="dxa"/>
            <w:noWrap w:val="0"/>
            <w:vAlign w:val="top"/>
          </w:tcPr>
          <w:p w14:paraId="03FE6A70">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10ED5FF6">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3883C2EC">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4047AAFD">
            <w:pPr>
              <w:adjustRightInd w:val="0"/>
              <w:spacing w:before="240" w:after="60" w:line="420" w:lineRule="atLeast"/>
              <w:jc w:val="center"/>
              <w:textAlignment w:val="baseline"/>
              <w:rPr>
                <w:rFonts w:ascii="Arial" w:hAnsi="Arial"/>
                <w:b/>
                <w:color w:val="auto"/>
                <w:sz w:val="24"/>
                <w:highlight w:val="none"/>
              </w:rPr>
            </w:pPr>
          </w:p>
        </w:tc>
        <w:tc>
          <w:tcPr>
            <w:tcW w:w="896" w:type="dxa"/>
            <w:noWrap w:val="0"/>
            <w:vAlign w:val="top"/>
          </w:tcPr>
          <w:p w14:paraId="0CE3743A">
            <w:pPr>
              <w:adjustRightInd w:val="0"/>
              <w:spacing w:before="240" w:after="60" w:line="420" w:lineRule="atLeast"/>
              <w:jc w:val="center"/>
              <w:textAlignment w:val="baseline"/>
              <w:rPr>
                <w:rFonts w:ascii="Arial" w:hAnsi="Arial"/>
                <w:b/>
                <w:color w:val="auto"/>
                <w:sz w:val="24"/>
                <w:highlight w:val="none"/>
              </w:rPr>
            </w:pPr>
          </w:p>
        </w:tc>
      </w:tr>
    </w:tbl>
    <w:p w14:paraId="28634B15">
      <w:pPr>
        <w:widowControl/>
        <w:jc w:val="left"/>
        <w:rPr>
          <w:rFonts w:ascii="宋体" w:hAnsi="宋体" w:cs="宋体"/>
          <w:b/>
          <w:bCs/>
          <w:color w:val="auto"/>
          <w:sz w:val="22"/>
          <w:szCs w:val="22"/>
          <w:highlight w:val="none"/>
        </w:rPr>
      </w:pPr>
      <w:bookmarkStart w:id="921" w:name="_Toc100504377"/>
      <w:bookmarkStart w:id="922" w:name="_Toc354042311"/>
      <w:bookmarkStart w:id="923" w:name="_Toc21072"/>
      <w:bookmarkStart w:id="924" w:name="_Toc22260"/>
      <w:bookmarkStart w:id="925" w:name="_Toc7542"/>
    </w:p>
    <w:p w14:paraId="5B6299D4">
      <w:pPr>
        <w:spacing w:line="420" w:lineRule="exact"/>
        <w:outlineLvl w:val="1"/>
        <w:rPr>
          <w:rFonts w:ascii="宋体" w:hAnsi="宋体" w:cs="宋体"/>
          <w:b/>
          <w:bCs/>
          <w:color w:val="auto"/>
          <w:sz w:val="22"/>
          <w:szCs w:val="22"/>
          <w:highlight w:val="none"/>
        </w:rPr>
      </w:pPr>
      <w:bookmarkStart w:id="926" w:name="_Toc10971"/>
      <w:bookmarkStart w:id="927" w:name="_Toc8062"/>
      <w:bookmarkStart w:id="928" w:name="_Toc6592"/>
      <w:bookmarkStart w:id="929" w:name="_Toc155166218"/>
      <w:bookmarkStart w:id="930" w:name="_Toc13816"/>
      <w:r>
        <w:rPr>
          <w:rFonts w:hint="eastAsia" w:ascii="宋体" w:hAnsi="宋体" w:cs="宋体"/>
          <w:b/>
          <w:bCs/>
          <w:color w:val="auto"/>
          <w:sz w:val="22"/>
          <w:szCs w:val="22"/>
          <w:highlight w:val="none"/>
        </w:rPr>
        <w:t>附件二：</w:t>
      </w:r>
      <w:bookmarkEnd w:id="921"/>
      <w:bookmarkEnd w:id="922"/>
      <w:bookmarkEnd w:id="923"/>
      <w:bookmarkEnd w:id="924"/>
      <w:bookmarkEnd w:id="925"/>
      <w:r>
        <w:rPr>
          <w:rFonts w:hint="eastAsia" w:ascii="宋体" w:hAnsi="宋体" w:cs="宋体"/>
          <w:b/>
          <w:bCs/>
          <w:color w:val="auto"/>
          <w:sz w:val="22"/>
          <w:szCs w:val="22"/>
          <w:highlight w:val="none"/>
        </w:rPr>
        <w:t>发包人提供的材料和工程设备一览表（本工程不采用此表）</w:t>
      </w:r>
      <w:bookmarkEnd w:id="926"/>
      <w:bookmarkEnd w:id="927"/>
      <w:bookmarkEnd w:id="928"/>
      <w:bookmarkEnd w:id="929"/>
      <w:bookmarkEnd w:id="930"/>
    </w:p>
    <w:p w14:paraId="38F881DD">
      <w:pPr>
        <w:spacing w:line="420" w:lineRule="exact"/>
        <w:jc w:val="center"/>
        <w:rPr>
          <w:rFonts w:ascii="宋体" w:hAnsi="宋体" w:cs="宋体"/>
          <w:b/>
          <w:bCs/>
          <w:color w:val="auto"/>
          <w:sz w:val="22"/>
          <w:szCs w:val="22"/>
          <w:highlight w:val="none"/>
        </w:rPr>
      </w:pPr>
    </w:p>
    <w:p w14:paraId="41404675">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发包人提供的材料和工程设备一览表</w:t>
      </w:r>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168"/>
        <w:gridCol w:w="1027"/>
        <w:gridCol w:w="612"/>
        <w:gridCol w:w="612"/>
        <w:gridCol w:w="612"/>
        <w:gridCol w:w="896"/>
        <w:gridCol w:w="896"/>
        <w:gridCol w:w="896"/>
        <w:gridCol w:w="896"/>
      </w:tblGrid>
      <w:tr w14:paraId="4FA68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57" w:type="dxa"/>
            <w:noWrap w:val="0"/>
            <w:vAlign w:val="center"/>
          </w:tcPr>
          <w:p w14:paraId="4B4FD69D">
            <w:pPr>
              <w:adjustRightInd w:val="0"/>
              <w:spacing w:line="260" w:lineRule="exact"/>
              <w:jc w:val="center"/>
              <w:textAlignment w:val="baseline"/>
              <w:rPr>
                <w:rFonts w:ascii="Arial" w:hAnsi="Arial"/>
                <w:b/>
                <w:color w:val="auto"/>
                <w:sz w:val="24"/>
                <w:highlight w:val="none"/>
              </w:rPr>
            </w:pPr>
            <w:bookmarkStart w:id="931" w:name="_Toc377540783"/>
            <w:r>
              <w:rPr>
                <w:rFonts w:ascii="Arial" w:hAnsi="宋体"/>
                <w:b/>
                <w:color w:val="auto"/>
                <w:sz w:val="24"/>
                <w:highlight w:val="none"/>
              </w:rPr>
              <w:t>序号</w:t>
            </w:r>
            <w:bookmarkEnd w:id="931"/>
          </w:p>
        </w:tc>
        <w:tc>
          <w:tcPr>
            <w:tcW w:w="1168" w:type="dxa"/>
            <w:noWrap w:val="0"/>
            <w:vAlign w:val="center"/>
          </w:tcPr>
          <w:p w14:paraId="30629431">
            <w:pPr>
              <w:adjustRightInd w:val="0"/>
              <w:spacing w:line="260" w:lineRule="exact"/>
              <w:jc w:val="center"/>
              <w:textAlignment w:val="baseline"/>
              <w:rPr>
                <w:rFonts w:hint="eastAsia" w:ascii="Arial" w:hAnsi="宋体"/>
                <w:b/>
                <w:color w:val="auto"/>
                <w:sz w:val="24"/>
                <w:highlight w:val="none"/>
              </w:rPr>
            </w:pPr>
            <w:bookmarkStart w:id="932" w:name="_Toc377540784"/>
            <w:r>
              <w:rPr>
                <w:rFonts w:ascii="Arial" w:hAnsi="宋体"/>
                <w:b/>
                <w:color w:val="auto"/>
                <w:sz w:val="24"/>
                <w:highlight w:val="none"/>
              </w:rPr>
              <w:t>材料</w:t>
            </w:r>
            <w:bookmarkEnd w:id="932"/>
          </w:p>
          <w:p w14:paraId="31A47B08">
            <w:pPr>
              <w:adjustRightInd w:val="0"/>
              <w:spacing w:line="260" w:lineRule="exact"/>
              <w:jc w:val="center"/>
              <w:textAlignment w:val="baseline"/>
              <w:rPr>
                <w:rFonts w:ascii="Arial" w:hAnsi="Arial"/>
                <w:b/>
                <w:color w:val="auto"/>
                <w:sz w:val="24"/>
                <w:highlight w:val="none"/>
              </w:rPr>
            </w:pPr>
            <w:bookmarkStart w:id="933" w:name="_Toc377540785"/>
            <w:r>
              <w:rPr>
                <w:rFonts w:ascii="Arial" w:hAnsi="宋体"/>
                <w:b/>
                <w:color w:val="auto"/>
                <w:sz w:val="24"/>
                <w:highlight w:val="none"/>
              </w:rPr>
              <w:t>设备</w:t>
            </w:r>
            <w:bookmarkEnd w:id="933"/>
          </w:p>
          <w:p w14:paraId="293CD192">
            <w:pPr>
              <w:adjustRightInd w:val="0"/>
              <w:spacing w:line="260" w:lineRule="exact"/>
              <w:jc w:val="center"/>
              <w:textAlignment w:val="baseline"/>
              <w:rPr>
                <w:rFonts w:ascii="Arial" w:hAnsi="Arial"/>
                <w:b/>
                <w:color w:val="auto"/>
                <w:sz w:val="24"/>
                <w:highlight w:val="none"/>
              </w:rPr>
            </w:pPr>
            <w:bookmarkStart w:id="934" w:name="_Toc377540786"/>
            <w:r>
              <w:rPr>
                <w:rFonts w:ascii="Arial" w:hAnsi="宋体"/>
                <w:b/>
                <w:color w:val="auto"/>
                <w:sz w:val="24"/>
                <w:highlight w:val="none"/>
              </w:rPr>
              <w:t>名称</w:t>
            </w:r>
            <w:bookmarkEnd w:id="934"/>
          </w:p>
        </w:tc>
        <w:tc>
          <w:tcPr>
            <w:tcW w:w="1027" w:type="dxa"/>
            <w:noWrap w:val="0"/>
            <w:vAlign w:val="center"/>
          </w:tcPr>
          <w:p w14:paraId="39796F91">
            <w:pPr>
              <w:adjustRightInd w:val="0"/>
              <w:spacing w:line="260" w:lineRule="exact"/>
              <w:jc w:val="center"/>
              <w:textAlignment w:val="baseline"/>
              <w:rPr>
                <w:rFonts w:ascii="Arial" w:hAnsi="Arial"/>
                <w:b/>
                <w:color w:val="auto"/>
                <w:sz w:val="24"/>
                <w:highlight w:val="none"/>
              </w:rPr>
            </w:pPr>
            <w:bookmarkStart w:id="935" w:name="_Toc377540787"/>
            <w:r>
              <w:rPr>
                <w:rFonts w:ascii="Arial" w:hAnsi="宋体"/>
                <w:b/>
                <w:color w:val="auto"/>
                <w:sz w:val="24"/>
                <w:highlight w:val="none"/>
              </w:rPr>
              <w:t>规格</w:t>
            </w:r>
            <w:bookmarkEnd w:id="935"/>
          </w:p>
          <w:p w14:paraId="635B97DB">
            <w:pPr>
              <w:adjustRightInd w:val="0"/>
              <w:spacing w:line="260" w:lineRule="exact"/>
              <w:jc w:val="center"/>
              <w:textAlignment w:val="baseline"/>
              <w:rPr>
                <w:rFonts w:ascii="Arial" w:hAnsi="Arial"/>
                <w:b/>
                <w:color w:val="auto"/>
                <w:sz w:val="24"/>
                <w:highlight w:val="none"/>
              </w:rPr>
            </w:pPr>
            <w:bookmarkStart w:id="936" w:name="_Toc377540788"/>
            <w:r>
              <w:rPr>
                <w:rFonts w:ascii="Arial" w:hAnsi="宋体"/>
                <w:b/>
                <w:color w:val="auto"/>
                <w:sz w:val="24"/>
                <w:highlight w:val="none"/>
              </w:rPr>
              <w:t>型号</w:t>
            </w:r>
            <w:bookmarkEnd w:id="936"/>
          </w:p>
        </w:tc>
        <w:tc>
          <w:tcPr>
            <w:tcW w:w="612" w:type="dxa"/>
            <w:noWrap w:val="0"/>
            <w:vAlign w:val="center"/>
          </w:tcPr>
          <w:p w14:paraId="0B09F34A">
            <w:pPr>
              <w:adjustRightInd w:val="0"/>
              <w:spacing w:line="260" w:lineRule="exact"/>
              <w:jc w:val="center"/>
              <w:textAlignment w:val="baseline"/>
              <w:rPr>
                <w:rFonts w:ascii="Arial" w:hAnsi="Arial"/>
                <w:b/>
                <w:color w:val="auto"/>
                <w:sz w:val="24"/>
                <w:highlight w:val="none"/>
              </w:rPr>
            </w:pPr>
            <w:bookmarkStart w:id="937" w:name="_Toc377540789"/>
            <w:r>
              <w:rPr>
                <w:rFonts w:ascii="Arial" w:hAnsi="宋体"/>
                <w:b/>
                <w:color w:val="auto"/>
                <w:sz w:val="24"/>
                <w:highlight w:val="none"/>
              </w:rPr>
              <w:t>单位</w:t>
            </w:r>
            <w:bookmarkEnd w:id="937"/>
          </w:p>
        </w:tc>
        <w:tc>
          <w:tcPr>
            <w:tcW w:w="612" w:type="dxa"/>
            <w:noWrap w:val="0"/>
            <w:vAlign w:val="center"/>
          </w:tcPr>
          <w:p w14:paraId="55240C4E">
            <w:pPr>
              <w:adjustRightInd w:val="0"/>
              <w:spacing w:line="260" w:lineRule="exact"/>
              <w:jc w:val="center"/>
              <w:textAlignment w:val="baseline"/>
              <w:rPr>
                <w:rFonts w:ascii="Arial" w:hAnsi="Arial"/>
                <w:b/>
                <w:color w:val="auto"/>
                <w:sz w:val="24"/>
                <w:highlight w:val="none"/>
              </w:rPr>
            </w:pPr>
            <w:bookmarkStart w:id="938" w:name="_Toc377540790"/>
            <w:r>
              <w:rPr>
                <w:rFonts w:ascii="Arial" w:hAnsi="宋体"/>
                <w:b/>
                <w:color w:val="auto"/>
                <w:sz w:val="24"/>
                <w:highlight w:val="none"/>
              </w:rPr>
              <w:t>数量</w:t>
            </w:r>
            <w:bookmarkEnd w:id="938"/>
          </w:p>
        </w:tc>
        <w:tc>
          <w:tcPr>
            <w:tcW w:w="612" w:type="dxa"/>
            <w:noWrap w:val="0"/>
            <w:vAlign w:val="center"/>
          </w:tcPr>
          <w:p w14:paraId="6237AB5B">
            <w:pPr>
              <w:adjustRightInd w:val="0"/>
              <w:spacing w:line="260" w:lineRule="exact"/>
              <w:jc w:val="center"/>
              <w:textAlignment w:val="baseline"/>
              <w:rPr>
                <w:rFonts w:ascii="Arial" w:hAnsi="Arial"/>
                <w:b/>
                <w:color w:val="auto"/>
                <w:sz w:val="24"/>
                <w:highlight w:val="none"/>
              </w:rPr>
            </w:pPr>
            <w:bookmarkStart w:id="939" w:name="_Toc377540791"/>
            <w:r>
              <w:rPr>
                <w:rFonts w:ascii="Arial" w:hAnsi="宋体"/>
                <w:b/>
                <w:color w:val="auto"/>
                <w:sz w:val="24"/>
                <w:highlight w:val="none"/>
              </w:rPr>
              <w:t>单价</w:t>
            </w:r>
            <w:bookmarkEnd w:id="939"/>
          </w:p>
        </w:tc>
        <w:tc>
          <w:tcPr>
            <w:tcW w:w="896" w:type="dxa"/>
            <w:noWrap w:val="0"/>
            <w:vAlign w:val="center"/>
          </w:tcPr>
          <w:p w14:paraId="705B28D7">
            <w:pPr>
              <w:adjustRightInd w:val="0"/>
              <w:spacing w:line="260" w:lineRule="exact"/>
              <w:jc w:val="center"/>
              <w:textAlignment w:val="baseline"/>
              <w:rPr>
                <w:rFonts w:ascii="Arial" w:hAnsi="Arial"/>
                <w:b/>
                <w:color w:val="auto"/>
                <w:sz w:val="24"/>
                <w:highlight w:val="none"/>
              </w:rPr>
            </w:pPr>
            <w:bookmarkStart w:id="940" w:name="_Toc377540792"/>
            <w:r>
              <w:rPr>
                <w:rFonts w:ascii="Arial" w:hAnsi="宋体"/>
                <w:b/>
                <w:color w:val="auto"/>
                <w:sz w:val="24"/>
                <w:highlight w:val="none"/>
              </w:rPr>
              <w:t>交货</w:t>
            </w:r>
            <w:bookmarkEnd w:id="940"/>
          </w:p>
          <w:p w14:paraId="453357D5">
            <w:pPr>
              <w:adjustRightInd w:val="0"/>
              <w:spacing w:line="260" w:lineRule="exact"/>
              <w:jc w:val="center"/>
              <w:textAlignment w:val="baseline"/>
              <w:rPr>
                <w:rFonts w:ascii="Arial" w:hAnsi="Arial"/>
                <w:b/>
                <w:color w:val="auto"/>
                <w:sz w:val="24"/>
                <w:highlight w:val="none"/>
              </w:rPr>
            </w:pPr>
            <w:bookmarkStart w:id="941" w:name="_Toc377540793"/>
            <w:r>
              <w:rPr>
                <w:rFonts w:ascii="Arial" w:hAnsi="宋体"/>
                <w:b/>
                <w:color w:val="auto"/>
                <w:sz w:val="24"/>
                <w:highlight w:val="none"/>
              </w:rPr>
              <w:t>方式</w:t>
            </w:r>
            <w:bookmarkEnd w:id="941"/>
          </w:p>
        </w:tc>
        <w:tc>
          <w:tcPr>
            <w:tcW w:w="896" w:type="dxa"/>
            <w:noWrap w:val="0"/>
            <w:vAlign w:val="center"/>
          </w:tcPr>
          <w:p w14:paraId="5417BCF2">
            <w:pPr>
              <w:adjustRightInd w:val="0"/>
              <w:spacing w:line="260" w:lineRule="exact"/>
              <w:jc w:val="center"/>
              <w:textAlignment w:val="baseline"/>
              <w:rPr>
                <w:rFonts w:ascii="Arial" w:hAnsi="Arial"/>
                <w:b/>
                <w:color w:val="auto"/>
                <w:sz w:val="24"/>
                <w:highlight w:val="none"/>
              </w:rPr>
            </w:pPr>
            <w:bookmarkStart w:id="942" w:name="_Toc377540794"/>
            <w:r>
              <w:rPr>
                <w:rFonts w:ascii="Arial" w:hAnsi="宋体"/>
                <w:b/>
                <w:color w:val="auto"/>
                <w:sz w:val="24"/>
                <w:highlight w:val="none"/>
              </w:rPr>
              <w:t>交货</w:t>
            </w:r>
            <w:bookmarkEnd w:id="942"/>
          </w:p>
          <w:p w14:paraId="7F9EFDFF">
            <w:pPr>
              <w:adjustRightInd w:val="0"/>
              <w:spacing w:line="260" w:lineRule="exact"/>
              <w:jc w:val="center"/>
              <w:textAlignment w:val="baseline"/>
              <w:rPr>
                <w:rFonts w:ascii="Arial" w:hAnsi="Arial"/>
                <w:b/>
                <w:color w:val="auto"/>
                <w:sz w:val="24"/>
                <w:highlight w:val="none"/>
              </w:rPr>
            </w:pPr>
            <w:bookmarkStart w:id="943" w:name="_Toc377540795"/>
            <w:r>
              <w:rPr>
                <w:rFonts w:ascii="Arial" w:hAnsi="宋体"/>
                <w:b/>
                <w:color w:val="auto"/>
                <w:sz w:val="24"/>
                <w:highlight w:val="none"/>
              </w:rPr>
              <w:t>地点</w:t>
            </w:r>
            <w:bookmarkEnd w:id="943"/>
          </w:p>
        </w:tc>
        <w:tc>
          <w:tcPr>
            <w:tcW w:w="896" w:type="dxa"/>
            <w:noWrap w:val="0"/>
            <w:vAlign w:val="center"/>
          </w:tcPr>
          <w:p w14:paraId="2F5E849C">
            <w:pPr>
              <w:adjustRightInd w:val="0"/>
              <w:spacing w:line="260" w:lineRule="exact"/>
              <w:jc w:val="center"/>
              <w:textAlignment w:val="baseline"/>
              <w:rPr>
                <w:rFonts w:ascii="Arial" w:hAnsi="Arial"/>
                <w:b/>
                <w:color w:val="auto"/>
                <w:sz w:val="24"/>
                <w:highlight w:val="none"/>
              </w:rPr>
            </w:pPr>
            <w:bookmarkStart w:id="944" w:name="_Toc377540796"/>
            <w:r>
              <w:rPr>
                <w:rFonts w:ascii="Arial" w:hAnsi="宋体"/>
                <w:b/>
                <w:color w:val="auto"/>
                <w:sz w:val="24"/>
                <w:highlight w:val="none"/>
              </w:rPr>
              <w:t>计划</w:t>
            </w:r>
            <w:bookmarkEnd w:id="944"/>
          </w:p>
          <w:p w14:paraId="110D2E7A">
            <w:pPr>
              <w:adjustRightInd w:val="0"/>
              <w:spacing w:line="260" w:lineRule="exact"/>
              <w:jc w:val="center"/>
              <w:textAlignment w:val="baseline"/>
              <w:rPr>
                <w:rFonts w:ascii="Arial" w:hAnsi="Arial"/>
                <w:b/>
                <w:color w:val="auto"/>
                <w:sz w:val="24"/>
                <w:highlight w:val="none"/>
              </w:rPr>
            </w:pPr>
            <w:bookmarkStart w:id="945" w:name="_Toc377540797"/>
            <w:r>
              <w:rPr>
                <w:rFonts w:ascii="Arial" w:hAnsi="宋体"/>
                <w:b/>
                <w:color w:val="auto"/>
                <w:sz w:val="24"/>
                <w:highlight w:val="none"/>
              </w:rPr>
              <w:t>交货</w:t>
            </w:r>
            <w:bookmarkEnd w:id="945"/>
          </w:p>
          <w:p w14:paraId="14123E42">
            <w:pPr>
              <w:adjustRightInd w:val="0"/>
              <w:spacing w:line="260" w:lineRule="exact"/>
              <w:jc w:val="center"/>
              <w:textAlignment w:val="baseline"/>
              <w:rPr>
                <w:rFonts w:ascii="Arial" w:hAnsi="Arial"/>
                <w:b/>
                <w:color w:val="auto"/>
                <w:sz w:val="24"/>
                <w:highlight w:val="none"/>
              </w:rPr>
            </w:pPr>
            <w:bookmarkStart w:id="946" w:name="_Toc377540798"/>
            <w:r>
              <w:rPr>
                <w:rFonts w:ascii="Arial" w:hAnsi="宋体"/>
                <w:b/>
                <w:color w:val="auto"/>
                <w:sz w:val="24"/>
                <w:highlight w:val="none"/>
              </w:rPr>
              <w:t>时间</w:t>
            </w:r>
            <w:bookmarkEnd w:id="946"/>
          </w:p>
        </w:tc>
        <w:tc>
          <w:tcPr>
            <w:tcW w:w="896" w:type="dxa"/>
            <w:noWrap w:val="0"/>
            <w:vAlign w:val="center"/>
          </w:tcPr>
          <w:p w14:paraId="38641C7B">
            <w:pPr>
              <w:adjustRightInd w:val="0"/>
              <w:spacing w:line="260" w:lineRule="exact"/>
              <w:jc w:val="center"/>
              <w:textAlignment w:val="baseline"/>
              <w:rPr>
                <w:rFonts w:ascii="Arial" w:hAnsi="Arial"/>
                <w:b/>
                <w:color w:val="auto"/>
                <w:sz w:val="24"/>
                <w:highlight w:val="none"/>
              </w:rPr>
            </w:pPr>
            <w:bookmarkStart w:id="947" w:name="_Toc377540799"/>
            <w:r>
              <w:rPr>
                <w:rFonts w:ascii="Arial" w:hAnsi="宋体"/>
                <w:b/>
                <w:color w:val="auto"/>
                <w:sz w:val="24"/>
                <w:highlight w:val="none"/>
              </w:rPr>
              <w:t>备注</w:t>
            </w:r>
            <w:bookmarkEnd w:id="947"/>
          </w:p>
        </w:tc>
      </w:tr>
      <w:tr w14:paraId="0C52F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14:paraId="4BE290E4">
            <w:pPr>
              <w:adjustRightInd w:val="0"/>
              <w:spacing w:before="240" w:after="60" w:line="260" w:lineRule="exact"/>
              <w:jc w:val="center"/>
              <w:textAlignment w:val="baseline"/>
              <w:rPr>
                <w:rFonts w:ascii="Arial" w:hAnsi="Arial"/>
                <w:color w:val="auto"/>
                <w:sz w:val="24"/>
                <w:highlight w:val="none"/>
              </w:rPr>
            </w:pPr>
          </w:p>
        </w:tc>
        <w:tc>
          <w:tcPr>
            <w:tcW w:w="1168" w:type="dxa"/>
            <w:noWrap w:val="0"/>
            <w:vAlign w:val="top"/>
          </w:tcPr>
          <w:p w14:paraId="5A33FDB4">
            <w:pPr>
              <w:adjustRightInd w:val="0"/>
              <w:spacing w:before="240" w:after="60" w:line="280" w:lineRule="exact"/>
              <w:jc w:val="center"/>
              <w:textAlignment w:val="baseline"/>
              <w:rPr>
                <w:rFonts w:ascii="Arial" w:hAnsi="Arial"/>
                <w:color w:val="auto"/>
                <w:sz w:val="24"/>
                <w:highlight w:val="none"/>
              </w:rPr>
            </w:pPr>
          </w:p>
        </w:tc>
        <w:tc>
          <w:tcPr>
            <w:tcW w:w="1027" w:type="dxa"/>
            <w:noWrap w:val="0"/>
            <w:vAlign w:val="top"/>
          </w:tcPr>
          <w:p w14:paraId="0944D38E">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67A113FF">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4A96875B">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119ACD21">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04061044">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42B6E1C9">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78D3797D">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2FC38070">
            <w:pPr>
              <w:adjustRightInd w:val="0"/>
              <w:spacing w:before="240" w:after="60" w:line="260" w:lineRule="exact"/>
              <w:jc w:val="center"/>
              <w:textAlignment w:val="baseline"/>
              <w:rPr>
                <w:rFonts w:ascii="Arial" w:hAnsi="Arial"/>
                <w:b/>
                <w:color w:val="auto"/>
                <w:sz w:val="24"/>
                <w:highlight w:val="none"/>
              </w:rPr>
            </w:pPr>
          </w:p>
        </w:tc>
      </w:tr>
      <w:tr w14:paraId="7DDC0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14:paraId="6489A28D">
            <w:pPr>
              <w:adjustRightInd w:val="0"/>
              <w:spacing w:before="240" w:after="60" w:line="260" w:lineRule="exact"/>
              <w:jc w:val="center"/>
              <w:textAlignment w:val="baseline"/>
              <w:rPr>
                <w:rFonts w:ascii="Arial" w:hAnsi="Arial"/>
                <w:color w:val="auto"/>
                <w:sz w:val="24"/>
                <w:highlight w:val="none"/>
              </w:rPr>
            </w:pPr>
          </w:p>
        </w:tc>
        <w:tc>
          <w:tcPr>
            <w:tcW w:w="1168" w:type="dxa"/>
            <w:noWrap w:val="0"/>
            <w:vAlign w:val="top"/>
          </w:tcPr>
          <w:p w14:paraId="4589863D">
            <w:pPr>
              <w:adjustRightInd w:val="0"/>
              <w:spacing w:before="240" w:after="60" w:line="280" w:lineRule="exact"/>
              <w:jc w:val="center"/>
              <w:textAlignment w:val="baseline"/>
              <w:rPr>
                <w:rFonts w:ascii="Arial" w:hAnsi="Arial"/>
                <w:color w:val="auto"/>
                <w:sz w:val="24"/>
                <w:highlight w:val="none"/>
              </w:rPr>
            </w:pPr>
          </w:p>
        </w:tc>
        <w:tc>
          <w:tcPr>
            <w:tcW w:w="1027" w:type="dxa"/>
            <w:noWrap w:val="0"/>
            <w:vAlign w:val="top"/>
          </w:tcPr>
          <w:p w14:paraId="264A0AFA">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3FAD8C29">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36908E18">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63E53670">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06C0ACD6">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33B5AB3A">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5A3DF526">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60D73699">
            <w:pPr>
              <w:adjustRightInd w:val="0"/>
              <w:spacing w:before="240" w:after="60" w:line="260" w:lineRule="exact"/>
              <w:jc w:val="center"/>
              <w:textAlignment w:val="baseline"/>
              <w:rPr>
                <w:rFonts w:ascii="Arial" w:hAnsi="Arial"/>
                <w:b/>
                <w:color w:val="auto"/>
                <w:sz w:val="24"/>
                <w:highlight w:val="none"/>
              </w:rPr>
            </w:pPr>
          </w:p>
        </w:tc>
      </w:tr>
      <w:tr w14:paraId="3C3F3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14:paraId="3027BAAC">
            <w:pPr>
              <w:adjustRightInd w:val="0"/>
              <w:spacing w:before="240" w:after="60" w:line="260" w:lineRule="exact"/>
              <w:jc w:val="center"/>
              <w:textAlignment w:val="baseline"/>
              <w:rPr>
                <w:rFonts w:ascii="Arial" w:hAnsi="Arial"/>
                <w:color w:val="auto"/>
                <w:sz w:val="24"/>
                <w:highlight w:val="none"/>
              </w:rPr>
            </w:pPr>
          </w:p>
        </w:tc>
        <w:tc>
          <w:tcPr>
            <w:tcW w:w="1168" w:type="dxa"/>
            <w:noWrap w:val="0"/>
            <w:vAlign w:val="top"/>
          </w:tcPr>
          <w:p w14:paraId="2DE61CD5">
            <w:pPr>
              <w:adjustRightInd w:val="0"/>
              <w:spacing w:before="240" w:after="60" w:line="280" w:lineRule="exact"/>
              <w:jc w:val="center"/>
              <w:textAlignment w:val="baseline"/>
              <w:rPr>
                <w:rFonts w:hint="eastAsia" w:ascii="Arial" w:hAnsi="Arial"/>
                <w:color w:val="auto"/>
                <w:sz w:val="24"/>
                <w:highlight w:val="none"/>
              </w:rPr>
            </w:pPr>
          </w:p>
        </w:tc>
        <w:tc>
          <w:tcPr>
            <w:tcW w:w="1027" w:type="dxa"/>
            <w:noWrap w:val="0"/>
            <w:vAlign w:val="top"/>
          </w:tcPr>
          <w:p w14:paraId="11F142CF">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6153F499">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18182D49">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0D08CFC7">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3E71FA3D">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3721C3E7">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0C91B45A">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0C70FC1C">
            <w:pPr>
              <w:adjustRightInd w:val="0"/>
              <w:spacing w:before="240" w:after="60" w:line="260" w:lineRule="exact"/>
              <w:jc w:val="center"/>
              <w:textAlignment w:val="baseline"/>
              <w:rPr>
                <w:rFonts w:hint="eastAsia" w:ascii="Arial" w:hAnsi="Arial"/>
                <w:b/>
                <w:color w:val="auto"/>
                <w:sz w:val="24"/>
                <w:highlight w:val="none"/>
              </w:rPr>
            </w:pPr>
          </w:p>
        </w:tc>
      </w:tr>
      <w:tr w14:paraId="75A153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14:paraId="07AD51FF">
            <w:pPr>
              <w:adjustRightInd w:val="0"/>
              <w:spacing w:before="240" w:after="60" w:line="260" w:lineRule="exact"/>
              <w:jc w:val="center"/>
              <w:textAlignment w:val="baseline"/>
              <w:rPr>
                <w:rFonts w:ascii="Arial" w:hAnsi="Arial"/>
                <w:color w:val="auto"/>
                <w:sz w:val="24"/>
                <w:highlight w:val="none"/>
              </w:rPr>
            </w:pPr>
          </w:p>
        </w:tc>
        <w:tc>
          <w:tcPr>
            <w:tcW w:w="1168" w:type="dxa"/>
            <w:noWrap w:val="0"/>
            <w:vAlign w:val="top"/>
          </w:tcPr>
          <w:p w14:paraId="072290DE">
            <w:pPr>
              <w:adjustRightInd w:val="0"/>
              <w:spacing w:before="240" w:after="60" w:line="260" w:lineRule="exact"/>
              <w:jc w:val="center"/>
              <w:textAlignment w:val="baseline"/>
              <w:rPr>
                <w:rFonts w:ascii="Arial" w:hAnsi="Arial"/>
                <w:color w:val="auto"/>
                <w:sz w:val="24"/>
                <w:highlight w:val="none"/>
              </w:rPr>
            </w:pPr>
          </w:p>
        </w:tc>
        <w:tc>
          <w:tcPr>
            <w:tcW w:w="1027" w:type="dxa"/>
            <w:noWrap w:val="0"/>
            <w:vAlign w:val="top"/>
          </w:tcPr>
          <w:p w14:paraId="378E72B3">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1F217BD2">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204CCA3A">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3AF38B90">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2F59D50C">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30D4FA26">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378227EB">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303F1076">
            <w:pPr>
              <w:adjustRightInd w:val="0"/>
              <w:spacing w:before="240" w:after="60" w:line="260" w:lineRule="exact"/>
              <w:jc w:val="center"/>
              <w:textAlignment w:val="baseline"/>
              <w:rPr>
                <w:rFonts w:ascii="Arial" w:hAnsi="Arial"/>
                <w:b/>
                <w:color w:val="auto"/>
                <w:sz w:val="24"/>
                <w:highlight w:val="none"/>
              </w:rPr>
            </w:pPr>
          </w:p>
        </w:tc>
      </w:tr>
      <w:tr w14:paraId="4B9B08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14:paraId="71496374">
            <w:pPr>
              <w:adjustRightInd w:val="0"/>
              <w:spacing w:before="240" w:after="60" w:line="260" w:lineRule="exact"/>
              <w:jc w:val="center"/>
              <w:textAlignment w:val="baseline"/>
              <w:rPr>
                <w:rFonts w:ascii="Arial" w:hAnsi="Arial"/>
                <w:color w:val="auto"/>
                <w:sz w:val="24"/>
                <w:highlight w:val="none"/>
              </w:rPr>
            </w:pPr>
          </w:p>
        </w:tc>
        <w:tc>
          <w:tcPr>
            <w:tcW w:w="1168" w:type="dxa"/>
            <w:noWrap w:val="0"/>
            <w:vAlign w:val="top"/>
          </w:tcPr>
          <w:p w14:paraId="1C5E0BA0">
            <w:pPr>
              <w:adjustRightInd w:val="0"/>
              <w:spacing w:before="240" w:after="60" w:line="260" w:lineRule="exact"/>
              <w:jc w:val="center"/>
              <w:textAlignment w:val="baseline"/>
              <w:rPr>
                <w:rFonts w:ascii="Arial" w:hAnsi="Arial"/>
                <w:color w:val="auto"/>
                <w:sz w:val="24"/>
                <w:highlight w:val="none"/>
              </w:rPr>
            </w:pPr>
          </w:p>
        </w:tc>
        <w:tc>
          <w:tcPr>
            <w:tcW w:w="1027" w:type="dxa"/>
            <w:noWrap w:val="0"/>
            <w:vAlign w:val="top"/>
          </w:tcPr>
          <w:p w14:paraId="4660C007">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3941B74D">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3EBD2C8F">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250102F5">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640BCBFD">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4C204AA2">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7C9EE9A3">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0E6C792A">
            <w:pPr>
              <w:adjustRightInd w:val="0"/>
              <w:spacing w:before="240" w:after="60" w:line="260" w:lineRule="exact"/>
              <w:jc w:val="center"/>
              <w:textAlignment w:val="baseline"/>
              <w:rPr>
                <w:rFonts w:ascii="Arial" w:hAnsi="Arial"/>
                <w:b/>
                <w:color w:val="auto"/>
                <w:sz w:val="24"/>
                <w:highlight w:val="none"/>
              </w:rPr>
            </w:pPr>
          </w:p>
        </w:tc>
      </w:tr>
      <w:tr w14:paraId="77684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14:paraId="1393B773">
            <w:pPr>
              <w:adjustRightInd w:val="0"/>
              <w:spacing w:before="240" w:after="60" w:line="260" w:lineRule="exact"/>
              <w:jc w:val="center"/>
              <w:textAlignment w:val="baseline"/>
              <w:rPr>
                <w:rFonts w:ascii="Arial" w:hAnsi="Arial"/>
                <w:b/>
                <w:color w:val="auto"/>
                <w:sz w:val="24"/>
                <w:highlight w:val="none"/>
              </w:rPr>
            </w:pPr>
          </w:p>
        </w:tc>
        <w:tc>
          <w:tcPr>
            <w:tcW w:w="1168" w:type="dxa"/>
            <w:noWrap w:val="0"/>
            <w:vAlign w:val="top"/>
          </w:tcPr>
          <w:p w14:paraId="2F4EC8C4">
            <w:pPr>
              <w:adjustRightInd w:val="0"/>
              <w:spacing w:before="240" w:after="60" w:line="260" w:lineRule="exact"/>
              <w:jc w:val="center"/>
              <w:textAlignment w:val="baseline"/>
              <w:rPr>
                <w:rFonts w:ascii="Arial" w:hAnsi="Arial"/>
                <w:b/>
                <w:color w:val="auto"/>
                <w:sz w:val="24"/>
                <w:highlight w:val="none"/>
              </w:rPr>
            </w:pPr>
          </w:p>
        </w:tc>
        <w:tc>
          <w:tcPr>
            <w:tcW w:w="1027" w:type="dxa"/>
            <w:noWrap w:val="0"/>
            <w:vAlign w:val="top"/>
          </w:tcPr>
          <w:p w14:paraId="29F3BDBC">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6D2F23A4">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425EAE6E">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48064B3B">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7E7671C5">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3466FD2B">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428AB1E1">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39674370">
            <w:pPr>
              <w:adjustRightInd w:val="0"/>
              <w:spacing w:before="240" w:after="60" w:line="260" w:lineRule="exact"/>
              <w:jc w:val="center"/>
              <w:textAlignment w:val="baseline"/>
              <w:rPr>
                <w:rFonts w:ascii="Arial" w:hAnsi="Arial"/>
                <w:b/>
                <w:color w:val="auto"/>
                <w:sz w:val="24"/>
                <w:highlight w:val="none"/>
              </w:rPr>
            </w:pPr>
          </w:p>
        </w:tc>
      </w:tr>
      <w:tr w14:paraId="12F78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14:paraId="04668AAA">
            <w:pPr>
              <w:adjustRightInd w:val="0"/>
              <w:spacing w:before="240" w:after="60" w:line="260" w:lineRule="exact"/>
              <w:jc w:val="center"/>
              <w:textAlignment w:val="baseline"/>
              <w:rPr>
                <w:rFonts w:ascii="Arial" w:hAnsi="Arial"/>
                <w:b/>
                <w:color w:val="auto"/>
                <w:sz w:val="24"/>
                <w:highlight w:val="none"/>
              </w:rPr>
            </w:pPr>
          </w:p>
        </w:tc>
        <w:tc>
          <w:tcPr>
            <w:tcW w:w="1168" w:type="dxa"/>
            <w:noWrap w:val="0"/>
            <w:vAlign w:val="top"/>
          </w:tcPr>
          <w:p w14:paraId="481CC75C">
            <w:pPr>
              <w:adjustRightInd w:val="0"/>
              <w:spacing w:before="240" w:after="60" w:line="260" w:lineRule="exact"/>
              <w:jc w:val="center"/>
              <w:textAlignment w:val="baseline"/>
              <w:rPr>
                <w:rFonts w:ascii="Arial" w:hAnsi="Arial"/>
                <w:b/>
                <w:color w:val="auto"/>
                <w:sz w:val="24"/>
                <w:highlight w:val="none"/>
              </w:rPr>
            </w:pPr>
          </w:p>
        </w:tc>
        <w:tc>
          <w:tcPr>
            <w:tcW w:w="1027" w:type="dxa"/>
            <w:noWrap w:val="0"/>
            <w:vAlign w:val="top"/>
          </w:tcPr>
          <w:p w14:paraId="7A498F29">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0469F333">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621CE6C1">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1699B342">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263194BA">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4E357E10">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263489CD">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69B3E468">
            <w:pPr>
              <w:adjustRightInd w:val="0"/>
              <w:spacing w:before="240" w:after="60" w:line="260" w:lineRule="exact"/>
              <w:jc w:val="center"/>
              <w:textAlignment w:val="baseline"/>
              <w:rPr>
                <w:rFonts w:ascii="Arial" w:hAnsi="Arial"/>
                <w:b/>
                <w:color w:val="auto"/>
                <w:sz w:val="24"/>
                <w:highlight w:val="none"/>
              </w:rPr>
            </w:pPr>
          </w:p>
        </w:tc>
      </w:tr>
      <w:tr w14:paraId="40C366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14:paraId="15067E03">
            <w:pPr>
              <w:adjustRightInd w:val="0"/>
              <w:spacing w:before="240" w:after="60" w:line="260" w:lineRule="exact"/>
              <w:jc w:val="center"/>
              <w:textAlignment w:val="baseline"/>
              <w:rPr>
                <w:rFonts w:ascii="Arial" w:hAnsi="Arial"/>
                <w:b/>
                <w:color w:val="auto"/>
                <w:sz w:val="24"/>
                <w:highlight w:val="none"/>
              </w:rPr>
            </w:pPr>
          </w:p>
        </w:tc>
        <w:tc>
          <w:tcPr>
            <w:tcW w:w="1168" w:type="dxa"/>
            <w:noWrap w:val="0"/>
            <w:vAlign w:val="top"/>
          </w:tcPr>
          <w:p w14:paraId="43B57E5E">
            <w:pPr>
              <w:adjustRightInd w:val="0"/>
              <w:spacing w:before="240" w:after="60" w:line="260" w:lineRule="exact"/>
              <w:jc w:val="center"/>
              <w:textAlignment w:val="baseline"/>
              <w:rPr>
                <w:rFonts w:ascii="Arial" w:hAnsi="Arial"/>
                <w:b/>
                <w:color w:val="auto"/>
                <w:sz w:val="24"/>
                <w:highlight w:val="none"/>
              </w:rPr>
            </w:pPr>
          </w:p>
        </w:tc>
        <w:tc>
          <w:tcPr>
            <w:tcW w:w="1027" w:type="dxa"/>
            <w:noWrap w:val="0"/>
            <w:vAlign w:val="top"/>
          </w:tcPr>
          <w:p w14:paraId="1A937FAD">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3CBD27FA">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5E8B56C6">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0DD915E7">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32DC544D">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0D3A9924">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233DA1F4">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1F4A6122">
            <w:pPr>
              <w:adjustRightInd w:val="0"/>
              <w:spacing w:before="240" w:after="60" w:line="260" w:lineRule="exact"/>
              <w:jc w:val="center"/>
              <w:textAlignment w:val="baseline"/>
              <w:rPr>
                <w:rFonts w:ascii="Arial" w:hAnsi="Arial"/>
                <w:b/>
                <w:color w:val="auto"/>
                <w:sz w:val="24"/>
                <w:highlight w:val="none"/>
              </w:rPr>
            </w:pPr>
          </w:p>
        </w:tc>
      </w:tr>
      <w:tr w14:paraId="19D61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14:paraId="32BE0E02">
            <w:pPr>
              <w:adjustRightInd w:val="0"/>
              <w:spacing w:before="240" w:after="60" w:line="260" w:lineRule="exact"/>
              <w:jc w:val="center"/>
              <w:textAlignment w:val="baseline"/>
              <w:rPr>
                <w:rFonts w:ascii="Arial" w:hAnsi="Arial"/>
                <w:b/>
                <w:color w:val="auto"/>
                <w:sz w:val="24"/>
                <w:highlight w:val="none"/>
              </w:rPr>
            </w:pPr>
          </w:p>
        </w:tc>
        <w:tc>
          <w:tcPr>
            <w:tcW w:w="1168" w:type="dxa"/>
            <w:noWrap w:val="0"/>
            <w:vAlign w:val="top"/>
          </w:tcPr>
          <w:p w14:paraId="0E45730D">
            <w:pPr>
              <w:adjustRightInd w:val="0"/>
              <w:spacing w:before="240" w:after="60" w:line="260" w:lineRule="exact"/>
              <w:jc w:val="center"/>
              <w:textAlignment w:val="baseline"/>
              <w:rPr>
                <w:rFonts w:ascii="Arial" w:hAnsi="Arial"/>
                <w:b/>
                <w:color w:val="auto"/>
                <w:sz w:val="24"/>
                <w:highlight w:val="none"/>
              </w:rPr>
            </w:pPr>
          </w:p>
        </w:tc>
        <w:tc>
          <w:tcPr>
            <w:tcW w:w="1027" w:type="dxa"/>
            <w:noWrap w:val="0"/>
            <w:vAlign w:val="top"/>
          </w:tcPr>
          <w:p w14:paraId="06E2D80B">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7AAEB458">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4B106BD2">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3A92A041">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22003DA5">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7CAC8091">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226146AC">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31861776">
            <w:pPr>
              <w:adjustRightInd w:val="0"/>
              <w:spacing w:before="240" w:after="60" w:line="260" w:lineRule="exact"/>
              <w:jc w:val="center"/>
              <w:textAlignment w:val="baseline"/>
              <w:rPr>
                <w:rFonts w:ascii="Arial" w:hAnsi="Arial"/>
                <w:b/>
                <w:color w:val="auto"/>
                <w:sz w:val="24"/>
                <w:highlight w:val="none"/>
              </w:rPr>
            </w:pPr>
          </w:p>
        </w:tc>
      </w:tr>
      <w:tr w14:paraId="49B64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14:paraId="50B2CAEF">
            <w:pPr>
              <w:adjustRightInd w:val="0"/>
              <w:spacing w:before="240" w:after="60" w:line="260" w:lineRule="exact"/>
              <w:jc w:val="center"/>
              <w:textAlignment w:val="baseline"/>
              <w:rPr>
                <w:rFonts w:ascii="Arial" w:hAnsi="Arial"/>
                <w:b/>
                <w:color w:val="auto"/>
                <w:sz w:val="24"/>
                <w:highlight w:val="none"/>
              </w:rPr>
            </w:pPr>
          </w:p>
        </w:tc>
        <w:tc>
          <w:tcPr>
            <w:tcW w:w="1168" w:type="dxa"/>
            <w:noWrap w:val="0"/>
            <w:vAlign w:val="top"/>
          </w:tcPr>
          <w:p w14:paraId="24288B84">
            <w:pPr>
              <w:adjustRightInd w:val="0"/>
              <w:spacing w:before="240" w:after="60" w:line="260" w:lineRule="exact"/>
              <w:jc w:val="center"/>
              <w:textAlignment w:val="baseline"/>
              <w:rPr>
                <w:rFonts w:ascii="Arial" w:hAnsi="Arial"/>
                <w:b/>
                <w:color w:val="auto"/>
                <w:sz w:val="24"/>
                <w:highlight w:val="none"/>
              </w:rPr>
            </w:pPr>
          </w:p>
        </w:tc>
        <w:tc>
          <w:tcPr>
            <w:tcW w:w="1027" w:type="dxa"/>
            <w:noWrap w:val="0"/>
            <w:vAlign w:val="top"/>
          </w:tcPr>
          <w:p w14:paraId="0378F25E">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20243199">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75972DA7">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2891881D">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092CFE6B">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730678ED">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440A33A2">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461F81EF">
            <w:pPr>
              <w:adjustRightInd w:val="0"/>
              <w:spacing w:before="240" w:after="60" w:line="260" w:lineRule="exact"/>
              <w:jc w:val="center"/>
              <w:textAlignment w:val="baseline"/>
              <w:rPr>
                <w:rFonts w:ascii="Arial" w:hAnsi="Arial"/>
                <w:b/>
                <w:color w:val="auto"/>
                <w:sz w:val="24"/>
                <w:highlight w:val="none"/>
              </w:rPr>
            </w:pPr>
          </w:p>
        </w:tc>
      </w:tr>
      <w:tr w14:paraId="33B41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14:paraId="2062A0EF">
            <w:pPr>
              <w:adjustRightInd w:val="0"/>
              <w:spacing w:before="240" w:after="60" w:line="260" w:lineRule="exact"/>
              <w:jc w:val="center"/>
              <w:textAlignment w:val="baseline"/>
              <w:rPr>
                <w:rFonts w:ascii="Arial" w:hAnsi="Arial"/>
                <w:b/>
                <w:color w:val="auto"/>
                <w:sz w:val="24"/>
                <w:highlight w:val="none"/>
              </w:rPr>
            </w:pPr>
          </w:p>
        </w:tc>
        <w:tc>
          <w:tcPr>
            <w:tcW w:w="1168" w:type="dxa"/>
            <w:noWrap w:val="0"/>
            <w:vAlign w:val="top"/>
          </w:tcPr>
          <w:p w14:paraId="405B507A">
            <w:pPr>
              <w:adjustRightInd w:val="0"/>
              <w:spacing w:before="240" w:after="60" w:line="260" w:lineRule="exact"/>
              <w:jc w:val="center"/>
              <w:textAlignment w:val="baseline"/>
              <w:rPr>
                <w:rFonts w:ascii="Arial" w:hAnsi="Arial"/>
                <w:b/>
                <w:color w:val="auto"/>
                <w:sz w:val="24"/>
                <w:highlight w:val="none"/>
              </w:rPr>
            </w:pPr>
          </w:p>
        </w:tc>
        <w:tc>
          <w:tcPr>
            <w:tcW w:w="1027" w:type="dxa"/>
            <w:noWrap w:val="0"/>
            <w:vAlign w:val="top"/>
          </w:tcPr>
          <w:p w14:paraId="7D25669A">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4A6F1333">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64D215D2">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613DB030">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2881760C">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48B52AB5">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77B4B6E7">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23D7E4C7">
            <w:pPr>
              <w:adjustRightInd w:val="0"/>
              <w:spacing w:before="240" w:after="60" w:line="260" w:lineRule="exact"/>
              <w:jc w:val="center"/>
              <w:textAlignment w:val="baseline"/>
              <w:rPr>
                <w:rFonts w:ascii="Arial" w:hAnsi="Arial"/>
                <w:b/>
                <w:color w:val="auto"/>
                <w:sz w:val="24"/>
                <w:highlight w:val="none"/>
              </w:rPr>
            </w:pPr>
          </w:p>
        </w:tc>
      </w:tr>
      <w:tr w14:paraId="5C46F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14:paraId="7B5045F9">
            <w:pPr>
              <w:adjustRightInd w:val="0"/>
              <w:spacing w:before="240" w:after="60" w:line="260" w:lineRule="exact"/>
              <w:jc w:val="center"/>
              <w:textAlignment w:val="baseline"/>
              <w:rPr>
                <w:rFonts w:ascii="Arial" w:hAnsi="Arial"/>
                <w:b/>
                <w:color w:val="auto"/>
                <w:sz w:val="24"/>
                <w:highlight w:val="none"/>
              </w:rPr>
            </w:pPr>
          </w:p>
        </w:tc>
        <w:tc>
          <w:tcPr>
            <w:tcW w:w="1168" w:type="dxa"/>
            <w:noWrap w:val="0"/>
            <w:vAlign w:val="top"/>
          </w:tcPr>
          <w:p w14:paraId="2277DC16">
            <w:pPr>
              <w:adjustRightInd w:val="0"/>
              <w:spacing w:before="240" w:after="60" w:line="260" w:lineRule="exact"/>
              <w:jc w:val="center"/>
              <w:textAlignment w:val="baseline"/>
              <w:rPr>
                <w:rFonts w:ascii="Arial" w:hAnsi="Arial"/>
                <w:b/>
                <w:color w:val="auto"/>
                <w:sz w:val="24"/>
                <w:highlight w:val="none"/>
              </w:rPr>
            </w:pPr>
          </w:p>
        </w:tc>
        <w:tc>
          <w:tcPr>
            <w:tcW w:w="1027" w:type="dxa"/>
            <w:noWrap w:val="0"/>
            <w:vAlign w:val="top"/>
          </w:tcPr>
          <w:p w14:paraId="73F378C5">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0665ECD5">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605CDC14">
            <w:pPr>
              <w:adjustRightInd w:val="0"/>
              <w:spacing w:before="240" w:after="60" w:line="260" w:lineRule="exact"/>
              <w:jc w:val="center"/>
              <w:textAlignment w:val="baseline"/>
              <w:rPr>
                <w:rFonts w:ascii="Arial" w:hAnsi="Arial"/>
                <w:b/>
                <w:color w:val="auto"/>
                <w:sz w:val="24"/>
                <w:highlight w:val="none"/>
              </w:rPr>
            </w:pPr>
          </w:p>
        </w:tc>
        <w:tc>
          <w:tcPr>
            <w:tcW w:w="612" w:type="dxa"/>
            <w:noWrap w:val="0"/>
            <w:vAlign w:val="top"/>
          </w:tcPr>
          <w:p w14:paraId="1D71F0E2">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02EAC87C">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402CF7A8">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6D097F25">
            <w:pPr>
              <w:adjustRightInd w:val="0"/>
              <w:spacing w:before="240" w:after="60" w:line="260" w:lineRule="exact"/>
              <w:jc w:val="center"/>
              <w:textAlignment w:val="baseline"/>
              <w:rPr>
                <w:rFonts w:ascii="Arial" w:hAnsi="Arial"/>
                <w:b/>
                <w:color w:val="auto"/>
                <w:sz w:val="24"/>
                <w:highlight w:val="none"/>
              </w:rPr>
            </w:pPr>
          </w:p>
        </w:tc>
        <w:tc>
          <w:tcPr>
            <w:tcW w:w="896" w:type="dxa"/>
            <w:noWrap w:val="0"/>
            <w:vAlign w:val="top"/>
          </w:tcPr>
          <w:p w14:paraId="587ACBE0">
            <w:pPr>
              <w:adjustRightInd w:val="0"/>
              <w:spacing w:before="240" w:after="60" w:line="260" w:lineRule="exact"/>
              <w:jc w:val="center"/>
              <w:textAlignment w:val="baseline"/>
              <w:rPr>
                <w:rFonts w:ascii="Arial" w:hAnsi="Arial"/>
                <w:b/>
                <w:color w:val="auto"/>
                <w:sz w:val="24"/>
                <w:highlight w:val="none"/>
              </w:rPr>
            </w:pPr>
          </w:p>
        </w:tc>
      </w:tr>
    </w:tbl>
    <w:p w14:paraId="7670B4C0">
      <w:pPr>
        <w:spacing w:line="42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备注：除合同另有约定外，本表所列发包人供应材料和工程设备的数量不考虑施工损耗，施工损耗被认为已经包括在承包人的投标价格中。</w:t>
      </w:r>
    </w:p>
    <w:p w14:paraId="15411CCD">
      <w:pPr>
        <w:spacing w:line="420" w:lineRule="exact"/>
        <w:jc w:val="center"/>
        <w:rPr>
          <w:rFonts w:hint="eastAsia" w:ascii="宋体" w:hAnsi="宋体" w:cs="宋体"/>
          <w:b/>
          <w:bCs/>
          <w:color w:val="auto"/>
          <w:sz w:val="22"/>
          <w:szCs w:val="22"/>
          <w:highlight w:val="none"/>
        </w:rPr>
        <w:sectPr>
          <w:footerReference r:id="rId6" w:type="first"/>
          <w:footerReference r:id="rId5" w:type="default"/>
          <w:endnotePr>
            <w:numFmt w:val="decimal"/>
          </w:endnotePr>
          <w:pgSz w:w="11906" w:h="16838"/>
          <w:pgMar w:top="720" w:right="720" w:bottom="720" w:left="720" w:header="0" w:footer="0" w:gutter="0"/>
          <w:pgNumType w:start="1"/>
          <w:cols w:space="720" w:num="1"/>
          <w:titlePg/>
          <w:docGrid w:linePitch="286" w:charSpace="0"/>
        </w:sectPr>
      </w:pPr>
    </w:p>
    <w:p w14:paraId="1E15CF06">
      <w:pPr>
        <w:spacing w:line="420" w:lineRule="exact"/>
        <w:outlineLvl w:val="1"/>
        <w:rPr>
          <w:rFonts w:ascii="宋体" w:hAnsi="宋体" w:cs="宋体"/>
          <w:b/>
          <w:bCs/>
          <w:color w:val="auto"/>
          <w:sz w:val="22"/>
          <w:szCs w:val="22"/>
          <w:highlight w:val="none"/>
        </w:rPr>
      </w:pPr>
      <w:bookmarkStart w:id="948" w:name="_Toc354042314"/>
      <w:bookmarkStart w:id="949" w:name="_Toc27954"/>
      <w:bookmarkStart w:id="950" w:name="_Toc3168"/>
      <w:bookmarkStart w:id="951" w:name="_Toc20604"/>
      <w:bookmarkStart w:id="952" w:name="_Toc100504380"/>
      <w:bookmarkStart w:id="953" w:name="_Toc2431"/>
      <w:bookmarkStart w:id="954" w:name="_Toc11454"/>
      <w:bookmarkStart w:id="955" w:name="_Toc155166219"/>
      <w:bookmarkStart w:id="956" w:name="_Toc22013"/>
      <w:bookmarkStart w:id="957" w:name="_Toc4197"/>
      <w:bookmarkStart w:id="958" w:name="_Toc469384141"/>
      <w:bookmarkStart w:id="959" w:name="_Toc266892925"/>
      <w:r>
        <w:rPr>
          <w:rFonts w:hint="eastAsia" w:ascii="宋体" w:hAnsi="宋体" w:cs="宋体"/>
          <w:b/>
          <w:bCs/>
          <w:color w:val="auto"/>
          <w:sz w:val="22"/>
          <w:szCs w:val="22"/>
          <w:highlight w:val="none"/>
        </w:rPr>
        <w:t>附件三</w:t>
      </w:r>
      <w:bookmarkEnd w:id="948"/>
      <w:bookmarkEnd w:id="949"/>
      <w:bookmarkEnd w:id="950"/>
      <w:bookmarkEnd w:id="951"/>
      <w:bookmarkEnd w:id="952"/>
      <w:r>
        <w:rPr>
          <w:rFonts w:hint="eastAsia" w:ascii="宋体" w:hAnsi="宋体" w:cs="宋体"/>
          <w:b/>
          <w:bCs/>
          <w:color w:val="auto"/>
          <w:sz w:val="22"/>
          <w:szCs w:val="22"/>
          <w:highlight w:val="none"/>
        </w:rPr>
        <w:t>：履约担保格式（建议格式，最终以银行格式为准）</w:t>
      </w:r>
      <w:bookmarkEnd w:id="953"/>
      <w:bookmarkEnd w:id="954"/>
      <w:bookmarkEnd w:id="955"/>
      <w:bookmarkEnd w:id="956"/>
      <w:bookmarkEnd w:id="957"/>
    </w:p>
    <w:p w14:paraId="0E6DC821">
      <w:pPr>
        <w:spacing w:line="440" w:lineRule="exact"/>
        <w:rPr>
          <w:rFonts w:hint="eastAsia" w:eastAsia="仿宋_GB2312"/>
          <w:color w:val="auto"/>
          <w:sz w:val="30"/>
          <w:szCs w:val="30"/>
          <w:highlight w:val="none"/>
        </w:rPr>
      </w:pPr>
    </w:p>
    <w:p w14:paraId="0AEA93FD">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履 约 担 保</w:t>
      </w:r>
    </w:p>
    <w:p w14:paraId="69B50E9C">
      <w:pPr>
        <w:spacing w:line="440" w:lineRule="exact"/>
        <w:rPr>
          <w:rFonts w:eastAsia="仿宋_GB2312"/>
          <w:color w:val="auto"/>
          <w:sz w:val="30"/>
          <w:szCs w:val="30"/>
          <w:highlight w:val="none"/>
        </w:rPr>
      </w:pPr>
      <w:r>
        <w:rPr>
          <w:rFonts w:hint="eastAsia" w:eastAsia="仿宋_GB2312"/>
          <w:color w:val="auto"/>
          <w:sz w:val="30"/>
          <w:szCs w:val="30"/>
          <w:highlight w:val="none"/>
          <w:u w:val="single"/>
        </w:rPr>
        <w:t>广州市番禺区水务工程建管中心（广州市番禺区水旱灾害防御中心）</w:t>
      </w:r>
      <w:r>
        <w:rPr>
          <w:rFonts w:eastAsia="仿宋_GB2312"/>
          <w:color w:val="auto"/>
          <w:sz w:val="30"/>
          <w:szCs w:val="30"/>
          <w:highlight w:val="none"/>
        </w:rPr>
        <w:t>：</w:t>
      </w:r>
    </w:p>
    <w:p w14:paraId="5CCA06A1">
      <w:pPr>
        <w:spacing w:line="440" w:lineRule="exact"/>
        <w:rPr>
          <w:rFonts w:eastAsia="仿宋_GB2312"/>
          <w:color w:val="auto"/>
          <w:sz w:val="30"/>
          <w:szCs w:val="30"/>
          <w:highlight w:val="none"/>
        </w:rPr>
      </w:pPr>
    </w:p>
    <w:bookmarkEnd w:id="958"/>
    <w:bookmarkEnd w:id="959"/>
    <w:p w14:paraId="757F115D">
      <w:pPr>
        <w:spacing w:line="360" w:lineRule="auto"/>
        <w:ind w:firstLine="600" w:firstLineChars="200"/>
        <w:rPr>
          <w:rFonts w:eastAsia="仿宋_GB2312"/>
          <w:color w:val="auto"/>
          <w:sz w:val="30"/>
          <w:szCs w:val="30"/>
          <w:highlight w:val="none"/>
        </w:rPr>
      </w:pPr>
      <w:bookmarkStart w:id="960" w:name="_Toc469384142"/>
      <w:bookmarkStart w:id="961" w:name="_Toc266892926"/>
      <w:r>
        <w:rPr>
          <w:rFonts w:eastAsia="仿宋_GB2312"/>
          <w:color w:val="auto"/>
          <w:sz w:val="30"/>
          <w:szCs w:val="30"/>
          <w:highlight w:val="none"/>
        </w:rPr>
        <w:t>鉴于</w:t>
      </w:r>
      <w:r>
        <w:rPr>
          <w:rFonts w:eastAsia="仿宋_GB2312"/>
          <w:color w:val="auto"/>
          <w:sz w:val="30"/>
          <w:szCs w:val="30"/>
          <w:highlight w:val="none"/>
          <w:u w:val="single"/>
        </w:rPr>
        <w:t xml:space="preserve">                </w:t>
      </w:r>
      <w:r>
        <w:rPr>
          <w:rFonts w:eastAsia="仿宋_GB2312"/>
          <w:color w:val="auto"/>
          <w:sz w:val="30"/>
          <w:szCs w:val="30"/>
          <w:highlight w:val="none"/>
        </w:rPr>
        <w:t>（发包人名称，以下简称“发包人”）与（承包人名称）（以下称“承包人”）于</w:t>
      </w:r>
      <w:r>
        <w:rPr>
          <w:rFonts w:eastAsia="仿宋_GB2312"/>
          <w:color w:val="auto"/>
          <w:sz w:val="30"/>
          <w:szCs w:val="30"/>
          <w:highlight w:val="none"/>
          <w:u w:val="single"/>
        </w:rPr>
        <w:t xml:space="preserve">    </w:t>
      </w:r>
      <w:r>
        <w:rPr>
          <w:rFonts w:eastAsia="仿宋_GB2312"/>
          <w:color w:val="auto"/>
          <w:sz w:val="30"/>
          <w:szCs w:val="30"/>
          <w:highlight w:val="none"/>
        </w:rPr>
        <w:t>年</w:t>
      </w:r>
      <w:r>
        <w:rPr>
          <w:rFonts w:eastAsia="仿宋_GB2312"/>
          <w:color w:val="auto"/>
          <w:sz w:val="30"/>
          <w:szCs w:val="30"/>
          <w:highlight w:val="none"/>
          <w:u w:val="single"/>
        </w:rPr>
        <w:t xml:space="preserve">   </w:t>
      </w:r>
      <w:r>
        <w:rPr>
          <w:rFonts w:eastAsia="仿宋_GB2312"/>
          <w:color w:val="auto"/>
          <w:sz w:val="30"/>
          <w:szCs w:val="30"/>
          <w:highlight w:val="none"/>
        </w:rPr>
        <w:t>月</w:t>
      </w:r>
      <w:r>
        <w:rPr>
          <w:rFonts w:eastAsia="仿宋_GB2312"/>
          <w:color w:val="auto"/>
          <w:sz w:val="30"/>
          <w:szCs w:val="30"/>
          <w:highlight w:val="none"/>
          <w:u w:val="single"/>
        </w:rPr>
        <w:t xml:space="preserve">   </w:t>
      </w:r>
      <w:r>
        <w:rPr>
          <w:rFonts w:eastAsia="仿宋_GB2312"/>
          <w:color w:val="auto"/>
          <w:sz w:val="30"/>
          <w:szCs w:val="30"/>
          <w:highlight w:val="none"/>
        </w:rPr>
        <w:t xml:space="preserve">日就（工程名称）施工及有关事项协商一致共同签订《XX施工合同》。我方愿意无条件地、不可撤销地就承包人履行与你方签订的合同，向你方提供连带责任担保。 </w:t>
      </w:r>
    </w:p>
    <w:p w14:paraId="2F674D2D">
      <w:pPr>
        <w:spacing w:line="360" w:lineRule="auto"/>
        <w:ind w:firstLine="600" w:firstLineChars="200"/>
        <w:rPr>
          <w:rFonts w:eastAsia="仿宋_GB2312"/>
          <w:color w:val="auto"/>
          <w:sz w:val="30"/>
          <w:szCs w:val="30"/>
          <w:highlight w:val="none"/>
        </w:rPr>
      </w:pPr>
      <w:r>
        <w:rPr>
          <w:rFonts w:eastAsia="仿宋_GB2312"/>
          <w:color w:val="auto"/>
          <w:sz w:val="30"/>
          <w:szCs w:val="30"/>
          <w:highlight w:val="none"/>
        </w:rPr>
        <w:t>1. 担保金额</w:t>
      </w:r>
      <w:r>
        <w:rPr>
          <w:rFonts w:hint="eastAsia" w:eastAsia="仿宋_GB2312"/>
          <w:color w:val="auto"/>
          <w:sz w:val="30"/>
          <w:szCs w:val="30"/>
          <w:highlight w:val="none"/>
        </w:rPr>
        <w:t>：履约担保金额为中标价的10%，即：</w:t>
      </w:r>
      <w:r>
        <w:rPr>
          <w:rFonts w:eastAsia="仿宋_GB2312"/>
          <w:color w:val="auto"/>
          <w:sz w:val="30"/>
          <w:szCs w:val="30"/>
          <w:highlight w:val="none"/>
        </w:rPr>
        <w:t>人民币（大写）_________元（¥</w:t>
      </w:r>
      <w:r>
        <w:rPr>
          <w:rFonts w:eastAsia="仿宋_GB2312"/>
          <w:color w:val="auto"/>
          <w:sz w:val="30"/>
          <w:szCs w:val="30"/>
          <w:highlight w:val="none"/>
          <w:u w:val="single"/>
        </w:rPr>
        <w:t xml:space="preserve">             </w:t>
      </w:r>
      <w:r>
        <w:rPr>
          <w:rFonts w:eastAsia="仿宋_GB2312"/>
          <w:color w:val="auto"/>
          <w:sz w:val="30"/>
          <w:szCs w:val="30"/>
          <w:highlight w:val="none"/>
        </w:rPr>
        <w:t>）。</w:t>
      </w:r>
    </w:p>
    <w:p w14:paraId="648D07F3">
      <w:pPr>
        <w:spacing w:line="360" w:lineRule="auto"/>
        <w:ind w:firstLine="600" w:firstLineChars="200"/>
        <w:rPr>
          <w:rFonts w:eastAsia="仿宋_GB2312"/>
          <w:color w:val="auto"/>
          <w:sz w:val="30"/>
          <w:szCs w:val="30"/>
          <w:highlight w:val="none"/>
        </w:rPr>
      </w:pPr>
      <w:r>
        <w:rPr>
          <w:rFonts w:eastAsia="仿宋_GB2312"/>
          <w:color w:val="auto"/>
          <w:sz w:val="30"/>
          <w:szCs w:val="30"/>
          <w:highlight w:val="none"/>
        </w:rPr>
        <w:t>2. 担保有效期</w:t>
      </w:r>
      <w:r>
        <w:rPr>
          <w:rFonts w:hint="eastAsia" w:eastAsia="仿宋_GB2312"/>
          <w:color w:val="auto"/>
          <w:sz w:val="30"/>
          <w:szCs w:val="30"/>
          <w:highlight w:val="none"/>
        </w:rPr>
        <w:t>间不得少于自你方与承包人签订的合同生效之日起至工程实际竣工之日止；若工期延误，则保函担保期相应顺延或由承包人另行办理保函。</w:t>
      </w:r>
    </w:p>
    <w:p w14:paraId="1256B6F3">
      <w:pPr>
        <w:spacing w:line="360" w:lineRule="auto"/>
        <w:ind w:firstLine="600" w:firstLineChars="200"/>
        <w:rPr>
          <w:rFonts w:eastAsia="仿宋_GB2312"/>
          <w:color w:val="auto"/>
          <w:sz w:val="30"/>
          <w:szCs w:val="30"/>
          <w:highlight w:val="none"/>
        </w:rPr>
      </w:pPr>
      <w:r>
        <w:rPr>
          <w:rFonts w:eastAsia="仿宋_GB2312"/>
          <w:color w:val="auto"/>
          <w:sz w:val="30"/>
          <w:szCs w:val="30"/>
          <w:highlight w:val="none"/>
        </w:rPr>
        <w:t>3. 在本担保有效期内，因承包人违反合同约定的义务给你方造成经济损失时，我方在收到你方以书面形式提出的在担保金额内的赔偿要求后，在</w:t>
      </w:r>
      <w:r>
        <w:rPr>
          <w:rFonts w:hint="eastAsia" w:eastAsia="仿宋_GB2312"/>
          <w:color w:val="auto"/>
          <w:sz w:val="30"/>
          <w:szCs w:val="30"/>
          <w:highlight w:val="none"/>
        </w:rPr>
        <w:t>10个工作日</w:t>
      </w:r>
      <w:r>
        <w:rPr>
          <w:rFonts w:eastAsia="仿宋_GB2312"/>
          <w:color w:val="auto"/>
          <w:sz w:val="30"/>
          <w:szCs w:val="30"/>
          <w:highlight w:val="none"/>
        </w:rPr>
        <w:t>内无条件支付。</w:t>
      </w:r>
    </w:p>
    <w:p w14:paraId="7EFCE95E">
      <w:pPr>
        <w:spacing w:line="360" w:lineRule="auto"/>
        <w:ind w:firstLine="600" w:firstLineChars="200"/>
        <w:rPr>
          <w:rFonts w:eastAsia="仿宋_GB2312"/>
          <w:color w:val="auto"/>
          <w:sz w:val="30"/>
          <w:szCs w:val="30"/>
          <w:highlight w:val="none"/>
        </w:rPr>
      </w:pPr>
      <w:r>
        <w:rPr>
          <w:rFonts w:eastAsia="仿宋_GB2312"/>
          <w:color w:val="auto"/>
          <w:sz w:val="30"/>
          <w:szCs w:val="30"/>
          <w:highlight w:val="none"/>
        </w:rPr>
        <w:t>4. 你方和承包人按合同约定变更合同时，我方承担本担保规定的义务不变。</w:t>
      </w:r>
    </w:p>
    <w:p w14:paraId="3BB7C434">
      <w:pPr>
        <w:spacing w:line="360" w:lineRule="auto"/>
        <w:ind w:firstLine="600" w:firstLineChars="200"/>
        <w:rPr>
          <w:rFonts w:eastAsia="仿宋_GB2312"/>
          <w:color w:val="auto"/>
          <w:sz w:val="30"/>
          <w:szCs w:val="30"/>
          <w:highlight w:val="none"/>
        </w:rPr>
      </w:pPr>
      <w:r>
        <w:rPr>
          <w:rFonts w:eastAsia="仿宋_GB2312"/>
          <w:color w:val="auto"/>
          <w:sz w:val="30"/>
          <w:szCs w:val="30"/>
          <w:highlight w:val="none"/>
        </w:rPr>
        <w:t>5. 因本保函发生的纠纷，可由双方协商解决，协商不成的，任何一方均可依法向</w:t>
      </w:r>
      <w:r>
        <w:rPr>
          <w:rFonts w:eastAsia="仿宋_GB2312"/>
          <w:color w:val="auto"/>
          <w:sz w:val="30"/>
          <w:szCs w:val="30"/>
          <w:highlight w:val="none"/>
          <w:u w:val="single"/>
        </w:rPr>
        <w:t>广州市</w:t>
      </w:r>
      <w:r>
        <w:rPr>
          <w:rFonts w:hint="eastAsia" w:eastAsia="仿宋_GB2312"/>
          <w:color w:val="auto"/>
          <w:sz w:val="30"/>
          <w:szCs w:val="30"/>
          <w:highlight w:val="none"/>
          <w:u w:val="single"/>
        </w:rPr>
        <w:t>番禺区人民法院起诉</w:t>
      </w:r>
      <w:r>
        <w:rPr>
          <w:rFonts w:eastAsia="仿宋_GB2312"/>
          <w:color w:val="auto"/>
          <w:sz w:val="30"/>
          <w:szCs w:val="30"/>
          <w:highlight w:val="none"/>
        </w:rPr>
        <w:t>。</w:t>
      </w:r>
    </w:p>
    <w:p w14:paraId="4434D31C">
      <w:pPr>
        <w:spacing w:line="360" w:lineRule="auto"/>
        <w:ind w:firstLine="600" w:firstLineChars="200"/>
        <w:rPr>
          <w:rFonts w:eastAsia="仿宋_GB2312"/>
          <w:color w:val="auto"/>
          <w:sz w:val="30"/>
          <w:szCs w:val="30"/>
          <w:highlight w:val="none"/>
        </w:rPr>
      </w:pPr>
      <w:r>
        <w:rPr>
          <w:rFonts w:eastAsia="仿宋_GB2312"/>
          <w:color w:val="auto"/>
          <w:sz w:val="30"/>
          <w:szCs w:val="30"/>
          <w:highlight w:val="none"/>
        </w:rPr>
        <w:t>6. 本保函自我方法定代表人（或其授权代理人）签字并加盖公章之日起生效。</w:t>
      </w:r>
    </w:p>
    <w:p w14:paraId="63D70C93">
      <w:pPr>
        <w:spacing w:line="360" w:lineRule="auto"/>
        <w:rPr>
          <w:rFonts w:eastAsia="仿宋_GB2312"/>
          <w:color w:val="auto"/>
          <w:sz w:val="30"/>
          <w:szCs w:val="30"/>
          <w:highlight w:val="none"/>
        </w:rPr>
      </w:pPr>
    </w:p>
    <w:p w14:paraId="2C33EE36">
      <w:pPr>
        <w:spacing w:line="360" w:lineRule="auto"/>
        <w:rPr>
          <w:rFonts w:hint="eastAsia" w:eastAsia="仿宋_GB2312"/>
          <w:color w:val="auto"/>
          <w:sz w:val="30"/>
          <w:szCs w:val="30"/>
          <w:highlight w:val="none"/>
        </w:rPr>
      </w:pPr>
    </w:p>
    <w:p w14:paraId="74126A46">
      <w:pPr>
        <w:spacing w:line="360" w:lineRule="auto"/>
        <w:rPr>
          <w:rFonts w:eastAsia="仿宋_GB2312"/>
          <w:color w:val="auto"/>
          <w:sz w:val="30"/>
          <w:szCs w:val="30"/>
          <w:highlight w:val="none"/>
        </w:rPr>
      </w:pPr>
    </w:p>
    <w:p w14:paraId="6AA8304D">
      <w:pPr>
        <w:spacing w:line="360" w:lineRule="auto"/>
        <w:rPr>
          <w:rFonts w:eastAsia="仿宋_GB2312"/>
          <w:color w:val="auto"/>
          <w:sz w:val="30"/>
          <w:szCs w:val="30"/>
          <w:highlight w:val="none"/>
        </w:rPr>
      </w:pPr>
      <w:r>
        <w:rPr>
          <w:rFonts w:eastAsia="仿宋_GB2312"/>
          <w:color w:val="auto"/>
          <w:sz w:val="30"/>
          <w:szCs w:val="30"/>
          <w:highlight w:val="none"/>
        </w:rPr>
        <w:t>担 保 人：</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eastAsia="仿宋_GB2312"/>
          <w:color w:val="auto"/>
          <w:sz w:val="30"/>
          <w:szCs w:val="30"/>
          <w:highlight w:val="none"/>
        </w:rPr>
        <w:t>（盖单位章）</w:t>
      </w:r>
    </w:p>
    <w:p w14:paraId="79BE2222">
      <w:pPr>
        <w:spacing w:line="360" w:lineRule="auto"/>
        <w:rPr>
          <w:rFonts w:eastAsia="仿宋_GB2312"/>
          <w:color w:val="auto"/>
          <w:sz w:val="30"/>
          <w:szCs w:val="30"/>
          <w:highlight w:val="none"/>
        </w:rPr>
      </w:pPr>
      <w:r>
        <w:rPr>
          <w:rFonts w:eastAsia="仿宋_GB2312"/>
          <w:color w:val="auto"/>
          <w:sz w:val="30"/>
          <w:szCs w:val="30"/>
          <w:highlight w:val="none"/>
        </w:rPr>
        <w:t>法定代表人或其委托代理人：</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eastAsia="仿宋_GB2312"/>
          <w:color w:val="auto"/>
          <w:sz w:val="30"/>
          <w:szCs w:val="30"/>
          <w:highlight w:val="none"/>
        </w:rPr>
        <w:t>（签字）</w:t>
      </w:r>
    </w:p>
    <w:p w14:paraId="30172790">
      <w:pPr>
        <w:spacing w:line="360" w:lineRule="auto"/>
        <w:rPr>
          <w:rFonts w:eastAsia="仿宋_GB2312"/>
          <w:color w:val="auto"/>
          <w:sz w:val="30"/>
          <w:szCs w:val="30"/>
          <w:highlight w:val="none"/>
        </w:rPr>
      </w:pPr>
      <w:r>
        <w:rPr>
          <w:rFonts w:eastAsia="仿宋_GB2312"/>
          <w:color w:val="auto"/>
          <w:sz w:val="30"/>
          <w:szCs w:val="30"/>
          <w:highlight w:val="none"/>
        </w:rPr>
        <w:t>地    址：</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249F58A5">
      <w:pPr>
        <w:spacing w:line="360" w:lineRule="auto"/>
        <w:rPr>
          <w:rFonts w:eastAsia="仿宋_GB2312"/>
          <w:color w:val="auto"/>
          <w:sz w:val="30"/>
          <w:szCs w:val="30"/>
          <w:highlight w:val="none"/>
        </w:rPr>
      </w:pPr>
      <w:r>
        <w:rPr>
          <w:rFonts w:eastAsia="仿宋_GB2312"/>
          <w:color w:val="auto"/>
          <w:sz w:val="30"/>
          <w:szCs w:val="30"/>
          <w:highlight w:val="none"/>
        </w:rPr>
        <w:t>邮政编码：</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600B2AB1">
      <w:pPr>
        <w:spacing w:line="360" w:lineRule="auto"/>
        <w:rPr>
          <w:rFonts w:eastAsia="仿宋_GB2312"/>
          <w:color w:val="auto"/>
          <w:sz w:val="30"/>
          <w:szCs w:val="30"/>
          <w:highlight w:val="none"/>
          <w:u w:val="single"/>
        </w:rPr>
      </w:pPr>
      <w:r>
        <w:rPr>
          <w:rFonts w:eastAsia="仿宋_GB2312"/>
          <w:color w:val="auto"/>
          <w:sz w:val="30"/>
          <w:szCs w:val="30"/>
          <w:highlight w:val="none"/>
        </w:rPr>
        <w:t>电    话：</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6999949C">
      <w:pPr>
        <w:spacing w:line="360" w:lineRule="auto"/>
        <w:rPr>
          <w:rFonts w:eastAsia="仿宋_GB2312"/>
          <w:color w:val="auto"/>
          <w:sz w:val="30"/>
          <w:szCs w:val="30"/>
          <w:highlight w:val="none"/>
        </w:rPr>
      </w:pPr>
      <w:r>
        <w:rPr>
          <w:rFonts w:eastAsia="仿宋_GB2312"/>
          <w:color w:val="auto"/>
          <w:sz w:val="30"/>
          <w:szCs w:val="30"/>
          <w:highlight w:val="none"/>
        </w:rPr>
        <w:t>传    真：</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73DB69E5">
      <w:pPr>
        <w:spacing w:line="360" w:lineRule="auto"/>
        <w:jc w:val="left"/>
        <w:rPr>
          <w:rFonts w:eastAsia="仿宋_GB2312"/>
          <w:color w:val="auto"/>
          <w:sz w:val="30"/>
          <w:szCs w:val="30"/>
          <w:highlight w:val="none"/>
          <w:u w:val="single"/>
        </w:rPr>
      </w:pPr>
    </w:p>
    <w:p w14:paraId="1C78AD83">
      <w:pPr>
        <w:spacing w:line="560" w:lineRule="exact"/>
        <w:ind w:firstLine="600" w:firstLineChars="200"/>
        <w:jc w:val="left"/>
        <w:rPr>
          <w:rFonts w:eastAsia="仿宋_GB2312"/>
          <w:color w:val="auto"/>
          <w:sz w:val="30"/>
          <w:szCs w:val="30"/>
          <w:highlight w:val="none"/>
        </w:rPr>
      </w:pPr>
      <w:r>
        <w:rPr>
          <w:rFonts w:eastAsia="仿宋_GB2312"/>
          <w:color w:val="auto"/>
          <w:sz w:val="30"/>
          <w:szCs w:val="30"/>
          <w:highlight w:val="none"/>
        </w:rPr>
        <w:t xml:space="preserve">             </w:t>
      </w:r>
      <w:r>
        <w:rPr>
          <w:rFonts w:hint="eastAsia" w:eastAsia="仿宋_GB2312"/>
          <w:color w:val="auto"/>
          <w:sz w:val="30"/>
          <w:szCs w:val="30"/>
          <w:highlight w:val="none"/>
        </w:rPr>
        <w:t xml:space="preserve">  </w:t>
      </w:r>
      <w:r>
        <w:rPr>
          <w:rFonts w:eastAsia="仿宋_GB2312"/>
          <w:color w:val="auto"/>
          <w:sz w:val="30"/>
          <w:szCs w:val="30"/>
          <w:highlight w:val="none"/>
          <w:u w:val="single"/>
        </w:rPr>
        <w:t xml:space="preserve">           </w:t>
      </w:r>
      <w:r>
        <w:rPr>
          <w:rFonts w:eastAsia="仿宋_GB2312"/>
          <w:color w:val="auto"/>
          <w:sz w:val="30"/>
          <w:szCs w:val="30"/>
          <w:highlight w:val="none"/>
        </w:rPr>
        <w:t>年</w:t>
      </w:r>
      <w:r>
        <w:rPr>
          <w:rFonts w:eastAsia="仿宋_GB2312"/>
          <w:color w:val="auto"/>
          <w:sz w:val="30"/>
          <w:szCs w:val="30"/>
          <w:highlight w:val="none"/>
          <w:u w:val="single"/>
        </w:rPr>
        <w:t xml:space="preserve">        </w:t>
      </w:r>
      <w:r>
        <w:rPr>
          <w:rFonts w:eastAsia="仿宋_GB2312"/>
          <w:color w:val="auto"/>
          <w:sz w:val="30"/>
          <w:szCs w:val="30"/>
          <w:highlight w:val="none"/>
        </w:rPr>
        <w:t>月</w:t>
      </w:r>
      <w:r>
        <w:rPr>
          <w:rFonts w:eastAsia="仿宋_GB2312"/>
          <w:color w:val="auto"/>
          <w:sz w:val="30"/>
          <w:szCs w:val="30"/>
          <w:highlight w:val="none"/>
          <w:u w:val="single"/>
        </w:rPr>
        <w:t xml:space="preserve">        </w:t>
      </w:r>
      <w:r>
        <w:rPr>
          <w:rFonts w:eastAsia="仿宋_GB2312"/>
          <w:color w:val="auto"/>
          <w:sz w:val="30"/>
          <w:szCs w:val="30"/>
          <w:highlight w:val="none"/>
        </w:rPr>
        <w:t>日</w:t>
      </w:r>
    </w:p>
    <w:p w14:paraId="1BA7929F">
      <w:pPr>
        <w:spacing w:line="560" w:lineRule="exact"/>
        <w:ind w:firstLine="480" w:firstLineChars="200"/>
        <w:jc w:val="left"/>
        <w:rPr>
          <w:color w:val="auto"/>
          <w:sz w:val="24"/>
          <w:highlight w:val="none"/>
        </w:rPr>
      </w:pPr>
    </w:p>
    <w:p w14:paraId="3135FF0B">
      <w:pPr>
        <w:spacing w:line="560" w:lineRule="exact"/>
        <w:rPr>
          <w:color w:val="auto"/>
          <w:sz w:val="24"/>
          <w:highlight w:val="none"/>
        </w:rPr>
      </w:pPr>
      <w:r>
        <w:rPr>
          <w:rFonts w:hAnsi="宋体"/>
          <w:b/>
          <w:color w:val="auto"/>
          <w:sz w:val="24"/>
          <w:highlight w:val="none"/>
        </w:rPr>
        <w:t>备注：</w:t>
      </w:r>
      <w:r>
        <w:rPr>
          <w:rFonts w:hAnsi="宋体"/>
          <w:color w:val="auto"/>
          <w:sz w:val="24"/>
          <w:highlight w:val="none"/>
        </w:rPr>
        <w:t>本履约担保格式可以采用经发包人同意的其他格式，但相关内容不得违背合同约定的实质性内容。</w:t>
      </w:r>
    </w:p>
    <w:p w14:paraId="0DD11686">
      <w:pPr>
        <w:widowControl/>
        <w:jc w:val="left"/>
        <w:rPr>
          <w:rFonts w:ascii="宋体" w:hAnsi="宋体" w:cs="宋体"/>
          <w:b/>
          <w:bCs/>
          <w:color w:val="auto"/>
          <w:sz w:val="22"/>
          <w:szCs w:val="22"/>
          <w:highlight w:val="none"/>
        </w:rPr>
      </w:pPr>
      <w:r>
        <w:rPr>
          <w:color w:val="auto"/>
          <w:sz w:val="24"/>
          <w:highlight w:val="none"/>
        </w:rPr>
        <w:br w:type="page"/>
      </w:r>
    </w:p>
    <w:p w14:paraId="2B3445DF">
      <w:pPr>
        <w:spacing w:line="420" w:lineRule="exact"/>
        <w:outlineLvl w:val="1"/>
        <w:rPr>
          <w:rFonts w:ascii="宋体" w:hAnsi="宋体" w:cs="宋体"/>
          <w:b/>
          <w:bCs/>
          <w:color w:val="auto"/>
          <w:sz w:val="22"/>
          <w:szCs w:val="22"/>
          <w:highlight w:val="none"/>
        </w:rPr>
      </w:pPr>
      <w:bookmarkStart w:id="962" w:name="_Toc155166220"/>
      <w:bookmarkStart w:id="963" w:name="_Toc17262"/>
      <w:bookmarkStart w:id="964" w:name="_Toc29120"/>
      <w:bookmarkStart w:id="965" w:name="_Toc23663"/>
      <w:bookmarkStart w:id="966" w:name="_Toc4815"/>
      <w:r>
        <w:rPr>
          <w:rFonts w:hint="eastAsia" w:ascii="宋体" w:hAnsi="宋体" w:cs="宋体"/>
          <w:b/>
          <w:bCs/>
          <w:color w:val="auto"/>
          <w:sz w:val="22"/>
          <w:szCs w:val="22"/>
          <w:highlight w:val="none"/>
        </w:rPr>
        <w:t>附件四：质量保修书格式</w:t>
      </w:r>
      <w:bookmarkEnd w:id="962"/>
      <w:bookmarkEnd w:id="963"/>
      <w:bookmarkEnd w:id="964"/>
      <w:bookmarkEnd w:id="965"/>
      <w:bookmarkEnd w:id="966"/>
    </w:p>
    <w:p w14:paraId="0995F0A3">
      <w:pPr>
        <w:spacing w:line="420" w:lineRule="exact"/>
        <w:rPr>
          <w:rFonts w:ascii="宋体" w:hAnsi="宋体" w:cs="宋体"/>
          <w:color w:val="auto"/>
          <w:sz w:val="22"/>
          <w:szCs w:val="22"/>
          <w:highlight w:val="none"/>
        </w:rPr>
      </w:pPr>
    </w:p>
    <w:p w14:paraId="3C9844CA">
      <w:pPr>
        <w:spacing w:line="360" w:lineRule="auto"/>
        <w:jc w:val="center"/>
        <w:rPr>
          <w:rFonts w:hint="eastAsia" w:ascii="宋体" w:hAnsi="宋体" w:cs="宋体"/>
          <w:b/>
          <w:color w:val="auto"/>
          <w:sz w:val="32"/>
          <w:szCs w:val="32"/>
          <w:highlight w:val="none"/>
        </w:rPr>
      </w:pPr>
      <w:bookmarkStart w:id="967" w:name="_Toc532375634"/>
      <w:r>
        <w:rPr>
          <w:rFonts w:hint="eastAsia" w:ascii="宋体" w:hAnsi="宋体" w:cs="宋体"/>
          <w:b/>
          <w:color w:val="auto"/>
          <w:sz w:val="32"/>
          <w:szCs w:val="32"/>
          <w:highlight w:val="none"/>
        </w:rPr>
        <w:t>工程质量保修书</w:t>
      </w:r>
      <w:bookmarkEnd w:id="967"/>
    </w:p>
    <w:p w14:paraId="24323669">
      <w:pPr>
        <w:pStyle w:val="107"/>
        <w:spacing w:line="560" w:lineRule="exact"/>
        <w:ind w:left="0" w:right="0"/>
        <w:rPr>
          <w:rFonts w:hint="eastAsia" w:ascii="宋体" w:hAnsi="宋体" w:cs="宋体"/>
          <w:b/>
          <w:color w:val="auto"/>
          <w:szCs w:val="24"/>
          <w:highlight w:val="none"/>
        </w:rPr>
      </w:pPr>
      <w:r>
        <w:rPr>
          <w:rFonts w:hint="eastAsia" w:ascii="宋体" w:hAnsi="宋体" w:cs="宋体"/>
          <w:b/>
          <w:color w:val="auto"/>
          <w:szCs w:val="24"/>
          <w:highlight w:val="none"/>
        </w:rPr>
        <w:t xml:space="preserve">发包人（全称）：广州市番禺区水务工程建管中心（广州市番禺区水旱灾害防御中心） </w:t>
      </w:r>
    </w:p>
    <w:p w14:paraId="251EA705">
      <w:pPr>
        <w:pStyle w:val="107"/>
        <w:spacing w:line="560" w:lineRule="exact"/>
        <w:ind w:left="0" w:right="0"/>
        <w:rPr>
          <w:rFonts w:hint="eastAsia" w:ascii="宋体" w:hAnsi="宋体" w:cs="宋体"/>
          <w:b/>
          <w:color w:val="auto"/>
          <w:szCs w:val="24"/>
          <w:highlight w:val="none"/>
        </w:rPr>
      </w:pPr>
      <w:r>
        <w:rPr>
          <w:rFonts w:hint="eastAsia" w:ascii="宋体" w:hAnsi="宋体" w:cs="宋体"/>
          <w:b/>
          <w:color w:val="auto"/>
          <w:szCs w:val="24"/>
          <w:highlight w:val="none"/>
        </w:rPr>
        <w:t>承包人（全称）：</w:t>
      </w:r>
    </w:p>
    <w:p w14:paraId="1A29404B">
      <w:pPr>
        <w:pStyle w:val="26"/>
        <w:spacing w:line="480" w:lineRule="auto"/>
        <w:rPr>
          <w:rFonts w:hint="eastAsia" w:cs="宋体"/>
          <w:color w:val="auto"/>
          <w:sz w:val="24"/>
          <w:szCs w:val="24"/>
          <w:highlight w:val="none"/>
        </w:rPr>
      </w:pPr>
      <w:r>
        <w:rPr>
          <w:rFonts w:hint="eastAsia" w:cs="宋体"/>
          <w:color w:val="auto"/>
          <w:sz w:val="24"/>
          <w:szCs w:val="24"/>
          <w:highlight w:val="none"/>
        </w:rPr>
        <w:t>为保证</w:t>
      </w:r>
      <w:r>
        <w:rPr>
          <w:rFonts w:hint="eastAsia" w:cs="宋体"/>
          <w:b/>
          <w:bCs/>
          <w:color w:val="auto"/>
          <w:sz w:val="24"/>
          <w:szCs w:val="24"/>
          <w:highlight w:val="none"/>
          <w:u w:val="single"/>
        </w:rPr>
        <w:t xml:space="preserve">       </w:t>
      </w:r>
      <w:r>
        <w:rPr>
          <w:rFonts w:hint="eastAsia" w:cs="宋体"/>
          <w:color w:val="auto"/>
          <w:sz w:val="24"/>
          <w:szCs w:val="24"/>
          <w:highlight w:val="none"/>
        </w:rPr>
        <w:t>在合理使用期限内正常使用，发包人、承包人协商一致签订工程质量保修书。承包人在质量保修期内按照国务院《建设工程质量管理条例》有关管理规定及双方约定承担工程质量保修责任。</w:t>
      </w:r>
    </w:p>
    <w:p w14:paraId="7384396D">
      <w:pPr>
        <w:spacing w:before="72" w:beforeLines="30" w:line="530" w:lineRule="exact"/>
        <w:rPr>
          <w:rFonts w:hint="eastAsia" w:ascii="宋体" w:hAnsi="宋体" w:cs="宋体"/>
          <w:b/>
          <w:color w:val="auto"/>
          <w:sz w:val="24"/>
          <w:szCs w:val="24"/>
          <w:highlight w:val="none"/>
        </w:rPr>
      </w:pPr>
      <w:r>
        <w:rPr>
          <w:rFonts w:hint="eastAsia" w:ascii="宋体" w:hAnsi="宋体" w:cs="宋体"/>
          <w:b/>
          <w:color w:val="auto"/>
          <w:sz w:val="24"/>
          <w:szCs w:val="24"/>
          <w:highlight w:val="none"/>
        </w:rPr>
        <w:t>一、工程质量保修范围和内容</w:t>
      </w:r>
    </w:p>
    <w:p w14:paraId="6DD0D07A">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质量保修范围双方约定如下：</w:t>
      </w:r>
    </w:p>
    <w:p w14:paraId="5D787586">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即承包人施工的工程范围。</w:t>
      </w:r>
    </w:p>
    <w:p w14:paraId="583F07DF">
      <w:pPr>
        <w:spacing w:before="72" w:beforeLines="30" w:line="530" w:lineRule="exact"/>
        <w:rPr>
          <w:rFonts w:hint="eastAsia" w:ascii="宋体" w:hAnsi="宋体" w:cs="宋体"/>
          <w:b/>
          <w:color w:val="auto"/>
          <w:sz w:val="24"/>
          <w:szCs w:val="24"/>
          <w:highlight w:val="none"/>
        </w:rPr>
      </w:pPr>
      <w:r>
        <w:rPr>
          <w:rFonts w:hint="eastAsia" w:ascii="宋体" w:hAnsi="宋体" w:cs="宋体"/>
          <w:b/>
          <w:color w:val="auto"/>
          <w:sz w:val="24"/>
          <w:szCs w:val="24"/>
          <w:highlight w:val="none"/>
        </w:rPr>
        <w:t>二、质量保修期</w:t>
      </w:r>
    </w:p>
    <w:p w14:paraId="05E03FCF">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质量保修期从工程通过合同工程完工验收后开始计算。分单项竣工验收的工程，按单项工程分别计算质量保修期。</w:t>
      </w:r>
    </w:p>
    <w:p w14:paraId="045462EC">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双方根据国家有关规定，结合具体工程约定本工程的质量保修期如下：</w:t>
      </w:r>
    </w:p>
    <w:p w14:paraId="6506D95B">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 xml:space="preserve">（一）基础设施工程、房屋建筑的地基基础工程和主体结构工程，为设计文件规定的该工程的合理使用年限； </w:t>
      </w:r>
    </w:p>
    <w:p w14:paraId="0B9C999E">
      <w:pPr>
        <w:pStyle w:val="107"/>
        <w:spacing w:line="530" w:lineRule="exact"/>
        <w:ind w:left="0" w:right="0" w:firstLine="464" w:firstLineChars="200"/>
        <w:rPr>
          <w:rFonts w:hint="eastAsia" w:ascii="宋体" w:hAnsi="宋体" w:cs="宋体"/>
          <w:color w:val="auto"/>
          <w:spacing w:val="-4"/>
          <w:szCs w:val="24"/>
          <w:highlight w:val="none"/>
        </w:rPr>
      </w:pPr>
      <w:r>
        <w:rPr>
          <w:rFonts w:hint="eastAsia" w:ascii="宋体" w:hAnsi="宋体" w:cs="宋体"/>
          <w:color w:val="auto"/>
          <w:spacing w:val="-4"/>
          <w:szCs w:val="24"/>
          <w:highlight w:val="none"/>
        </w:rPr>
        <w:t xml:space="preserve">（二）屋面防水工程、有防水要求的卫生间、房间和外墙面的防渗漏，为5年； </w:t>
      </w:r>
    </w:p>
    <w:p w14:paraId="64E0B63D">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 xml:space="preserve">（三）供热与供冷系统，为2个采暖期、供冷期； </w:t>
      </w:r>
    </w:p>
    <w:p w14:paraId="2DE3BAC0">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（四）电气管线、水利管道、设备安装和装修工程，为2年。</w:t>
      </w:r>
    </w:p>
    <w:p w14:paraId="3199F3B1">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（五）水利工程：为1年。</w:t>
      </w:r>
    </w:p>
    <w:p w14:paraId="152F1E14">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（六）其他约定：</w:t>
      </w:r>
      <w:r>
        <w:rPr>
          <w:rFonts w:hint="eastAsia" w:ascii="宋体" w:hAnsi="宋体" w:cs="宋体"/>
          <w:color w:val="auto"/>
          <w:szCs w:val="24"/>
          <w:highlight w:val="none"/>
          <w:u w:val="single"/>
        </w:rPr>
        <w:t xml:space="preserve">       无          </w:t>
      </w:r>
      <w:r>
        <w:rPr>
          <w:rFonts w:hint="eastAsia" w:ascii="宋体" w:hAnsi="宋体" w:cs="宋体"/>
          <w:color w:val="auto"/>
          <w:szCs w:val="24"/>
          <w:highlight w:val="none"/>
        </w:rPr>
        <w:t>。</w:t>
      </w:r>
    </w:p>
    <w:p w14:paraId="66AEE679">
      <w:pPr>
        <w:spacing w:before="72" w:beforeLines="30" w:line="530" w:lineRule="exact"/>
        <w:rPr>
          <w:rFonts w:hint="eastAsia" w:ascii="宋体" w:hAnsi="宋体" w:cs="宋体"/>
          <w:b/>
          <w:color w:val="auto"/>
          <w:sz w:val="24"/>
          <w:szCs w:val="24"/>
          <w:highlight w:val="none"/>
        </w:rPr>
      </w:pPr>
      <w:r>
        <w:rPr>
          <w:rFonts w:hint="eastAsia" w:ascii="宋体" w:hAnsi="宋体" w:cs="宋体"/>
          <w:b/>
          <w:color w:val="auto"/>
          <w:sz w:val="24"/>
          <w:szCs w:val="24"/>
          <w:highlight w:val="none"/>
        </w:rPr>
        <w:t>三、质量保修责任</w:t>
      </w:r>
    </w:p>
    <w:p w14:paraId="0DB8BEC1">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1、属于保修范围、内容的项目，承包人应当在接到保修通知之日起7天内派人修理。承包人不在约定期限内派人修理，发包人可以委托其他人员修理，保修费用从质量保修金内扣除。</w:t>
      </w:r>
    </w:p>
    <w:p w14:paraId="6534527A">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2、发生紧急抢修事故的（如上水跑水、暖气漏水漏气、燃气漏气等），承包人在接到事故通知后，应当立即到达事故现场抢修。非承包人施工质量引起的事故，抢修费用由发包人承担。</w:t>
      </w:r>
    </w:p>
    <w:p w14:paraId="0AF08C4D">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3、在国家规定的工程合理使用期限内，承包人确保地基基础工程和主体结构的质量。因承包人原因致使工程在合理使用期限内造成人身和财产损害的，承包人应承担损害赔偿责任。</w:t>
      </w:r>
    </w:p>
    <w:p w14:paraId="31B00881">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4、双方对质量问题有争议的，按主合同第78条处理。</w:t>
      </w:r>
    </w:p>
    <w:p w14:paraId="55726730">
      <w:pPr>
        <w:spacing w:before="72" w:beforeLines="30" w:line="530" w:lineRule="exact"/>
        <w:rPr>
          <w:rFonts w:hint="eastAsia" w:ascii="宋体" w:hAnsi="宋体" w:cs="宋体"/>
          <w:b/>
          <w:color w:val="auto"/>
          <w:sz w:val="24"/>
          <w:szCs w:val="24"/>
          <w:highlight w:val="none"/>
        </w:rPr>
      </w:pPr>
      <w:r>
        <w:rPr>
          <w:rFonts w:hint="eastAsia" w:ascii="宋体" w:hAnsi="宋体" w:cs="宋体"/>
          <w:b/>
          <w:color w:val="auto"/>
          <w:sz w:val="24"/>
          <w:szCs w:val="24"/>
          <w:highlight w:val="none"/>
        </w:rPr>
        <w:t>四、质量保修金的支付</w:t>
      </w:r>
    </w:p>
    <w:p w14:paraId="78890397">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发包人应按照合同约定方式预留保证金（保函），保证金（保函）总预留比例按工程价款结算总额的3%。合同约定由承包人以银行保函替代预留保证金的，保函金额按工程价款结算总额的3%。</w:t>
      </w:r>
    </w:p>
    <w:p w14:paraId="380AB69F">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本工程质量保修书作为施工合同附件，由发包人、承包人双方共同签署。</w:t>
      </w:r>
    </w:p>
    <w:p w14:paraId="14DB2BA4">
      <w:pPr>
        <w:pStyle w:val="107"/>
        <w:ind w:left="0" w:right="0" w:firstLine="480" w:firstLineChars="200"/>
        <w:rPr>
          <w:rFonts w:hint="eastAsia" w:ascii="宋体" w:hAnsi="宋体" w:cs="宋体"/>
          <w:color w:val="auto"/>
          <w:szCs w:val="24"/>
          <w:highlight w:val="none"/>
        </w:rPr>
      </w:pPr>
    </w:p>
    <w:p w14:paraId="0F05AE68">
      <w:pPr>
        <w:pStyle w:val="107"/>
        <w:ind w:left="0" w:right="0" w:firstLine="480" w:firstLineChars="200"/>
        <w:rPr>
          <w:rFonts w:hint="eastAsia" w:ascii="宋体" w:hAnsi="宋体" w:cs="宋体"/>
          <w:color w:val="auto"/>
          <w:szCs w:val="24"/>
          <w:highlight w:val="none"/>
        </w:rPr>
      </w:pPr>
    </w:p>
    <w:p w14:paraId="3C502DB9">
      <w:pPr>
        <w:pStyle w:val="107"/>
        <w:tabs>
          <w:tab w:val="left" w:pos="4860"/>
        </w:tabs>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发包人（甲方）：                    承包人（乙方）：</w:t>
      </w:r>
    </w:p>
    <w:p w14:paraId="20847F7F">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 xml:space="preserve">                  （盖章）                           （盖章）</w:t>
      </w:r>
    </w:p>
    <w:p w14:paraId="62083433">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地址：                              地址：</w:t>
      </w:r>
    </w:p>
    <w:p w14:paraId="73BF6ADC">
      <w:pPr>
        <w:pStyle w:val="107"/>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法定代表人：                        法定代表人：</w:t>
      </w:r>
    </w:p>
    <w:p w14:paraId="2F905E5F">
      <w:pPr>
        <w:pStyle w:val="107"/>
        <w:tabs>
          <w:tab w:val="left" w:pos="4860"/>
        </w:tabs>
        <w:spacing w:line="53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委托代理人：                        委托代理人：</w:t>
      </w:r>
    </w:p>
    <w:p w14:paraId="2BA2B9CF">
      <w:pPr>
        <w:pStyle w:val="107"/>
        <w:spacing w:before="0" w:after="0" w:line="520" w:lineRule="exact"/>
        <w:ind w:left="0" w:right="0" w:firstLine="480" w:firstLineChars="200"/>
        <w:rPr>
          <w:color w:val="auto"/>
          <w:szCs w:val="24"/>
          <w:highlight w:val="none"/>
        </w:rPr>
      </w:pPr>
      <w:r>
        <w:rPr>
          <w:rFonts w:hint="eastAsia" w:ascii="宋体" w:hAnsi="宋体" w:cs="宋体"/>
          <w:color w:val="auto"/>
          <w:szCs w:val="24"/>
          <w:highlight w:val="none"/>
        </w:rPr>
        <w:t>签订日期：  年  月  日</w:t>
      </w:r>
      <w:bookmarkEnd w:id="960"/>
      <w:bookmarkEnd w:id="961"/>
    </w:p>
    <w:p w14:paraId="6501B3DD">
      <w:pPr>
        <w:widowControl/>
        <w:jc w:val="left"/>
        <w:rPr>
          <w:rFonts w:ascii="宋体" w:hAnsi="宋体" w:cs="宋体"/>
          <w:b/>
          <w:bCs/>
          <w:color w:val="auto"/>
          <w:sz w:val="22"/>
          <w:szCs w:val="22"/>
          <w:highlight w:val="none"/>
        </w:rPr>
      </w:pPr>
      <w:r>
        <w:rPr>
          <w:rFonts w:ascii="宋体" w:hAnsi="宋体" w:cs="宋体"/>
          <w:b/>
          <w:bCs/>
          <w:color w:val="auto"/>
          <w:sz w:val="22"/>
          <w:szCs w:val="22"/>
          <w:highlight w:val="none"/>
        </w:rPr>
        <w:br w:type="page"/>
      </w:r>
    </w:p>
    <w:p w14:paraId="4A49353F">
      <w:pPr>
        <w:spacing w:line="420" w:lineRule="exact"/>
        <w:outlineLvl w:val="1"/>
        <w:rPr>
          <w:rFonts w:ascii="宋体" w:hAnsi="宋体" w:cs="宋体"/>
          <w:b/>
          <w:bCs/>
          <w:color w:val="auto"/>
          <w:sz w:val="22"/>
          <w:szCs w:val="22"/>
          <w:highlight w:val="none"/>
        </w:rPr>
      </w:pPr>
      <w:bookmarkStart w:id="968" w:name="_Toc2632"/>
      <w:bookmarkStart w:id="969" w:name="_Toc10836"/>
      <w:bookmarkStart w:id="970" w:name="_Toc155166221"/>
      <w:bookmarkStart w:id="971" w:name="_Toc7566"/>
      <w:bookmarkStart w:id="972" w:name="_Toc15031"/>
      <w:r>
        <w:rPr>
          <w:rFonts w:hint="eastAsia" w:ascii="宋体" w:hAnsi="宋体" w:cs="宋体"/>
          <w:b/>
          <w:bCs/>
          <w:color w:val="auto"/>
          <w:sz w:val="22"/>
          <w:szCs w:val="22"/>
          <w:highlight w:val="none"/>
        </w:rPr>
        <w:t>附件五：廉政责任书格式</w:t>
      </w:r>
      <w:bookmarkEnd w:id="968"/>
      <w:bookmarkEnd w:id="969"/>
      <w:bookmarkEnd w:id="970"/>
      <w:bookmarkEnd w:id="971"/>
      <w:bookmarkEnd w:id="972"/>
    </w:p>
    <w:p w14:paraId="74EC0799">
      <w:pPr>
        <w:spacing w:line="560" w:lineRule="exact"/>
        <w:ind w:firstLine="480" w:firstLineChars="200"/>
        <w:rPr>
          <w:rFonts w:hint="eastAsia" w:hAnsi="宋体"/>
          <w:color w:val="auto"/>
          <w:sz w:val="24"/>
          <w:highlight w:val="none"/>
        </w:rPr>
      </w:pPr>
    </w:p>
    <w:p w14:paraId="31493FDE">
      <w:pPr>
        <w:spacing w:line="420" w:lineRule="exact"/>
        <w:jc w:val="center"/>
        <w:rPr>
          <w:rFonts w:hint="eastAsia" w:ascii="宋体" w:hAnsi="宋体" w:cs="宋体"/>
          <w:b/>
          <w:bCs/>
          <w:color w:val="auto"/>
          <w:sz w:val="22"/>
          <w:szCs w:val="22"/>
          <w:highlight w:val="none"/>
        </w:rPr>
      </w:pPr>
      <w:bookmarkStart w:id="973" w:name="_Toc469384144"/>
      <w:bookmarkStart w:id="974" w:name="_Toc266892928"/>
      <w:r>
        <w:rPr>
          <w:rFonts w:hint="eastAsia" w:ascii="宋体" w:hAnsi="宋体" w:cs="宋体"/>
          <w:b/>
          <w:bCs/>
          <w:color w:val="auto"/>
          <w:sz w:val="22"/>
          <w:szCs w:val="22"/>
          <w:highlight w:val="none"/>
        </w:rPr>
        <w:t>廉 政 合 同</w:t>
      </w:r>
    </w:p>
    <w:p w14:paraId="78810CEE">
      <w:pPr>
        <w:spacing w:line="420" w:lineRule="exact"/>
        <w:rPr>
          <w:rFonts w:hint="eastAsia" w:ascii="宋体" w:hAnsi="宋体" w:cs="宋体"/>
          <w:color w:val="auto"/>
          <w:sz w:val="22"/>
          <w:szCs w:val="22"/>
          <w:highlight w:val="none"/>
        </w:rPr>
      </w:pPr>
    </w:p>
    <w:p w14:paraId="5F5CE809">
      <w:pPr>
        <w:spacing w:line="420" w:lineRule="exact"/>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发包人：（全称）</w:t>
      </w:r>
      <w:r>
        <w:rPr>
          <w:rFonts w:hint="eastAsia" w:ascii="宋体" w:hAnsi="宋体" w:cs="宋体"/>
          <w:color w:val="auto"/>
          <w:sz w:val="22"/>
          <w:szCs w:val="22"/>
          <w:highlight w:val="none"/>
          <w:u w:val="single"/>
        </w:rPr>
        <w:t>广州市番禺区水务工程建管中心（广州市番禺区水旱灾害防御中心）</w:t>
      </w:r>
    </w:p>
    <w:p w14:paraId="0CD7BD3D">
      <w:pPr>
        <w:spacing w:line="420" w:lineRule="exact"/>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承包人：（全称）</w:t>
      </w:r>
      <w:r>
        <w:rPr>
          <w:rFonts w:hint="eastAsia" w:ascii="宋体" w:hAnsi="宋体" w:cs="宋体"/>
          <w:color w:val="auto"/>
          <w:sz w:val="22"/>
          <w:szCs w:val="22"/>
          <w:highlight w:val="none"/>
          <w:u w:val="single"/>
        </w:rPr>
        <w:t xml:space="preserve">                                    </w:t>
      </w:r>
    </w:p>
    <w:p w14:paraId="3D85A846">
      <w:pPr>
        <w:spacing w:line="42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    </w:t>
      </w:r>
    </w:p>
    <w:p w14:paraId="30DF4BEB">
      <w:pPr>
        <w:spacing w:line="42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kern w:val="0"/>
          <w:sz w:val="22"/>
          <w:szCs w:val="22"/>
          <w:highlight w:val="none"/>
          <w:lang w:val="zh-CN"/>
        </w:rPr>
        <w:t>根据国家、省有关廉政建设的规定，为做好合同工程的廉政建设，保证工程质量与施工安</w:t>
      </w:r>
      <w:r>
        <w:rPr>
          <w:rFonts w:hint="eastAsia" w:ascii="宋体" w:hAnsi="宋体" w:cs="宋体"/>
          <w:color w:val="auto"/>
          <w:kern w:val="0"/>
          <w:sz w:val="22"/>
          <w:szCs w:val="22"/>
          <w:highlight w:val="none"/>
        </w:rPr>
        <w:t xml:space="preserve"> </w:t>
      </w:r>
      <w:r>
        <w:rPr>
          <w:rFonts w:hint="eastAsia" w:ascii="宋体" w:hAnsi="宋体" w:cs="宋体"/>
          <w:color w:val="auto"/>
          <w:kern w:val="0"/>
          <w:sz w:val="22"/>
          <w:szCs w:val="22"/>
          <w:highlight w:val="none"/>
          <w:lang w:val="zh-CN"/>
        </w:rPr>
        <w:t>全，提高建设资金的有效使用和投资效益，合同双方当事人就加强合同工程的廉政建设，订立</w:t>
      </w:r>
      <w:r>
        <w:rPr>
          <w:rFonts w:hint="eastAsia" w:ascii="宋体" w:hAnsi="宋体" w:cs="宋体"/>
          <w:color w:val="auto"/>
          <w:kern w:val="0"/>
          <w:sz w:val="22"/>
          <w:szCs w:val="22"/>
          <w:highlight w:val="none"/>
        </w:rPr>
        <w:t xml:space="preserve"> </w:t>
      </w:r>
      <w:r>
        <w:rPr>
          <w:rFonts w:hint="eastAsia" w:ascii="宋体" w:hAnsi="宋体" w:cs="宋体"/>
          <w:color w:val="auto"/>
          <w:kern w:val="0"/>
          <w:sz w:val="22"/>
          <w:szCs w:val="22"/>
          <w:highlight w:val="none"/>
          <w:lang w:val="zh-CN"/>
        </w:rPr>
        <w:t>本合同</w:t>
      </w:r>
      <w:r>
        <w:rPr>
          <w:rFonts w:hint="eastAsia" w:ascii="宋体" w:hAnsi="宋体" w:cs="宋体"/>
          <w:color w:val="auto"/>
          <w:sz w:val="22"/>
          <w:szCs w:val="22"/>
          <w:highlight w:val="none"/>
        </w:rPr>
        <w:t>。</w:t>
      </w:r>
    </w:p>
    <w:p w14:paraId="138A5E33">
      <w:pPr>
        <w:spacing w:line="420" w:lineRule="exact"/>
        <w:ind w:firstLine="442" w:firstLineChars="200"/>
        <w:jc w:val="left"/>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1  双方权利和义务</w:t>
      </w:r>
    </w:p>
    <w:p w14:paraId="75FC84DD">
      <w:pPr>
        <w:spacing w:line="42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1.1  严格遵守国家、省有关法律法规的规定。</w:t>
      </w:r>
    </w:p>
    <w:p w14:paraId="2A40FC40">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1.2  严格执行合同工程一切合同文件，自觉按合同办事。</w:t>
      </w:r>
    </w:p>
    <w:p w14:paraId="4825DA8B">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1.3  </w:t>
      </w:r>
      <w:r>
        <w:rPr>
          <w:rFonts w:hint="eastAsia" w:ascii="宋体" w:hAnsi="宋体" w:cs="宋体"/>
          <w:color w:val="auto"/>
          <w:kern w:val="0"/>
          <w:sz w:val="22"/>
          <w:szCs w:val="22"/>
          <w:highlight w:val="none"/>
          <w:lang w:val="zh-CN"/>
        </w:rPr>
        <w:t>合同双方当事人的业务活动应坚持公平、公开、公正和诚信的原则（法律认定的商业</w:t>
      </w:r>
      <w:r>
        <w:rPr>
          <w:rFonts w:hint="eastAsia" w:ascii="宋体" w:hAnsi="宋体" w:cs="宋体"/>
          <w:color w:val="auto"/>
          <w:kern w:val="0"/>
          <w:sz w:val="22"/>
          <w:szCs w:val="22"/>
          <w:highlight w:val="none"/>
        </w:rPr>
        <w:t xml:space="preserve"> </w:t>
      </w:r>
      <w:r>
        <w:rPr>
          <w:rFonts w:hint="eastAsia" w:ascii="宋体" w:hAnsi="宋体" w:cs="宋体"/>
          <w:color w:val="auto"/>
          <w:kern w:val="0"/>
          <w:sz w:val="22"/>
          <w:szCs w:val="22"/>
          <w:highlight w:val="none"/>
          <w:lang w:val="zh-CN"/>
        </w:rPr>
        <w:t>秘密和合同文件另有规定除外），不得损害国家和集体利益，不得违反工程建设管理规章制度</w:t>
      </w:r>
      <w:r>
        <w:rPr>
          <w:rFonts w:hint="eastAsia" w:ascii="宋体" w:hAnsi="宋体" w:cs="宋体"/>
          <w:color w:val="auto"/>
          <w:sz w:val="22"/>
          <w:szCs w:val="22"/>
          <w:highlight w:val="none"/>
        </w:rPr>
        <w:t>。</w:t>
      </w:r>
    </w:p>
    <w:p w14:paraId="4482E95E">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1.4  建立健全廉政制度，开展廉政教育，设立廉政告示牌，公布举报电话，监督并认真查处违法违纪行为。</w:t>
      </w:r>
    </w:p>
    <w:p w14:paraId="00C4A8BB">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1.5  发现对方在业务活动中有违反廉政建设规定的行为，应及时给予提醒和纠正。</w:t>
      </w:r>
    </w:p>
    <w:p w14:paraId="19D2994F">
      <w:pPr>
        <w:spacing w:line="42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1.6  发现对方严重违反合同的行为，有向其上级部门举报、建议给予处理并要求告知处理结果的权利。没有上级部门的，</w:t>
      </w:r>
      <w:r>
        <w:rPr>
          <w:rFonts w:hint="eastAsia" w:ascii="宋体" w:hAnsi="宋体" w:cs="宋体"/>
          <w:color w:val="auto"/>
          <w:kern w:val="0"/>
          <w:sz w:val="22"/>
          <w:szCs w:val="22"/>
          <w:highlight w:val="none"/>
          <w:lang w:val="zh-CN"/>
        </w:rPr>
        <w:t>可按本合同第二部分《通用条款》第</w:t>
      </w:r>
      <w:r>
        <w:rPr>
          <w:rFonts w:hint="eastAsia" w:ascii="宋体" w:hAnsi="宋体" w:cs="宋体"/>
          <w:color w:val="auto"/>
          <w:kern w:val="0"/>
          <w:sz w:val="22"/>
          <w:szCs w:val="22"/>
          <w:highlight w:val="none"/>
        </w:rPr>
        <w:t xml:space="preserve"> 87 </w:t>
      </w:r>
      <w:r>
        <w:rPr>
          <w:rFonts w:hint="eastAsia" w:ascii="宋体" w:hAnsi="宋体" w:cs="宋体"/>
          <w:color w:val="auto"/>
          <w:kern w:val="0"/>
          <w:sz w:val="22"/>
          <w:szCs w:val="22"/>
          <w:highlight w:val="none"/>
          <w:lang w:val="zh-CN"/>
        </w:rPr>
        <w:t>条规定处</w:t>
      </w:r>
      <w:r>
        <w:rPr>
          <w:rFonts w:hint="eastAsia" w:ascii="宋体" w:hAnsi="宋体" w:cs="宋体"/>
          <w:color w:val="auto"/>
          <w:sz w:val="22"/>
          <w:szCs w:val="22"/>
          <w:highlight w:val="none"/>
        </w:rPr>
        <w:t>。</w:t>
      </w:r>
    </w:p>
    <w:p w14:paraId="45709FB1">
      <w:pPr>
        <w:spacing w:line="420" w:lineRule="exact"/>
        <w:ind w:firstLine="442" w:firstLineChars="200"/>
        <w:jc w:val="left"/>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2  发包人义务</w:t>
      </w:r>
    </w:p>
    <w:p w14:paraId="276CD436">
      <w:pPr>
        <w:spacing w:line="42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  发包人及其工作人员不得索要或接受承包人的礼金、有价证券和贵重物品，不得在承包人报销任何应由发包人或工作人员个人支付的费用等。</w:t>
      </w:r>
    </w:p>
    <w:p w14:paraId="21F123EA">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2.2  发包人及其工作人员不得参加承包人安排的宴请（工作餐除外）和娱乐活动；不得接受承包人提供的通讯工具、交通工具和高档办公用品等。</w:t>
      </w:r>
    </w:p>
    <w:p w14:paraId="3C7E97A6">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2.3  发包人及其工作人员不得要求或者接受承包人为其住房装修、婚丧嫁娶活动、配偶子女的工作安排以及出国出境、旅游等提供方便等。</w:t>
      </w:r>
    </w:p>
    <w:p w14:paraId="59666F52">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2.4  </w:t>
      </w:r>
      <w:r>
        <w:rPr>
          <w:rFonts w:hint="eastAsia" w:ascii="宋体" w:hAnsi="宋体" w:cs="宋体"/>
          <w:color w:val="auto"/>
          <w:kern w:val="0"/>
          <w:sz w:val="22"/>
          <w:szCs w:val="22"/>
          <w:highlight w:val="none"/>
          <w:lang w:val="zh-CN"/>
        </w:rPr>
        <w:t>发包人及其工作人员不得以任何理由向承包人推荐分包人、推销材料和工程设备，不得要求承包人购买合同以外的材料和工程设备</w:t>
      </w:r>
      <w:r>
        <w:rPr>
          <w:rFonts w:hint="eastAsia" w:ascii="宋体" w:hAnsi="宋体" w:cs="宋体"/>
          <w:color w:val="auto"/>
          <w:sz w:val="22"/>
          <w:szCs w:val="22"/>
          <w:highlight w:val="none"/>
        </w:rPr>
        <w:t>。</w:t>
      </w:r>
    </w:p>
    <w:p w14:paraId="565365B7">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2.5  </w:t>
      </w:r>
      <w:r>
        <w:rPr>
          <w:rFonts w:hint="eastAsia" w:ascii="宋体" w:hAnsi="宋体" w:cs="宋体"/>
          <w:color w:val="auto"/>
          <w:kern w:val="0"/>
          <w:sz w:val="22"/>
          <w:szCs w:val="22"/>
          <w:highlight w:val="none"/>
          <w:lang w:val="zh-CN"/>
        </w:rPr>
        <w:t>发包人及其工作人员要秉公办事，不准营私舞弊，不准利用职权私自为合同工程安排施工队伍，也不得从事与合同工程有关的各种有偿中介活动</w:t>
      </w:r>
      <w:r>
        <w:rPr>
          <w:rFonts w:hint="eastAsia" w:ascii="宋体" w:hAnsi="宋体" w:cs="宋体"/>
          <w:color w:val="auto"/>
          <w:sz w:val="22"/>
          <w:szCs w:val="22"/>
          <w:highlight w:val="none"/>
        </w:rPr>
        <w:t>。</w:t>
      </w:r>
    </w:p>
    <w:p w14:paraId="76CB44E7">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2.6  </w:t>
      </w:r>
      <w:r>
        <w:rPr>
          <w:rFonts w:hint="eastAsia" w:ascii="宋体" w:hAnsi="宋体" w:cs="宋体"/>
          <w:color w:val="auto"/>
          <w:kern w:val="0"/>
          <w:sz w:val="22"/>
          <w:szCs w:val="22"/>
          <w:highlight w:val="none"/>
          <w:lang w:val="zh-CN"/>
        </w:rPr>
        <w:t>发包人及其工作人员（含其配偶、子女）不得从事与合同工程有关的材料和工程设备供应、工程分包、劳务等经济活动</w:t>
      </w:r>
      <w:r>
        <w:rPr>
          <w:rFonts w:hint="eastAsia" w:ascii="宋体" w:hAnsi="宋体" w:cs="宋体"/>
          <w:color w:val="auto"/>
          <w:sz w:val="22"/>
          <w:szCs w:val="22"/>
          <w:highlight w:val="none"/>
        </w:rPr>
        <w:t>。</w:t>
      </w:r>
    </w:p>
    <w:p w14:paraId="23E7E191">
      <w:pPr>
        <w:spacing w:line="420" w:lineRule="exact"/>
        <w:ind w:firstLine="442" w:firstLineChars="200"/>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3  承包人义务</w:t>
      </w:r>
    </w:p>
    <w:p w14:paraId="5DFAE27F">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3.1  承包人不得以任何理由向发包人及其工作人员行贿或馈赠礼金、有价证券、贵重礼品。</w:t>
      </w:r>
    </w:p>
    <w:p w14:paraId="1B78517D">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3.2  承包人不得以任何名义为发包人及其工作人员报销应由发包人或工作人员个人支付的任何费用。</w:t>
      </w:r>
    </w:p>
    <w:p w14:paraId="59D9CCC5">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3.3  承包人不得以任何理由安排发包人及其工作人员参加宴请（工作餐除外）及娱乐活动。</w:t>
      </w:r>
    </w:p>
    <w:p w14:paraId="7880015F">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3.4  承包人不得为发包人和个人购置或提供通讯工具、交通工具和高档办公用品等。</w:t>
      </w:r>
    </w:p>
    <w:p w14:paraId="54B555AB">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3.5  </w:t>
      </w:r>
      <w:r>
        <w:rPr>
          <w:rFonts w:hint="eastAsia" w:ascii="宋体" w:hAnsi="宋体" w:cs="宋体"/>
          <w:color w:val="auto"/>
          <w:kern w:val="0"/>
          <w:sz w:val="22"/>
          <w:szCs w:val="22"/>
          <w:highlight w:val="none"/>
          <w:lang w:val="zh-CN"/>
        </w:rPr>
        <w:t>承包人不得为发包人及其工作人员的住房装修、婚丧嫁娶活动、配偶子女工作安排以及出国出境、旅游等提供方便。</w:t>
      </w:r>
    </w:p>
    <w:p w14:paraId="14A221DE">
      <w:pPr>
        <w:tabs>
          <w:tab w:val="left" w:pos="900"/>
        </w:tabs>
        <w:spacing w:line="420" w:lineRule="exact"/>
        <w:ind w:firstLine="442" w:firstLineChars="200"/>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4  违约责任</w:t>
      </w:r>
    </w:p>
    <w:p w14:paraId="06FFD0BC">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4.1  发包人及其工作人员违反本合同第1条和第2条规定，应依据有关规定给予廉政建设规定的处分；涉嫌犯罪的，移交司法机关追究刑事责任；给承包人造成经济损失的，应予赔偿。</w:t>
      </w:r>
    </w:p>
    <w:p w14:paraId="3E87682A">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4.2  </w:t>
      </w:r>
      <w:r>
        <w:rPr>
          <w:rFonts w:hint="eastAsia" w:ascii="宋体" w:hAnsi="宋体" w:cs="宋体"/>
          <w:color w:val="auto"/>
          <w:kern w:val="0"/>
          <w:sz w:val="22"/>
          <w:szCs w:val="22"/>
          <w:highlight w:val="none"/>
          <w:lang w:val="zh-CN"/>
        </w:rPr>
        <w:t>承包人及其工作人员违反本合同第</w:t>
      </w:r>
      <w:r>
        <w:rPr>
          <w:rFonts w:hint="eastAsia" w:ascii="宋体" w:hAnsi="宋体" w:cs="宋体"/>
          <w:color w:val="auto"/>
          <w:kern w:val="0"/>
          <w:sz w:val="22"/>
          <w:szCs w:val="22"/>
          <w:highlight w:val="none"/>
        </w:rPr>
        <w:t xml:space="preserve"> 1 </w:t>
      </w:r>
      <w:r>
        <w:rPr>
          <w:rFonts w:hint="eastAsia" w:ascii="宋体" w:hAnsi="宋体" w:cs="宋体"/>
          <w:color w:val="auto"/>
          <w:kern w:val="0"/>
          <w:sz w:val="22"/>
          <w:szCs w:val="22"/>
          <w:highlight w:val="none"/>
          <w:lang w:val="zh-CN"/>
        </w:rPr>
        <w:t>条和第</w:t>
      </w:r>
      <w:r>
        <w:rPr>
          <w:rFonts w:hint="eastAsia" w:ascii="宋体" w:hAnsi="宋体" w:cs="宋体"/>
          <w:color w:val="auto"/>
          <w:kern w:val="0"/>
          <w:sz w:val="22"/>
          <w:szCs w:val="22"/>
          <w:highlight w:val="none"/>
        </w:rPr>
        <w:t xml:space="preserve"> 3 </w:t>
      </w:r>
      <w:r>
        <w:rPr>
          <w:rFonts w:hint="eastAsia" w:ascii="宋体" w:hAnsi="宋体" w:cs="宋体"/>
          <w:color w:val="auto"/>
          <w:kern w:val="0"/>
          <w:sz w:val="22"/>
          <w:szCs w:val="22"/>
          <w:highlight w:val="none"/>
          <w:lang w:val="zh-CN"/>
        </w:rPr>
        <w:t>条规定，应按照廉政建设的有关规定给</w:t>
      </w:r>
      <w:r>
        <w:rPr>
          <w:rFonts w:hint="eastAsia" w:ascii="宋体" w:hAnsi="宋体" w:cs="宋体"/>
          <w:color w:val="auto"/>
          <w:kern w:val="0"/>
          <w:sz w:val="22"/>
          <w:szCs w:val="22"/>
          <w:highlight w:val="none"/>
        </w:rPr>
        <w:t xml:space="preserve"> </w:t>
      </w:r>
      <w:r>
        <w:rPr>
          <w:rFonts w:hint="eastAsia" w:ascii="宋体" w:hAnsi="宋体" w:cs="宋体"/>
          <w:color w:val="auto"/>
          <w:kern w:val="0"/>
          <w:sz w:val="22"/>
          <w:szCs w:val="22"/>
          <w:highlight w:val="none"/>
          <w:lang w:val="zh-CN"/>
        </w:rPr>
        <w:t>予处分；情节严重的，给予承包人</w:t>
      </w:r>
      <w:r>
        <w:rPr>
          <w:rFonts w:hint="eastAsia" w:ascii="宋体" w:hAnsi="宋体" w:cs="宋体"/>
          <w:color w:val="auto"/>
          <w:kern w:val="0"/>
          <w:sz w:val="22"/>
          <w:szCs w:val="22"/>
          <w:highlight w:val="none"/>
        </w:rPr>
        <w:t xml:space="preserve"> 1</w:t>
      </w:r>
      <w:r>
        <w:rPr>
          <w:rFonts w:hint="eastAsia" w:ascii="宋体" w:hAnsi="宋体" w:cs="宋体"/>
          <w:color w:val="auto"/>
          <w:kern w:val="0"/>
          <w:sz w:val="22"/>
          <w:szCs w:val="22"/>
          <w:highlight w:val="none"/>
          <w:lang w:val="zh-CN"/>
        </w:rPr>
        <w:t>～</w:t>
      </w:r>
      <w:r>
        <w:rPr>
          <w:rFonts w:hint="eastAsia" w:ascii="宋体" w:hAnsi="宋体" w:cs="宋体"/>
          <w:color w:val="auto"/>
          <w:kern w:val="0"/>
          <w:sz w:val="22"/>
          <w:szCs w:val="22"/>
          <w:highlight w:val="none"/>
        </w:rPr>
        <w:t xml:space="preserve">3 </w:t>
      </w:r>
      <w:r>
        <w:rPr>
          <w:rFonts w:hint="eastAsia" w:ascii="宋体" w:hAnsi="宋体" w:cs="宋体"/>
          <w:color w:val="auto"/>
          <w:kern w:val="0"/>
          <w:sz w:val="22"/>
          <w:szCs w:val="22"/>
          <w:highlight w:val="none"/>
          <w:lang w:val="zh-CN"/>
        </w:rPr>
        <w:t>年内不得进入工程建设市场的处罚；涉嫌犯罪的，移交</w:t>
      </w:r>
      <w:r>
        <w:rPr>
          <w:rFonts w:hint="eastAsia" w:ascii="宋体" w:hAnsi="宋体" w:cs="宋体"/>
          <w:color w:val="auto"/>
          <w:kern w:val="0"/>
          <w:sz w:val="22"/>
          <w:szCs w:val="22"/>
          <w:highlight w:val="none"/>
        </w:rPr>
        <w:t xml:space="preserve"> </w:t>
      </w:r>
      <w:r>
        <w:rPr>
          <w:rFonts w:hint="eastAsia" w:ascii="宋体" w:hAnsi="宋体" w:cs="宋体"/>
          <w:color w:val="auto"/>
          <w:kern w:val="0"/>
          <w:sz w:val="22"/>
          <w:szCs w:val="22"/>
          <w:highlight w:val="none"/>
          <w:lang w:val="zh-CN"/>
        </w:rPr>
        <w:t>司法机关追究刑事责任；给发包人造成损失的，应予赔偿；</w:t>
      </w:r>
    </w:p>
    <w:p w14:paraId="12570011">
      <w:pPr>
        <w:numPr>
          <w:ilvl w:val="0"/>
          <w:numId w:val="33"/>
        </w:numPr>
        <w:spacing w:line="420" w:lineRule="exact"/>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双方约定</w:t>
      </w:r>
    </w:p>
    <w:p w14:paraId="39236B44">
      <w:pPr>
        <w:pStyle w:val="18"/>
        <w:spacing w:line="420" w:lineRule="exact"/>
        <w:ind w:firstLine="440" w:firstLineChars="200"/>
        <w:rPr>
          <w:rFonts w:hint="eastAsia" w:hAnsi="宋体"/>
          <w:color w:val="auto"/>
          <w:sz w:val="22"/>
          <w:szCs w:val="22"/>
          <w:highlight w:val="none"/>
        </w:rPr>
      </w:pPr>
      <w:r>
        <w:rPr>
          <w:rFonts w:hint="eastAsia" w:hAnsi="宋体"/>
          <w:color w:val="auto"/>
          <w:kern w:val="0"/>
          <w:sz w:val="22"/>
          <w:szCs w:val="22"/>
          <w:highlight w:val="none"/>
          <w:lang w:val="zh-CN"/>
        </w:rPr>
        <w:t>本合同由合同双方当事人或其上级部门负责监督执行，并由合同双方当事人或其上级部门</w:t>
      </w:r>
      <w:r>
        <w:rPr>
          <w:rFonts w:hint="eastAsia" w:hAnsi="宋体"/>
          <w:color w:val="auto"/>
          <w:kern w:val="0"/>
          <w:sz w:val="22"/>
          <w:szCs w:val="22"/>
          <w:highlight w:val="none"/>
        </w:rPr>
        <w:t xml:space="preserve"> </w:t>
      </w:r>
      <w:r>
        <w:rPr>
          <w:rFonts w:hint="eastAsia" w:hAnsi="宋体"/>
          <w:color w:val="auto"/>
          <w:kern w:val="0"/>
          <w:sz w:val="22"/>
          <w:szCs w:val="22"/>
          <w:highlight w:val="none"/>
          <w:lang w:val="zh-CN"/>
        </w:rPr>
        <w:t>相互约请对本合同执行情况进行检查</w:t>
      </w:r>
      <w:r>
        <w:rPr>
          <w:rFonts w:hint="eastAsia" w:hAnsi="宋体"/>
          <w:color w:val="auto"/>
          <w:sz w:val="22"/>
          <w:szCs w:val="22"/>
          <w:highlight w:val="none"/>
        </w:rPr>
        <w:t>。</w:t>
      </w:r>
    </w:p>
    <w:p w14:paraId="404DF84B">
      <w:pPr>
        <w:spacing w:line="420" w:lineRule="exact"/>
        <w:ind w:firstLine="442" w:firstLineChars="200"/>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6  合同法律效力</w:t>
      </w:r>
    </w:p>
    <w:p w14:paraId="4B233EE8">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本合同作为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（工程名称） 工程施工合同的附件，与施工合同具有同等的法律效力。</w:t>
      </w:r>
    </w:p>
    <w:p w14:paraId="0091DE24">
      <w:pPr>
        <w:spacing w:line="420" w:lineRule="exact"/>
        <w:ind w:firstLine="433" w:firstLineChars="196"/>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7  合同份数</w:t>
      </w:r>
    </w:p>
    <w:p w14:paraId="23070056">
      <w:pPr>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本合同一式</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份，合同双方当事人各执</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份。有上级部门的，合同双方当事人应送交其上级部门各一份。</w:t>
      </w:r>
    </w:p>
    <w:p w14:paraId="276D136B">
      <w:pPr>
        <w:spacing w:line="420" w:lineRule="exact"/>
        <w:ind w:firstLine="440" w:firstLineChars="200"/>
        <w:rPr>
          <w:rFonts w:hint="eastAsia" w:ascii="宋体" w:hAnsi="宋体" w:cs="宋体"/>
          <w:color w:val="auto"/>
          <w:sz w:val="22"/>
          <w:szCs w:val="22"/>
          <w:highlight w:val="none"/>
        </w:rPr>
      </w:pPr>
    </w:p>
    <w:p w14:paraId="365F9637">
      <w:pPr>
        <w:adjustRightInd w:val="0"/>
        <w:snapToGrid w:val="0"/>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发 包 人：（盖章）                       承 包 人：（盖章）</w:t>
      </w:r>
    </w:p>
    <w:p w14:paraId="0E87F586">
      <w:pPr>
        <w:adjustRightInd w:val="0"/>
        <w:snapToGrid w:val="0"/>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法定代表人：（签字）                     法定代表人：（签字）</w:t>
      </w:r>
    </w:p>
    <w:p w14:paraId="656E9E6A">
      <w:pPr>
        <w:spacing w:line="42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联系电话：</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联系电话：</w:t>
      </w:r>
      <w:r>
        <w:rPr>
          <w:rFonts w:hint="eastAsia" w:ascii="宋体" w:hAnsi="宋体" w:cs="宋体"/>
          <w:color w:val="auto"/>
          <w:sz w:val="22"/>
          <w:szCs w:val="22"/>
          <w:highlight w:val="none"/>
          <w:u w:val="single"/>
        </w:rPr>
        <w:t xml:space="preserve">              </w:t>
      </w:r>
    </w:p>
    <w:p w14:paraId="4143F4B3">
      <w:pPr>
        <w:spacing w:line="42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上级部门：（盖章）                       上级部门：（盖章）</w:t>
      </w:r>
    </w:p>
    <w:p w14:paraId="2A45DF1B">
      <w:pPr>
        <w:adjustRightInd w:val="0"/>
        <w:snapToGrid w:val="0"/>
        <w:spacing w:line="42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月</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日               </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月</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日</w:t>
      </w:r>
    </w:p>
    <w:p w14:paraId="25D6A421">
      <w:pPr>
        <w:spacing w:line="560" w:lineRule="exact"/>
        <w:rPr>
          <w:color w:val="auto"/>
          <w:sz w:val="24"/>
          <w:highlight w:val="none"/>
        </w:rPr>
      </w:pPr>
      <w:r>
        <w:rPr>
          <w:color w:val="auto"/>
          <w:sz w:val="24"/>
          <w:highlight w:val="none"/>
        </w:rPr>
        <w:t xml:space="preserve">                   </w:t>
      </w:r>
    </w:p>
    <w:p w14:paraId="24E590F0">
      <w:pPr>
        <w:spacing w:line="420" w:lineRule="exact"/>
        <w:outlineLvl w:val="1"/>
        <w:rPr>
          <w:rFonts w:ascii="宋体" w:hAnsi="宋体" w:cs="宋体"/>
          <w:b/>
          <w:bCs/>
          <w:color w:val="auto"/>
          <w:sz w:val="22"/>
          <w:szCs w:val="22"/>
          <w:highlight w:val="none"/>
        </w:rPr>
      </w:pPr>
      <w:r>
        <w:rPr>
          <w:rFonts w:hint="eastAsia" w:ascii="宋体" w:hAnsi="宋体" w:cs="宋体"/>
          <w:color w:val="auto"/>
          <w:kern w:val="0"/>
          <w:sz w:val="22"/>
          <w:szCs w:val="22"/>
          <w:highlight w:val="none"/>
        </w:rPr>
        <w:br w:type="page"/>
      </w:r>
      <w:bookmarkStart w:id="975" w:name="_Toc7148"/>
      <w:bookmarkStart w:id="976" w:name="_Toc27926"/>
      <w:bookmarkStart w:id="977" w:name="_Toc13612"/>
      <w:bookmarkStart w:id="978" w:name="_Toc2815"/>
      <w:bookmarkStart w:id="979" w:name="_Toc155166222"/>
      <w:r>
        <w:rPr>
          <w:rFonts w:hint="eastAsia" w:ascii="宋体" w:hAnsi="宋体" w:cs="宋体"/>
          <w:b/>
          <w:bCs/>
          <w:color w:val="auto"/>
          <w:sz w:val="22"/>
          <w:szCs w:val="22"/>
          <w:highlight w:val="none"/>
        </w:rPr>
        <w:t>附件六：</w:t>
      </w:r>
      <w:r>
        <w:rPr>
          <w:rFonts w:ascii="宋体" w:hAnsi="宋体" w:cs="宋体"/>
          <w:b/>
          <w:bCs/>
          <w:color w:val="auto"/>
          <w:sz w:val="22"/>
          <w:szCs w:val="22"/>
          <w:highlight w:val="none"/>
        </w:rPr>
        <w:t>安全</w:t>
      </w:r>
      <w:r>
        <w:rPr>
          <w:rFonts w:hint="eastAsia" w:ascii="宋体" w:hAnsi="宋体" w:cs="宋体"/>
          <w:b/>
          <w:bCs/>
          <w:color w:val="auto"/>
          <w:sz w:val="22"/>
          <w:szCs w:val="22"/>
          <w:highlight w:val="none"/>
        </w:rPr>
        <w:t>生产和文明施工</w:t>
      </w:r>
      <w:r>
        <w:rPr>
          <w:rFonts w:ascii="宋体" w:hAnsi="宋体" w:cs="宋体"/>
          <w:b/>
          <w:bCs/>
          <w:color w:val="auto"/>
          <w:sz w:val="22"/>
          <w:szCs w:val="22"/>
          <w:highlight w:val="none"/>
        </w:rPr>
        <w:t>管理协议书</w:t>
      </w:r>
      <w:r>
        <w:rPr>
          <w:rFonts w:hint="eastAsia" w:ascii="宋体" w:hAnsi="宋体" w:cs="宋体"/>
          <w:b/>
          <w:bCs/>
          <w:color w:val="auto"/>
          <w:sz w:val="22"/>
          <w:szCs w:val="22"/>
          <w:highlight w:val="none"/>
        </w:rPr>
        <w:t>格式</w:t>
      </w:r>
      <w:bookmarkEnd w:id="975"/>
      <w:bookmarkEnd w:id="976"/>
      <w:bookmarkEnd w:id="977"/>
      <w:bookmarkEnd w:id="978"/>
      <w:bookmarkEnd w:id="979"/>
    </w:p>
    <w:p w14:paraId="5B8A32FE">
      <w:pPr>
        <w:spacing w:line="360" w:lineRule="auto"/>
        <w:jc w:val="center"/>
        <w:rPr>
          <w:rFonts w:hint="eastAsia" w:ascii="宋体" w:hAnsi="宋体" w:cs="宋体"/>
          <w:b/>
          <w:color w:val="auto"/>
          <w:sz w:val="32"/>
          <w:szCs w:val="32"/>
          <w:highlight w:val="none"/>
        </w:rPr>
      </w:pPr>
      <w:bookmarkStart w:id="980" w:name="_Toc532375636"/>
      <w:r>
        <w:rPr>
          <w:rFonts w:hint="eastAsia" w:ascii="宋体" w:hAnsi="宋体" w:cs="宋体"/>
          <w:b/>
          <w:color w:val="auto"/>
          <w:sz w:val="32"/>
          <w:szCs w:val="32"/>
          <w:highlight w:val="none"/>
        </w:rPr>
        <w:t>安全生产和文明施工管理协议书</w:t>
      </w:r>
      <w:bookmarkEnd w:id="980"/>
    </w:p>
    <w:p w14:paraId="78864273">
      <w:pPr>
        <w:snapToGrid w:val="0"/>
        <w:spacing w:line="360" w:lineRule="auto"/>
        <w:rPr>
          <w:rFonts w:hint="eastAsia" w:ascii="宋体" w:hAnsi="宋体"/>
          <w:color w:val="auto"/>
          <w:sz w:val="24"/>
          <w:highlight w:val="none"/>
        </w:rPr>
      </w:pPr>
      <w:r>
        <w:rPr>
          <w:rFonts w:hint="eastAsia" w:ascii="宋体" w:hAnsi="宋体"/>
          <w:color w:val="auto"/>
          <w:sz w:val="24"/>
          <w:highlight w:val="none"/>
        </w:rPr>
        <w:t>发包人(甲方)：广州市番禺区水务工程建管中心（广州市番禺区水旱灾害防御中心）</w:t>
      </w:r>
    </w:p>
    <w:p w14:paraId="2F598840">
      <w:pPr>
        <w:snapToGrid w:val="0"/>
        <w:spacing w:line="360" w:lineRule="auto"/>
        <w:rPr>
          <w:rFonts w:hint="eastAsia" w:ascii="宋体" w:hAnsi="宋体"/>
          <w:color w:val="auto"/>
          <w:sz w:val="24"/>
          <w:highlight w:val="none"/>
        </w:rPr>
      </w:pPr>
      <w:r>
        <w:rPr>
          <w:rFonts w:hint="eastAsia" w:ascii="宋体" w:hAnsi="宋体"/>
          <w:color w:val="auto"/>
          <w:sz w:val="24"/>
          <w:highlight w:val="none"/>
        </w:rPr>
        <w:t>承包人(乙方)：</w:t>
      </w:r>
    </w:p>
    <w:p w14:paraId="62766680">
      <w:pPr>
        <w:snapToGrid w:val="0"/>
        <w:spacing w:line="360" w:lineRule="auto"/>
        <w:ind w:firstLine="482" w:firstLineChars="200"/>
        <w:rPr>
          <w:rFonts w:ascii="宋体" w:hAnsi="宋体"/>
          <w:b/>
          <w:color w:val="auto"/>
          <w:sz w:val="24"/>
          <w:highlight w:val="none"/>
        </w:rPr>
      </w:pPr>
    </w:p>
    <w:p w14:paraId="38F8B355">
      <w:pPr>
        <w:snapToGrid w:val="0"/>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第一条</w:t>
      </w:r>
      <w:r>
        <w:rPr>
          <w:rFonts w:hint="eastAsia" w:ascii="宋体" w:hAnsi="宋体"/>
          <w:color w:val="auto"/>
          <w:sz w:val="24"/>
          <w:highlight w:val="none"/>
        </w:rPr>
        <w:t xml:space="preserve">  为确保安全文明施工，保证工程顺利进行, 根据《中华人民共和国民法典》、《广东省建设厅建筑工程安全防护、文明施工措施费用管理办法》、《广州市建设工程文明施工管理规定》等规定，经双方协商，签订本协议书。</w:t>
      </w:r>
    </w:p>
    <w:p w14:paraId="151A8A3A">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本协议书所涉及的工程范围:</w:t>
      </w:r>
      <w:r>
        <w:rPr>
          <w:rFonts w:hint="eastAsia" w:ascii="宋体" w:hAnsi="宋体"/>
          <w:color w:val="auto"/>
          <w:sz w:val="24"/>
          <w:highlight w:val="none"/>
        </w:rPr>
        <w:softHyphen/>
      </w:r>
      <w:r>
        <w:rPr>
          <w:rFonts w:hint="eastAsia" w:ascii="宋体" w:hAnsi="宋体"/>
          <w:color w:val="auto"/>
          <w:sz w:val="24"/>
          <w:highlight w:val="none"/>
        </w:rPr>
        <w:t>按发包人提供的招标文件、招标答疑、招标图纸（含设计说明及补充说明）等招标过程中所发出的相关文件，</w:t>
      </w:r>
      <w:r>
        <w:rPr>
          <w:rFonts w:ascii="宋体" w:hAnsi="宋体"/>
          <w:color w:val="auto"/>
          <w:sz w:val="24"/>
          <w:highlight w:val="none"/>
        </w:rPr>
        <w:t>（具体以施工图设计为准）</w:t>
      </w:r>
      <w:r>
        <w:rPr>
          <w:rFonts w:hint="eastAsia" w:ascii="宋体" w:hAnsi="宋体"/>
          <w:color w:val="auto"/>
          <w:sz w:val="24"/>
          <w:highlight w:val="none"/>
        </w:rPr>
        <w:t>。</w:t>
      </w:r>
    </w:p>
    <w:p w14:paraId="13B60DC8">
      <w:pPr>
        <w:snapToGrid w:val="0"/>
        <w:spacing w:line="360" w:lineRule="auto"/>
        <w:ind w:firstLine="482" w:firstLineChars="200"/>
        <w:rPr>
          <w:rFonts w:ascii="宋体" w:hAnsi="宋体"/>
          <w:b/>
          <w:color w:val="auto"/>
          <w:sz w:val="24"/>
          <w:highlight w:val="none"/>
        </w:rPr>
      </w:pPr>
    </w:p>
    <w:p w14:paraId="1856A9B4">
      <w:pPr>
        <w:snapToGrid w:val="0"/>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第二条</w:t>
      </w:r>
      <w:r>
        <w:rPr>
          <w:rFonts w:hint="eastAsia" w:ascii="宋体" w:hAnsi="宋体"/>
          <w:color w:val="auto"/>
          <w:sz w:val="24"/>
          <w:highlight w:val="none"/>
        </w:rPr>
        <w:t xml:space="preserve">  甲乙双方均应当遵守《建筑施工安全检查标准》(JGJ59-2011)和广东省、广州市政府及其部门制定的有关建筑工程安全生产、文明施工管理办法和规定。</w:t>
      </w:r>
    </w:p>
    <w:p w14:paraId="2F714F67">
      <w:pPr>
        <w:snapToGrid w:val="0"/>
        <w:spacing w:line="360" w:lineRule="auto"/>
        <w:ind w:firstLine="482" w:firstLineChars="200"/>
        <w:rPr>
          <w:rFonts w:ascii="宋体" w:hAnsi="宋体"/>
          <w:b/>
          <w:color w:val="auto"/>
          <w:sz w:val="24"/>
          <w:highlight w:val="none"/>
        </w:rPr>
      </w:pPr>
    </w:p>
    <w:p w14:paraId="07A39846">
      <w:pPr>
        <w:snapToGrid w:val="0"/>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第三条</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甲方权利和义务</w:t>
      </w:r>
    </w:p>
    <w:p w14:paraId="375BA7DE">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1、对乙方安全文明施工进行指导、监督，督促施工单位依法履行安全文明施工管理职责，并作好现场记录。</w:t>
      </w:r>
    </w:p>
    <w:p w14:paraId="54288933">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2、督促乙方对生产中存在的安全隐患和违反文明施工规定的行为进行整改，及时协调解决各工地之间、工地与周边群众之间的矛盾。</w:t>
      </w:r>
    </w:p>
    <w:p w14:paraId="524EC3A2">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3、负责组织建设、监理、施工三方责任主体每月末按标准对乙方进行考核。</w:t>
      </w:r>
    </w:p>
    <w:p w14:paraId="4B95426A">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4、每星期召开一次有乙方项目负责人、安全专职人员参加的安全文明施工会议，通报情况，交流经验，及时纠正施工中存在的安全隐患问题。</w:t>
      </w:r>
    </w:p>
    <w:p w14:paraId="52F68BA8">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5、甲方发现安全隐患或违反文明施工规定的行为，有权责令乙方停工整改，直至排除安全隐患。</w:t>
      </w:r>
    </w:p>
    <w:p w14:paraId="5C48EB33">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6、甲方或监理人发现乙方存在违章作业、不按设计要求或专项施工方案的要求落实安全防护措施或安全防护措施落实不到位的，对事故隐患拒不整改或整改不到位的，而构成违约行为的，有权依据《施工管理及处罚条例》相关条款对乙方实施违约处罚，情节严重的报告上级主管部门。</w:t>
      </w:r>
    </w:p>
    <w:p w14:paraId="1C8C25BA">
      <w:pPr>
        <w:snapToGrid w:val="0"/>
        <w:spacing w:line="360" w:lineRule="auto"/>
        <w:ind w:firstLine="482" w:firstLineChars="200"/>
        <w:rPr>
          <w:rFonts w:ascii="宋体" w:hAnsi="宋体"/>
          <w:b/>
          <w:color w:val="auto"/>
          <w:sz w:val="24"/>
          <w:highlight w:val="none"/>
        </w:rPr>
      </w:pPr>
    </w:p>
    <w:p w14:paraId="37526057">
      <w:pPr>
        <w:snapToGrid w:val="0"/>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第四条</w:t>
      </w:r>
      <w:r>
        <w:rPr>
          <w:rFonts w:hint="eastAsia" w:ascii="宋体" w:hAnsi="宋体"/>
          <w:color w:val="auto"/>
          <w:sz w:val="24"/>
          <w:highlight w:val="none"/>
        </w:rPr>
        <w:t xml:space="preserve">  乙方权利和义务</w:t>
      </w:r>
    </w:p>
    <w:p w14:paraId="4D6B1AFD">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1、严格执行国家和省市规定的安全生产和文明施工的相关规定。</w:t>
      </w:r>
    </w:p>
    <w:p w14:paraId="644787D4">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建立健全安全生产责任制、安全生产规章制度和操作规程，建立健全项目施工组织架构和安全生产管理架构。配备安全生产管理机构和专职安全生产管理人员，遵守我司已有的与项目施工相关的安全生产规章制度和操作规程。</w:t>
      </w:r>
    </w:p>
    <w:p w14:paraId="2B42B3D2">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3、编制、审核和论证施工所需的各类专项施工方案，并落实安全技术交底。</w:t>
      </w:r>
    </w:p>
    <w:p w14:paraId="7DBD46B8">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4、编制与实施相关的生产安全事故及自然灾害应急预案，配备应急救援的人员、装备和物资，并按预案开展事故应急救援演练。</w:t>
      </w:r>
    </w:p>
    <w:p w14:paraId="04E4B7E5">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5、保证安全生产投入的有效实施，确保安全防护、文明施工措施费用专款专用，配齐安全防护设施和劳动保护用品。</w:t>
      </w:r>
    </w:p>
    <w:p w14:paraId="53596A0B">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6、根据施工需要配齐特种设备和特种作业人员，严禁无证使用（上岗）。</w:t>
      </w:r>
    </w:p>
    <w:p w14:paraId="3354ABCD">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7、根据《安全生产法》的规定，乙方应对从业人员进行安全教育和培训，保证从业人员具备安全生产知识，熟悉安全生产规章制度和安全操作规程，掌握本岗位的安全操作技能，未经安全生产教育培训合格的人员不得上岗作业。</w:t>
      </w:r>
    </w:p>
    <w:p w14:paraId="6968EF85">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8、文明施工现场管理必须按照广州市住建委《广州市住房和城乡建设委员会关于印发建设工程扬尘防治“6个100%” 管理标准细化措施的通知》（穗建质[2018]1394号）要求执行，详见本合同附件</w:t>
      </w:r>
      <w:r>
        <w:rPr>
          <w:rFonts w:hint="eastAsia" w:ascii="宋体" w:hAnsi="宋体"/>
          <w:color w:val="auto"/>
          <w:sz w:val="24"/>
          <w:highlight w:val="none"/>
          <w:lang w:eastAsia="zh-CN"/>
        </w:rPr>
        <w:t>十七</w:t>
      </w:r>
      <w:r>
        <w:rPr>
          <w:rFonts w:hint="eastAsia" w:ascii="宋体" w:hAnsi="宋体"/>
          <w:color w:val="auto"/>
          <w:sz w:val="24"/>
          <w:highlight w:val="none"/>
        </w:rPr>
        <w:t>。</w:t>
      </w:r>
    </w:p>
    <w:p w14:paraId="73A9E7C9">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9、施工现场应当按照下列要求设置相关设施：</w:t>
      </w:r>
    </w:p>
    <w:p w14:paraId="7A3D4A01">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(1)在醒目位置设置施工铭牌，并张贴有关许可证件。施工铭牌应当明确项目名称，建设、施工、监理单位及项目负责人姓名，监督机构名称，开工、计划竣工日期和监督投诉电话等。</w:t>
      </w:r>
    </w:p>
    <w:p w14:paraId="3C3741C0">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(2)施工作业区与办公、生活区应当分开设置，具有足够的安全距离，采取相应的隔离措施；占用、挖掘城市道路施工的，不得设置办公场地、宿舍等非必要区域和设施。</w:t>
      </w:r>
    </w:p>
    <w:p w14:paraId="079F5232">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(3)施工现场四周应当设置连续、封闭的围档。管线工程、非全封闭的城市道路等工程应当使用路拦式围档。</w:t>
      </w:r>
    </w:p>
    <w:p w14:paraId="168FE664">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(4)工地内车辆出入口应当设置洗车场地和沉淀池，配备高压冲洗水枪；不具备设置洗车设施的管线工程、非全封闭的城市道路等工程，施工单位应当采用移动式冲水设备冲洗工地车辆，并安排工人保洁。</w:t>
      </w:r>
    </w:p>
    <w:p w14:paraId="4231C3B7">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(5)工地外立面脚手架使用钢管搭设，禁止使用竹子搭设或者钢竹混搭，脚手架杆件应当涂装规定颜色的警示漆，不应有明显锈迹，立面统一采用灰色密目式安全网围蔽。</w:t>
      </w:r>
    </w:p>
    <w:p w14:paraId="45BB4AAA">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(6)施工现场的建筑材料和设备设施，应当按照施工总平面图划定的区域存放整齐，并设置标签，不得堆放在现场围蔽以外。</w:t>
      </w:r>
    </w:p>
    <w:p w14:paraId="146E53AB">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(7)施工现场道路应当畅通，并设置通畅的排水设施和应急设施。</w:t>
      </w:r>
    </w:p>
    <w:p w14:paraId="202EBDF4">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10、对有较大危险因素的作业场所和有关设施、设备要设置明显的安全警示标志。</w:t>
      </w:r>
    </w:p>
    <w:p w14:paraId="785FBA76">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11、安全文明施工监督检查人员进行监督检查时，乙方要主动接受检查，并积极配合，不得拒绝，阻挠和拖延，并在检查记录上签字。</w:t>
      </w:r>
    </w:p>
    <w:p w14:paraId="32150142">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12、每周至少召开一次安全文明施工会议，自查自纠安全隐患及违反文明施工管理规定因素，保证工程顺利进行。</w:t>
      </w:r>
    </w:p>
    <w:p w14:paraId="0E9A3DAE">
      <w:pPr>
        <w:snapToGrid w:val="0"/>
        <w:spacing w:line="360" w:lineRule="auto"/>
        <w:ind w:firstLine="482" w:firstLineChars="200"/>
        <w:rPr>
          <w:rFonts w:ascii="宋体" w:hAnsi="宋体"/>
          <w:b/>
          <w:color w:val="auto"/>
          <w:sz w:val="24"/>
          <w:highlight w:val="none"/>
        </w:rPr>
      </w:pPr>
    </w:p>
    <w:p w14:paraId="43D71B7A">
      <w:pPr>
        <w:snapToGrid w:val="0"/>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第五条</w:t>
      </w:r>
      <w:r>
        <w:rPr>
          <w:rFonts w:hint="eastAsia" w:ascii="宋体" w:hAnsi="宋体"/>
          <w:color w:val="auto"/>
          <w:sz w:val="24"/>
          <w:highlight w:val="none"/>
        </w:rPr>
        <w:t xml:space="preserve">  安全文明施工措施费的计取和管理</w:t>
      </w:r>
    </w:p>
    <w:p w14:paraId="76669144">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本工程合同中标价（见中标通知书），其中应计取安全文明施工措施费用（见中标通知书）为专项费用，全部投入到施工工程的安全文明施工管理，按计量支付，总额控制，超过部分不另外支付。同时，在财务管理中应以工程项目为单位，单独列出安全防护、文明施工措施费收入和支出清单备查。</w:t>
      </w:r>
    </w:p>
    <w:p w14:paraId="22407CA8">
      <w:pPr>
        <w:snapToGrid w:val="0"/>
        <w:spacing w:line="360" w:lineRule="auto"/>
        <w:ind w:firstLine="482" w:firstLineChars="200"/>
        <w:rPr>
          <w:rFonts w:ascii="宋体" w:hAnsi="宋体"/>
          <w:b/>
          <w:color w:val="auto"/>
          <w:sz w:val="24"/>
          <w:highlight w:val="none"/>
        </w:rPr>
      </w:pPr>
    </w:p>
    <w:p w14:paraId="1512C4D6">
      <w:pPr>
        <w:snapToGrid w:val="0"/>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第六条</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工程安全文明施工实行履约保证金或履约保函管理制度</w:t>
      </w:r>
    </w:p>
    <w:p w14:paraId="5B07D33C">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甲方不定时组织人员按照《建筑安全施工检查标准JGJ59-2011）》和《广州市建设工程文明施工管理规定》对乙方落实安全生产和文明施工措施进行检查评分，每个月评分一次，评分等级为不合格（综合分数低于60分）的在履约保证金或履约保函扣罚5万/次；乙方隐瞒安全风险的，按评定不合格处理。</w:t>
      </w:r>
    </w:p>
    <w:p w14:paraId="56D6B7E6">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2、承包合同期间发生生产安全事故的按照附件十</w:t>
      </w:r>
      <w:r>
        <w:rPr>
          <w:rFonts w:hint="eastAsia" w:ascii="宋体" w:hAnsi="宋体"/>
          <w:color w:val="auto"/>
          <w:sz w:val="24"/>
          <w:highlight w:val="none"/>
          <w:lang w:eastAsia="zh-CN"/>
        </w:rPr>
        <w:t>一</w:t>
      </w:r>
      <w:r>
        <w:rPr>
          <w:rFonts w:hint="eastAsia" w:ascii="宋体" w:hAnsi="宋体"/>
          <w:color w:val="auto"/>
          <w:sz w:val="24"/>
          <w:highlight w:val="none"/>
        </w:rPr>
        <w:t>《施工管理及处罚条例》相关约定处理。</w:t>
      </w:r>
    </w:p>
    <w:p w14:paraId="03A17C9F">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3、甲方每季度对施工承包人安全文明施工情况进行评价，并将评价结果录入市水务局诚信系统。</w:t>
      </w:r>
    </w:p>
    <w:p w14:paraId="02EDE3C7">
      <w:pPr>
        <w:snapToGrid w:val="0"/>
        <w:spacing w:line="360" w:lineRule="auto"/>
        <w:ind w:firstLine="482" w:firstLineChars="200"/>
        <w:rPr>
          <w:rFonts w:ascii="宋体" w:hAnsi="宋体"/>
          <w:b/>
          <w:color w:val="auto"/>
          <w:sz w:val="24"/>
          <w:highlight w:val="none"/>
        </w:rPr>
      </w:pPr>
    </w:p>
    <w:p w14:paraId="412BD4CA">
      <w:pPr>
        <w:snapToGrid w:val="0"/>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第七条</w:t>
      </w:r>
      <w:r>
        <w:rPr>
          <w:rFonts w:hint="eastAsia" w:ascii="宋体" w:hAnsi="宋体"/>
          <w:color w:val="auto"/>
          <w:sz w:val="24"/>
          <w:highlight w:val="none"/>
        </w:rPr>
        <w:t xml:space="preserve">  发生一般(或以上)安全生产责任事故的，对本工程施工承包人纳入广州市水务工程不诚信行为记录，记录有效期2年（不诚信行为记录自安监部门等相关单位的书面调查报告或行政处罚决定书发布的时间之日开始计算）。</w:t>
      </w:r>
    </w:p>
    <w:p w14:paraId="42B77FCF">
      <w:pPr>
        <w:snapToGrid w:val="0"/>
        <w:spacing w:line="360" w:lineRule="auto"/>
        <w:ind w:firstLine="482" w:firstLineChars="200"/>
        <w:rPr>
          <w:rFonts w:ascii="宋体" w:hAnsi="宋体"/>
          <w:b/>
          <w:color w:val="auto"/>
          <w:sz w:val="24"/>
          <w:highlight w:val="none"/>
        </w:rPr>
      </w:pPr>
    </w:p>
    <w:p w14:paraId="079F5F23">
      <w:pPr>
        <w:snapToGrid w:val="0"/>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第八条</w:t>
      </w:r>
      <w:r>
        <w:rPr>
          <w:rFonts w:hint="eastAsia" w:ascii="宋体" w:hAnsi="宋体"/>
          <w:color w:val="auto"/>
          <w:sz w:val="24"/>
          <w:highlight w:val="none"/>
        </w:rPr>
        <w:t xml:space="preserve">  安全风险因素辨识和评估及安全交底</w:t>
      </w:r>
    </w:p>
    <w:p w14:paraId="517770D5">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1、开工前，乙方应提交工程项目安全风险因素辨识和评估报告作为申请开工令的材料，该报告应根据具体项目以列表形式详细列出本项目可能的安全风险因素，并提出切实可行的安全防控措施。</w:t>
      </w:r>
    </w:p>
    <w:p w14:paraId="2ABCBE12">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2、乙方应该在项目安全风险因素辨识和评估报告的基础上，编制项目安全文明费的投入计划。</w:t>
      </w:r>
    </w:p>
    <w:p w14:paraId="15469271">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在开工前由甲方组织召开工程安全交底会议，参加人员包括甲方代表、甲方工程安全管理人员，乙方项目管理机构全体成员，乙方安全员、乙方施工班组长和作业人员、监理公司总监理工程师、工程安全监理工程师等。</w:t>
      </w:r>
    </w:p>
    <w:p w14:paraId="7555E40B">
      <w:pPr>
        <w:snapToGrid w:val="0"/>
        <w:spacing w:line="360" w:lineRule="auto"/>
        <w:ind w:firstLine="482" w:firstLineChars="200"/>
        <w:rPr>
          <w:rFonts w:ascii="宋体" w:hAnsi="宋体"/>
          <w:b/>
          <w:color w:val="auto"/>
          <w:sz w:val="24"/>
          <w:highlight w:val="none"/>
        </w:rPr>
      </w:pPr>
    </w:p>
    <w:p w14:paraId="2D79EF12">
      <w:pPr>
        <w:snapToGrid w:val="0"/>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第九条</w:t>
      </w:r>
      <w:r>
        <w:rPr>
          <w:rFonts w:hint="eastAsia" w:ascii="宋体" w:hAnsi="宋体"/>
          <w:color w:val="auto"/>
          <w:sz w:val="24"/>
          <w:highlight w:val="none"/>
        </w:rPr>
        <w:t xml:space="preserve">  安全预报和安全约谈</w:t>
      </w:r>
    </w:p>
    <w:p w14:paraId="6B270934">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在施工过程中，甲方现场安全负责人、安全员应该根据工程的进度，及时进行动态跟踪，并根据现场实际情况及时进行安全预报，在每次的工程例会上，乙方现场安全负责人必须就具体工点进行安全风险分析和预报并形成会议纪要送监理工程师和甲方备案。</w:t>
      </w:r>
    </w:p>
    <w:p w14:paraId="09FEB4A5">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除了开工前的安全交底外，在项目实施过程中，甲方在认为必要时，有权约集乙方及监理单位有关人员进行安全约谈，范围包括并不限于乙方本部安全责任人、现场安全负责人、安全员、施工班组长及监理单位有关人员等。乙方在接到约谈通知后，应根据甲方要求安排有关人员至指定的地点参加。</w:t>
      </w:r>
    </w:p>
    <w:p w14:paraId="1036E043">
      <w:pPr>
        <w:snapToGrid w:val="0"/>
        <w:spacing w:line="360" w:lineRule="auto"/>
        <w:ind w:firstLine="482" w:firstLineChars="200"/>
        <w:rPr>
          <w:rFonts w:ascii="宋体" w:hAnsi="宋体"/>
          <w:b/>
          <w:color w:val="auto"/>
          <w:sz w:val="24"/>
          <w:highlight w:val="none"/>
        </w:rPr>
      </w:pPr>
    </w:p>
    <w:p w14:paraId="498E4B05">
      <w:pPr>
        <w:snapToGrid w:val="0"/>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第十条</w:t>
      </w:r>
      <w:r>
        <w:rPr>
          <w:rFonts w:hint="eastAsia" w:ascii="宋体" w:hAnsi="宋体"/>
          <w:color w:val="auto"/>
          <w:sz w:val="24"/>
          <w:highlight w:val="none"/>
        </w:rPr>
        <w:t xml:space="preserve">  事故处理</w:t>
      </w:r>
    </w:p>
    <w:p w14:paraId="12936572">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1、发生重伤或死亡或直接经济损失100万元以上的安全生产事故，乙方施工项目部负责人应立即按规定向事故所在地应急部门、行业主管部门和广州市规定的相关政府部门报告，并同时统计上报甲方代表。</w:t>
      </w:r>
    </w:p>
    <w:p w14:paraId="6E1CD716">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2、发生生产安全事故的，事故发生单位负责人接到事故报告后，应当立即启动事故相应应急预案，或者采取有效措施，组织抢救，防止事故扩大，减少人员伤亡和财产损失。</w:t>
      </w:r>
    </w:p>
    <w:p w14:paraId="02EE62BB">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3、乙方由于没有尽到自身安全责任，被认定为安全生产责任事故的，应承担违约责任。</w:t>
      </w:r>
    </w:p>
    <w:p w14:paraId="4971D1BC">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4、对违章作业、冒险进入施工禁区及损坏安全防护设施、不按规定进行安全技术交底及组织施工造成伤亡事故的，应由乙方和事故责任者自己承担罚款及一切经济损失和刑事责任。</w:t>
      </w:r>
    </w:p>
    <w:p w14:paraId="3AEDD500">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5、由于乙方原因发生安全生产事故，主管部门对甲方进行经济处罚的，乙方应承担甲方全部经济损失。</w:t>
      </w:r>
    </w:p>
    <w:p w14:paraId="10D356A6">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6.由于承包人违章作业或安全措施不力等原因造成人员伤亡事故的责任和因此发生的一切费用，由承包人自行承担。</w:t>
      </w:r>
    </w:p>
    <w:p w14:paraId="4F1D47A8">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承包人发生安全责任事故造成人员死亡的，除上述规定外，承包人还应承担违约责任，每死亡1人，承包人应向发包人支付50万元违约金。</w:t>
      </w:r>
    </w:p>
    <w:p w14:paraId="4BA6F7F0">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7.承包人被相关行政主管部门要求停工整改的，承包人应承担违约责任，每停工整改1次，承包人应向发包人支付5万元违约金。</w:t>
      </w:r>
    </w:p>
    <w:p w14:paraId="28783FDE">
      <w:pPr>
        <w:snapToGrid w:val="0"/>
        <w:spacing w:line="360" w:lineRule="auto"/>
        <w:ind w:firstLine="482" w:firstLineChars="200"/>
        <w:rPr>
          <w:rFonts w:ascii="宋体" w:hAnsi="宋体"/>
          <w:b/>
          <w:color w:val="auto"/>
          <w:sz w:val="24"/>
          <w:highlight w:val="none"/>
        </w:rPr>
      </w:pPr>
    </w:p>
    <w:p w14:paraId="7E4C0E19">
      <w:pPr>
        <w:snapToGrid w:val="0"/>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第十一条</w:t>
      </w:r>
      <w:r>
        <w:rPr>
          <w:rFonts w:hint="eastAsia" w:ascii="宋体" w:hAnsi="宋体"/>
          <w:color w:val="auto"/>
          <w:sz w:val="24"/>
          <w:highlight w:val="none"/>
        </w:rPr>
        <w:t xml:space="preserve">  开工前，乙方应向甲方提供的安全管理体系资料包括但不限于：</w:t>
      </w:r>
    </w:p>
    <w:p w14:paraId="6623F0F2">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1、安全管理架构图;</w:t>
      </w:r>
    </w:p>
    <w:p w14:paraId="430ADC07">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2、安全生产管理机构和安全生产管理人员的配备情况;</w:t>
      </w:r>
    </w:p>
    <w:p w14:paraId="709A58B1">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3、安全生产责任制、安全生产管理制度和操作规程及组织架构;</w:t>
      </w:r>
    </w:p>
    <w:p w14:paraId="63FEFFA5">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4、项目管理人员、安全生产管理人员、工程技术人员、特种作业人员的职业资格、技术职称和作业资格证书；</w:t>
      </w:r>
    </w:p>
    <w:p w14:paraId="0BDD8B47">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5、项目安全风险因素列表</w:t>
      </w:r>
    </w:p>
    <w:p w14:paraId="287B1D1E">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6、甲方要求的其他资料。</w:t>
      </w:r>
    </w:p>
    <w:p w14:paraId="7344F888">
      <w:pPr>
        <w:snapToGrid w:val="0"/>
        <w:spacing w:line="360" w:lineRule="auto"/>
        <w:ind w:firstLine="482" w:firstLineChars="200"/>
        <w:rPr>
          <w:rFonts w:ascii="宋体" w:hAnsi="宋体"/>
          <w:b/>
          <w:color w:val="auto"/>
          <w:sz w:val="24"/>
          <w:highlight w:val="none"/>
        </w:rPr>
      </w:pPr>
    </w:p>
    <w:p w14:paraId="241C7DF5">
      <w:pPr>
        <w:snapToGrid w:val="0"/>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第十二条</w:t>
      </w:r>
      <w:r>
        <w:rPr>
          <w:rFonts w:hint="eastAsia" w:ascii="宋体" w:hAnsi="宋体"/>
          <w:color w:val="auto"/>
          <w:sz w:val="24"/>
          <w:highlight w:val="none"/>
        </w:rPr>
        <w:t xml:space="preserve"> 违约责任</w:t>
      </w:r>
    </w:p>
    <w:p w14:paraId="0D0FEC7B">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本协议为主合同附件，与主合同具同等效力，违反本协议的，按违反主合同的约定执行。</w:t>
      </w:r>
    </w:p>
    <w:p w14:paraId="233A6FA5">
      <w:pPr>
        <w:snapToGrid w:val="0"/>
        <w:spacing w:line="360" w:lineRule="auto"/>
        <w:ind w:firstLine="482" w:firstLineChars="200"/>
        <w:rPr>
          <w:rFonts w:ascii="宋体" w:hAnsi="宋体"/>
          <w:b/>
          <w:color w:val="auto"/>
          <w:sz w:val="24"/>
          <w:highlight w:val="none"/>
        </w:rPr>
      </w:pPr>
    </w:p>
    <w:p w14:paraId="1E917C02">
      <w:pPr>
        <w:snapToGrid w:val="0"/>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第十三条</w:t>
      </w:r>
      <w:r>
        <w:rPr>
          <w:rFonts w:hint="eastAsia" w:ascii="宋体" w:hAnsi="宋体"/>
          <w:color w:val="auto"/>
          <w:sz w:val="24"/>
          <w:highlight w:val="none"/>
        </w:rPr>
        <w:t xml:space="preserve">  本协议一式陆份，甲乙双方签字或签章生效，工程竣工验收后自动失效。</w:t>
      </w:r>
    </w:p>
    <w:p w14:paraId="71D94F78">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未尽事宜，双方协商解决。</w:t>
      </w:r>
    </w:p>
    <w:p w14:paraId="25546C59">
      <w:pPr>
        <w:snapToGrid w:val="0"/>
        <w:spacing w:line="360" w:lineRule="auto"/>
        <w:ind w:firstLine="480" w:firstLineChars="200"/>
        <w:rPr>
          <w:rFonts w:hint="eastAsia" w:ascii="宋体" w:hAnsi="宋体"/>
          <w:color w:val="auto"/>
          <w:sz w:val="24"/>
          <w:highlight w:val="none"/>
        </w:rPr>
      </w:pPr>
    </w:p>
    <w:p w14:paraId="7605A119">
      <w:pPr>
        <w:snapToGrid w:val="0"/>
        <w:spacing w:line="360" w:lineRule="auto"/>
        <w:ind w:firstLine="480" w:firstLineChars="200"/>
        <w:rPr>
          <w:rFonts w:hint="eastAsia" w:ascii="宋体" w:hAnsi="宋体"/>
          <w:color w:val="auto"/>
          <w:sz w:val="24"/>
          <w:highlight w:val="none"/>
        </w:rPr>
      </w:pPr>
      <w:bookmarkStart w:id="981" w:name="_Toc5772"/>
      <w:bookmarkStart w:id="982" w:name="_Toc24652"/>
      <w:bookmarkStart w:id="983" w:name="_Toc10074"/>
      <w:bookmarkStart w:id="984" w:name="_Toc100504384"/>
      <w:r>
        <w:rPr>
          <w:rFonts w:hint="eastAsia" w:ascii="宋体" w:hAnsi="宋体"/>
          <w:color w:val="auto"/>
          <w:sz w:val="24"/>
          <w:highlight w:val="none"/>
        </w:rPr>
        <w:t>（本页下无正文内容）</w:t>
      </w:r>
      <w:bookmarkEnd w:id="981"/>
      <w:bookmarkEnd w:id="982"/>
      <w:bookmarkEnd w:id="983"/>
      <w:bookmarkEnd w:id="984"/>
    </w:p>
    <w:p w14:paraId="22955554">
      <w:pPr>
        <w:snapToGrid w:val="0"/>
        <w:spacing w:line="360" w:lineRule="auto"/>
        <w:ind w:firstLine="480" w:firstLineChars="200"/>
        <w:rPr>
          <w:rFonts w:hint="eastAsia" w:ascii="宋体" w:hAnsi="宋体" w:cs="Arial"/>
          <w:b/>
          <w:color w:val="auto"/>
          <w:kern w:val="0"/>
          <w:sz w:val="24"/>
          <w:highlight w:val="none"/>
        </w:rPr>
      </w:pPr>
      <w:r>
        <w:rPr>
          <w:rFonts w:ascii="宋体" w:hAnsi="宋体"/>
          <w:color w:val="auto"/>
          <w:sz w:val="24"/>
          <w:highlight w:val="none"/>
        </w:rPr>
        <w:br w:type="page"/>
      </w:r>
    </w:p>
    <w:p w14:paraId="7CFCCEC6">
      <w:pPr>
        <w:spacing w:line="360" w:lineRule="auto"/>
        <w:ind w:firstLine="361" w:firstLineChars="150"/>
        <w:rPr>
          <w:rFonts w:hint="eastAsia" w:ascii="宋体" w:hAnsi="宋体" w:cs="Arial"/>
          <w:b/>
          <w:color w:val="auto"/>
          <w:kern w:val="0"/>
          <w:sz w:val="24"/>
          <w:highlight w:val="none"/>
        </w:rPr>
      </w:pPr>
      <w:r>
        <w:rPr>
          <w:rFonts w:hint="eastAsia" w:ascii="宋体" w:hAnsi="宋体" w:cs="Arial"/>
          <w:b/>
          <w:color w:val="auto"/>
          <w:kern w:val="0"/>
          <w:sz w:val="24"/>
          <w:highlight w:val="none"/>
        </w:rPr>
        <w:t>（</w:t>
      </w:r>
      <w:r>
        <w:rPr>
          <w:rFonts w:ascii="宋体" w:hAnsi="宋体" w:cs="Arial"/>
          <w:b/>
          <w:color w:val="auto"/>
          <w:kern w:val="0"/>
          <w:sz w:val="24"/>
          <w:highlight w:val="none"/>
        </w:rPr>
        <w:t>本页为签署页</w:t>
      </w:r>
      <w:r>
        <w:rPr>
          <w:rFonts w:hint="eastAsia" w:ascii="宋体" w:hAnsi="宋体" w:cs="Arial"/>
          <w:b/>
          <w:color w:val="auto"/>
          <w:kern w:val="0"/>
          <w:sz w:val="24"/>
          <w:highlight w:val="none"/>
        </w:rPr>
        <w:t>，无正文内容）</w:t>
      </w:r>
    </w:p>
    <w:p w14:paraId="22698A1E">
      <w:pPr>
        <w:spacing w:line="360" w:lineRule="auto"/>
        <w:ind w:firstLine="361" w:firstLineChars="150"/>
        <w:rPr>
          <w:rFonts w:hint="eastAsia" w:ascii="宋体" w:hAnsi="宋体" w:cs="Arial"/>
          <w:b/>
          <w:color w:val="auto"/>
          <w:kern w:val="0"/>
          <w:sz w:val="24"/>
          <w:highlight w:val="none"/>
        </w:rPr>
      </w:pPr>
    </w:p>
    <w:p w14:paraId="3EF87858">
      <w:pPr>
        <w:spacing w:line="360" w:lineRule="auto"/>
        <w:ind w:firstLine="361" w:firstLineChars="150"/>
        <w:rPr>
          <w:rFonts w:hint="eastAsia" w:ascii="宋体" w:hAnsi="宋体" w:cs="Arial"/>
          <w:b/>
          <w:color w:val="auto"/>
          <w:kern w:val="0"/>
          <w:sz w:val="24"/>
          <w:highlight w:val="none"/>
        </w:rPr>
      </w:pPr>
      <w:r>
        <w:rPr>
          <w:rFonts w:hint="eastAsia" w:ascii="宋体" w:hAnsi="宋体" w:cs="Arial"/>
          <w:b/>
          <w:color w:val="auto"/>
          <w:kern w:val="0"/>
          <w:sz w:val="24"/>
          <w:highlight w:val="none"/>
        </w:rPr>
        <w:t>发包人(甲 方)： （盖公章）</w:t>
      </w:r>
    </w:p>
    <w:p w14:paraId="42C4EE4C">
      <w:pPr>
        <w:spacing w:line="360" w:lineRule="auto"/>
        <w:ind w:firstLine="360" w:firstLineChars="150"/>
        <w:rPr>
          <w:rFonts w:hint="eastAsia" w:ascii="宋体" w:hAnsi="宋体" w:cs="Arial"/>
          <w:color w:val="auto"/>
          <w:kern w:val="0"/>
          <w:sz w:val="24"/>
          <w:highlight w:val="none"/>
        </w:rPr>
      </w:pPr>
    </w:p>
    <w:p w14:paraId="502E5A7C">
      <w:pPr>
        <w:spacing w:line="360" w:lineRule="auto"/>
        <w:ind w:firstLine="360" w:firstLineChars="150"/>
        <w:rPr>
          <w:rFonts w:hint="eastAsia" w:ascii="宋体" w:hAnsi="宋体" w:cs="Arial"/>
          <w:color w:val="auto"/>
          <w:kern w:val="0"/>
          <w:sz w:val="24"/>
          <w:highlight w:val="none"/>
        </w:rPr>
      </w:pPr>
      <w:r>
        <w:rPr>
          <w:rFonts w:hint="eastAsia" w:ascii="宋体" w:hAnsi="宋体" w:cs="Arial"/>
          <w:color w:val="auto"/>
          <w:kern w:val="0"/>
          <w:sz w:val="24"/>
          <w:highlight w:val="none"/>
        </w:rPr>
        <w:t xml:space="preserve">法定代表人：             </w:t>
      </w:r>
    </w:p>
    <w:p w14:paraId="0615EF7A">
      <w:pPr>
        <w:spacing w:line="360" w:lineRule="auto"/>
        <w:ind w:firstLine="360" w:firstLineChars="150"/>
        <w:rPr>
          <w:rFonts w:hint="eastAsia" w:hAnsi="宋体"/>
          <w:color w:val="auto"/>
          <w:sz w:val="24"/>
          <w:highlight w:val="none"/>
        </w:rPr>
      </w:pPr>
    </w:p>
    <w:p w14:paraId="7A883DEE">
      <w:pPr>
        <w:spacing w:line="360" w:lineRule="auto"/>
        <w:ind w:firstLine="360" w:firstLineChars="150"/>
        <w:rPr>
          <w:rFonts w:hint="eastAsia" w:ascii="宋体" w:hAnsi="宋体" w:cs="Arial"/>
          <w:color w:val="auto"/>
          <w:kern w:val="0"/>
          <w:sz w:val="24"/>
          <w:highlight w:val="none"/>
        </w:rPr>
      </w:pPr>
      <w:r>
        <w:rPr>
          <w:rFonts w:hint="eastAsia" w:hAnsi="宋体"/>
          <w:color w:val="auto"/>
          <w:sz w:val="24"/>
          <w:highlight w:val="none"/>
        </w:rPr>
        <w:t>或授权</w:t>
      </w:r>
      <w:r>
        <w:rPr>
          <w:rFonts w:hAnsi="宋体"/>
          <w:color w:val="auto"/>
          <w:sz w:val="24"/>
          <w:highlight w:val="none"/>
        </w:rPr>
        <w:t>委托代理人：</w:t>
      </w:r>
    </w:p>
    <w:p w14:paraId="0ECEF226">
      <w:pPr>
        <w:spacing w:line="360" w:lineRule="auto"/>
        <w:ind w:firstLine="360" w:firstLineChars="150"/>
        <w:rPr>
          <w:rFonts w:hint="eastAsia" w:ascii="宋体" w:hAnsi="宋体" w:cs="Arial"/>
          <w:color w:val="auto"/>
          <w:kern w:val="0"/>
          <w:sz w:val="24"/>
          <w:highlight w:val="none"/>
        </w:rPr>
      </w:pPr>
    </w:p>
    <w:p w14:paraId="50A0A33F">
      <w:pPr>
        <w:spacing w:line="360" w:lineRule="auto"/>
        <w:ind w:firstLine="360" w:firstLineChars="150"/>
        <w:rPr>
          <w:rFonts w:hint="eastAsia" w:ascii="宋体" w:hAnsi="宋体" w:cs="Arial"/>
          <w:color w:val="auto"/>
          <w:kern w:val="0"/>
          <w:sz w:val="24"/>
          <w:highlight w:val="none"/>
        </w:rPr>
      </w:pPr>
      <w:r>
        <w:rPr>
          <w:rFonts w:hint="eastAsia" w:ascii="宋体" w:hAnsi="宋体" w:cs="Arial"/>
          <w:color w:val="auto"/>
          <w:kern w:val="0"/>
          <w:sz w:val="24"/>
          <w:highlight w:val="none"/>
        </w:rPr>
        <w:t>日期：      年   月   日</w:t>
      </w:r>
    </w:p>
    <w:p w14:paraId="78957DB3">
      <w:pPr>
        <w:spacing w:line="360" w:lineRule="auto"/>
        <w:ind w:firstLine="360" w:firstLineChars="150"/>
        <w:rPr>
          <w:rFonts w:hint="eastAsia" w:ascii="宋体" w:hAnsi="宋体" w:cs="Arial"/>
          <w:color w:val="auto"/>
          <w:kern w:val="0"/>
          <w:sz w:val="24"/>
          <w:highlight w:val="none"/>
        </w:rPr>
      </w:pPr>
    </w:p>
    <w:p w14:paraId="7F650DCD">
      <w:pPr>
        <w:spacing w:line="360" w:lineRule="auto"/>
        <w:ind w:firstLine="360" w:firstLineChars="150"/>
        <w:rPr>
          <w:rFonts w:hint="eastAsia" w:ascii="宋体" w:hAnsi="宋体" w:cs="Arial"/>
          <w:color w:val="auto"/>
          <w:kern w:val="0"/>
          <w:sz w:val="24"/>
          <w:highlight w:val="none"/>
        </w:rPr>
      </w:pPr>
    </w:p>
    <w:p w14:paraId="2C589E64">
      <w:pPr>
        <w:spacing w:line="360" w:lineRule="auto"/>
        <w:ind w:firstLine="361" w:firstLineChars="150"/>
        <w:rPr>
          <w:rFonts w:hint="eastAsia" w:ascii="宋体" w:hAnsi="宋体" w:cs="Arial"/>
          <w:b/>
          <w:color w:val="auto"/>
          <w:kern w:val="0"/>
          <w:sz w:val="24"/>
          <w:highlight w:val="none"/>
        </w:rPr>
      </w:pPr>
      <w:r>
        <w:rPr>
          <w:rFonts w:hint="eastAsia" w:ascii="宋体" w:hAnsi="宋体" w:cs="Arial"/>
          <w:b/>
          <w:color w:val="auto"/>
          <w:kern w:val="0"/>
          <w:sz w:val="24"/>
          <w:highlight w:val="none"/>
        </w:rPr>
        <w:t>承包人(乙 方)：（盖公章）</w:t>
      </w:r>
    </w:p>
    <w:p w14:paraId="75AC8571">
      <w:pPr>
        <w:spacing w:line="360" w:lineRule="auto"/>
        <w:ind w:firstLine="360" w:firstLineChars="150"/>
        <w:rPr>
          <w:rFonts w:hint="eastAsia" w:ascii="宋体" w:hAnsi="宋体" w:cs="Arial"/>
          <w:color w:val="auto"/>
          <w:kern w:val="0"/>
          <w:sz w:val="24"/>
          <w:highlight w:val="none"/>
        </w:rPr>
      </w:pPr>
    </w:p>
    <w:p w14:paraId="0950CBD6">
      <w:pPr>
        <w:spacing w:line="360" w:lineRule="auto"/>
        <w:ind w:firstLine="360" w:firstLineChars="150"/>
        <w:rPr>
          <w:rFonts w:hint="eastAsia" w:ascii="宋体" w:hAnsi="宋体" w:cs="Arial"/>
          <w:color w:val="auto"/>
          <w:kern w:val="0"/>
          <w:sz w:val="24"/>
          <w:highlight w:val="none"/>
        </w:rPr>
      </w:pPr>
      <w:r>
        <w:rPr>
          <w:rFonts w:hint="eastAsia" w:ascii="宋体" w:hAnsi="宋体" w:cs="Arial"/>
          <w:color w:val="auto"/>
          <w:kern w:val="0"/>
          <w:sz w:val="24"/>
          <w:highlight w:val="none"/>
        </w:rPr>
        <w:t xml:space="preserve">法定代表人： </w:t>
      </w:r>
    </w:p>
    <w:p w14:paraId="2F5E7CBD">
      <w:pPr>
        <w:spacing w:line="360" w:lineRule="auto"/>
        <w:ind w:firstLine="360" w:firstLineChars="150"/>
        <w:rPr>
          <w:rFonts w:hint="eastAsia" w:ascii="宋体" w:hAnsi="宋体" w:cs="Arial"/>
          <w:color w:val="auto"/>
          <w:kern w:val="0"/>
          <w:sz w:val="24"/>
          <w:highlight w:val="none"/>
        </w:rPr>
      </w:pPr>
      <w:r>
        <w:rPr>
          <w:rFonts w:hint="eastAsia" w:ascii="宋体" w:hAnsi="宋体" w:cs="Arial"/>
          <w:color w:val="auto"/>
          <w:kern w:val="0"/>
          <w:sz w:val="24"/>
          <w:highlight w:val="none"/>
        </w:rPr>
        <w:t xml:space="preserve">            </w:t>
      </w:r>
    </w:p>
    <w:p w14:paraId="7DD07937">
      <w:pPr>
        <w:spacing w:line="360" w:lineRule="auto"/>
        <w:rPr>
          <w:rFonts w:hint="eastAsia" w:hAnsi="宋体"/>
          <w:color w:val="auto"/>
          <w:sz w:val="24"/>
          <w:highlight w:val="none"/>
        </w:rPr>
      </w:pPr>
      <w:r>
        <w:rPr>
          <w:rFonts w:hint="eastAsia"/>
          <w:color w:val="auto"/>
          <w:sz w:val="24"/>
          <w:highlight w:val="none"/>
        </w:rPr>
        <w:t xml:space="preserve">   或</w:t>
      </w:r>
      <w:r>
        <w:rPr>
          <w:rFonts w:hint="eastAsia" w:hAnsi="宋体"/>
          <w:color w:val="auto"/>
          <w:sz w:val="24"/>
          <w:highlight w:val="none"/>
        </w:rPr>
        <w:t>授权委托代理人：</w:t>
      </w:r>
    </w:p>
    <w:p w14:paraId="4F028CCB">
      <w:pPr>
        <w:spacing w:line="360" w:lineRule="auto"/>
        <w:ind w:firstLine="480" w:firstLineChars="200"/>
        <w:rPr>
          <w:rFonts w:hint="eastAsia"/>
          <w:color w:val="auto"/>
          <w:sz w:val="24"/>
          <w:highlight w:val="none"/>
        </w:rPr>
      </w:pPr>
    </w:p>
    <w:p w14:paraId="10A42F38">
      <w:pPr>
        <w:spacing w:line="360" w:lineRule="auto"/>
        <w:ind w:firstLine="360" w:firstLineChars="150"/>
        <w:rPr>
          <w:rFonts w:hint="eastAsia" w:ascii="宋体" w:hAnsi="宋体" w:cs="宋体"/>
          <w:color w:val="auto"/>
          <w:kern w:val="0"/>
          <w:sz w:val="24"/>
          <w:highlight w:val="none"/>
        </w:rPr>
      </w:pPr>
      <w:r>
        <w:rPr>
          <w:rFonts w:hint="eastAsia"/>
          <w:color w:val="auto"/>
          <w:sz w:val="24"/>
          <w:highlight w:val="none"/>
        </w:rPr>
        <w:t>日期：      年   月   日</w:t>
      </w:r>
    </w:p>
    <w:p w14:paraId="70E3D642">
      <w:pPr>
        <w:spacing w:line="420" w:lineRule="exact"/>
        <w:outlineLvl w:val="1"/>
        <w:rPr>
          <w:rFonts w:hint="eastAsia" w:ascii="宋体" w:hAnsi="宋体" w:cs="宋体"/>
          <w:b/>
          <w:bCs/>
          <w:color w:val="auto"/>
          <w:sz w:val="22"/>
          <w:szCs w:val="22"/>
          <w:highlight w:val="none"/>
        </w:rPr>
      </w:pPr>
      <w:r>
        <w:rPr>
          <w:rFonts w:ascii="宋体" w:hAnsi="宋体" w:cs="宋体"/>
          <w:b/>
          <w:bCs/>
          <w:color w:val="auto"/>
          <w:kern w:val="0"/>
          <w:sz w:val="22"/>
          <w:szCs w:val="22"/>
          <w:highlight w:val="none"/>
        </w:rPr>
        <w:br w:type="page"/>
      </w:r>
      <w:bookmarkStart w:id="985" w:name="_Toc5531"/>
      <w:bookmarkStart w:id="986" w:name="_Toc26033"/>
      <w:bookmarkStart w:id="987" w:name="_Toc155166223"/>
      <w:r>
        <w:rPr>
          <w:rFonts w:hint="eastAsia" w:ascii="宋体" w:hAnsi="宋体" w:cs="宋体"/>
          <w:b/>
          <w:bCs/>
          <w:color w:val="auto"/>
          <w:sz w:val="22"/>
          <w:szCs w:val="22"/>
          <w:highlight w:val="none"/>
        </w:rPr>
        <w:t>附件七：《番禺区财政性投资建设项目工程变更管理规定》</w:t>
      </w:r>
      <w:bookmarkEnd w:id="985"/>
      <w:bookmarkEnd w:id="986"/>
      <w:bookmarkEnd w:id="987"/>
    </w:p>
    <w:p w14:paraId="13B79921">
      <w:pPr>
        <w:spacing w:before="240" w:beforeLines="100" w:after="240" w:afterLines="100"/>
        <w:rPr>
          <w:rFonts w:hint="eastAsia" w:ascii="宋体" w:hAnsi="宋体" w:cs="宋体"/>
          <w:b/>
          <w:bCs/>
          <w:color w:val="auto"/>
          <w:kern w:val="0"/>
          <w:sz w:val="22"/>
          <w:szCs w:val="22"/>
          <w:highlight w:val="none"/>
        </w:rPr>
      </w:pPr>
      <w:bookmarkStart w:id="988" w:name="_Toc3976"/>
      <w:bookmarkStart w:id="989" w:name="_Toc32285"/>
      <w:bookmarkStart w:id="990" w:name="_Toc30015"/>
      <w:r>
        <w:rPr>
          <w:rFonts w:hint="eastAsia" w:ascii="宋体" w:hAnsi="宋体" w:cs="宋体"/>
          <w:b/>
          <w:bCs/>
          <w:color w:val="auto"/>
          <w:kern w:val="0"/>
          <w:sz w:val="22"/>
          <w:szCs w:val="22"/>
          <w:highlight w:val="none"/>
        </w:rPr>
        <w:drawing>
          <wp:inline distT="0" distB="0" distL="114300" distR="114300">
            <wp:extent cx="6115050" cy="8648065"/>
            <wp:effectExtent l="0" t="0" r="0" b="635"/>
            <wp:docPr id="415" name="图片 854" descr="附件：番禺区住房和城乡建设局等七部门关于印发《番禺区财政性投资建设项目工程变更管理规定》的通知_页面_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854" descr="附件：番禺区住房和城乡建设局等七部门关于印发《番禺区财政性投资建设项目工程变更管理规定》的通知_页面_01 - 副本"/>
                    <pic:cNvPicPr>
                      <a:picLocks noChangeAspect="1"/>
                    </pic:cNvPicPr>
                  </pic:nvPicPr>
                  <pic:blipFill>
                    <a:blip r:embed="rId8"/>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16" name="图片 853" descr="附件：番禺区住房和城乡建设局等七部门关于印发《番禺区财政性投资建设项目工程变更管理规定》的通知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853" descr="附件：番禺区住房和城乡建设局等七部门关于印发《番禺区财政性投资建设项目工程变更管理规定》的通知_页面_02"/>
                    <pic:cNvPicPr>
                      <a:picLocks noChangeAspect="1"/>
                    </pic:cNvPicPr>
                  </pic:nvPicPr>
                  <pic:blipFill>
                    <a:blip r:embed="rId9"/>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17" name="图片 852" descr="附件：番禺区住房和城乡建设局等七部门关于印发《番禺区财政性投资建设项目工程变更管理规定》的通知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852" descr="附件：番禺区住房和城乡建设局等七部门关于印发《番禺区财政性投资建设项目工程变更管理规定》的通知_页面_03"/>
                    <pic:cNvPicPr>
                      <a:picLocks noChangeAspect="1"/>
                    </pic:cNvPicPr>
                  </pic:nvPicPr>
                  <pic:blipFill>
                    <a:blip r:embed="rId10"/>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18" name="图片 851" descr="附件：番禺区住房和城乡建设局等七部门关于印发《番禺区财政性投资建设项目工程变更管理规定》的通知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851" descr="附件：番禺区住房和城乡建设局等七部门关于印发《番禺区财政性投资建设项目工程变更管理规定》的通知_页面_04"/>
                    <pic:cNvPicPr>
                      <a:picLocks noChangeAspect="1"/>
                    </pic:cNvPicPr>
                  </pic:nvPicPr>
                  <pic:blipFill>
                    <a:blip r:embed="rId11"/>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19" name="图片 850" descr="附件：番禺区住房和城乡建设局等七部门关于印发《番禺区财政性投资建设项目工程变更管理规定》的通知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850" descr="附件：番禺区住房和城乡建设局等七部门关于印发《番禺区财政性投资建设项目工程变更管理规定》的通知_页面_05"/>
                    <pic:cNvPicPr>
                      <a:picLocks noChangeAspect="1"/>
                    </pic:cNvPicPr>
                  </pic:nvPicPr>
                  <pic:blipFill>
                    <a:blip r:embed="rId12"/>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20" name="图片 849" descr="附件：番禺区住房和城乡建设局等七部门关于印发《番禺区财政性投资建设项目工程变更管理规定》的通知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849" descr="附件：番禺区住房和城乡建设局等七部门关于印发《番禺区财政性投资建设项目工程变更管理规定》的通知_页面_06"/>
                    <pic:cNvPicPr>
                      <a:picLocks noChangeAspect="1"/>
                    </pic:cNvPicPr>
                  </pic:nvPicPr>
                  <pic:blipFill>
                    <a:blip r:embed="rId13"/>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21" name="图片 848" descr="附件：番禺区住房和城乡建设局等七部门关于印发《番禺区财政性投资建设项目工程变更管理规定》的通知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848" descr="附件：番禺区住房和城乡建设局等七部门关于印发《番禺区财政性投资建设项目工程变更管理规定》的通知_页面_07"/>
                    <pic:cNvPicPr>
                      <a:picLocks noChangeAspect="1"/>
                    </pic:cNvPicPr>
                  </pic:nvPicPr>
                  <pic:blipFill>
                    <a:blip r:embed="rId14"/>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22" name="图片 847" descr="附件：番禺区住房和城乡建设局等七部门关于印发《番禺区财政性投资建设项目工程变更管理规定》的通知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847" descr="附件：番禺区住房和城乡建设局等七部门关于印发《番禺区财政性投资建设项目工程变更管理规定》的通知_页面_08"/>
                    <pic:cNvPicPr>
                      <a:picLocks noChangeAspect="1"/>
                    </pic:cNvPicPr>
                  </pic:nvPicPr>
                  <pic:blipFill>
                    <a:blip r:embed="rId15"/>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23" name="图片 846" descr="附件：番禺区住房和城乡建设局等七部门关于印发《番禺区财政性投资建设项目工程变更管理规定》的通知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846" descr="附件：番禺区住房和城乡建设局等七部门关于印发《番禺区财政性投资建设项目工程变更管理规定》的通知_页面_09"/>
                    <pic:cNvPicPr>
                      <a:picLocks noChangeAspect="1"/>
                    </pic:cNvPicPr>
                  </pic:nvPicPr>
                  <pic:blipFill>
                    <a:blip r:embed="rId16"/>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24" name="图片 845" descr="附件：番禺区住房和城乡建设局等七部门关于印发《番禺区财政性投资建设项目工程变更管理规定》的通知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845" descr="附件：番禺区住房和城乡建设局等七部门关于印发《番禺区财政性投资建设项目工程变更管理规定》的通知_页面_10"/>
                    <pic:cNvPicPr>
                      <a:picLocks noChangeAspect="1"/>
                    </pic:cNvPicPr>
                  </pic:nvPicPr>
                  <pic:blipFill>
                    <a:blip r:embed="rId17"/>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25" name="图片 844" descr="附件：番禺区住房和城乡建设局等七部门关于印发《番禺区财政性投资建设项目工程变更管理规定》的通知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844" descr="附件：番禺区住房和城乡建设局等七部门关于印发《番禺区财政性投资建设项目工程变更管理规定》的通知_页面_11"/>
                    <pic:cNvPicPr>
                      <a:picLocks noChangeAspect="1"/>
                    </pic:cNvPicPr>
                  </pic:nvPicPr>
                  <pic:blipFill>
                    <a:blip r:embed="rId18"/>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26" name="图片 843" descr="附件：番禺区住房和城乡建设局等七部门关于印发《番禺区财政性投资建设项目工程变更管理规定》的通知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843" descr="附件：番禺区住房和城乡建设局等七部门关于印发《番禺区财政性投资建设项目工程变更管理规定》的通知_页面_12"/>
                    <pic:cNvPicPr>
                      <a:picLocks noChangeAspect="1"/>
                    </pic:cNvPicPr>
                  </pic:nvPicPr>
                  <pic:blipFill>
                    <a:blip r:embed="rId19"/>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27" name="图片 842" descr="附件：番禺区住房和城乡建设局等七部门关于印发《番禺区财政性投资建设项目工程变更管理规定》的通知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842" descr="附件：番禺区住房和城乡建设局等七部门关于印发《番禺区财政性投资建设项目工程变更管理规定》的通知_页面_13"/>
                    <pic:cNvPicPr>
                      <a:picLocks noChangeAspect="1"/>
                    </pic:cNvPicPr>
                  </pic:nvPicPr>
                  <pic:blipFill>
                    <a:blip r:embed="rId20"/>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28" name="图片 841" descr="附件：番禺区住房和城乡建设局等七部门关于印发《番禺区财政性投资建设项目工程变更管理规定》的通知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841" descr="附件：番禺区住房和城乡建设局等七部门关于印发《番禺区财政性投资建设项目工程变更管理规定》的通知_页面_14"/>
                    <pic:cNvPicPr>
                      <a:picLocks noChangeAspect="1"/>
                    </pic:cNvPicPr>
                  </pic:nvPicPr>
                  <pic:blipFill>
                    <a:blip r:embed="rId21"/>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29" name="图片 840" descr="附件：番禺区住房和城乡建设局等七部门关于印发《番禺区财政性投资建设项目工程变更管理规定》的通知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840" descr="附件：番禺区住房和城乡建设局等七部门关于印发《番禺区财政性投资建设项目工程变更管理规定》的通知_页面_15"/>
                    <pic:cNvPicPr>
                      <a:picLocks noChangeAspect="1"/>
                    </pic:cNvPicPr>
                  </pic:nvPicPr>
                  <pic:blipFill>
                    <a:blip r:embed="rId22"/>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30" name="图片 839" descr="附件：番禺区住房和城乡建设局等七部门关于印发《番禺区财政性投资建设项目工程变更管理规定》的通知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839" descr="附件：番禺区住房和城乡建设局等七部门关于印发《番禺区财政性投资建设项目工程变更管理规定》的通知_页面_16"/>
                    <pic:cNvPicPr>
                      <a:picLocks noChangeAspect="1"/>
                    </pic:cNvPicPr>
                  </pic:nvPicPr>
                  <pic:blipFill>
                    <a:blip r:embed="rId23"/>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31" name="图片 838" descr="附件：番禺区住房和城乡建设局等七部门关于印发《番禺区财政性投资建设项目工程变更管理规定》的通知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838" descr="附件：番禺区住房和城乡建设局等七部门关于印发《番禺区财政性投资建设项目工程变更管理规定》的通知_页面_17"/>
                    <pic:cNvPicPr>
                      <a:picLocks noChangeAspect="1"/>
                    </pic:cNvPicPr>
                  </pic:nvPicPr>
                  <pic:blipFill>
                    <a:blip r:embed="rId24"/>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32" name="图片 837" descr="附件：番禺区住房和城乡建设局等七部门关于印发《番禺区财政性投资建设项目工程变更管理规定》的通知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837" descr="附件：番禺区住房和城乡建设局等七部门关于印发《番禺区财政性投资建设项目工程变更管理规定》的通知_页面_18"/>
                    <pic:cNvPicPr>
                      <a:picLocks noChangeAspect="1"/>
                    </pic:cNvPicPr>
                  </pic:nvPicPr>
                  <pic:blipFill>
                    <a:blip r:embed="rId25"/>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33" name="图片 836" descr="附件：番禺区住房和城乡建设局等七部门关于印发《番禺区财政性投资建设项目工程变更管理规定》的通知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836" descr="附件：番禺区住房和城乡建设局等七部门关于印发《番禺区财政性投资建设项目工程变更管理规定》的通知_页面_19"/>
                    <pic:cNvPicPr>
                      <a:picLocks noChangeAspect="1"/>
                    </pic:cNvPicPr>
                  </pic:nvPicPr>
                  <pic:blipFill>
                    <a:blip r:embed="rId26"/>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34" name="图片 835" descr="附件：番禺区住房和城乡建设局等七部门关于印发《番禺区财政性投资建设项目工程变更管理规定》的通知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835" descr="附件：番禺区住房和城乡建设局等七部门关于印发《番禺区财政性投资建设项目工程变更管理规定》的通知_页面_20"/>
                    <pic:cNvPicPr>
                      <a:picLocks noChangeAspect="1"/>
                    </pic:cNvPicPr>
                  </pic:nvPicPr>
                  <pic:blipFill>
                    <a:blip r:embed="rId27"/>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35" name="图片 834" descr="附件：番禺区住房和城乡建设局等七部门关于印发《番禺区财政性投资建设项目工程变更管理规定》的通知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834" descr="附件：番禺区住房和城乡建设局等七部门关于印发《番禺区财政性投资建设项目工程变更管理规定》的通知_页面_21"/>
                    <pic:cNvPicPr>
                      <a:picLocks noChangeAspect="1"/>
                    </pic:cNvPicPr>
                  </pic:nvPicPr>
                  <pic:blipFill>
                    <a:blip r:embed="rId28"/>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36" name="图片 833" descr="附件：番禺区住房和城乡建设局等七部门关于印发《番禺区财政性投资建设项目工程变更管理规定》的通知_页面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833" descr="附件：番禺区住房和城乡建设局等七部门关于印发《番禺区财政性投资建设项目工程变更管理规定》的通知_页面_22"/>
                    <pic:cNvPicPr>
                      <a:picLocks noChangeAspect="1"/>
                    </pic:cNvPicPr>
                  </pic:nvPicPr>
                  <pic:blipFill>
                    <a:blip r:embed="rId29"/>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37" name="图片 832" descr="附件：番禺区住房和城乡建设局等七部门关于印发《番禺区财政性投资建设项目工程变更管理规定》的通知_页面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832" descr="附件：番禺区住房和城乡建设局等七部门关于印发《番禺区财政性投资建设项目工程变更管理规定》的通知_页面_23"/>
                    <pic:cNvPicPr>
                      <a:picLocks noChangeAspect="1"/>
                    </pic:cNvPicPr>
                  </pic:nvPicPr>
                  <pic:blipFill>
                    <a:blip r:embed="rId30"/>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38" name="图片 831" descr="附件：番禺区住房和城乡建设局等七部门关于印发《番禺区财政性投资建设项目工程变更管理规定》的通知_页面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831" descr="附件：番禺区住房和城乡建设局等七部门关于印发《番禺区财政性投资建设项目工程变更管理规定》的通知_页面_24"/>
                    <pic:cNvPicPr>
                      <a:picLocks noChangeAspect="1"/>
                    </pic:cNvPicPr>
                  </pic:nvPicPr>
                  <pic:blipFill>
                    <a:blip r:embed="rId31"/>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39" name="图片 830" descr="附件：番禺区住房和城乡建设局等七部门关于印发《番禺区财政性投资建设项目工程变更管理规定》的通知_页面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830" descr="附件：番禺区住房和城乡建设局等七部门关于印发《番禺区财政性投资建设项目工程变更管理规定》的通知_页面_25"/>
                    <pic:cNvPicPr>
                      <a:picLocks noChangeAspect="1"/>
                    </pic:cNvPicPr>
                  </pic:nvPicPr>
                  <pic:blipFill>
                    <a:blip r:embed="rId32"/>
                    <a:stretch>
                      <a:fillRect/>
                    </a:stretch>
                  </pic:blipFill>
                  <pic:spPr>
                    <a:xfrm>
                      <a:off x="0" y="0"/>
                      <a:ext cx="6115050" cy="8648065"/>
                    </a:xfrm>
                    <a:prstGeom prst="rect">
                      <a:avLst/>
                    </a:prstGeom>
                    <a:noFill/>
                    <a:ln>
                      <a:noFill/>
                    </a:ln>
                  </pic:spPr>
                </pic:pic>
              </a:graphicData>
            </a:graphic>
          </wp:inline>
        </w:drawing>
      </w:r>
      <w:r>
        <w:rPr>
          <w:rFonts w:hint="eastAsia" w:ascii="宋体" w:hAnsi="宋体" w:cs="宋体"/>
          <w:b/>
          <w:bCs/>
          <w:color w:val="auto"/>
          <w:kern w:val="0"/>
          <w:sz w:val="22"/>
          <w:szCs w:val="22"/>
          <w:highlight w:val="none"/>
        </w:rPr>
        <w:drawing>
          <wp:inline distT="0" distB="0" distL="114300" distR="114300">
            <wp:extent cx="6115050" cy="8648065"/>
            <wp:effectExtent l="0" t="0" r="0" b="635"/>
            <wp:docPr id="440" name="图片 829" descr="附件：番禺区住房和城乡建设局等七部门关于印发《番禺区财政性投资建设项目工程变更管理规定》的通知_页面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829" descr="附件：番禺区住房和城乡建设局等七部门关于印发《番禺区财政性投资建设项目工程变更管理规定》的通知_页面_26"/>
                    <pic:cNvPicPr>
                      <a:picLocks noChangeAspect="1"/>
                    </pic:cNvPicPr>
                  </pic:nvPicPr>
                  <pic:blipFill>
                    <a:blip r:embed="rId33"/>
                    <a:stretch>
                      <a:fillRect/>
                    </a:stretch>
                  </pic:blipFill>
                  <pic:spPr>
                    <a:xfrm>
                      <a:off x="0" y="0"/>
                      <a:ext cx="6115050" cy="8648065"/>
                    </a:xfrm>
                    <a:prstGeom prst="rect">
                      <a:avLst/>
                    </a:prstGeom>
                    <a:noFill/>
                    <a:ln>
                      <a:noFill/>
                    </a:ln>
                  </pic:spPr>
                </pic:pic>
              </a:graphicData>
            </a:graphic>
          </wp:inline>
        </w:drawing>
      </w:r>
      <w:bookmarkEnd w:id="988"/>
      <w:bookmarkEnd w:id="989"/>
      <w:bookmarkEnd w:id="990"/>
    </w:p>
    <w:p w14:paraId="1C4D28FF">
      <w:pPr>
        <w:spacing w:line="420" w:lineRule="exact"/>
        <w:outlineLvl w:val="1"/>
        <w:rPr>
          <w:rFonts w:ascii="宋体" w:hAnsi="宋体" w:cs="宋体"/>
          <w:b/>
          <w:bCs/>
          <w:color w:val="auto"/>
          <w:sz w:val="22"/>
          <w:szCs w:val="22"/>
          <w:highlight w:val="none"/>
        </w:rPr>
      </w:pPr>
      <w:bookmarkStart w:id="991" w:name="_Toc29351"/>
      <w:r>
        <w:rPr>
          <w:rFonts w:hint="eastAsia" w:ascii="宋体" w:hAnsi="宋体" w:cs="宋体"/>
          <w:b/>
          <w:bCs/>
          <w:color w:val="auto"/>
          <w:kern w:val="0"/>
          <w:sz w:val="22"/>
          <w:szCs w:val="22"/>
          <w:highlight w:val="none"/>
        </w:rPr>
        <w:br w:type="page"/>
      </w:r>
      <w:bookmarkEnd w:id="991"/>
      <w:bookmarkStart w:id="992" w:name="_Toc28841"/>
      <w:bookmarkStart w:id="993" w:name="_Toc19220"/>
      <w:bookmarkStart w:id="994" w:name="_Toc155166226"/>
      <w:bookmarkStart w:id="995" w:name="_Toc3134"/>
      <w:bookmarkStart w:id="996" w:name="_Toc28850"/>
      <w:r>
        <w:rPr>
          <w:rFonts w:hint="eastAsia" w:ascii="宋体" w:hAnsi="宋体" w:cs="宋体"/>
          <w:b/>
          <w:bCs/>
          <w:color w:val="auto"/>
          <w:sz w:val="22"/>
          <w:szCs w:val="22"/>
          <w:highlight w:val="none"/>
        </w:rPr>
        <w:t>附件八：广州市建委关于加强市政重点工程文明施工管理的通知</w:t>
      </w:r>
      <w:bookmarkEnd w:id="992"/>
      <w:bookmarkEnd w:id="993"/>
      <w:bookmarkEnd w:id="994"/>
      <w:bookmarkEnd w:id="995"/>
      <w:bookmarkEnd w:id="996"/>
    </w:p>
    <w:p w14:paraId="48F19970">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广州市建委关于加强市政重点工程文明施工管理的通知</w:t>
      </w:r>
    </w:p>
    <w:p w14:paraId="740F5376">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穗建筑[2006]411号</w:t>
      </w:r>
    </w:p>
    <w:p w14:paraId="0F84CFC8">
      <w:pPr>
        <w:spacing w:line="560" w:lineRule="exact"/>
        <w:rPr>
          <w:rFonts w:hAnsi="宋体"/>
          <w:color w:val="auto"/>
          <w:sz w:val="24"/>
          <w:highlight w:val="none"/>
        </w:rPr>
      </w:pPr>
      <w:r>
        <w:rPr>
          <w:rFonts w:hint="eastAsia" w:hAnsi="宋体"/>
          <w:color w:val="auto"/>
          <w:sz w:val="24"/>
          <w:highlight w:val="none"/>
        </w:rPr>
        <w:t xml:space="preserve">市城管综合执法支队、市建设工程安全监督站、市市政工程安全质量监督站，各区（县级市）建设局，各市政重点工程建设业主、施工、监理单位： </w:t>
      </w:r>
    </w:p>
    <w:p w14:paraId="3E4D9F4E">
      <w:pPr>
        <w:spacing w:line="560" w:lineRule="exact"/>
        <w:ind w:firstLine="480" w:firstLineChars="200"/>
        <w:rPr>
          <w:rFonts w:hAnsi="宋体"/>
          <w:color w:val="auto"/>
          <w:sz w:val="24"/>
          <w:highlight w:val="none"/>
        </w:rPr>
      </w:pPr>
      <w:r>
        <w:rPr>
          <w:rFonts w:hint="eastAsia" w:hAnsi="宋体"/>
          <w:color w:val="auto"/>
          <w:sz w:val="24"/>
          <w:highlight w:val="none"/>
        </w:rPr>
        <w:t>为建设一个适宜城市居民居住、生活的良好环境，树立市政重点工程文明施工的良好形象，现将进一步加强市政重点工程文明施工的有关要求通知如下：</w:t>
      </w:r>
    </w:p>
    <w:p w14:paraId="56CD60AF">
      <w:pPr>
        <w:spacing w:line="560" w:lineRule="exact"/>
        <w:ind w:firstLine="480" w:firstLineChars="200"/>
        <w:rPr>
          <w:rFonts w:hAnsi="宋体"/>
          <w:color w:val="auto"/>
          <w:sz w:val="24"/>
          <w:highlight w:val="none"/>
        </w:rPr>
      </w:pPr>
      <w:r>
        <w:rPr>
          <w:rFonts w:hint="eastAsia" w:hAnsi="宋体"/>
          <w:color w:val="auto"/>
          <w:sz w:val="24"/>
          <w:highlight w:val="none"/>
        </w:rPr>
        <w:t xml:space="preserve">一、施工单位负有实施文明施工的主要责任；建设单位负有对施工单位文明施工进行监督管理的责任，应根据合同条款加强管理，严格要求施工单位实施文明施工，不得要求施工单位降低标准；监理单位应督促和指导施工单位做好文明施工各项措施的落实；城市管理综合执法部门、工程安全监督部门应根据职责，加大监督惩处力度。 </w:t>
      </w:r>
    </w:p>
    <w:p w14:paraId="7614406B">
      <w:pPr>
        <w:spacing w:line="560" w:lineRule="exact"/>
        <w:ind w:firstLine="480" w:firstLineChars="200"/>
        <w:rPr>
          <w:rFonts w:hAnsi="宋体"/>
          <w:color w:val="auto"/>
          <w:sz w:val="24"/>
          <w:highlight w:val="none"/>
        </w:rPr>
      </w:pPr>
      <w:r>
        <w:rPr>
          <w:rFonts w:hint="eastAsia" w:hAnsi="宋体"/>
          <w:color w:val="auto"/>
          <w:sz w:val="24"/>
          <w:highlight w:val="none"/>
        </w:rPr>
        <w:t>施工单位应设专人负责文明施工设施的维护管理，发现围蔽设施损坏、安全警示标志、标牌残缺、损毁或路面破损、排水堵塞等，要及时更换或维修。</w:t>
      </w:r>
    </w:p>
    <w:p w14:paraId="5944968B">
      <w:pPr>
        <w:spacing w:line="560" w:lineRule="exact"/>
        <w:ind w:firstLine="480" w:firstLineChars="200"/>
        <w:rPr>
          <w:rFonts w:hAnsi="宋体"/>
          <w:color w:val="auto"/>
          <w:sz w:val="24"/>
          <w:highlight w:val="none"/>
        </w:rPr>
      </w:pPr>
      <w:r>
        <w:rPr>
          <w:rFonts w:hint="eastAsia" w:hAnsi="宋体"/>
          <w:color w:val="auto"/>
          <w:sz w:val="24"/>
          <w:highlight w:val="none"/>
        </w:rPr>
        <w:t xml:space="preserve">二、施工现场应按照我委《关于工程建设公告事项的通知》（穗建筑〔2005〕626号）设置施工标牌。 </w:t>
      </w:r>
    </w:p>
    <w:p w14:paraId="3927CA63">
      <w:pPr>
        <w:spacing w:line="560" w:lineRule="exact"/>
        <w:ind w:firstLine="480" w:firstLineChars="200"/>
        <w:rPr>
          <w:rFonts w:hAnsi="宋体"/>
          <w:color w:val="auto"/>
          <w:sz w:val="24"/>
          <w:highlight w:val="none"/>
        </w:rPr>
      </w:pPr>
      <w:r>
        <w:rPr>
          <w:rFonts w:hint="eastAsia" w:hAnsi="宋体"/>
          <w:color w:val="auto"/>
          <w:sz w:val="24"/>
          <w:highlight w:val="none"/>
        </w:rPr>
        <w:t xml:space="preserve">三、文明施工的围蔽必须是全新或经翻修后达到全新效果的设施，具体围蔽标准如下： </w:t>
      </w:r>
    </w:p>
    <w:p w14:paraId="2D675C07">
      <w:pPr>
        <w:spacing w:line="560" w:lineRule="exact"/>
        <w:ind w:firstLine="480" w:firstLineChars="200"/>
        <w:rPr>
          <w:rFonts w:hAnsi="宋体"/>
          <w:color w:val="auto"/>
          <w:sz w:val="24"/>
          <w:highlight w:val="none"/>
        </w:rPr>
      </w:pPr>
      <w:r>
        <w:rPr>
          <w:rFonts w:hint="eastAsia" w:hAnsi="宋体"/>
          <w:color w:val="auto"/>
          <w:sz w:val="24"/>
          <w:highlight w:val="none"/>
        </w:rPr>
        <w:t>（一）施工期限超过半年的，施工现场采用砖砌围墙围蔽，围墙统一采用砖砌18 墙，高度2 米以上并压顶。围墙形式力求美观，与周围环境协调。砌筑围墙时必须砌筑基础底脚和墙柱，基础底脚埋地深度不小于50 厘米，（在砼或沥青路上有坚实基础的除外。）墙柱与墙柱之间距离不大于3 米，墙柱与墙体连接必须牢固、安全、可靠，外墙面要批荡抹光作刷白处理。并将工程项目名称、建设单位、施工单位及监理单位清晰标注在围墙上。</w:t>
      </w:r>
    </w:p>
    <w:p w14:paraId="7AAA503F">
      <w:pPr>
        <w:spacing w:line="560" w:lineRule="exact"/>
        <w:ind w:firstLine="480" w:firstLineChars="200"/>
        <w:rPr>
          <w:rFonts w:hAnsi="宋体"/>
          <w:color w:val="auto"/>
          <w:sz w:val="24"/>
          <w:highlight w:val="none"/>
        </w:rPr>
      </w:pPr>
      <w:r>
        <w:rPr>
          <w:rFonts w:hint="eastAsia" w:hAnsi="宋体"/>
          <w:color w:val="auto"/>
          <w:sz w:val="24"/>
          <w:highlight w:val="none"/>
        </w:rPr>
        <w:t xml:space="preserve">（二）在车行道上作业，施工期限在半年以下的，施工现场采用弧形彩色压型钢板讲行围蔽，围蔽部分应呈矩形，平衡于道路中线设置。弧形彩色压型钢板的高度为2 米，架设弧形彩色压型钢板时必须设置支座和支柱，支柱间的间距不大于3 米，支座、支往、弧形彩色压型钢板的连接必须牢固、安全、可靠。围蔽设施的颜色必须整齐划一，并将工程项目名称、建设单位、施工单位及监理单位清晰标注在围蔽板上。 </w:t>
      </w:r>
    </w:p>
    <w:p w14:paraId="1E13B778">
      <w:pPr>
        <w:spacing w:line="560" w:lineRule="exact"/>
        <w:ind w:firstLine="480" w:firstLineChars="200"/>
        <w:rPr>
          <w:rFonts w:hAnsi="宋体"/>
          <w:color w:val="auto"/>
          <w:sz w:val="24"/>
          <w:highlight w:val="none"/>
        </w:rPr>
      </w:pPr>
      <w:r>
        <w:rPr>
          <w:rFonts w:hint="eastAsia" w:hAnsi="宋体"/>
          <w:color w:val="auto"/>
          <w:sz w:val="24"/>
          <w:highlight w:val="none"/>
        </w:rPr>
        <w:t xml:space="preserve">（三）在人行道上作业，施工期限在半年以下，15 天以上的，施工现场采用弧形彩色压型钢板进行围蔽。 </w:t>
      </w:r>
    </w:p>
    <w:p w14:paraId="7F01CDF9">
      <w:pPr>
        <w:spacing w:line="560" w:lineRule="exact"/>
        <w:ind w:firstLine="480" w:firstLineChars="200"/>
        <w:rPr>
          <w:rFonts w:hAnsi="宋体"/>
          <w:color w:val="auto"/>
          <w:sz w:val="24"/>
          <w:highlight w:val="none"/>
        </w:rPr>
      </w:pPr>
      <w:r>
        <w:rPr>
          <w:rFonts w:hint="eastAsia" w:hAnsi="宋体"/>
          <w:color w:val="auto"/>
          <w:sz w:val="24"/>
          <w:highlight w:val="none"/>
        </w:rPr>
        <w:t>（四）在人行道上作业，施工期限在15 天以下的，施工现场采用标准钢护栏连续密扣围蔽。</w:t>
      </w:r>
    </w:p>
    <w:p w14:paraId="34101629">
      <w:pPr>
        <w:spacing w:line="560" w:lineRule="exact"/>
        <w:ind w:firstLine="480" w:firstLineChars="200"/>
        <w:rPr>
          <w:rFonts w:hAnsi="宋体"/>
          <w:color w:val="auto"/>
          <w:sz w:val="24"/>
          <w:highlight w:val="none"/>
        </w:rPr>
      </w:pPr>
      <w:r>
        <w:rPr>
          <w:rFonts w:hint="eastAsia" w:hAnsi="宋体"/>
          <w:color w:val="auto"/>
          <w:sz w:val="24"/>
          <w:highlight w:val="none"/>
        </w:rPr>
        <w:t>四、大型的市政工程或挖掘、占用道路面积较大、时间超过30 日及在城市主干道车行道施工等，对交通影响较大的，建设单位和施工单位应制定详尽的、有可操作性的交通组织疏导方案及应急预案，所需费用由建设单位负责。根据交通组织疏导方案，需建设临时施工疏解道路的，其建设标准不得低于市政道路建设标准，确保将工程施工对交通的影响减至最少。在交通繁忙期间，施工单位应设有专人协助公安交通管理部门维护交通秩序。</w:t>
      </w:r>
    </w:p>
    <w:p w14:paraId="61AFD4F6">
      <w:pPr>
        <w:spacing w:line="560" w:lineRule="exact"/>
        <w:ind w:firstLine="480" w:firstLineChars="200"/>
        <w:rPr>
          <w:rFonts w:hAnsi="宋体"/>
          <w:color w:val="auto"/>
          <w:sz w:val="24"/>
          <w:highlight w:val="none"/>
        </w:rPr>
      </w:pPr>
      <w:r>
        <w:rPr>
          <w:rFonts w:hint="eastAsia" w:hAnsi="宋体"/>
          <w:color w:val="auto"/>
          <w:sz w:val="24"/>
          <w:highlight w:val="none"/>
        </w:rPr>
        <w:t>五、建设单位在施工组织方案确定之前，应当会同设计单位、施工单位和排水、通讯、供电等有关地下管线单位，对施工可能造成周围建（构）筑物、地下管线损坏、堵塞的现场进行勘查，并制订相应的防范措施，确保施工和地下管线设施安全。</w:t>
      </w:r>
    </w:p>
    <w:p w14:paraId="710A0D32">
      <w:pPr>
        <w:spacing w:line="560" w:lineRule="exact"/>
        <w:ind w:firstLine="480" w:firstLineChars="200"/>
        <w:rPr>
          <w:rFonts w:hAnsi="宋体"/>
          <w:color w:val="auto"/>
          <w:sz w:val="24"/>
          <w:highlight w:val="none"/>
        </w:rPr>
      </w:pPr>
      <w:r>
        <w:rPr>
          <w:rFonts w:hint="eastAsia" w:hAnsi="宋体"/>
          <w:color w:val="auto"/>
          <w:sz w:val="24"/>
          <w:highlight w:val="none"/>
        </w:rPr>
        <w:t xml:space="preserve">六、为确保道路交通安全，在施工现场的起止点以及对车辆、行人通行安全有影响的位置，必须设置危险警示灯具。在车行道上施工作业，必须在来车方向提前设置施工标志牌、交通导向牌和危险警示闪灯等，提示和引导车辆有序、安全通行。 </w:t>
      </w:r>
    </w:p>
    <w:p w14:paraId="4823ED47">
      <w:pPr>
        <w:spacing w:line="560" w:lineRule="exact"/>
        <w:ind w:firstLine="480" w:firstLineChars="200"/>
        <w:rPr>
          <w:rFonts w:hAnsi="宋体"/>
          <w:color w:val="auto"/>
          <w:sz w:val="24"/>
          <w:highlight w:val="none"/>
        </w:rPr>
      </w:pPr>
      <w:r>
        <w:rPr>
          <w:rFonts w:hint="eastAsia" w:hAnsi="宋体"/>
          <w:color w:val="auto"/>
          <w:sz w:val="24"/>
          <w:highlight w:val="none"/>
        </w:rPr>
        <w:t xml:space="preserve">七、施工现场的材料和机械设备，不得堆放在围蔽设施外。确需要占用堆放的，应采用标准钢护栏连续密扣围蔽，堆放的高度不得高于1.6 米。临占道路的施工现场内原则不得设置宿舍、厨房、厕所等设施，以减少临占道路面积。确需设置的，经工程所在地区（县级市）建设行政主管部门批准，可按照我委《关于加强施工用临时设施建造管理的通知》（穗建筑[2005]784号）规定建设临时房屋设施。 </w:t>
      </w:r>
    </w:p>
    <w:p w14:paraId="5BDAD57D">
      <w:pPr>
        <w:spacing w:line="560" w:lineRule="exact"/>
        <w:ind w:firstLine="480" w:firstLineChars="200"/>
        <w:rPr>
          <w:rFonts w:hAnsi="宋体"/>
          <w:color w:val="auto"/>
          <w:sz w:val="24"/>
          <w:highlight w:val="none"/>
        </w:rPr>
      </w:pPr>
      <w:r>
        <w:rPr>
          <w:rFonts w:hint="eastAsia" w:hAnsi="宋体"/>
          <w:color w:val="auto"/>
          <w:sz w:val="24"/>
          <w:highlight w:val="none"/>
        </w:rPr>
        <w:t>八、施工所产生的施工污水必须经过有效沉淀预处理后并达到城市污水排放标准，方可排放。不得直接向路面排放。施工产生的余泥应在24 小时内清运完毕。在城市主干道及人流稠密、交通繁忙等特殊路段，余泥应立即清运。</w:t>
      </w:r>
    </w:p>
    <w:p w14:paraId="6D0A6258">
      <w:pPr>
        <w:spacing w:line="560" w:lineRule="exact"/>
        <w:ind w:firstLine="480" w:firstLineChars="200"/>
        <w:rPr>
          <w:rFonts w:hAnsi="宋体"/>
          <w:color w:val="auto"/>
          <w:sz w:val="24"/>
          <w:highlight w:val="none"/>
        </w:rPr>
      </w:pPr>
      <w:r>
        <w:rPr>
          <w:rFonts w:hint="eastAsia" w:hAnsi="宋体"/>
          <w:color w:val="auto"/>
          <w:sz w:val="24"/>
          <w:highlight w:val="none"/>
        </w:rPr>
        <w:t>九、地下管线挖掘工程应分段挖掘施工，分段竣工验收，分段修复道路。每一施工段长度原则不得超过300 米，特殊原因经批准，可适当延长。</w:t>
      </w:r>
    </w:p>
    <w:p w14:paraId="3F4928FE">
      <w:pPr>
        <w:spacing w:line="560" w:lineRule="exact"/>
        <w:ind w:firstLine="480" w:firstLineChars="200"/>
        <w:rPr>
          <w:rFonts w:hint="eastAsia" w:hAnsi="宋体"/>
          <w:color w:val="auto"/>
          <w:sz w:val="24"/>
          <w:highlight w:val="none"/>
        </w:rPr>
      </w:pPr>
      <w:r>
        <w:rPr>
          <w:rFonts w:hint="eastAsia" w:hAnsi="宋体"/>
          <w:color w:val="auto"/>
          <w:sz w:val="24"/>
          <w:highlight w:val="none"/>
        </w:rPr>
        <w:t>十、需要占用或挖掘道路的，建设单位必须向市政、公安交通管理部门申请，办理城市道路临时占用、城市道路挖掘的审批手续，经批准后，方可占用或挖掘城市道路。施工时须在施工现场的显著位置，悬挂市政管理部门核发的《城市道路临时占用许可证》 或《挖掘道路许可证》。</w:t>
      </w:r>
    </w:p>
    <w:p w14:paraId="095B4A7C">
      <w:pPr>
        <w:spacing w:line="560" w:lineRule="exact"/>
        <w:ind w:firstLine="480" w:firstLineChars="200"/>
        <w:rPr>
          <w:rFonts w:hint="eastAsia" w:hAnsi="宋体"/>
          <w:color w:val="auto"/>
          <w:sz w:val="24"/>
          <w:highlight w:val="none"/>
        </w:rPr>
      </w:pPr>
    </w:p>
    <w:p w14:paraId="6EA3ABC8">
      <w:pPr>
        <w:spacing w:line="560" w:lineRule="exact"/>
        <w:ind w:firstLine="480" w:firstLineChars="200"/>
        <w:jc w:val="center"/>
        <w:rPr>
          <w:rFonts w:hAnsi="宋体"/>
          <w:color w:val="auto"/>
          <w:sz w:val="24"/>
          <w:highlight w:val="none"/>
        </w:rPr>
      </w:pPr>
      <w:bookmarkStart w:id="997" w:name="_Toc13527"/>
      <w:bookmarkStart w:id="998" w:name="_Toc4328"/>
      <w:bookmarkStart w:id="999" w:name="_Toc185"/>
      <w:bookmarkStart w:id="1000" w:name="_Toc10429"/>
      <w:bookmarkStart w:id="1001" w:name="_Toc24232"/>
      <w:r>
        <w:rPr>
          <w:rFonts w:hint="eastAsia" w:hAnsi="宋体"/>
          <w:color w:val="auto"/>
          <w:sz w:val="24"/>
          <w:highlight w:val="none"/>
        </w:rPr>
        <w:t>（本页下无正文）</w:t>
      </w:r>
      <w:bookmarkEnd w:id="997"/>
      <w:bookmarkEnd w:id="998"/>
      <w:bookmarkEnd w:id="999"/>
      <w:bookmarkEnd w:id="1000"/>
      <w:bookmarkEnd w:id="1001"/>
    </w:p>
    <w:p w14:paraId="3E6CE901">
      <w:pPr>
        <w:spacing w:line="420" w:lineRule="exact"/>
        <w:outlineLvl w:val="1"/>
        <w:rPr>
          <w:rFonts w:ascii="宋体" w:hAnsi="宋体" w:cs="宋体"/>
          <w:b/>
          <w:bCs/>
          <w:color w:val="auto"/>
          <w:sz w:val="22"/>
          <w:szCs w:val="22"/>
          <w:highlight w:val="none"/>
        </w:rPr>
      </w:pPr>
      <w:r>
        <w:rPr>
          <w:rFonts w:ascii="宋体" w:hAnsi="宋体"/>
          <w:color w:val="auto"/>
          <w:sz w:val="24"/>
          <w:highlight w:val="none"/>
        </w:rPr>
        <w:br w:type="page"/>
      </w:r>
      <w:bookmarkStart w:id="1002" w:name="_Toc155166227"/>
      <w:bookmarkStart w:id="1003" w:name="_Toc8173"/>
      <w:bookmarkStart w:id="1004" w:name="_Toc21915"/>
      <w:bookmarkStart w:id="1005" w:name="_Toc21664"/>
      <w:bookmarkStart w:id="1006" w:name="_Toc13645"/>
      <w:r>
        <w:rPr>
          <w:rFonts w:hint="eastAsia" w:ascii="宋体" w:hAnsi="宋体" w:cs="宋体"/>
          <w:b/>
          <w:bCs/>
          <w:color w:val="auto"/>
          <w:sz w:val="22"/>
          <w:szCs w:val="22"/>
          <w:highlight w:val="none"/>
        </w:rPr>
        <w:t>附件九：关于加强市政重点工程文明施工管理的通知</w:t>
      </w:r>
      <w:bookmarkEnd w:id="1002"/>
      <w:bookmarkEnd w:id="1003"/>
      <w:bookmarkEnd w:id="1004"/>
      <w:bookmarkEnd w:id="1005"/>
      <w:bookmarkEnd w:id="1006"/>
    </w:p>
    <w:p w14:paraId="3BE45CE0">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转发广州市建设委员会《关于加强市政重点工程文明施工管理的通知》的通知</w:t>
      </w:r>
    </w:p>
    <w:p w14:paraId="514ABB51">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番建发[2006]41号</w:t>
      </w:r>
    </w:p>
    <w:p w14:paraId="7C1CB7A4">
      <w:pPr>
        <w:spacing w:line="360" w:lineRule="auto"/>
        <w:rPr>
          <w:rFonts w:hint="eastAsia" w:ascii="宋体" w:hAnsi="宋体"/>
          <w:color w:val="auto"/>
          <w:sz w:val="24"/>
          <w:highlight w:val="none"/>
        </w:rPr>
      </w:pPr>
      <w:r>
        <w:rPr>
          <w:rFonts w:hint="eastAsia" w:ascii="宋体" w:hAnsi="宋体"/>
          <w:color w:val="auto"/>
          <w:sz w:val="24"/>
          <w:highlight w:val="none"/>
        </w:rPr>
        <w:t>各有关单位：</w:t>
      </w:r>
    </w:p>
    <w:p w14:paraId="38ED6134">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为建设适宜城市居民居住和生活的良好环境，树立市政重点工程文明施工的良好形象，确立建设、监理、施工单位在落实文明施工中的责任以及文明施工在实施过程中的相关规定。现将广州市建设委员会《关于加强市重点文明施工管理的通知》（穗建筑[2006]411号）转发给你们，并结合我区实际情况，提出以下要求，请一并贯彻执行：</w:t>
      </w:r>
    </w:p>
    <w:p w14:paraId="785B4BD2">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一、全面落实文明施工责任制。施工单位负有实施文明施工的主要责任；建设单位负有对施工单位文明施工进行监督管理的责任；监理单位应督促和指导施工单位做好文明施工各项措施的落实；工程安全监督部门应根据职责，加大监督惩处力度。</w:t>
      </w:r>
    </w:p>
    <w:p w14:paraId="25088C91">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二、施工期间要确保交通安全。为确保安全，施工区域与非施工区域必须按要求设置砖砌围墙、弧形彩色压型钢板等围蔽；施工中出现沟、井、槽、坑时应设置防护装置和警示标志及夜间警示灯；在恶劣天气或交通繁忙期间，应设专人值班，协助公安交通管理部门维护交通秩序，确保行人及车辆安全。</w:t>
      </w:r>
    </w:p>
    <w:p w14:paraId="451A24AB">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三、施工现场要注意做好环境保护工作。施工现场内外均不得堆放沙石、灰土类施工物料，工程弃土应当及时清运；禁止使用鼓风机吹扫路基浮土或其它能造成严重粉尘污染的施工。疏通工地内外排水设施，确保工地内及周边排水通畅；施工所产生的施工污水必须经过有效沉淀或预处理，并达到城市污水排放标准后，方可排放。</w:t>
      </w:r>
    </w:p>
    <w:p w14:paraId="60237DF7">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四、地下管线挖掘工程要分段施工，分段竣工验收，分段修复道路。每一施工段长度一般不得超过300米。</w:t>
      </w:r>
    </w:p>
    <w:p w14:paraId="32CDDA18">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五、施工时必须要在醒目位置处设置文明施工公示标牌，并清楚注明上监督举报电话。如为占用或挖掘城市道路，则必须悬挂市政管理部门核发的占用道路审批表或《番禺区市政园林管理局城市道路挖掘许可证》。</w:t>
      </w:r>
    </w:p>
    <w:p w14:paraId="47E5D22B">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特此通知</w:t>
      </w:r>
    </w:p>
    <w:p w14:paraId="25E82AB4">
      <w:pPr>
        <w:spacing w:line="360" w:lineRule="auto"/>
        <w:rPr>
          <w:rFonts w:hint="eastAsia" w:ascii="宋体" w:hAnsi="宋体"/>
          <w:color w:val="auto"/>
          <w:sz w:val="24"/>
          <w:highlight w:val="none"/>
        </w:rPr>
      </w:pPr>
      <w:r>
        <w:rPr>
          <w:rFonts w:hint="eastAsia" w:ascii="宋体" w:hAnsi="宋体"/>
          <w:color w:val="auto"/>
          <w:sz w:val="24"/>
          <w:highlight w:val="none"/>
        </w:rPr>
        <w:t>附件：《关于加强市政重点工程文明施工管理的通知》</w:t>
      </w:r>
    </w:p>
    <w:p w14:paraId="660BD49B">
      <w:pPr>
        <w:spacing w:line="360" w:lineRule="auto"/>
        <w:jc w:val="right"/>
        <w:rPr>
          <w:rFonts w:ascii="宋体" w:hAnsi="宋体"/>
          <w:color w:val="auto"/>
          <w:sz w:val="24"/>
          <w:highlight w:val="none"/>
        </w:rPr>
      </w:pPr>
      <w:r>
        <w:rPr>
          <w:rFonts w:hint="eastAsia" w:ascii="宋体" w:hAnsi="宋体"/>
          <w:color w:val="auto"/>
          <w:sz w:val="24"/>
          <w:highlight w:val="none"/>
        </w:rPr>
        <w:t>二○○六年八月十七日</w:t>
      </w:r>
    </w:p>
    <w:p w14:paraId="251B7806">
      <w:pPr>
        <w:spacing w:before="0" w:beforeLines="0" w:after="0" w:afterLines="0" w:line="420" w:lineRule="exact"/>
        <w:outlineLvl w:val="1"/>
        <w:rPr>
          <w:rFonts w:ascii="宋体" w:hAnsi="宋体" w:cs="宋体"/>
          <w:b/>
          <w:bCs/>
          <w:color w:val="auto"/>
          <w:sz w:val="22"/>
          <w:szCs w:val="22"/>
          <w:highlight w:val="none"/>
        </w:rPr>
      </w:pPr>
      <w:r>
        <w:rPr>
          <w:color w:val="auto"/>
          <w:highlight w:val="none"/>
        </w:rPr>
        <w:br w:type="page"/>
      </w:r>
      <w:bookmarkStart w:id="1007" w:name="_Toc24484"/>
      <w:bookmarkStart w:id="1008" w:name="_Toc27015"/>
      <w:bookmarkStart w:id="1009" w:name="_Toc155166228"/>
      <w:bookmarkStart w:id="1010" w:name="_Toc4846"/>
      <w:bookmarkStart w:id="1011" w:name="_Toc17935"/>
      <w:r>
        <w:rPr>
          <w:rFonts w:hint="eastAsia" w:ascii="宋体" w:hAnsi="宋体" w:cs="宋体"/>
          <w:b/>
          <w:bCs/>
          <w:color w:val="auto"/>
          <w:sz w:val="22"/>
          <w:szCs w:val="22"/>
          <w:highlight w:val="none"/>
        </w:rPr>
        <w:t>附件十：中标通知书</w:t>
      </w:r>
      <w:bookmarkEnd w:id="1007"/>
      <w:bookmarkEnd w:id="1008"/>
      <w:bookmarkEnd w:id="1009"/>
      <w:bookmarkEnd w:id="1010"/>
      <w:bookmarkEnd w:id="1011"/>
    </w:p>
    <w:p w14:paraId="017D5514">
      <w:pPr>
        <w:tabs>
          <w:tab w:val="left" w:pos="1080"/>
        </w:tabs>
        <w:adjustRightInd w:val="0"/>
        <w:snapToGrid w:val="0"/>
        <w:spacing w:line="360" w:lineRule="auto"/>
        <w:ind w:firstLine="482" w:firstLineChars="200"/>
        <w:jc w:val="center"/>
        <w:rPr>
          <w:rFonts w:hint="eastAsia" w:ascii="宋体" w:hAnsi="宋体"/>
          <w:b/>
          <w:color w:val="auto"/>
          <w:sz w:val="24"/>
          <w:highlight w:val="none"/>
        </w:rPr>
      </w:pPr>
      <w:r>
        <w:rPr>
          <w:rFonts w:hint="eastAsia" w:ascii="宋体" w:hAnsi="宋体"/>
          <w:b/>
          <w:color w:val="auto"/>
          <w:sz w:val="24"/>
          <w:highlight w:val="none"/>
        </w:rPr>
        <w:t>中标通知书</w:t>
      </w:r>
    </w:p>
    <w:p w14:paraId="7A7DB18A">
      <w:pPr>
        <w:spacing w:line="360" w:lineRule="auto"/>
        <w:rPr>
          <w:rFonts w:ascii="宋体" w:hAnsi="宋体"/>
          <w:color w:val="auto"/>
          <w:sz w:val="24"/>
          <w:highlight w:val="none"/>
        </w:rPr>
      </w:pPr>
    </w:p>
    <w:p w14:paraId="566EA43F">
      <w:pPr>
        <w:spacing w:line="360" w:lineRule="auto"/>
        <w:rPr>
          <w:rFonts w:hint="eastAsia" w:ascii="宋体" w:hAnsi="宋体"/>
          <w:color w:val="auto"/>
          <w:sz w:val="24"/>
          <w:highlight w:val="none"/>
        </w:rPr>
      </w:pPr>
    </w:p>
    <w:p w14:paraId="687B1042">
      <w:pPr>
        <w:spacing w:line="420" w:lineRule="exact"/>
        <w:outlineLvl w:val="1"/>
        <w:rPr>
          <w:rFonts w:ascii="宋体" w:hAnsi="宋体" w:cs="宋体"/>
          <w:b/>
          <w:bCs/>
          <w:color w:val="auto"/>
          <w:sz w:val="22"/>
          <w:szCs w:val="22"/>
          <w:highlight w:val="none"/>
        </w:rPr>
      </w:pPr>
      <w:r>
        <w:rPr>
          <w:rFonts w:ascii="宋体" w:hAnsi="宋体"/>
          <w:color w:val="auto"/>
          <w:sz w:val="24"/>
          <w:highlight w:val="none"/>
        </w:rPr>
        <w:br w:type="page"/>
      </w:r>
      <w:bookmarkStart w:id="1012" w:name="_Toc5867"/>
      <w:bookmarkStart w:id="1013" w:name="_Toc24586"/>
      <w:bookmarkStart w:id="1014" w:name="_Toc155166229"/>
      <w:bookmarkStart w:id="1015" w:name="_Toc30620"/>
      <w:bookmarkStart w:id="1016" w:name="_Toc4435"/>
      <w:r>
        <w:rPr>
          <w:rFonts w:hint="eastAsia" w:ascii="宋体" w:hAnsi="宋体" w:cs="宋体"/>
          <w:b/>
          <w:bCs/>
          <w:color w:val="auto"/>
          <w:sz w:val="22"/>
          <w:szCs w:val="22"/>
          <w:highlight w:val="none"/>
        </w:rPr>
        <w:t>附件十一：施工管理及处罚条例</w:t>
      </w:r>
      <w:bookmarkEnd w:id="1012"/>
      <w:bookmarkEnd w:id="1013"/>
      <w:bookmarkEnd w:id="1014"/>
      <w:bookmarkEnd w:id="1015"/>
      <w:bookmarkEnd w:id="1016"/>
    </w:p>
    <w:p w14:paraId="74451D03">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施工管理及处罚条例</w:t>
      </w:r>
    </w:p>
    <w:p w14:paraId="339FCB72">
      <w:pPr>
        <w:adjustRightInd w:val="0"/>
        <w:snapToGrid w:val="0"/>
        <w:spacing w:line="360" w:lineRule="auto"/>
        <w:ind w:right="11" w:firstLine="463" w:firstLineChars="19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注：如本条例涉及承包人权利义务的，请承包人仔细阅读。本合同签订后，将视为承包人同意接受本条例约束。</w:t>
      </w:r>
    </w:p>
    <w:p w14:paraId="202699E8">
      <w:pPr>
        <w:adjustRightInd w:val="0"/>
        <w:snapToGrid w:val="0"/>
        <w:spacing w:line="360" w:lineRule="auto"/>
        <w:ind w:right="11" w:firstLine="463" w:firstLineChars="192"/>
        <w:rPr>
          <w:rFonts w:hint="eastAsia" w:ascii="宋体" w:hAnsi="宋体"/>
          <w:b/>
          <w:snapToGrid w:val="0"/>
          <w:color w:val="auto"/>
          <w:kern w:val="0"/>
          <w:sz w:val="24"/>
          <w:highlight w:val="none"/>
        </w:rPr>
      </w:pPr>
    </w:p>
    <w:p w14:paraId="19948D8A">
      <w:pPr>
        <w:adjustRightInd w:val="0"/>
        <w:snapToGrid w:val="0"/>
        <w:spacing w:line="360" w:lineRule="auto"/>
        <w:ind w:right="11" w:firstLine="540" w:firstLineChars="192"/>
        <w:rPr>
          <w:rFonts w:hint="eastAsia" w:ascii="宋体" w:hAnsi="宋体"/>
          <w:b/>
          <w:snapToGrid w:val="0"/>
          <w:color w:val="auto"/>
          <w:kern w:val="0"/>
          <w:sz w:val="28"/>
          <w:szCs w:val="28"/>
          <w:highlight w:val="none"/>
        </w:rPr>
      </w:pPr>
      <w:bookmarkStart w:id="1017" w:name="_Toc14426"/>
      <w:bookmarkStart w:id="1018" w:name="_Toc26371"/>
      <w:bookmarkStart w:id="1019" w:name="_Toc24965"/>
      <w:bookmarkStart w:id="1020" w:name="_Toc6360"/>
      <w:bookmarkStart w:id="1021" w:name="_Toc29697"/>
      <w:r>
        <w:rPr>
          <w:rFonts w:hint="eastAsia" w:ascii="宋体" w:hAnsi="宋体"/>
          <w:b/>
          <w:snapToGrid w:val="0"/>
          <w:color w:val="auto"/>
          <w:kern w:val="0"/>
          <w:sz w:val="28"/>
          <w:szCs w:val="28"/>
          <w:highlight w:val="none"/>
        </w:rPr>
        <w:t>一、工程组织管理方面的违约责任</w:t>
      </w:r>
      <w:bookmarkEnd w:id="1017"/>
      <w:bookmarkEnd w:id="1018"/>
      <w:bookmarkEnd w:id="1019"/>
      <w:bookmarkEnd w:id="1020"/>
      <w:bookmarkEnd w:id="1021"/>
    </w:p>
    <w:p w14:paraId="74249567">
      <w:pPr>
        <w:adjustRightInd w:val="0"/>
        <w:snapToGrid w:val="0"/>
        <w:spacing w:line="360" w:lineRule="auto"/>
        <w:ind w:right="0"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承包人违反发包人通过监理单位下达指令，不服从发包人及监理单位的管理，对发包人、监理单位的指令和书面通知公开或变相拒不执行的，视为承包人违约，发包人视情节严重程度有权要求其承担1或2次违约责任，并由承包人承担由此造成的一切经济损失。同时向发包人缴纳违约金，每次罚款壹万元。情节特别严重的（指已给予2次违约处罚或书面警告3次以上的），向发包人缴纳违约金，每次罚款</w:t>
      </w:r>
      <w:r>
        <w:rPr>
          <w:rFonts w:hint="eastAsia" w:ascii="宋体" w:hAnsi="宋体"/>
          <w:bCs/>
          <w:snapToGrid w:val="0"/>
          <w:color w:val="auto"/>
          <w:kern w:val="0"/>
          <w:sz w:val="24"/>
          <w:highlight w:val="none"/>
          <w:lang w:val="en-US" w:eastAsia="zh-CN"/>
        </w:rPr>
        <w:t>1</w:t>
      </w:r>
      <w:r>
        <w:rPr>
          <w:rFonts w:hint="eastAsia" w:ascii="宋体" w:hAnsi="宋体"/>
          <w:bCs/>
          <w:snapToGrid w:val="0"/>
          <w:color w:val="auto"/>
          <w:kern w:val="0"/>
          <w:sz w:val="24"/>
          <w:highlight w:val="none"/>
          <w:lang w:val="en-US" w:eastAsia="zh-CN"/>
        </w:rPr>
        <w:t>-5</w:t>
      </w:r>
      <w:r>
        <w:rPr>
          <w:rFonts w:hint="eastAsia" w:ascii="宋体" w:hAnsi="宋体"/>
          <w:bCs/>
          <w:snapToGrid w:val="0"/>
          <w:color w:val="auto"/>
          <w:kern w:val="0"/>
          <w:sz w:val="24"/>
          <w:highlight w:val="none"/>
        </w:rPr>
        <w:t>万元。</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1千万以下的，交纳1万元/次违约金；</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1千万（含1千万）至2千万以下的，交纳2万元/次违约金；合同价2千万以上（含2千万） 的，交纳5万元/次违约金）</w:t>
      </w:r>
    </w:p>
    <w:p w14:paraId="37693CE3">
      <w:pPr>
        <w:adjustRightInd w:val="0"/>
        <w:snapToGrid w:val="0"/>
        <w:spacing w:line="360" w:lineRule="auto"/>
        <w:ind w:right="0"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承包人不按投标及合同有关约定投入现场组织管理人员、施工作业人员、施工机械设备，或者擅自变更资源投入计划或者擅自对已投入的资源进行调整的，承包人必须按照总监理工程师或者发包人的指令限期改正；承包人拒不限期改正的，发包人有权要求其承担1次违约责任，承包人同时向发包人缴纳违约金，每次罚款壹万元。情节特别严重的（指已给予2次违约处罚或书面警告3次以上的），向发包人缴纳违约金，每次罚款</w:t>
      </w:r>
      <w:r>
        <w:rPr>
          <w:rFonts w:hint="eastAsia" w:ascii="宋体" w:hAnsi="宋体"/>
          <w:bCs/>
          <w:snapToGrid w:val="0"/>
          <w:color w:val="auto"/>
          <w:kern w:val="0"/>
          <w:sz w:val="24"/>
          <w:highlight w:val="none"/>
          <w:lang w:val="en-US" w:eastAsia="zh-CN"/>
        </w:rPr>
        <w:t>1</w:t>
      </w:r>
      <w:r>
        <w:rPr>
          <w:rFonts w:hint="eastAsia" w:ascii="宋体" w:hAnsi="宋体"/>
          <w:bCs/>
          <w:snapToGrid w:val="0"/>
          <w:color w:val="auto"/>
          <w:kern w:val="0"/>
          <w:sz w:val="24"/>
          <w:highlight w:val="none"/>
          <w:lang w:val="en-US" w:eastAsia="zh-CN"/>
        </w:rPr>
        <w:t>-5</w:t>
      </w:r>
      <w:r>
        <w:rPr>
          <w:rFonts w:hint="eastAsia" w:ascii="宋体" w:hAnsi="宋体"/>
          <w:bCs/>
          <w:snapToGrid w:val="0"/>
          <w:color w:val="auto"/>
          <w:kern w:val="0"/>
          <w:sz w:val="24"/>
          <w:highlight w:val="none"/>
        </w:rPr>
        <w:t>万元。因缺勤而被扣除现场组织实施管理费的人员不再给予违约处罚。</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1千万以下的，交纳1万元/次违约金；</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1千万（含1千万）至2千万以下的，交纳2万元/次违约金；合同价2千万以上（含2千万） 的，交纳5万元/次违约金）</w:t>
      </w:r>
    </w:p>
    <w:p w14:paraId="1FC24170">
      <w:pPr>
        <w:adjustRightInd w:val="0"/>
        <w:snapToGrid w:val="0"/>
        <w:spacing w:line="360" w:lineRule="auto"/>
        <w:ind w:right="11" w:firstLine="460" w:firstLineChars="192"/>
        <w:rPr>
          <w:rFonts w:ascii="宋体" w:hAnsi="宋体"/>
          <w:bCs/>
          <w:snapToGrid w:val="0"/>
          <w:color w:val="auto"/>
          <w:kern w:val="0"/>
          <w:sz w:val="24"/>
          <w:highlight w:val="none"/>
        </w:rPr>
      </w:pPr>
      <w:r>
        <w:rPr>
          <w:rFonts w:hint="eastAsia" w:ascii="宋体" w:hAnsi="宋体"/>
          <w:bCs/>
          <w:snapToGrid w:val="0"/>
          <w:color w:val="auto"/>
          <w:kern w:val="0"/>
          <w:sz w:val="24"/>
          <w:highlight w:val="none"/>
        </w:rPr>
        <w:t>经发包人或总监理工程师考核，承包人投入的现场组织管理人员不能满足本工程建设要求的，承包人必须无条件按发包人的要求更换，直至满足本工程建设要求为止。而且，不能满足本工程建设要求的现场组织管理人员按缺勤处理。</w:t>
      </w:r>
    </w:p>
    <w:p w14:paraId="3ED23CB3">
      <w:pPr>
        <w:adjustRightInd w:val="0"/>
        <w:snapToGrid w:val="0"/>
        <w:spacing w:line="360" w:lineRule="auto"/>
        <w:ind w:right="0"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w:t>
      </w:r>
      <w:r>
        <w:rPr>
          <w:rFonts w:ascii="宋体" w:hAnsi="宋体"/>
          <w:bCs/>
          <w:snapToGrid w:val="0"/>
          <w:color w:val="auto"/>
          <w:kern w:val="0"/>
          <w:sz w:val="24"/>
          <w:highlight w:val="none"/>
        </w:rPr>
        <w:t>3</w:t>
      </w:r>
      <w:r>
        <w:rPr>
          <w:rFonts w:hint="eastAsia" w:ascii="宋体" w:hAnsi="宋体"/>
          <w:bCs/>
          <w:snapToGrid w:val="0"/>
          <w:color w:val="auto"/>
          <w:kern w:val="0"/>
          <w:sz w:val="24"/>
          <w:highlight w:val="none"/>
        </w:rPr>
        <w:t>）承包人的</w:t>
      </w:r>
      <w:r>
        <w:rPr>
          <w:rFonts w:hint="eastAsia" w:ascii="宋体" w:hAnsi="宋体"/>
          <w:bCs/>
          <w:snapToGrid w:val="0"/>
          <w:color w:val="auto"/>
          <w:kern w:val="0"/>
          <w:sz w:val="24"/>
          <w:highlight w:val="none"/>
          <w:lang w:eastAsia="zh-CN"/>
        </w:rPr>
        <w:t>项目经理</w:t>
      </w:r>
      <w:r>
        <w:rPr>
          <w:rFonts w:hint="eastAsia" w:ascii="宋体" w:hAnsi="宋体"/>
          <w:bCs/>
          <w:snapToGrid w:val="0"/>
          <w:color w:val="auto"/>
          <w:kern w:val="0"/>
          <w:sz w:val="24"/>
          <w:highlight w:val="none"/>
        </w:rPr>
        <w:t>、技术负责人在本工程验收前未经发包人同意不允许更换,由于承包人的原因更换</w:t>
      </w:r>
      <w:r>
        <w:rPr>
          <w:rFonts w:hint="eastAsia" w:ascii="宋体" w:hAnsi="宋体"/>
          <w:bCs/>
          <w:snapToGrid w:val="0"/>
          <w:color w:val="auto"/>
          <w:kern w:val="0"/>
          <w:sz w:val="24"/>
          <w:highlight w:val="none"/>
          <w:lang w:eastAsia="zh-CN"/>
        </w:rPr>
        <w:t>项目经理</w:t>
      </w:r>
      <w:r>
        <w:rPr>
          <w:rFonts w:hint="eastAsia" w:ascii="宋体" w:hAnsi="宋体"/>
          <w:bCs/>
          <w:snapToGrid w:val="0"/>
          <w:color w:val="auto"/>
          <w:kern w:val="0"/>
          <w:sz w:val="24"/>
          <w:highlight w:val="none"/>
        </w:rPr>
        <w:t>、技术负责人,</w:t>
      </w:r>
      <w:r>
        <w:rPr>
          <w:rFonts w:hint="eastAsia" w:ascii="宋体" w:hAnsi="宋体"/>
          <w:bCs/>
          <w:snapToGrid w:val="0"/>
          <w:color w:val="auto"/>
          <w:kern w:val="0"/>
          <w:sz w:val="24"/>
          <w:highlight w:val="none"/>
        </w:rPr>
        <w:t>向发包人缴纳</w:t>
      </w:r>
      <w:r>
        <w:rPr>
          <w:rFonts w:hint="eastAsia" w:ascii="宋体" w:hAnsi="宋体"/>
          <w:bCs/>
          <w:snapToGrid w:val="0"/>
          <w:color w:val="auto"/>
          <w:kern w:val="0"/>
          <w:sz w:val="24"/>
          <w:highlight w:val="none"/>
          <w:lang w:val="en-US" w:eastAsia="zh-CN"/>
        </w:rPr>
        <w:t>1-5万</w:t>
      </w:r>
      <w:r>
        <w:rPr>
          <w:rFonts w:hint="eastAsia" w:ascii="宋体" w:hAnsi="宋体"/>
          <w:bCs/>
          <w:snapToGrid w:val="0"/>
          <w:color w:val="auto"/>
          <w:kern w:val="0"/>
          <w:sz w:val="24"/>
          <w:highlight w:val="none"/>
        </w:rPr>
        <w:t>违约金</w:t>
      </w:r>
      <w:r>
        <w:rPr>
          <w:rFonts w:hint="eastAsia" w:ascii="宋体" w:hAnsi="宋体"/>
          <w:bCs/>
          <w:snapToGrid w:val="0"/>
          <w:color w:val="auto"/>
          <w:kern w:val="0"/>
          <w:sz w:val="24"/>
          <w:highlight w:val="none"/>
          <w:lang w:eastAsia="zh-CN"/>
        </w:rPr>
        <w:t>。</w:t>
      </w:r>
      <w:r>
        <w:rPr>
          <w:rFonts w:hint="eastAsia" w:ascii="宋体" w:hAnsi="宋体"/>
          <w:bCs/>
          <w:snapToGrid w:val="0"/>
          <w:color w:val="auto"/>
          <w:kern w:val="0"/>
          <w:sz w:val="24"/>
          <w:highlight w:val="none"/>
        </w:rPr>
        <w:t>施工过程中</w:t>
      </w:r>
      <w:r>
        <w:rPr>
          <w:rFonts w:hint="eastAsia" w:ascii="宋体" w:hAnsi="宋体"/>
          <w:bCs/>
          <w:snapToGrid w:val="0"/>
          <w:color w:val="auto"/>
          <w:kern w:val="0"/>
          <w:sz w:val="24"/>
          <w:highlight w:val="none"/>
          <w:lang w:eastAsia="zh-CN"/>
        </w:rPr>
        <w:t>项目经理</w:t>
      </w:r>
      <w:r>
        <w:rPr>
          <w:rFonts w:hint="eastAsia" w:ascii="宋体" w:hAnsi="宋体"/>
          <w:bCs/>
          <w:snapToGrid w:val="0"/>
          <w:color w:val="auto"/>
          <w:kern w:val="0"/>
          <w:sz w:val="24"/>
          <w:highlight w:val="none"/>
        </w:rPr>
        <w:t>、技术负责人不能按要求到位累计1个月或以上，视为更换。但经发包人书面批准并办理更换手续的，可不扣款。接任的承包人代表的资质、资历与工程经验应等于或高于前任代表，且应继续行使合同规定的前任承包人代表的职权和履行相应的义务。</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1千万以下的，交纳1万元违约金；</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1千万（含1千万）至2千万以下的，交纳2万元违约金；合同价2千万以上（含2千万） 的，交纳5万元违约金）</w:t>
      </w:r>
    </w:p>
    <w:p w14:paraId="6382C7BD">
      <w:pPr>
        <w:adjustRightInd w:val="0"/>
        <w:snapToGrid w:val="0"/>
        <w:spacing w:line="360" w:lineRule="auto"/>
        <w:ind w:right="11" w:firstLine="460" w:firstLineChars="192"/>
        <w:rPr>
          <w:rFonts w:hint="eastAsia" w:ascii="宋体" w:hAnsi="宋体"/>
          <w:bCs/>
          <w:snapToGrid w:val="0"/>
          <w:color w:val="auto"/>
          <w:kern w:val="0"/>
          <w:sz w:val="24"/>
          <w:highlight w:val="none"/>
        </w:rPr>
      </w:pPr>
    </w:p>
    <w:p w14:paraId="579E396A">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w:t>
      </w:r>
      <w:r>
        <w:rPr>
          <w:rFonts w:ascii="宋体" w:hAnsi="宋体"/>
          <w:bCs/>
          <w:snapToGrid w:val="0"/>
          <w:color w:val="auto"/>
          <w:kern w:val="0"/>
          <w:sz w:val="24"/>
          <w:highlight w:val="none"/>
        </w:rPr>
        <w:t>4</w:t>
      </w:r>
      <w:r>
        <w:rPr>
          <w:rFonts w:hint="eastAsia" w:ascii="宋体" w:hAnsi="宋体"/>
          <w:bCs/>
          <w:snapToGrid w:val="0"/>
          <w:color w:val="auto"/>
          <w:kern w:val="0"/>
          <w:sz w:val="24"/>
          <w:highlight w:val="none"/>
        </w:rPr>
        <w:t>）项目负责人及现场管理人员（五大员）要求：</w:t>
      </w:r>
    </w:p>
    <w:p w14:paraId="3497787F">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承包人必须派出投标文件中列出的项目负责人及现场管理人员负责本工程施工的管理工作，承包人有特殊情况需更换项目负责人或相关管理人员，须征得发包人同意并按有关规定报有关管理部门备案。</w:t>
      </w:r>
    </w:p>
    <w:p w14:paraId="38BCFEE9">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项目负责人和现场管理人员每月驻工地时间不得少于25天。在施工过程中，发包人和监理单位将对项目负责人和技术负责人、施工员、质量员、安全员实施考勤登记制度，项目负责人、技术负责人、施工员、质量员、安全员因事离开施工现场两天（含两天）以上的，必须书面向监理工程师报告。未经发包人书面同意，项目负责人、技术负责人、施工员、质量员、安全员每月驻工地时间少于25天的，发包人将按照每人每天5000元的标准向承包人收取违约金。</w:t>
      </w:r>
    </w:p>
    <w:p w14:paraId="61FD9D30">
      <w:pPr>
        <w:adjustRightInd w:val="0"/>
        <w:snapToGrid w:val="0"/>
        <w:spacing w:line="360" w:lineRule="auto"/>
        <w:ind w:right="11" w:firstLine="460" w:firstLineChars="192"/>
        <w:rPr>
          <w:rFonts w:ascii="宋体" w:hAnsi="宋体"/>
          <w:bCs/>
          <w:snapToGrid w:val="0"/>
          <w:color w:val="auto"/>
          <w:kern w:val="0"/>
          <w:sz w:val="24"/>
          <w:highlight w:val="none"/>
        </w:rPr>
      </w:pPr>
      <w:r>
        <w:rPr>
          <w:rFonts w:hint="eastAsia" w:ascii="宋体" w:hAnsi="宋体"/>
          <w:bCs/>
          <w:snapToGrid w:val="0"/>
          <w:color w:val="auto"/>
          <w:kern w:val="0"/>
          <w:sz w:val="24"/>
          <w:highlight w:val="none"/>
        </w:rPr>
        <w:t>项目负责人和安全员必须每日填写安全施工日志备查；施工单位必须提交项目施工总结；竣工验收时，同施工日记一并提交存档。</w:t>
      </w:r>
    </w:p>
    <w:p w14:paraId="32EA00CE">
      <w:pPr>
        <w:adjustRightInd w:val="0"/>
        <w:snapToGrid w:val="0"/>
        <w:spacing w:line="360" w:lineRule="auto"/>
        <w:ind w:right="11" w:firstLine="460" w:firstLineChars="192"/>
        <w:rPr>
          <w:rFonts w:hint="eastAsia" w:ascii="宋体" w:hAnsi="宋体"/>
          <w:bCs/>
          <w:snapToGrid w:val="0"/>
          <w:color w:val="auto"/>
          <w:kern w:val="0"/>
          <w:sz w:val="24"/>
          <w:highlight w:val="none"/>
        </w:rPr>
      </w:pPr>
    </w:p>
    <w:p w14:paraId="55BF3CA3">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w:t>
      </w:r>
      <w:r>
        <w:rPr>
          <w:rFonts w:hint="eastAsia" w:ascii="宋体" w:hAnsi="宋体"/>
          <w:bCs/>
          <w:snapToGrid w:val="0"/>
          <w:color w:val="auto"/>
          <w:kern w:val="0"/>
          <w:sz w:val="24"/>
          <w:highlight w:val="none"/>
          <w:lang w:val="en-US" w:eastAsia="zh-CN"/>
        </w:rPr>
        <w:t>5</w:t>
      </w:r>
      <w:r>
        <w:rPr>
          <w:rFonts w:hint="eastAsia" w:ascii="宋体" w:hAnsi="宋体"/>
          <w:bCs/>
          <w:snapToGrid w:val="0"/>
          <w:color w:val="auto"/>
          <w:kern w:val="0"/>
          <w:sz w:val="24"/>
          <w:highlight w:val="none"/>
        </w:rPr>
        <w:t>）对于监理人或发包人通知承包人参加的会议（包括但不限于进场会、现场问题处理会议、工程验收会议、结算问题处理会议、质保期工作的相关会议等），被通知人员（包括但不限于承包人法定代表人、经监理人或发包人批准同意的承包人法定代表人授权人、项目负责人、技术负责人等）未经监理人或发包人书面同意不得缺席；由发包人组织的工程会议或监理组织的每周例会，项目负责人和技术负责人必须出席（经发包人批准除外）。每次会议每缺席一人次承包人需向发包人支付5000元/人次的违约金。</w:t>
      </w:r>
    </w:p>
    <w:p w14:paraId="2EC19BA1">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w:t>
      </w:r>
      <w:r>
        <w:rPr>
          <w:rFonts w:hint="eastAsia" w:ascii="宋体" w:hAnsi="宋体"/>
          <w:bCs/>
          <w:snapToGrid w:val="0"/>
          <w:color w:val="auto"/>
          <w:kern w:val="0"/>
          <w:sz w:val="24"/>
          <w:highlight w:val="none"/>
          <w:lang w:val="en-US" w:eastAsia="zh-CN"/>
        </w:rPr>
        <w:t>6</w:t>
      </w:r>
      <w:r>
        <w:rPr>
          <w:rFonts w:hint="eastAsia" w:ascii="宋体" w:hAnsi="宋体"/>
          <w:bCs/>
          <w:snapToGrid w:val="0"/>
          <w:color w:val="auto"/>
          <w:kern w:val="0"/>
          <w:sz w:val="24"/>
          <w:highlight w:val="none"/>
        </w:rPr>
        <w:t>）承包人不按合同约定或发包人要求提交竣工结算资料的，每逾期一天，承包人需向发包人支付1000元/天的违约金。</w:t>
      </w:r>
    </w:p>
    <w:p w14:paraId="17711BBE">
      <w:pPr>
        <w:adjustRightInd w:val="0"/>
        <w:snapToGrid w:val="0"/>
        <w:spacing w:line="360" w:lineRule="auto"/>
        <w:ind w:right="11" w:firstLine="460" w:firstLineChars="192"/>
        <w:rPr>
          <w:rFonts w:ascii="宋体" w:hAnsi="宋体"/>
          <w:bCs/>
          <w:snapToGrid w:val="0"/>
          <w:color w:val="auto"/>
          <w:kern w:val="0"/>
          <w:sz w:val="24"/>
          <w:highlight w:val="none"/>
        </w:rPr>
      </w:pPr>
      <w:r>
        <w:rPr>
          <w:rFonts w:hint="eastAsia" w:ascii="宋体" w:hAnsi="宋体"/>
          <w:bCs/>
          <w:snapToGrid w:val="0"/>
          <w:color w:val="auto"/>
          <w:kern w:val="0"/>
          <w:sz w:val="24"/>
          <w:highlight w:val="none"/>
        </w:rPr>
        <w:t>（</w:t>
      </w:r>
      <w:r>
        <w:rPr>
          <w:rFonts w:hint="eastAsia" w:ascii="宋体" w:hAnsi="宋体"/>
          <w:bCs/>
          <w:snapToGrid w:val="0"/>
          <w:color w:val="auto"/>
          <w:kern w:val="0"/>
          <w:sz w:val="24"/>
          <w:highlight w:val="none"/>
          <w:lang w:val="en-US" w:eastAsia="zh-CN"/>
        </w:rPr>
        <w:t>7</w:t>
      </w:r>
      <w:r>
        <w:rPr>
          <w:rFonts w:hint="eastAsia" w:ascii="宋体" w:hAnsi="宋体"/>
          <w:bCs/>
          <w:snapToGrid w:val="0"/>
          <w:color w:val="auto"/>
          <w:kern w:val="0"/>
          <w:sz w:val="24"/>
          <w:highlight w:val="none"/>
        </w:rPr>
        <w:t>）若项目负责人或现场管理机构主要部门负责人的实际工作能力和工作表现达不到招标文件明确要求，或工作态度差，不适应现场工作需要，发包人有权向承包人提出撤换。承包人可以提出整改意见；如发包人不予接受，则承包人必须在7天内无条件撤换，所调换来人员的资质、资历、学历、职称、业绩、实际工作能力不低于原投标书中所承诺人员的综合素质；若承包人逾期不撤换，则每逾期一天按5000元计付违约金，发包人做好记录。</w:t>
      </w:r>
    </w:p>
    <w:p w14:paraId="6406069F">
      <w:pPr>
        <w:adjustRightInd w:val="0"/>
        <w:snapToGrid w:val="0"/>
        <w:spacing w:line="360" w:lineRule="auto"/>
        <w:ind w:right="11" w:firstLine="460" w:firstLineChars="192"/>
        <w:rPr>
          <w:rFonts w:ascii="宋体" w:hAnsi="宋体"/>
          <w:bCs/>
          <w:snapToGrid w:val="0"/>
          <w:color w:val="auto"/>
          <w:kern w:val="0"/>
          <w:sz w:val="24"/>
          <w:highlight w:val="none"/>
        </w:rPr>
      </w:pPr>
      <w:r>
        <w:rPr>
          <w:rFonts w:hint="eastAsia" w:ascii="宋体" w:hAnsi="宋体"/>
          <w:bCs/>
          <w:snapToGrid w:val="0"/>
          <w:color w:val="auto"/>
          <w:kern w:val="0"/>
          <w:sz w:val="24"/>
          <w:highlight w:val="none"/>
        </w:rPr>
        <w:t>（</w:t>
      </w:r>
      <w:r>
        <w:rPr>
          <w:rFonts w:hint="eastAsia" w:ascii="宋体" w:hAnsi="宋体"/>
          <w:bCs/>
          <w:snapToGrid w:val="0"/>
          <w:color w:val="auto"/>
          <w:kern w:val="0"/>
          <w:sz w:val="24"/>
          <w:highlight w:val="none"/>
          <w:lang w:val="en-US" w:eastAsia="zh-CN"/>
        </w:rPr>
        <w:t>8</w:t>
      </w:r>
      <w:r>
        <w:rPr>
          <w:rFonts w:hint="eastAsia" w:ascii="宋体" w:hAnsi="宋体"/>
          <w:bCs/>
          <w:snapToGrid w:val="0"/>
          <w:color w:val="auto"/>
          <w:kern w:val="0"/>
          <w:sz w:val="24"/>
          <w:highlight w:val="none"/>
        </w:rPr>
        <w:t>）所有特殊工种人员、各种领班以上人员均应符合有关规定的资质，并且应持有该项工作的上岗证，在施工期间佩带其上岗证供驻地监理工程师随时检查。在特殊工种的施工中，若发现不佩带上岗证的人员施工，则按每发现一次，</w:t>
      </w:r>
      <w:r>
        <w:rPr>
          <w:rFonts w:hint="eastAsia" w:ascii="宋体" w:hAnsi="宋体"/>
          <w:bCs/>
          <w:snapToGrid w:val="0"/>
          <w:color w:val="auto"/>
          <w:kern w:val="0"/>
          <w:sz w:val="24"/>
          <w:highlight w:val="none"/>
          <w:lang w:val="en-US" w:eastAsia="zh-CN"/>
        </w:rPr>
        <w:t>处罚</w:t>
      </w:r>
      <w:r>
        <w:rPr>
          <w:rFonts w:hint="eastAsia" w:ascii="宋体" w:hAnsi="宋体"/>
          <w:bCs/>
          <w:snapToGrid w:val="0"/>
          <w:color w:val="auto"/>
          <w:kern w:val="0"/>
          <w:sz w:val="24"/>
          <w:highlight w:val="none"/>
        </w:rPr>
        <w:t>100元/人.次。</w:t>
      </w:r>
    </w:p>
    <w:p w14:paraId="0452CEDA">
      <w:pPr>
        <w:adjustRightInd w:val="0"/>
        <w:snapToGrid w:val="0"/>
        <w:spacing w:line="360" w:lineRule="auto"/>
        <w:ind w:right="11" w:firstLine="463" w:firstLineChars="192"/>
        <w:rPr>
          <w:rFonts w:hint="eastAsia" w:ascii="宋体" w:hAnsi="宋体"/>
          <w:b/>
          <w:bCs/>
          <w:snapToGrid w:val="0"/>
          <w:color w:val="auto"/>
          <w:kern w:val="0"/>
          <w:sz w:val="24"/>
          <w:szCs w:val="28"/>
          <w:highlight w:val="none"/>
        </w:rPr>
      </w:pPr>
    </w:p>
    <w:p w14:paraId="5589428E">
      <w:pPr>
        <w:adjustRightInd w:val="0"/>
        <w:snapToGrid w:val="0"/>
        <w:spacing w:line="360" w:lineRule="auto"/>
        <w:ind w:right="11" w:firstLine="540" w:firstLineChars="192"/>
        <w:rPr>
          <w:rFonts w:hint="eastAsia" w:ascii="宋体" w:hAnsi="宋体"/>
          <w:b/>
          <w:snapToGrid w:val="0"/>
          <w:color w:val="auto"/>
          <w:kern w:val="0"/>
          <w:sz w:val="28"/>
          <w:szCs w:val="28"/>
          <w:highlight w:val="none"/>
        </w:rPr>
      </w:pPr>
      <w:bookmarkStart w:id="1022" w:name="_Toc7983"/>
      <w:bookmarkStart w:id="1023" w:name="_Toc9374"/>
      <w:bookmarkStart w:id="1024" w:name="_Toc20268"/>
      <w:bookmarkStart w:id="1025" w:name="_Toc15030"/>
      <w:bookmarkStart w:id="1026" w:name="_Toc14213"/>
      <w:r>
        <w:rPr>
          <w:rFonts w:hint="eastAsia" w:ascii="宋体" w:hAnsi="宋体"/>
          <w:b/>
          <w:snapToGrid w:val="0"/>
          <w:color w:val="auto"/>
          <w:kern w:val="0"/>
          <w:sz w:val="28"/>
          <w:szCs w:val="28"/>
          <w:highlight w:val="none"/>
        </w:rPr>
        <w:t>二、工程进度及工期延误方面的违约责任</w:t>
      </w:r>
      <w:bookmarkEnd w:id="1022"/>
      <w:bookmarkEnd w:id="1023"/>
      <w:bookmarkEnd w:id="1024"/>
      <w:bookmarkEnd w:id="1025"/>
      <w:bookmarkEnd w:id="1026"/>
    </w:p>
    <w:p w14:paraId="575D963D">
      <w:pPr>
        <w:adjustRightInd w:val="0"/>
        <w:snapToGrid w:val="0"/>
        <w:spacing w:line="360" w:lineRule="auto"/>
        <w:ind w:right="11" w:firstLine="460" w:firstLineChars="192"/>
        <w:rPr>
          <w:rFonts w:hint="eastAsia" w:ascii="宋体" w:hAnsi="宋体"/>
          <w:b/>
          <w:snapToGrid w:val="0"/>
          <w:color w:val="auto"/>
          <w:kern w:val="0"/>
          <w:sz w:val="28"/>
          <w:szCs w:val="28"/>
          <w:highlight w:val="none"/>
        </w:rPr>
      </w:pPr>
      <w:r>
        <w:rPr>
          <w:rFonts w:hint="eastAsia" w:ascii="宋体" w:hAnsi="宋体"/>
          <w:color w:val="auto"/>
          <w:sz w:val="24"/>
          <w:highlight w:val="none"/>
        </w:rPr>
        <w:t>（1）本合同约定因承包人原因导致工程进度滞后于进度计划应承担的违约责任：发包人或监理单位确认施工组织设计（施工方案）后，发包人按照承包人每月十五号提供的施工进度计划报表检查工程进度，因承包人原因导致工程进度滞后于进度计划达到10%时，承包人应尽力及时调整工程施工安排赶回工期；滞后进度计划达20%时，发包人将对承包人扣罚10%的工程进度款。上述权利发包人可以重复行使，行使次数达到3次或滞后进度计划达30%时，发包人有权终止合同，责令承包人退场，同时，承包人须赔偿发包人的一切损失。</w:t>
      </w:r>
    </w:p>
    <w:p w14:paraId="3F1C23F9">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（2）承包人未按约定开工的，每迟延开工1天，应向发包人支付1万元的违约金；迟延开工超过30天的，发包人有权单方面解除合同</w:t>
      </w:r>
      <w:r>
        <w:rPr>
          <w:rFonts w:hint="eastAsia" w:ascii="宋体" w:hAnsi="宋体"/>
          <w:bCs/>
          <w:snapToGrid w:val="0"/>
          <w:color w:val="auto"/>
          <w:kern w:val="0"/>
          <w:sz w:val="24"/>
          <w:highlight w:val="none"/>
        </w:rPr>
        <w:t>。</w:t>
      </w:r>
    </w:p>
    <w:p w14:paraId="2524515D">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（3）承包人单方面停工的，每停工1天，应向发包人支付1万元的违约金；连续停工超过5天或累计停工超过10天的，发包人有权单方面解除合同</w:t>
      </w:r>
      <w:r>
        <w:rPr>
          <w:rFonts w:hint="eastAsia" w:ascii="宋体" w:hAnsi="宋体"/>
          <w:bCs/>
          <w:snapToGrid w:val="0"/>
          <w:color w:val="auto"/>
          <w:kern w:val="0"/>
          <w:sz w:val="24"/>
          <w:highlight w:val="none"/>
        </w:rPr>
        <w:t>。</w:t>
      </w:r>
    </w:p>
    <w:p w14:paraId="144AECE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承包人延期交付施工组织设计的，延期3天以内的（含3天），发包人给予书面警告；延期4～7天的，承包人应承担1次违约责任；延期8～10天的，承包人应承担2次违约责任；延期11天以上的（含11天），发包人有权单方面解除合同</w:t>
      </w:r>
      <w:r>
        <w:rPr>
          <w:rFonts w:hint="eastAsia" w:ascii="宋体" w:hAnsi="宋体"/>
          <w:bCs/>
          <w:snapToGrid w:val="0"/>
          <w:color w:val="auto"/>
          <w:kern w:val="0"/>
          <w:sz w:val="24"/>
          <w:highlight w:val="none"/>
        </w:rPr>
        <w:t>。</w:t>
      </w:r>
    </w:p>
    <w:p w14:paraId="7F47F00E">
      <w:pPr>
        <w:tabs>
          <w:tab w:val="left" w:pos="1846"/>
        </w:tabs>
        <w:adjustRightInd w:val="0"/>
        <w:snapToGrid w:val="0"/>
        <w:spacing w:line="360" w:lineRule="auto"/>
        <w:ind w:firstLine="480" w:firstLineChars="200"/>
        <w:rPr>
          <w:rFonts w:ascii="宋体" w:hAnsi="宋体"/>
          <w:bCs/>
          <w:snapToGrid w:val="0"/>
          <w:color w:val="auto"/>
          <w:kern w:val="0"/>
          <w:sz w:val="24"/>
          <w:highlight w:val="none"/>
        </w:rPr>
      </w:pPr>
      <w:r>
        <w:rPr>
          <w:rFonts w:hint="eastAsia" w:ascii="宋体" w:hAnsi="宋体"/>
          <w:snapToGrid w:val="0"/>
          <w:color w:val="auto"/>
          <w:kern w:val="0"/>
          <w:sz w:val="24"/>
          <w:highlight w:val="none"/>
        </w:rPr>
        <w:t>（5）由于承包人的责任造成本工程关键节点工期延误的，每延误1天，应向发包人支付0.5万元的违约金；延误超过5天的，承包人除了支付违约金外，发包人有权停止支付当月的工程进度款；延误10天以上的，承包人除了支付违约金外，承包人应在2天内制定出具体可行的自行赶工措施，报总监理工程师和发包人批准。如发包人认为承包人的赶工计划不可行，则发包人有权解除合同</w:t>
      </w:r>
      <w:r>
        <w:rPr>
          <w:rFonts w:hint="eastAsia" w:ascii="宋体" w:hAnsi="宋体"/>
          <w:bCs/>
          <w:snapToGrid w:val="0"/>
          <w:color w:val="auto"/>
          <w:kern w:val="0"/>
          <w:sz w:val="24"/>
          <w:highlight w:val="none"/>
        </w:rPr>
        <w:t>。</w:t>
      </w:r>
    </w:p>
    <w:p w14:paraId="7A6B952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w:t>
      </w:r>
      <w:r>
        <w:rPr>
          <w:rFonts w:hint="eastAsia" w:ascii="宋体" w:hAnsi="宋体"/>
          <w:snapToGrid w:val="0"/>
          <w:color w:val="auto"/>
          <w:kern w:val="0"/>
          <w:sz w:val="24"/>
          <w:highlight w:val="none"/>
          <w:lang w:val="en-US" w:eastAsia="zh-CN"/>
        </w:rPr>
        <w:t>6</w:t>
      </w:r>
      <w:r>
        <w:rPr>
          <w:rFonts w:hint="eastAsia" w:ascii="宋体" w:hAnsi="宋体"/>
          <w:snapToGrid w:val="0"/>
          <w:color w:val="auto"/>
          <w:kern w:val="0"/>
          <w:sz w:val="24"/>
          <w:highlight w:val="none"/>
        </w:rPr>
        <w:t>）如承包人违反合同约定工期竣工的，每逾期1天，承包人必须向发包人支付0.5万元违约金，同时由</w:t>
      </w:r>
      <w:r>
        <w:rPr>
          <w:rFonts w:hint="eastAsia" w:ascii="宋体" w:hAnsi="宋体"/>
          <w:bCs/>
          <w:snapToGrid w:val="0"/>
          <w:color w:val="auto"/>
          <w:kern w:val="0"/>
          <w:sz w:val="24"/>
          <w:highlight w:val="none"/>
        </w:rPr>
        <w:t>发包人有权自主选择如下处理方式：</w:t>
      </w:r>
    </w:p>
    <w:p w14:paraId="44B265DC">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w:t>
      </w:r>
      <w:r>
        <w:rPr>
          <w:rFonts w:hint="eastAsia" w:ascii="宋体" w:hAnsi="宋体"/>
          <w:snapToGrid w:val="0"/>
          <w:color w:val="auto"/>
          <w:kern w:val="0"/>
          <w:sz w:val="24"/>
          <w:highlight w:val="none"/>
          <w:lang w:val="en-US" w:eastAsia="zh-CN"/>
        </w:rPr>
        <w:t>6</w:t>
      </w:r>
      <w:r>
        <w:rPr>
          <w:rFonts w:hint="eastAsia" w:ascii="宋体" w:hAnsi="宋体"/>
          <w:snapToGrid w:val="0"/>
          <w:color w:val="auto"/>
          <w:kern w:val="0"/>
          <w:sz w:val="24"/>
          <w:highlight w:val="none"/>
        </w:rPr>
        <w:t>.1）</w:t>
      </w:r>
      <w:r>
        <w:rPr>
          <w:rFonts w:hint="eastAsia" w:ascii="宋体" w:hAnsi="宋体"/>
          <w:bCs/>
          <w:snapToGrid w:val="0"/>
          <w:color w:val="auto"/>
          <w:kern w:val="0"/>
          <w:sz w:val="24"/>
          <w:highlight w:val="none"/>
        </w:rPr>
        <w:t>承包人按上述约定向发包人支付违约金并在发包人限定的时间内竣工；如承包人仍不能在发包人限定的时间内竣工，承包人除按上述约定支付违约金外（直至本工程全部竣工为止），还在工程结算时按本合同结算总价款下浮2%作为本合同的最终结算价款，同时承包人还应据实赔偿发包人的实际损失。</w:t>
      </w:r>
    </w:p>
    <w:p w14:paraId="53F7474F">
      <w:pPr>
        <w:spacing w:line="360" w:lineRule="auto"/>
        <w:ind w:firstLine="480" w:firstLineChars="200"/>
        <w:rPr>
          <w:rFonts w:hint="eastAsia" w:ascii="宋体" w:hAnsi="宋体"/>
          <w:color w:val="auto"/>
          <w:sz w:val="24"/>
          <w:highlight w:val="none"/>
        </w:rPr>
      </w:pPr>
      <w:r>
        <w:rPr>
          <w:rFonts w:hint="eastAsia" w:ascii="宋体" w:hAnsi="宋体"/>
          <w:snapToGrid w:val="0"/>
          <w:color w:val="auto"/>
          <w:kern w:val="0"/>
          <w:sz w:val="24"/>
          <w:highlight w:val="none"/>
        </w:rPr>
        <w:t>（</w:t>
      </w:r>
      <w:r>
        <w:rPr>
          <w:rFonts w:hint="eastAsia" w:ascii="宋体" w:hAnsi="宋体"/>
          <w:snapToGrid w:val="0"/>
          <w:color w:val="auto"/>
          <w:kern w:val="0"/>
          <w:sz w:val="24"/>
          <w:highlight w:val="none"/>
          <w:lang w:val="en-US" w:eastAsia="zh-CN"/>
        </w:rPr>
        <w:t>6</w:t>
      </w:r>
      <w:r>
        <w:rPr>
          <w:rFonts w:hint="eastAsia" w:ascii="宋体" w:hAnsi="宋体"/>
          <w:snapToGrid w:val="0"/>
          <w:color w:val="auto"/>
          <w:kern w:val="0"/>
          <w:sz w:val="24"/>
          <w:highlight w:val="none"/>
        </w:rPr>
        <w:t>.2）</w:t>
      </w:r>
      <w:r>
        <w:rPr>
          <w:rFonts w:hint="eastAsia" w:ascii="宋体" w:hAnsi="宋体"/>
          <w:bCs/>
          <w:snapToGrid w:val="0"/>
          <w:color w:val="auto"/>
          <w:kern w:val="0"/>
          <w:sz w:val="24"/>
          <w:highlight w:val="none"/>
        </w:rPr>
        <w:t>由发包人将未完工程量从本合同中分割，交由第三方完成，由此发生的费用全部从本签约合同价中支付，同时</w:t>
      </w:r>
      <w:r>
        <w:rPr>
          <w:rFonts w:hint="eastAsia" w:ascii="宋体" w:hAnsi="宋体"/>
          <w:snapToGrid w:val="0"/>
          <w:color w:val="auto"/>
          <w:kern w:val="0"/>
          <w:sz w:val="24"/>
          <w:highlight w:val="none"/>
        </w:rPr>
        <w:t>由承包人向发包人支付</w:t>
      </w:r>
      <w:r>
        <w:rPr>
          <w:rFonts w:hint="eastAsia" w:ascii="宋体" w:hAnsi="宋体"/>
          <w:bCs/>
          <w:snapToGrid w:val="0"/>
          <w:color w:val="auto"/>
          <w:kern w:val="0"/>
          <w:sz w:val="24"/>
          <w:highlight w:val="none"/>
        </w:rPr>
        <w:t>未完工程量</w:t>
      </w:r>
      <w:r>
        <w:rPr>
          <w:rFonts w:hint="eastAsia" w:ascii="宋体" w:hAnsi="宋体"/>
          <w:snapToGrid w:val="0"/>
          <w:color w:val="auto"/>
          <w:kern w:val="0"/>
          <w:sz w:val="24"/>
          <w:highlight w:val="none"/>
        </w:rPr>
        <w:t>价款20%的违约金并赔偿发包人的实际损失</w:t>
      </w:r>
      <w:r>
        <w:rPr>
          <w:rFonts w:hint="eastAsia" w:ascii="宋体" w:hAnsi="宋体"/>
          <w:bCs/>
          <w:snapToGrid w:val="0"/>
          <w:color w:val="auto"/>
          <w:kern w:val="0"/>
          <w:sz w:val="24"/>
          <w:highlight w:val="none"/>
        </w:rPr>
        <w:t>。</w:t>
      </w:r>
    </w:p>
    <w:p w14:paraId="2EF72E2E">
      <w:pPr>
        <w:adjustRightInd w:val="0"/>
        <w:snapToGrid w:val="0"/>
        <w:spacing w:line="360" w:lineRule="auto"/>
        <w:ind w:right="11" w:firstLine="540" w:firstLineChars="192"/>
        <w:rPr>
          <w:rFonts w:hint="eastAsia" w:ascii="宋体" w:hAnsi="宋体"/>
          <w:b/>
          <w:snapToGrid w:val="0"/>
          <w:color w:val="auto"/>
          <w:kern w:val="0"/>
          <w:sz w:val="28"/>
          <w:szCs w:val="28"/>
          <w:highlight w:val="none"/>
        </w:rPr>
      </w:pPr>
    </w:p>
    <w:p w14:paraId="2E13F3EE">
      <w:pPr>
        <w:adjustRightInd w:val="0"/>
        <w:snapToGrid w:val="0"/>
        <w:spacing w:line="360" w:lineRule="auto"/>
        <w:ind w:right="11" w:firstLine="540" w:firstLineChars="192"/>
        <w:rPr>
          <w:rFonts w:hint="eastAsia" w:ascii="宋体" w:hAnsi="宋体"/>
          <w:b/>
          <w:snapToGrid w:val="0"/>
          <w:color w:val="auto"/>
          <w:kern w:val="0"/>
          <w:sz w:val="28"/>
          <w:szCs w:val="28"/>
          <w:highlight w:val="none"/>
        </w:rPr>
      </w:pPr>
      <w:bookmarkStart w:id="1027" w:name="_Toc19546"/>
      <w:bookmarkStart w:id="1028" w:name="_Toc16728"/>
      <w:bookmarkStart w:id="1029" w:name="_Toc7415"/>
      <w:bookmarkStart w:id="1030" w:name="_Toc23980"/>
      <w:bookmarkStart w:id="1031" w:name="_Toc18616"/>
      <w:r>
        <w:rPr>
          <w:rFonts w:hint="eastAsia" w:ascii="宋体" w:hAnsi="宋体"/>
          <w:b/>
          <w:snapToGrid w:val="0"/>
          <w:color w:val="auto"/>
          <w:kern w:val="0"/>
          <w:sz w:val="28"/>
          <w:szCs w:val="28"/>
          <w:highlight w:val="none"/>
        </w:rPr>
        <w:t>三、工程质量方面的违约责任</w:t>
      </w:r>
      <w:bookmarkEnd w:id="1027"/>
      <w:bookmarkEnd w:id="1028"/>
      <w:bookmarkEnd w:id="1029"/>
      <w:bookmarkEnd w:id="1030"/>
      <w:bookmarkEnd w:id="1031"/>
    </w:p>
    <w:p w14:paraId="3F1898B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承包人必须对各工序报验核查质量控制点。承包人申请报验后，经总监理工程师或发包人检查发现存在较大质量问题（存在质量问题的部分超过检查部分工程的10%）的，则该工序质量为不合格，承包人必须对不合格部分进行返工，返工后经检查合格才准进入下一工序，工期不予顺延。复检的结果，按每一分项工程计算，总计发现3次或连续发现2次质量控制点不合格的，承包人承担1次违约责任；总计发现3次以上（不含本数）或连续发现2次以上（不含本数）质量控制点不合格的，承包人承担2次违约责任；承包人采取整改措施后效果仍不明显的，发包人有权部分解除合同，将该分项工程另行发包，且不免除承包人应承担的违约赔偿责任。</w:t>
      </w:r>
    </w:p>
    <w:p w14:paraId="0C2C638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工程竣工验收不符合国家强制性标准及规范要求或者未能实现一次验收合格的，承包人除应向发包人支付本工程签约合同价的20%作为违约金并无偿采取补救措施及赔偿发包人的实际损失外，还应承担由此引起的一切责任。</w:t>
      </w:r>
    </w:p>
    <w:p w14:paraId="770D4AB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在本工程质量保修期内发现有重大质量问题的（该重大质量问题应界定为达不到要求的质量标准，属质量保修的问题除外），承包人必须在规定的期限内返工达到合同约定的质量等级并赔偿由此给发包人造成的损失，同时按所在工程签约合同价的5%向发包人支付违约金。</w:t>
      </w:r>
    </w:p>
    <w:p w14:paraId="27C745D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（4）由于承包人的原因发生工程质量事故的，承包人应全额赔偿发包人的损失并承担相关法律责任。</w:t>
      </w:r>
    </w:p>
    <w:p w14:paraId="6E388AE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自竣工验收后满2年，但未通过发包人及公路主管部门对保修项目验收，修复路面及相邻版块仍存在破裂、下沉等情况的，对车辆通行存在安全隐患的，承包人必须在规定期限内返工，直至达到公路部门验收合格为止。若承包人在规定期限仍不作保修处理，发包人有权委托第三方进场实施，相关费用按定额不下浮计算在质量保证金中扣减。</w:t>
      </w:r>
    </w:p>
    <w:p w14:paraId="4468DD2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（6）不按图纸施工或未经分部验收进行下一工序施工的，承包人应承担违约责任，向发包人支付</w:t>
      </w:r>
      <w:r>
        <w:rPr>
          <w:rFonts w:hint="eastAsia" w:ascii="宋体" w:hAnsi="宋体"/>
          <w:snapToGrid w:val="0"/>
          <w:color w:val="auto"/>
          <w:kern w:val="0"/>
          <w:sz w:val="24"/>
          <w:highlight w:val="none"/>
          <w:lang w:val="en-US" w:eastAsia="zh-CN"/>
        </w:rPr>
        <w:t>1-</w:t>
      </w:r>
      <w:r>
        <w:rPr>
          <w:rFonts w:hint="eastAsia" w:ascii="宋体" w:hAnsi="宋体"/>
          <w:snapToGrid w:val="0"/>
          <w:color w:val="auto"/>
          <w:kern w:val="0"/>
          <w:sz w:val="24"/>
          <w:highlight w:val="none"/>
        </w:rPr>
        <w:t>5万元／次的违约金。</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1千万以下的，交纳1万元/次违约金；</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1千万（含1千万）至2千万以下的，交纳2万元/次违约金；合同价2千万以上（含2千万） 的，交纳5万元/次违约金）</w:t>
      </w:r>
    </w:p>
    <w:p w14:paraId="5460D91E">
      <w:pPr>
        <w:adjustRightInd w:val="0"/>
        <w:snapToGrid w:val="0"/>
        <w:spacing w:line="360" w:lineRule="auto"/>
        <w:ind w:right="0" w:firstLine="480" w:firstLineChars="200"/>
        <w:rPr>
          <w:rFonts w:hint="eastAsia" w:ascii="宋体" w:hAnsi="宋体"/>
          <w:b/>
          <w:snapToGrid w:val="0"/>
          <w:color w:val="auto"/>
          <w:kern w:val="0"/>
          <w:sz w:val="28"/>
          <w:szCs w:val="28"/>
          <w:highlight w:val="none"/>
        </w:rPr>
      </w:pPr>
      <w:r>
        <w:rPr>
          <w:rFonts w:hint="eastAsia" w:ascii="宋体" w:hAnsi="宋体"/>
          <w:snapToGrid w:val="0"/>
          <w:color w:val="auto"/>
          <w:kern w:val="0"/>
          <w:sz w:val="24"/>
          <w:highlight w:val="none"/>
        </w:rPr>
        <w:t>（7）经相关行政主管部门要求整改而不按照整改通知书要求落实整改的，承包人应承担违约责任，向发包人支付</w:t>
      </w:r>
      <w:r>
        <w:rPr>
          <w:rFonts w:hint="eastAsia" w:ascii="宋体" w:hAnsi="宋体"/>
          <w:snapToGrid w:val="0"/>
          <w:color w:val="auto"/>
          <w:kern w:val="0"/>
          <w:sz w:val="24"/>
          <w:highlight w:val="none"/>
          <w:lang w:val="en-US" w:eastAsia="zh-CN"/>
        </w:rPr>
        <w:t>1-5</w:t>
      </w:r>
      <w:r>
        <w:rPr>
          <w:rFonts w:hint="eastAsia" w:ascii="宋体" w:hAnsi="宋体"/>
          <w:snapToGrid w:val="0"/>
          <w:color w:val="auto"/>
          <w:kern w:val="0"/>
          <w:sz w:val="24"/>
          <w:highlight w:val="none"/>
        </w:rPr>
        <w:t>万元／次的违约金。</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1千万以下的，交纳1万元/次违约金；</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1千万（含1千万）至2千万以下的，交纳2万元/次违约金；合同价2千万以上（含2千万） 的，交纳5万元/次违约金）。</w:t>
      </w:r>
    </w:p>
    <w:p w14:paraId="2A91F4DB">
      <w:pPr>
        <w:adjustRightInd w:val="0"/>
        <w:snapToGrid w:val="0"/>
        <w:spacing w:line="360" w:lineRule="auto"/>
        <w:ind w:right="11" w:firstLine="540" w:firstLineChars="192"/>
        <w:rPr>
          <w:rFonts w:hint="eastAsia" w:ascii="宋体" w:hAnsi="宋体"/>
          <w:b/>
          <w:snapToGrid w:val="0"/>
          <w:color w:val="auto"/>
          <w:kern w:val="0"/>
          <w:sz w:val="28"/>
          <w:szCs w:val="28"/>
          <w:highlight w:val="none"/>
        </w:rPr>
      </w:pPr>
      <w:bookmarkStart w:id="1032" w:name="_Toc23668"/>
      <w:bookmarkStart w:id="1033" w:name="_Toc4298"/>
      <w:bookmarkStart w:id="1034" w:name="_Toc14132"/>
      <w:bookmarkStart w:id="1035" w:name="_Toc16746"/>
      <w:bookmarkStart w:id="1036" w:name="_Toc10018"/>
      <w:r>
        <w:rPr>
          <w:rFonts w:hint="eastAsia" w:ascii="宋体" w:hAnsi="宋体"/>
          <w:b/>
          <w:snapToGrid w:val="0"/>
          <w:color w:val="auto"/>
          <w:kern w:val="0"/>
          <w:sz w:val="28"/>
          <w:szCs w:val="28"/>
          <w:highlight w:val="none"/>
        </w:rPr>
        <w:t>四、安全生产及文明施工方面的违约责任</w:t>
      </w:r>
      <w:bookmarkEnd w:id="1032"/>
      <w:bookmarkEnd w:id="1033"/>
      <w:bookmarkEnd w:id="1034"/>
      <w:bookmarkEnd w:id="1035"/>
      <w:bookmarkEnd w:id="1036"/>
    </w:p>
    <w:p w14:paraId="30D0AAC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承包人在政府行政主管部门组织的安全生产检查中，被发现存在严重的安全隐患，被通报批评，或被新闻媒体曝光造成不良影响的，被通报或被曝光一次，承包人必须承担2次违约责任；造成严重社会影响或累计被通报或被曝光3次以上（含本数）的，发包人有权解除合同</w:t>
      </w:r>
      <w:r>
        <w:rPr>
          <w:rFonts w:hint="eastAsia" w:ascii="宋体" w:hAnsi="宋体"/>
          <w:bCs/>
          <w:snapToGrid w:val="0"/>
          <w:color w:val="auto"/>
          <w:kern w:val="0"/>
          <w:sz w:val="24"/>
          <w:highlight w:val="none"/>
        </w:rPr>
        <w:t>。</w:t>
      </w:r>
    </w:p>
    <w:p w14:paraId="3A8CE1ED">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2）承包人在发包人、总监理工程师进行的日常安全生产检查中，被发现存在安全隐患的，承包人应限期改正。若同样问题被发现2次或累计类似问题被发现3次的，承包人必须承担1次违约责任。此类问题的认定，以发包人、总监理工程师书面通知、指令、通报或会议纪要为准。</w:t>
      </w:r>
    </w:p>
    <w:p w14:paraId="0B250C1E">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（3）承包期间，发生生产安全事故的，承包人除按国家规定由主管部门处罚外，还必须依照下列约定向发包人承担违约责任：</w:t>
      </w:r>
    </w:p>
    <w:p w14:paraId="28AFE198">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①发生特别重大事故，承包人按事故所造成损失金额的15%向发包人支付违约金，同时违约金的数额不得低于40万元；</w:t>
      </w:r>
    </w:p>
    <w:p w14:paraId="01FF3909">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②发生重大事故，承包人按事故所造成损失金额的12%向发包人支付违约金，同时违约金的数额不得低于30万元；</w:t>
      </w:r>
    </w:p>
    <w:p w14:paraId="7885CC58">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③发生较大事故，承包人按事故所造成损失金额的10%向发包人支付违约金，同时违约金数额不得低于20万元；</w:t>
      </w:r>
    </w:p>
    <w:p w14:paraId="507A0DD9">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④发生一般事故，承包人按事故所造成损失金额的8%向发包人支付违约金，同时违约金数额不得低于10万元。</w:t>
      </w:r>
    </w:p>
    <w:p w14:paraId="2E843DCF">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（4）由于承包人违章作业或安全措施不力等原因造成人员伤亡事故的责任和因此而发生的一切费用，由承包人自行承担。</w:t>
      </w:r>
    </w:p>
    <w:p w14:paraId="6D59E14F">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承包人发生安全责任事故造成人员死亡的，除上述规定外，承包人还应承担违约责任，每死亡1人，承包人应向发包人支付50万元违约金。</w:t>
      </w:r>
    </w:p>
    <w:p w14:paraId="32259D89">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（5）承包人被相关行政主管部门要求停工整改的，承包人应承担违约责任，每停工整改1次，承包人应向发包人支付</w:t>
      </w:r>
      <w:r>
        <w:rPr>
          <w:rFonts w:hint="eastAsia" w:ascii="宋体" w:hAnsi="宋体"/>
          <w:bCs/>
          <w:snapToGrid w:val="0"/>
          <w:color w:val="auto"/>
          <w:kern w:val="0"/>
          <w:sz w:val="24"/>
          <w:highlight w:val="none"/>
          <w:lang w:val="en-US" w:eastAsia="zh-CN"/>
        </w:rPr>
        <w:t>1-5</w:t>
      </w:r>
      <w:r>
        <w:rPr>
          <w:rFonts w:hint="eastAsia" w:ascii="宋体" w:hAnsi="宋体"/>
          <w:bCs/>
          <w:snapToGrid w:val="0"/>
          <w:color w:val="auto"/>
          <w:kern w:val="0"/>
          <w:sz w:val="24"/>
          <w:highlight w:val="none"/>
        </w:rPr>
        <w:t>5万元违约金。</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1千万以下的，交纳1万元/次违约金；</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1千万（含1千万）至2千万以下的，交纳2万元/次违约金；合同价2千万以上（含2千万） 的，交纳5万元/次违约金）</w:t>
      </w:r>
    </w:p>
    <w:p w14:paraId="23C0BECD">
      <w:pPr>
        <w:adjustRightInd w:val="0"/>
        <w:snapToGrid w:val="0"/>
        <w:spacing w:line="360" w:lineRule="auto"/>
        <w:ind w:right="11" w:firstLine="460" w:firstLineChars="192"/>
        <w:rPr>
          <w:rFonts w:ascii="宋体" w:hAnsi="宋体"/>
          <w:bCs/>
          <w:snapToGrid w:val="0"/>
          <w:color w:val="auto"/>
          <w:kern w:val="0"/>
          <w:sz w:val="24"/>
          <w:highlight w:val="none"/>
        </w:rPr>
      </w:pPr>
      <w:r>
        <w:rPr>
          <w:rFonts w:hint="eastAsia" w:ascii="宋体" w:hAnsi="宋体"/>
          <w:bCs/>
          <w:snapToGrid w:val="0"/>
          <w:color w:val="auto"/>
          <w:kern w:val="0"/>
          <w:sz w:val="24"/>
          <w:highlight w:val="none"/>
        </w:rPr>
        <w:t>（</w:t>
      </w:r>
      <w:r>
        <w:rPr>
          <w:rFonts w:ascii="宋体" w:hAnsi="宋体"/>
          <w:bCs/>
          <w:snapToGrid w:val="0"/>
          <w:color w:val="auto"/>
          <w:kern w:val="0"/>
          <w:sz w:val="24"/>
          <w:highlight w:val="none"/>
        </w:rPr>
        <w:t>6</w:t>
      </w:r>
      <w:r>
        <w:rPr>
          <w:rFonts w:hint="eastAsia" w:ascii="宋体" w:hAnsi="宋体"/>
          <w:bCs/>
          <w:snapToGrid w:val="0"/>
          <w:color w:val="auto"/>
          <w:kern w:val="0"/>
          <w:sz w:val="24"/>
          <w:highlight w:val="none"/>
        </w:rPr>
        <w:t>）未经分部验收进行下一工序施工的，发包人有权罚承包人</w:t>
      </w:r>
      <w:r>
        <w:rPr>
          <w:rFonts w:hint="eastAsia" w:ascii="宋体" w:hAnsi="宋体"/>
          <w:bCs/>
          <w:snapToGrid w:val="0"/>
          <w:color w:val="auto"/>
          <w:kern w:val="0"/>
          <w:sz w:val="24"/>
          <w:highlight w:val="none"/>
          <w:lang w:val="en-US" w:eastAsia="zh-CN"/>
        </w:rPr>
        <w:t>1</w:t>
      </w:r>
      <w:r>
        <w:rPr>
          <w:rFonts w:hint="eastAsia" w:ascii="宋体" w:hAnsi="宋体"/>
          <w:bCs/>
          <w:snapToGrid w:val="0"/>
          <w:color w:val="auto"/>
          <w:kern w:val="0"/>
          <w:sz w:val="24"/>
          <w:highlight w:val="none"/>
          <w:lang w:val="en-US" w:eastAsia="zh-CN"/>
        </w:rPr>
        <w:t>-2</w:t>
      </w:r>
      <w:r>
        <w:rPr>
          <w:rFonts w:hint="eastAsia" w:ascii="宋体" w:hAnsi="宋体"/>
          <w:bCs/>
          <w:snapToGrid w:val="0"/>
          <w:color w:val="auto"/>
          <w:kern w:val="0"/>
          <w:sz w:val="24"/>
          <w:highlight w:val="none"/>
        </w:rPr>
        <w:t>万元／次</w:t>
      </w:r>
      <w:r>
        <w:rPr>
          <w:rFonts w:hint="eastAsia" w:ascii="宋体" w:hAnsi="宋体"/>
          <w:bCs/>
          <w:snapToGrid w:val="0"/>
          <w:color w:val="auto"/>
          <w:kern w:val="0"/>
          <w:sz w:val="24"/>
          <w:highlight w:val="none"/>
          <w:lang w:val="en-US" w:eastAsia="zh-CN"/>
        </w:rPr>
        <w:t>的违约金</w:t>
      </w:r>
      <w:r>
        <w:rPr>
          <w:rFonts w:hint="eastAsia" w:ascii="宋体" w:hAnsi="宋体"/>
          <w:bCs/>
          <w:snapToGrid w:val="0"/>
          <w:color w:val="auto"/>
          <w:kern w:val="0"/>
          <w:sz w:val="24"/>
          <w:highlight w:val="none"/>
        </w:rPr>
        <w:t>。</w:t>
      </w:r>
    </w:p>
    <w:p w14:paraId="34FCB7FB">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经监管部门要求整改而不按照整改通知书要求落实整改的，发包人有权罚承包人</w:t>
      </w:r>
      <w:r>
        <w:rPr>
          <w:rFonts w:hint="eastAsia" w:ascii="宋体" w:hAnsi="宋体"/>
          <w:bCs/>
          <w:snapToGrid w:val="0"/>
          <w:color w:val="auto"/>
          <w:kern w:val="0"/>
          <w:sz w:val="24"/>
          <w:highlight w:val="none"/>
          <w:lang w:val="en-US" w:eastAsia="zh-CN"/>
        </w:rPr>
        <w:t>1</w:t>
      </w:r>
      <w:r>
        <w:rPr>
          <w:rFonts w:hint="eastAsia" w:ascii="宋体" w:hAnsi="宋体"/>
          <w:bCs/>
          <w:snapToGrid w:val="0"/>
          <w:color w:val="auto"/>
          <w:kern w:val="0"/>
          <w:sz w:val="24"/>
          <w:highlight w:val="none"/>
          <w:lang w:val="en-US" w:eastAsia="zh-CN"/>
        </w:rPr>
        <w:t>-2</w:t>
      </w:r>
      <w:r>
        <w:rPr>
          <w:rFonts w:hint="eastAsia" w:ascii="宋体" w:hAnsi="宋体"/>
          <w:bCs/>
          <w:snapToGrid w:val="0"/>
          <w:color w:val="auto"/>
          <w:kern w:val="0"/>
          <w:sz w:val="24"/>
          <w:highlight w:val="none"/>
        </w:rPr>
        <w:t>万元／次</w:t>
      </w:r>
      <w:r>
        <w:rPr>
          <w:rFonts w:hint="eastAsia" w:ascii="宋体" w:hAnsi="宋体"/>
          <w:bCs/>
          <w:snapToGrid w:val="0"/>
          <w:color w:val="auto"/>
          <w:kern w:val="0"/>
          <w:sz w:val="24"/>
          <w:highlight w:val="none"/>
          <w:lang w:val="en-US" w:eastAsia="zh-CN"/>
        </w:rPr>
        <w:t>的</w:t>
      </w:r>
      <w:r>
        <w:rPr>
          <w:rFonts w:hint="eastAsia" w:ascii="宋体" w:hAnsi="宋体"/>
          <w:bCs/>
          <w:snapToGrid w:val="0"/>
          <w:color w:val="auto"/>
          <w:kern w:val="0"/>
          <w:sz w:val="24"/>
          <w:highlight w:val="none"/>
          <w:lang w:val="en-US" w:eastAsia="zh-CN"/>
        </w:rPr>
        <w:t>违约金</w:t>
      </w:r>
      <w:r>
        <w:rPr>
          <w:rFonts w:hint="eastAsia" w:ascii="宋体" w:hAnsi="宋体"/>
          <w:bCs/>
          <w:snapToGrid w:val="0"/>
          <w:color w:val="auto"/>
          <w:kern w:val="0"/>
          <w:sz w:val="24"/>
          <w:highlight w:val="none"/>
        </w:rPr>
        <w:t>。</w:t>
      </w:r>
    </w:p>
    <w:p w14:paraId="52E19B6F">
      <w:pPr>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w:t>
      </w:r>
      <w:r>
        <w:rPr>
          <w:rFonts w:ascii="宋体" w:hAnsi="宋体"/>
          <w:bCs/>
          <w:snapToGrid w:val="0"/>
          <w:color w:val="auto"/>
          <w:kern w:val="0"/>
          <w:sz w:val="24"/>
          <w:highlight w:val="none"/>
        </w:rPr>
        <w:t>7</w:t>
      </w:r>
      <w:r>
        <w:rPr>
          <w:rFonts w:hint="eastAsia" w:ascii="宋体" w:hAnsi="宋体"/>
          <w:bCs/>
          <w:snapToGrid w:val="0"/>
          <w:color w:val="auto"/>
          <w:kern w:val="0"/>
          <w:sz w:val="24"/>
          <w:highlight w:val="none"/>
        </w:rPr>
        <w:t>）承包人须按发包人批准的施工组织设计进行施工现场布置、放置材料机械及其他设施，完成场地硬体化、排水管道化，及时将施工垃圾、余泥运出场外，达到省、市及区文明施工样板工地标准，保证施工场地清洁符合环境卫生管理的有关规定，若承包人施工场地要求达不到上述要求，发包人有权委托第三方单位进行清理，承包人应向发包人支付相当于实际发生费用2倍的违约金。</w:t>
      </w:r>
    </w:p>
    <w:p w14:paraId="6A4A331E">
      <w:pPr>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w:t>
      </w:r>
      <w:r>
        <w:rPr>
          <w:rFonts w:ascii="宋体" w:hAnsi="宋体"/>
          <w:bCs/>
          <w:snapToGrid w:val="0"/>
          <w:color w:val="auto"/>
          <w:kern w:val="0"/>
          <w:sz w:val="24"/>
          <w:highlight w:val="none"/>
        </w:rPr>
        <w:t>8</w:t>
      </w:r>
      <w:r>
        <w:rPr>
          <w:rFonts w:hint="eastAsia" w:ascii="宋体" w:hAnsi="宋体"/>
          <w:bCs/>
          <w:snapToGrid w:val="0"/>
          <w:color w:val="auto"/>
          <w:kern w:val="0"/>
          <w:sz w:val="24"/>
          <w:highlight w:val="none"/>
        </w:rPr>
        <w:t>）承包人在工程通过竣工验收后10天内，完成竣工清场。每逾期一天，承包人应向发包人支付1万元/天的违约金。</w:t>
      </w:r>
    </w:p>
    <w:p w14:paraId="65BE7884">
      <w:pPr>
        <w:spacing w:line="360" w:lineRule="auto"/>
        <w:ind w:firstLine="480" w:firstLineChars="200"/>
        <w:rPr>
          <w:rFonts w:hint="eastAsia" w:ascii="宋体" w:hAnsi="宋体"/>
          <w:color w:val="auto"/>
          <w:sz w:val="24"/>
          <w:highlight w:val="none"/>
        </w:rPr>
      </w:pPr>
    </w:p>
    <w:p w14:paraId="14EBFA1D">
      <w:pPr>
        <w:adjustRightInd w:val="0"/>
        <w:snapToGrid w:val="0"/>
        <w:spacing w:line="360" w:lineRule="auto"/>
        <w:ind w:right="11" w:firstLine="540" w:firstLineChars="192"/>
        <w:rPr>
          <w:rFonts w:hint="eastAsia" w:ascii="宋体" w:hAnsi="宋体"/>
          <w:b/>
          <w:snapToGrid w:val="0"/>
          <w:color w:val="auto"/>
          <w:kern w:val="0"/>
          <w:sz w:val="28"/>
          <w:szCs w:val="28"/>
          <w:highlight w:val="none"/>
        </w:rPr>
      </w:pPr>
      <w:bookmarkStart w:id="1037" w:name="_Toc2560"/>
      <w:bookmarkStart w:id="1038" w:name="_Toc22689"/>
      <w:bookmarkStart w:id="1039" w:name="_Toc14678"/>
      <w:bookmarkStart w:id="1040" w:name="_Toc18270"/>
      <w:bookmarkStart w:id="1041" w:name="_Toc12519"/>
      <w:r>
        <w:rPr>
          <w:rFonts w:hint="eastAsia" w:ascii="宋体" w:hAnsi="宋体"/>
          <w:b/>
          <w:snapToGrid w:val="0"/>
          <w:color w:val="auto"/>
          <w:kern w:val="0"/>
          <w:sz w:val="28"/>
          <w:szCs w:val="28"/>
          <w:highlight w:val="none"/>
        </w:rPr>
        <w:t>五、施工人员工资支付方面的违约责任</w:t>
      </w:r>
      <w:bookmarkEnd w:id="1037"/>
      <w:bookmarkEnd w:id="1038"/>
      <w:bookmarkEnd w:id="1039"/>
      <w:bookmarkEnd w:id="1040"/>
      <w:bookmarkEnd w:id="1041"/>
    </w:p>
    <w:p w14:paraId="1A1101E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由于承包人或其管理的分包单位（包括施工专业分包、供货分包及劳务分包单位等）拖欠施工人员工资致使发包人被投诉或起诉并被判令先行垫付施工人员工资的，承包人除承担1次违约责任外，还应向发包人支付发包人先行垫付的施工人员工资金额的120%作为补偿。</w:t>
      </w:r>
    </w:p>
    <w:p w14:paraId="04AAF6D2">
      <w:pPr>
        <w:adjustRightInd w:val="0"/>
        <w:snapToGrid w:val="0"/>
        <w:spacing w:line="360" w:lineRule="auto"/>
        <w:ind w:firstLine="480" w:firstLineChars="200"/>
        <w:rPr>
          <w:rFonts w:hint="default" w:ascii="宋体" w:hAnsi="宋体" w:eastAsia="宋体"/>
          <w:snapToGrid w:val="0"/>
          <w:color w:val="auto"/>
          <w:kern w:val="0"/>
          <w:sz w:val="24"/>
          <w:highlight w:val="none"/>
          <w:lang w:val="en-US" w:eastAsia="zh-CN"/>
        </w:rPr>
      </w:pPr>
      <w:r>
        <w:rPr>
          <w:rFonts w:hint="eastAsia" w:ascii="宋体" w:hAnsi="宋体"/>
          <w:snapToGrid w:val="0"/>
          <w:color w:val="auto"/>
          <w:kern w:val="0"/>
          <w:sz w:val="24"/>
          <w:highlight w:val="none"/>
        </w:rPr>
        <w:t>（2）承包人在施工过程中因拖欠工人工资发生5人以上群体性事件的，承包人应承担违约责任，向发包人支付</w:t>
      </w:r>
      <w:r>
        <w:rPr>
          <w:rFonts w:hint="eastAsia" w:ascii="宋体" w:hAnsi="宋体"/>
          <w:snapToGrid w:val="0"/>
          <w:color w:val="auto"/>
          <w:kern w:val="0"/>
          <w:sz w:val="24"/>
          <w:highlight w:val="none"/>
          <w:lang w:val="en-US" w:eastAsia="zh-CN"/>
        </w:rPr>
        <w:t>1-5</w:t>
      </w:r>
      <w:r>
        <w:rPr>
          <w:rFonts w:hint="eastAsia" w:ascii="宋体" w:hAnsi="宋体"/>
          <w:snapToGrid w:val="0"/>
          <w:color w:val="auto"/>
          <w:kern w:val="0"/>
          <w:sz w:val="24"/>
          <w:highlight w:val="none"/>
        </w:rPr>
        <w:t>万元／次的违约金。</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1千万以下的，交纳1万元/次违约金；</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1千万（含1千万）至2千万以下的，交纳2万元/次违约金；合同价2千万以上（含2千万） 的，交纳5万元/次违约金）</w:t>
      </w:r>
    </w:p>
    <w:p w14:paraId="144CFBBB">
      <w:pPr>
        <w:adjustRightInd w:val="0"/>
        <w:snapToGrid w:val="0"/>
        <w:spacing w:line="360" w:lineRule="auto"/>
        <w:ind w:right="0" w:firstLine="480" w:firstLineChars="200"/>
        <w:rPr>
          <w:rFonts w:ascii="宋体" w:hAnsi="宋体"/>
          <w:bCs/>
          <w:snapToGrid w:val="0"/>
          <w:color w:val="auto"/>
          <w:kern w:val="0"/>
          <w:sz w:val="24"/>
          <w:highlight w:val="none"/>
        </w:rPr>
      </w:pPr>
      <w:r>
        <w:rPr>
          <w:rFonts w:hint="eastAsia" w:ascii="宋体" w:hAnsi="宋体"/>
          <w:bCs/>
          <w:snapToGrid w:val="0"/>
          <w:color w:val="auto"/>
          <w:kern w:val="0"/>
          <w:sz w:val="24"/>
          <w:highlight w:val="none"/>
        </w:rPr>
        <w:t>（</w:t>
      </w:r>
      <w:r>
        <w:rPr>
          <w:rFonts w:ascii="宋体" w:hAnsi="宋体"/>
          <w:bCs/>
          <w:snapToGrid w:val="0"/>
          <w:color w:val="auto"/>
          <w:kern w:val="0"/>
          <w:sz w:val="24"/>
          <w:highlight w:val="none"/>
        </w:rPr>
        <w:t>3</w:t>
      </w:r>
      <w:r>
        <w:rPr>
          <w:rFonts w:hint="eastAsia" w:ascii="宋体" w:hAnsi="宋体"/>
          <w:bCs/>
          <w:snapToGrid w:val="0"/>
          <w:color w:val="auto"/>
          <w:kern w:val="0"/>
          <w:sz w:val="24"/>
          <w:highlight w:val="none"/>
        </w:rPr>
        <w:t>）承包人应按时足额向雇员支付劳务工资，并不低于当地最低工资标准。对于因承包人拖欠劳务工资而造成群体性示威、游行等，造成一切不良社会影响后果的</w:t>
      </w:r>
      <w:r>
        <w:rPr>
          <w:rFonts w:hint="eastAsia" w:ascii="宋体" w:hAnsi="宋体"/>
          <w:bCs/>
          <w:snapToGrid w:val="0"/>
          <w:color w:val="auto"/>
          <w:kern w:val="0"/>
          <w:sz w:val="24"/>
          <w:highlight w:val="none"/>
          <w:lang w:eastAsia="zh-CN"/>
        </w:rPr>
        <w:t>（</w:t>
      </w:r>
      <w:r>
        <w:rPr>
          <w:rFonts w:hint="eastAsia" w:ascii="宋体" w:hAnsi="宋体"/>
          <w:bCs/>
          <w:snapToGrid w:val="0"/>
          <w:color w:val="auto"/>
          <w:kern w:val="0"/>
          <w:sz w:val="24"/>
          <w:highlight w:val="none"/>
          <w:lang w:val="en-US" w:eastAsia="zh-CN"/>
        </w:rPr>
        <w:t>经发包人核实存在承包人拖欠工资的现象</w:t>
      </w:r>
      <w:r>
        <w:rPr>
          <w:rFonts w:hint="eastAsia" w:ascii="宋体" w:hAnsi="宋体"/>
          <w:bCs/>
          <w:snapToGrid w:val="0"/>
          <w:color w:val="auto"/>
          <w:kern w:val="0"/>
          <w:sz w:val="24"/>
          <w:highlight w:val="none"/>
          <w:lang w:eastAsia="zh-CN"/>
        </w:rPr>
        <w:t>）</w:t>
      </w:r>
      <w:r>
        <w:rPr>
          <w:rFonts w:hint="eastAsia" w:ascii="宋体" w:hAnsi="宋体"/>
          <w:bCs/>
          <w:snapToGrid w:val="0"/>
          <w:color w:val="auto"/>
          <w:kern w:val="0"/>
          <w:sz w:val="24"/>
          <w:highlight w:val="none"/>
        </w:rPr>
        <w:t>，发包人有权</w:t>
      </w:r>
      <w:r>
        <w:rPr>
          <w:rFonts w:hint="eastAsia" w:ascii="宋体" w:hAnsi="宋体"/>
          <w:bCs/>
          <w:snapToGrid w:val="0"/>
          <w:color w:val="auto"/>
          <w:kern w:val="0"/>
          <w:sz w:val="24"/>
          <w:highlight w:val="none"/>
          <w:lang w:eastAsia="zh-CN"/>
        </w:rPr>
        <w:t>罚</w:t>
      </w:r>
      <w:r>
        <w:rPr>
          <w:rFonts w:hint="eastAsia" w:ascii="宋体" w:hAnsi="宋体"/>
          <w:bCs/>
          <w:snapToGrid w:val="0"/>
          <w:color w:val="auto"/>
          <w:kern w:val="0"/>
          <w:sz w:val="24"/>
          <w:highlight w:val="none"/>
          <w:lang w:val="en-US" w:eastAsia="zh-CN"/>
        </w:rPr>
        <w:t>承包人</w:t>
      </w:r>
      <w:r>
        <w:rPr>
          <w:rFonts w:hint="eastAsia" w:ascii="宋体" w:hAnsi="宋体"/>
          <w:bCs/>
          <w:snapToGrid w:val="0"/>
          <w:color w:val="auto"/>
          <w:kern w:val="0"/>
          <w:sz w:val="24"/>
          <w:highlight w:val="none"/>
          <w:lang w:val="en-US" w:eastAsia="zh-CN"/>
        </w:rPr>
        <w:t>1</w:t>
      </w:r>
      <w:r>
        <w:rPr>
          <w:rFonts w:hint="eastAsia" w:ascii="宋体" w:hAnsi="宋体"/>
          <w:bCs/>
          <w:snapToGrid w:val="0"/>
          <w:color w:val="auto"/>
          <w:kern w:val="0"/>
          <w:sz w:val="24"/>
          <w:highlight w:val="none"/>
          <w:lang w:val="en-US" w:eastAsia="zh-CN"/>
        </w:rPr>
        <w:t>-5</w:t>
      </w:r>
      <w:r>
        <w:rPr>
          <w:rFonts w:ascii="宋体" w:hAnsi="宋体"/>
          <w:bCs/>
          <w:snapToGrid w:val="0"/>
          <w:color w:val="auto"/>
          <w:kern w:val="0"/>
          <w:sz w:val="24"/>
          <w:highlight w:val="none"/>
        </w:rPr>
        <w:t>万元/次作为违约金。上述行为对发包人造成损失和（或）导致工期延误的，承包人应赔偿发包人的损失，工期不予顺延。</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1千万以下的，交纳1万元/次违约金；</w:t>
      </w:r>
      <w:r>
        <w:rPr>
          <w:rFonts w:hint="eastAsia" w:ascii="宋体" w:hAnsi="宋体"/>
          <w:snapToGrid w:val="0"/>
          <w:color w:val="auto"/>
          <w:kern w:val="0"/>
          <w:sz w:val="24"/>
          <w:highlight w:val="none"/>
          <w:lang w:eastAsia="zh-CN"/>
        </w:rPr>
        <w:t>合同价</w:t>
      </w:r>
      <w:r>
        <w:rPr>
          <w:rFonts w:hint="eastAsia" w:ascii="宋体" w:hAnsi="宋体"/>
          <w:snapToGrid w:val="0"/>
          <w:color w:val="auto"/>
          <w:kern w:val="0"/>
          <w:sz w:val="24"/>
          <w:highlight w:val="none"/>
          <w:lang w:val="en-US" w:eastAsia="zh-CN"/>
        </w:rPr>
        <w:t>1千万（含1千万）至2千万以下的，交纳2万元/次违约金；合同价2千万以上（含2千万） 的，交纳5万元/次违约金）</w:t>
      </w:r>
    </w:p>
    <w:p w14:paraId="77B91BF7">
      <w:pPr>
        <w:adjustRightInd w:val="0"/>
        <w:snapToGrid w:val="0"/>
        <w:spacing w:line="360" w:lineRule="auto"/>
        <w:ind w:right="11" w:firstLine="540" w:firstLineChars="192"/>
        <w:rPr>
          <w:rFonts w:ascii="宋体" w:hAnsi="宋体"/>
          <w:b/>
          <w:snapToGrid w:val="0"/>
          <w:color w:val="auto"/>
          <w:kern w:val="0"/>
          <w:sz w:val="28"/>
          <w:szCs w:val="28"/>
          <w:highlight w:val="none"/>
        </w:rPr>
      </w:pPr>
      <w:bookmarkStart w:id="1042" w:name="_Toc14593"/>
      <w:bookmarkStart w:id="1043" w:name="_Toc30175"/>
      <w:bookmarkStart w:id="1044" w:name="_Toc15909"/>
      <w:bookmarkStart w:id="1045" w:name="_Toc28338"/>
      <w:bookmarkStart w:id="1046" w:name="_Toc650"/>
    </w:p>
    <w:p w14:paraId="035B7EDE">
      <w:pPr>
        <w:adjustRightInd w:val="0"/>
        <w:snapToGrid w:val="0"/>
        <w:spacing w:line="360" w:lineRule="auto"/>
        <w:ind w:right="11" w:firstLine="540" w:firstLineChars="192"/>
        <w:rPr>
          <w:rFonts w:hint="eastAsia" w:ascii="宋体" w:hAnsi="宋体"/>
          <w:b/>
          <w:snapToGrid w:val="0"/>
          <w:color w:val="auto"/>
          <w:kern w:val="0"/>
          <w:sz w:val="28"/>
          <w:szCs w:val="28"/>
          <w:highlight w:val="none"/>
        </w:rPr>
      </w:pPr>
      <w:r>
        <w:rPr>
          <w:rFonts w:hint="eastAsia" w:ascii="宋体" w:hAnsi="宋体"/>
          <w:b/>
          <w:snapToGrid w:val="0"/>
          <w:color w:val="auto"/>
          <w:kern w:val="0"/>
          <w:sz w:val="28"/>
          <w:szCs w:val="28"/>
          <w:highlight w:val="none"/>
        </w:rPr>
        <w:t>六、承包人承担违约责任的方式包括但不限于：</w:t>
      </w:r>
      <w:bookmarkEnd w:id="1042"/>
      <w:bookmarkEnd w:id="1043"/>
      <w:bookmarkEnd w:id="1044"/>
      <w:bookmarkEnd w:id="1045"/>
      <w:bookmarkEnd w:id="1046"/>
    </w:p>
    <w:p w14:paraId="13B52ACC">
      <w:pPr>
        <w:tabs>
          <w:tab w:val="left" w:pos="1125"/>
        </w:tabs>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部分解除合同。当承包人违反本合同的约定符合部分解除合同的条件时，发包人有权向承包人发出书面部分解除合同的通知，该通知在送达承包人时即生效。发包人有权从本签约合同价中直接扣除被解除部分工程所需的全部费用，同时，</w:t>
      </w:r>
      <w:r>
        <w:rPr>
          <w:rFonts w:hint="eastAsia" w:ascii="宋体" w:hAnsi="宋体"/>
          <w:snapToGrid w:val="0"/>
          <w:color w:val="auto"/>
          <w:kern w:val="0"/>
          <w:sz w:val="24"/>
          <w:highlight w:val="none"/>
        </w:rPr>
        <w:t>承包人应在部分解除合同之日起七日内向发包人支付</w:t>
      </w:r>
      <w:r>
        <w:rPr>
          <w:rFonts w:hint="eastAsia" w:ascii="宋体" w:hAnsi="宋体"/>
          <w:bCs/>
          <w:snapToGrid w:val="0"/>
          <w:color w:val="auto"/>
          <w:kern w:val="0"/>
          <w:sz w:val="24"/>
          <w:highlight w:val="none"/>
        </w:rPr>
        <w:t>被解除部分工程</w:t>
      </w:r>
      <w:r>
        <w:rPr>
          <w:rFonts w:hint="eastAsia" w:ascii="宋体" w:hAnsi="宋体"/>
          <w:snapToGrid w:val="0"/>
          <w:color w:val="auto"/>
          <w:kern w:val="0"/>
          <w:sz w:val="24"/>
          <w:highlight w:val="none"/>
        </w:rPr>
        <w:t>签约合同价20%的违约金并赔偿发包人的实际损失</w:t>
      </w:r>
      <w:r>
        <w:rPr>
          <w:rFonts w:hint="eastAsia" w:ascii="宋体" w:hAnsi="宋体"/>
          <w:bCs/>
          <w:snapToGrid w:val="0"/>
          <w:color w:val="auto"/>
          <w:kern w:val="0"/>
          <w:sz w:val="24"/>
          <w:highlight w:val="none"/>
        </w:rPr>
        <w:t>。</w:t>
      </w:r>
    </w:p>
    <w:p w14:paraId="101E2BD8">
      <w:pPr>
        <w:tabs>
          <w:tab w:val="left" w:pos="1125"/>
        </w:tabs>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（2）解除合同。当承包人违反本合同的约定符合解除合同的条件时，发包人有权向承包人发出书面解除合同的通知，该通知在送达承包人时即生效，</w:t>
      </w:r>
      <w:r>
        <w:rPr>
          <w:rFonts w:hint="eastAsia" w:ascii="宋体" w:hAnsi="宋体"/>
          <w:snapToGrid w:val="0"/>
          <w:color w:val="auto"/>
          <w:kern w:val="0"/>
          <w:sz w:val="24"/>
          <w:highlight w:val="none"/>
        </w:rPr>
        <w:t>承包人应在解除合同之日起七日内向发包人支付本签约合同价20%的违约金并赔偿发包人的实际损失</w:t>
      </w:r>
      <w:r>
        <w:rPr>
          <w:rFonts w:hint="eastAsia" w:ascii="宋体" w:hAnsi="宋体"/>
          <w:bCs/>
          <w:snapToGrid w:val="0"/>
          <w:color w:val="auto"/>
          <w:kern w:val="0"/>
          <w:sz w:val="24"/>
          <w:highlight w:val="none"/>
        </w:rPr>
        <w:t>。</w:t>
      </w:r>
    </w:p>
    <w:p w14:paraId="4E630C3E">
      <w:pPr>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（3）对于发包人给予承包人2次以上（含本数）违约处罚或书面警告3次以上（含本数）的，发包人有权根据上述第（1）、（2）项的约定单方部分解除或全部解除合同，追究承包人的违约责任。</w:t>
      </w:r>
    </w:p>
    <w:p w14:paraId="2A86CF00">
      <w:pPr>
        <w:spacing w:line="360" w:lineRule="auto"/>
        <w:ind w:firstLine="480" w:firstLineChars="200"/>
        <w:rPr>
          <w:rFonts w:hint="eastAsia" w:ascii="宋体" w:hAnsi="宋体"/>
          <w:bCs/>
          <w:snapToGrid w:val="0"/>
          <w:color w:val="auto"/>
          <w:kern w:val="0"/>
          <w:sz w:val="24"/>
          <w:highlight w:val="none"/>
        </w:rPr>
      </w:pPr>
    </w:p>
    <w:p w14:paraId="7F09E38F">
      <w:pPr>
        <w:adjustRightInd w:val="0"/>
        <w:snapToGrid w:val="0"/>
        <w:spacing w:line="360" w:lineRule="auto"/>
        <w:ind w:right="11" w:firstLine="540" w:firstLineChars="192"/>
        <w:rPr>
          <w:rFonts w:hint="eastAsia" w:ascii="宋体" w:hAnsi="宋体"/>
          <w:b/>
          <w:color w:val="auto"/>
          <w:sz w:val="28"/>
          <w:szCs w:val="28"/>
          <w:highlight w:val="none"/>
        </w:rPr>
      </w:pPr>
      <w:bookmarkStart w:id="1047" w:name="_Toc30675"/>
      <w:bookmarkStart w:id="1048" w:name="_Toc26335"/>
      <w:bookmarkStart w:id="1049" w:name="_Toc6637"/>
      <w:bookmarkStart w:id="1050" w:name="_Toc20992"/>
      <w:bookmarkStart w:id="1051" w:name="_Toc9089"/>
      <w:r>
        <w:rPr>
          <w:rFonts w:hint="eastAsia" w:ascii="宋体" w:hAnsi="宋体"/>
          <w:b/>
          <w:color w:val="auto"/>
          <w:sz w:val="28"/>
          <w:szCs w:val="28"/>
          <w:highlight w:val="none"/>
        </w:rPr>
        <w:t>七、其它</w:t>
      </w:r>
      <w:bookmarkEnd w:id="1047"/>
      <w:bookmarkEnd w:id="1048"/>
      <w:bookmarkEnd w:id="1049"/>
      <w:bookmarkEnd w:id="1050"/>
      <w:bookmarkEnd w:id="1051"/>
    </w:p>
    <w:p w14:paraId="5AE4EF13">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（1）本条例与主合同不一致的或主合同未有约定的，以本条例为准。</w:t>
      </w:r>
    </w:p>
    <w:p w14:paraId="0F5FEE66">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（2）本条例与《番禺区水务工程参建单位管理人员考核要求》（简称《人员考核要求》不一致或未有约定的，以《人员考核要求》的最新文件规定为准。</w:t>
      </w:r>
    </w:p>
    <w:p w14:paraId="62BAFFE7">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br w:type="page"/>
      </w:r>
    </w:p>
    <w:p w14:paraId="3B36BA23">
      <w:pPr>
        <w:spacing w:line="420" w:lineRule="exact"/>
        <w:outlineLvl w:val="1"/>
        <w:rPr>
          <w:rFonts w:ascii="宋体" w:hAnsi="宋体" w:cs="宋体"/>
          <w:b/>
          <w:bCs/>
          <w:color w:val="auto"/>
          <w:sz w:val="22"/>
          <w:szCs w:val="22"/>
          <w:highlight w:val="none"/>
        </w:rPr>
      </w:pPr>
      <w:bookmarkStart w:id="1052" w:name="_Toc29487"/>
      <w:bookmarkStart w:id="1053" w:name="_Toc18309"/>
      <w:bookmarkStart w:id="1054" w:name="_Toc13688"/>
      <w:bookmarkStart w:id="1055" w:name="_Toc5166"/>
      <w:bookmarkStart w:id="1056" w:name="_Toc155166230"/>
      <w:r>
        <w:rPr>
          <w:rFonts w:hint="eastAsia" w:ascii="宋体" w:hAnsi="宋体" w:cs="宋体"/>
          <w:b/>
          <w:bCs/>
          <w:color w:val="auto"/>
          <w:sz w:val="22"/>
          <w:szCs w:val="22"/>
          <w:highlight w:val="none"/>
        </w:rPr>
        <w:t>附件十二：通信联系方式格式</w:t>
      </w:r>
      <w:bookmarkEnd w:id="1052"/>
      <w:bookmarkEnd w:id="1053"/>
      <w:bookmarkEnd w:id="1054"/>
      <w:bookmarkEnd w:id="1055"/>
      <w:bookmarkEnd w:id="1056"/>
    </w:p>
    <w:p w14:paraId="56F51EAB">
      <w:pPr>
        <w:adjustRightInd w:val="0"/>
        <w:snapToGrid w:val="0"/>
        <w:spacing w:line="360" w:lineRule="auto"/>
        <w:jc w:val="center"/>
        <w:rPr>
          <w:rFonts w:hint="eastAsia" w:ascii="宋体" w:hAnsi="宋体"/>
          <w:b/>
          <w:snapToGrid w:val="0"/>
          <w:color w:val="auto"/>
          <w:kern w:val="0"/>
          <w:sz w:val="32"/>
          <w:szCs w:val="32"/>
          <w:highlight w:val="none"/>
        </w:rPr>
      </w:pPr>
      <w:r>
        <w:rPr>
          <w:rFonts w:hint="eastAsia" w:ascii="宋体" w:hAnsi="宋体"/>
          <w:b/>
          <w:snapToGrid w:val="0"/>
          <w:color w:val="auto"/>
          <w:kern w:val="0"/>
          <w:sz w:val="32"/>
          <w:szCs w:val="32"/>
          <w:highlight w:val="none"/>
        </w:rPr>
        <w:t>承包人法定代表人、项目经理、技术负责人、安全员和资料员的通信联系方式</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842"/>
        <w:gridCol w:w="2722"/>
        <w:gridCol w:w="2030"/>
        <w:gridCol w:w="1705"/>
      </w:tblGrid>
      <w:tr w14:paraId="52CB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top"/>
          </w:tcPr>
          <w:p w14:paraId="636A50F9">
            <w:pPr>
              <w:tabs>
                <w:tab w:val="left" w:pos="1080"/>
              </w:tabs>
              <w:adjustRightInd w:val="0"/>
              <w:snapToGrid w:val="0"/>
              <w:spacing w:line="360" w:lineRule="auto"/>
              <w:jc w:val="center"/>
              <w:rPr>
                <w:rFonts w:hint="eastAsia" w:ascii="宋体" w:hAnsi="宋体"/>
                <w:b/>
                <w:color w:val="auto"/>
                <w:sz w:val="24"/>
                <w:highlight w:val="none"/>
              </w:rPr>
            </w:pPr>
            <w:r>
              <w:rPr>
                <w:rFonts w:hint="eastAsia" w:ascii="宋体" w:hAnsi="宋体"/>
                <w:b/>
                <w:color w:val="auto"/>
                <w:sz w:val="24"/>
                <w:highlight w:val="none"/>
              </w:rPr>
              <w:t>序号</w:t>
            </w:r>
          </w:p>
        </w:tc>
        <w:tc>
          <w:tcPr>
            <w:tcW w:w="1842" w:type="dxa"/>
            <w:noWrap w:val="0"/>
            <w:vAlign w:val="top"/>
          </w:tcPr>
          <w:p w14:paraId="0DA6445C">
            <w:pPr>
              <w:tabs>
                <w:tab w:val="left" w:pos="1080"/>
              </w:tabs>
              <w:adjustRightInd w:val="0"/>
              <w:snapToGrid w:val="0"/>
              <w:spacing w:line="360" w:lineRule="auto"/>
              <w:ind w:firstLine="542"/>
              <w:jc w:val="left"/>
              <w:rPr>
                <w:rFonts w:hint="eastAsia" w:ascii="宋体" w:hAnsi="宋体"/>
                <w:b/>
                <w:color w:val="auto"/>
                <w:sz w:val="24"/>
                <w:highlight w:val="none"/>
              </w:rPr>
            </w:pPr>
            <w:r>
              <w:rPr>
                <w:rFonts w:hint="eastAsia" w:ascii="宋体" w:hAnsi="宋体"/>
                <w:b/>
                <w:color w:val="auto"/>
                <w:sz w:val="24"/>
                <w:highlight w:val="none"/>
              </w:rPr>
              <w:t>姓名</w:t>
            </w:r>
          </w:p>
        </w:tc>
        <w:tc>
          <w:tcPr>
            <w:tcW w:w="2722" w:type="dxa"/>
            <w:noWrap w:val="0"/>
            <w:vAlign w:val="top"/>
          </w:tcPr>
          <w:p w14:paraId="285820C1">
            <w:pPr>
              <w:tabs>
                <w:tab w:val="left" w:pos="1080"/>
              </w:tabs>
              <w:adjustRightInd w:val="0"/>
              <w:snapToGrid w:val="0"/>
              <w:spacing w:line="360" w:lineRule="auto"/>
              <w:ind w:firstLine="542"/>
              <w:jc w:val="left"/>
              <w:rPr>
                <w:rFonts w:hint="eastAsia" w:ascii="宋体" w:hAnsi="宋体"/>
                <w:b/>
                <w:color w:val="auto"/>
                <w:sz w:val="24"/>
                <w:highlight w:val="none"/>
              </w:rPr>
            </w:pPr>
            <w:r>
              <w:rPr>
                <w:rFonts w:hint="eastAsia" w:ascii="宋体" w:hAnsi="宋体"/>
                <w:b/>
                <w:color w:val="auto"/>
                <w:sz w:val="24"/>
                <w:highlight w:val="none"/>
              </w:rPr>
              <w:t>职务</w:t>
            </w:r>
          </w:p>
        </w:tc>
        <w:tc>
          <w:tcPr>
            <w:tcW w:w="2030" w:type="dxa"/>
            <w:noWrap w:val="0"/>
            <w:vAlign w:val="top"/>
          </w:tcPr>
          <w:p w14:paraId="3D180193">
            <w:pPr>
              <w:tabs>
                <w:tab w:val="left" w:pos="1080"/>
              </w:tabs>
              <w:adjustRightInd w:val="0"/>
              <w:snapToGrid w:val="0"/>
              <w:spacing w:line="360" w:lineRule="auto"/>
              <w:ind w:firstLine="542"/>
              <w:jc w:val="left"/>
              <w:rPr>
                <w:rFonts w:hint="eastAsia" w:ascii="宋体" w:hAnsi="宋体"/>
                <w:b/>
                <w:color w:val="auto"/>
                <w:sz w:val="24"/>
                <w:highlight w:val="none"/>
              </w:rPr>
            </w:pPr>
            <w:r>
              <w:rPr>
                <w:rFonts w:hint="eastAsia" w:ascii="宋体" w:hAnsi="宋体"/>
                <w:b/>
                <w:color w:val="auto"/>
                <w:sz w:val="24"/>
                <w:highlight w:val="none"/>
              </w:rPr>
              <w:t>手机</w:t>
            </w:r>
          </w:p>
        </w:tc>
        <w:tc>
          <w:tcPr>
            <w:tcW w:w="1705" w:type="dxa"/>
            <w:noWrap w:val="0"/>
            <w:vAlign w:val="top"/>
          </w:tcPr>
          <w:p w14:paraId="68918721">
            <w:pPr>
              <w:tabs>
                <w:tab w:val="left" w:pos="1080"/>
              </w:tabs>
              <w:adjustRightInd w:val="0"/>
              <w:snapToGrid w:val="0"/>
              <w:spacing w:line="360" w:lineRule="auto"/>
              <w:ind w:firstLine="542"/>
              <w:jc w:val="left"/>
              <w:rPr>
                <w:rFonts w:hint="eastAsia" w:ascii="宋体" w:hAnsi="宋体"/>
                <w:b/>
                <w:color w:val="auto"/>
                <w:sz w:val="24"/>
                <w:highlight w:val="none"/>
              </w:rPr>
            </w:pPr>
            <w:r>
              <w:rPr>
                <w:rFonts w:hint="eastAsia" w:ascii="宋体" w:hAnsi="宋体"/>
                <w:b/>
                <w:color w:val="auto"/>
                <w:sz w:val="24"/>
                <w:highlight w:val="none"/>
              </w:rPr>
              <w:t>说明</w:t>
            </w:r>
          </w:p>
        </w:tc>
      </w:tr>
      <w:tr w14:paraId="0DED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79ADE8D8">
            <w:pPr>
              <w:tabs>
                <w:tab w:val="left" w:pos="1080"/>
              </w:tabs>
              <w:adjustRightInd w:val="0"/>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1</w:t>
            </w:r>
          </w:p>
        </w:tc>
        <w:tc>
          <w:tcPr>
            <w:tcW w:w="1842" w:type="dxa"/>
            <w:noWrap w:val="0"/>
            <w:vAlign w:val="top"/>
          </w:tcPr>
          <w:p w14:paraId="0F563269">
            <w:pPr>
              <w:tabs>
                <w:tab w:val="left" w:pos="1080"/>
              </w:tabs>
              <w:adjustRightInd w:val="0"/>
              <w:snapToGrid w:val="0"/>
              <w:spacing w:line="360" w:lineRule="auto"/>
              <w:ind w:firstLine="542"/>
              <w:jc w:val="left"/>
              <w:rPr>
                <w:rFonts w:hint="eastAsia" w:ascii="宋体" w:hAnsi="宋体"/>
                <w:b/>
                <w:color w:val="auto"/>
                <w:sz w:val="24"/>
                <w:highlight w:val="none"/>
              </w:rPr>
            </w:pPr>
          </w:p>
        </w:tc>
        <w:tc>
          <w:tcPr>
            <w:tcW w:w="2722" w:type="dxa"/>
            <w:noWrap w:val="0"/>
            <w:vAlign w:val="top"/>
          </w:tcPr>
          <w:p w14:paraId="123D15E9">
            <w:pPr>
              <w:tabs>
                <w:tab w:val="left" w:pos="1080"/>
              </w:tabs>
              <w:adjustRightInd w:val="0"/>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法定代表人</w:t>
            </w:r>
          </w:p>
        </w:tc>
        <w:tc>
          <w:tcPr>
            <w:tcW w:w="2030" w:type="dxa"/>
            <w:noWrap w:val="0"/>
            <w:vAlign w:val="top"/>
          </w:tcPr>
          <w:p w14:paraId="7EBD5537">
            <w:pPr>
              <w:tabs>
                <w:tab w:val="left" w:pos="1080"/>
              </w:tabs>
              <w:adjustRightInd w:val="0"/>
              <w:snapToGrid w:val="0"/>
              <w:spacing w:line="360" w:lineRule="auto"/>
              <w:ind w:firstLine="542"/>
              <w:jc w:val="left"/>
              <w:rPr>
                <w:rFonts w:hint="eastAsia" w:ascii="宋体" w:hAnsi="宋体"/>
                <w:b/>
                <w:color w:val="auto"/>
                <w:sz w:val="24"/>
                <w:highlight w:val="none"/>
              </w:rPr>
            </w:pPr>
          </w:p>
        </w:tc>
        <w:tc>
          <w:tcPr>
            <w:tcW w:w="1705" w:type="dxa"/>
            <w:noWrap w:val="0"/>
            <w:vAlign w:val="top"/>
          </w:tcPr>
          <w:p w14:paraId="4F01080D">
            <w:pPr>
              <w:tabs>
                <w:tab w:val="left" w:pos="1080"/>
              </w:tabs>
              <w:adjustRightInd w:val="0"/>
              <w:snapToGrid w:val="0"/>
              <w:spacing w:line="360" w:lineRule="auto"/>
              <w:ind w:firstLine="542"/>
              <w:jc w:val="left"/>
              <w:rPr>
                <w:rFonts w:hint="eastAsia" w:ascii="宋体" w:hAnsi="宋体"/>
                <w:b/>
                <w:color w:val="auto"/>
                <w:sz w:val="24"/>
                <w:highlight w:val="none"/>
              </w:rPr>
            </w:pPr>
          </w:p>
        </w:tc>
      </w:tr>
      <w:tr w14:paraId="5F53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64CDD5D6">
            <w:pPr>
              <w:tabs>
                <w:tab w:val="left" w:pos="1080"/>
              </w:tabs>
              <w:adjustRightInd w:val="0"/>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2</w:t>
            </w:r>
          </w:p>
        </w:tc>
        <w:tc>
          <w:tcPr>
            <w:tcW w:w="1842" w:type="dxa"/>
            <w:noWrap w:val="0"/>
            <w:vAlign w:val="top"/>
          </w:tcPr>
          <w:p w14:paraId="1BAFCC10">
            <w:pPr>
              <w:tabs>
                <w:tab w:val="left" w:pos="1080"/>
              </w:tabs>
              <w:adjustRightInd w:val="0"/>
              <w:snapToGrid w:val="0"/>
              <w:spacing w:line="360" w:lineRule="auto"/>
              <w:ind w:firstLine="542"/>
              <w:jc w:val="left"/>
              <w:rPr>
                <w:rFonts w:hint="eastAsia" w:ascii="宋体" w:hAnsi="宋体"/>
                <w:b/>
                <w:color w:val="auto"/>
                <w:sz w:val="24"/>
                <w:highlight w:val="none"/>
              </w:rPr>
            </w:pPr>
          </w:p>
        </w:tc>
        <w:tc>
          <w:tcPr>
            <w:tcW w:w="2722" w:type="dxa"/>
            <w:noWrap w:val="0"/>
            <w:vAlign w:val="top"/>
          </w:tcPr>
          <w:p w14:paraId="6FD7745F">
            <w:pPr>
              <w:tabs>
                <w:tab w:val="left" w:pos="1080"/>
              </w:tabs>
              <w:adjustRightInd w:val="0"/>
              <w:snapToGrid w:val="0"/>
              <w:spacing w:line="360" w:lineRule="auto"/>
              <w:jc w:val="center"/>
              <w:rPr>
                <w:rFonts w:hint="eastAsia" w:ascii="宋体" w:hAnsi="宋体"/>
                <w:b/>
                <w:color w:val="auto"/>
                <w:sz w:val="24"/>
                <w:highlight w:val="none"/>
              </w:rPr>
            </w:pPr>
            <w:r>
              <w:rPr>
                <w:rFonts w:hint="eastAsia" w:ascii="宋体" w:hAnsi="宋体"/>
                <w:color w:val="auto"/>
                <w:sz w:val="24"/>
                <w:highlight w:val="none"/>
              </w:rPr>
              <w:t>项目经理</w:t>
            </w:r>
          </w:p>
        </w:tc>
        <w:tc>
          <w:tcPr>
            <w:tcW w:w="2030" w:type="dxa"/>
            <w:noWrap w:val="0"/>
            <w:vAlign w:val="top"/>
          </w:tcPr>
          <w:p w14:paraId="4247425A">
            <w:pPr>
              <w:tabs>
                <w:tab w:val="left" w:pos="1080"/>
              </w:tabs>
              <w:adjustRightInd w:val="0"/>
              <w:snapToGrid w:val="0"/>
              <w:spacing w:line="360" w:lineRule="auto"/>
              <w:ind w:firstLine="542"/>
              <w:jc w:val="left"/>
              <w:rPr>
                <w:rFonts w:hint="eastAsia" w:ascii="宋体" w:hAnsi="宋体"/>
                <w:b/>
                <w:color w:val="auto"/>
                <w:sz w:val="24"/>
                <w:highlight w:val="none"/>
              </w:rPr>
            </w:pPr>
          </w:p>
        </w:tc>
        <w:tc>
          <w:tcPr>
            <w:tcW w:w="1705" w:type="dxa"/>
            <w:noWrap w:val="0"/>
            <w:vAlign w:val="top"/>
          </w:tcPr>
          <w:p w14:paraId="4031BFC2">
            <w:pPr>
              <w:tabs>
                <w:tab w:val="left" w:pos="1080"/>
              </w:tabs>
              <w:adjustRightInd w:val="0"/>
              <w:snapToGrid w:val="0"/>
              <w:spacing w:line="360" w:lineRule="auto"/>
              <w:ind w:firstLine="542"/>
              <w:jc w:val="left"/>
              <w:rPr>
                <w:rFonts w:hint="eastAsia" w:ascii="宋体" w:hAnsi="宋体"/>
                <w:b/>
                <w:color w:val="auto"/>
                <w:sz w:val="24"/>
                <w:highlight w:val="none"/>
              </w:rPr>
            </w:pPr>
          </w:p>
        </w:tc>
      </w:tr>
      <w:tr w14:paraId="5240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36EB05FB">
            <w:pPr>
              <w:tabs>
                <w:tab w:val="left" w:pos="1080"/>
              </w:tabs>
              <w:adjustRightInd w:val="0"/>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3</w:t>
            </w:r>
          </w:p>
        </w:tc>
        <w:tc>
          <w:tcPr>
            <w:tcW w:w="1842" w:type="dxa"/>
            <w:noWrap w:val="0"/>
            <w:vAlign w:val="top"/>
          </w:tcPr>
          <w:p w14:paraId="0156135D">
            <w:pPr>
              <w:tabs>
                <w:tab w:val="left" w:pos="1080"/>
              </w:tabs>
              <w:adjustRightInd w:val="0"/>
              <w:snapToGrid w:val="0"/>
              <w:spacing w:line="360" w:lineRule="auto"/>
              <w:ind w:firstLine="542"/>
              <w:jc w:val="left"/>
              <w:rPr>
                <w:rFonts w:hint="eastAsia" w:ascii="宋体" w:hAnsi="宋体"/>
                <w:b/>
                <w:color w:val="auto"/>
                <w:sz w:val="24"/>
                <w:highlight w:val="none"/>
              </w:rPr>
            </w:pPr>
          </w:p>
        </w:tc>
        <w:tc>
          <w:tcPr>
            <w:tcW w:w="2722" w:type="dxa"/>
            <w:noWrap w:val="0"/>
            <w:vAlign w:val="top"/>
          </w:tcPr>
          <w:p w14:paraId="67466FC0">
            <w:pPr>
              <w:tabs>
                <w:tab w:val="left" w:pos="1080"/>
              </w:tabs>
              <w:adjustRightInd w:val="0"/>
              <w:snapToGrid w:val="0"/>
              <w:spacing w:line="360" w:lineRule="auto"/>
              <w:jc w:val="center"/>
              <w:rPr>
                <w:rFonts w:hint="eastAsia" w:ascii="宋体" w:hAnsi="宋体"/>
                <w:b/>
                <w:color w:val="auto"/>
                <w:sz w:val="24"/>
                <w:highlight w:val="none"/>
              </w:rPr>
            </w:pPr>
            <w:r>
              <w:rPr>
                <w:rFonts w:hint="eastAsia" w:ascii="宋体" w:hAnsi="宋体"/>
                <w:color w:val="auto"/>
                <w:sz w:val="24"/>
                <w:highlight w:val="none"/>
              </w:rPr>
              <w:t>技术负责人</w:t>
            </w:r>
          </w:p>
        </w:tc>
        <w:tc>
          <w:tcPr>
            <w:tcW w:w="2030" w:type="dxa"/>
            <w:noWrap w:val="0"/>
            <w:vAlign w:val="top"/>
          </w:tcPr>
          <w:p w14:paraId="5255738A">
            <w:pPr>
              <w:tabs>
                <w:tab w:val="left" w:pos="1080"/>
              </w:tabs>
              <w:adjustRightInd w:val="0"/>
              <w:snapToGrid w:val="0"/>
              <w:spacing w:line="360" w:lineRule="auto"/>
              <w:ind w:firstLine="542"/>
              <w:jc w:val="left"/>
              <w:rPr>
                <w:rFonts w:hint="eastAsia" w:ascii="宋体" w:hAnsi="宋体"/>
                <w:b/>
                <w:color w:val="auto"/>
                <w:sz w:val="24"/>
                <w:highlight w:val="none"/>
              </w:rPr>
            </w:pPr>
          </w:p>
        </w:tc>
        <w:tc>
          <w:tcPr>
            <w:tcW w:w="1705" w:type="dxa"/>
            <w:noWrap w:val="0"/>
            <w:vAlign w:val="top"/>
          </w:tcPr>
          <w:p w14:paraId="0073194E">
            <w:pPr>
              <w:tabs>
                <w:tab w:val="left" w:pos="1080"/>
              </w:tabs>
              <w:adjustRightInd w:val="0"/>
              <w:snapToGrid w:val="0"/>
              <w:spacing w:line="360" w:lineRule="auto"/>
              <w:ind w:firstLine="542"/>
              <w:jc w:val="left"/>
              <w:rPr>
                <w:rFonts w:hint="eastAsia" w:ascii="宋体" w:hAnsi="宋体"/>
                <w:b/>
                <w:color w:val="auto"/>
                <w:sz w:val="24"/>
                <w:highlight w:val="none"/>
              </w:rPr>
            </w:pPr>
          </w:p>
        </w:tc>
      </w:tr>
      <w:tr w14:paraId="1B95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15B90F81">
            <w:pPr>
              <w:tabs>
                <w:tab w:val="left" w:pos="1080"/>
              </w:tabs>
              <w:adjustRightInd w:val="0"/>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4</w:t>
            </w:r>
          </w:p>
        </w:tc>
        <w:tc>
          <w:tcPr>
            <w:tcW w:w="1842" w:type="dxa"/>
            <w:noWrap w:val="0"/>
            <w:vAlign w:val="top"/>
          </w:tcPr>
          <w:p w14:paraId="5BABEC65">
            <w:pPr>
              <w:tabs>
                <w:tab w:val="left" w:pos="1080"/>
              </w:tabs>
              <w:adjustRightInd w:val="0"/>
              <w:snapToGrid w:val="0"/>
              <w:spacing w:line="360" w:lineRule="auto"/>
              <w:ind w:firstLine="542"/>
              <w:jc w:val="left"/>
              <w:rPr>
                <w:rFonts w:hint="eastAsia" w:ascii="宋体" w:hAnsi="宋体"/>
                <w:b/>
                <w:color w:val="auto"/>
                <w:sz w:val="24"/>
                <w:highlight w:val="none"/>
              </w:rPr>
            </w:pPr>
          </w:p>
        </w:tc>
        <w:tc>
          <w:tcPr>
            <w:tcW w:w="2722" w:type="dxa"/>
            <w:noWrap w:val="0"/>
            <w:vAlign w:val="top"/>
          </w:tcPr>
          <w:p w14:paraId="761756B2">
            <w:pPr>
              <w:tabs>
                <w:tab w:val="left" w:pos="1080"/>
              </w:tabs>
              <w:adjustRightInd w:val="0"/>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安全员</w:t>
            </w:r>
          </w:p>
        </w:tc>
        <w:tc>
          <w:tcPr>
            <w:tcW w:w="2030" w:type="dxa"/>
            <w:noWrap w:val="0"/>
            <w:vAlign w:val="top"/>
          </w:tcPr>
          <w:p w14:paraId="267D5F43">
            <w:pPr>
              <w:tabs>
                <w:tab w:val="left" w:pos="1080"/>
              </w:tabs>
              <w:adjustRightInd w:val="0"/>
              <w:snapToGrid w:val="0"/>
              <w:spacing w:line="360" w:lineRule="auto"/>
              <w:ind w:firstLine="542"/>
              <w:jc w:val="left"/>
              <w:rPr>
                <w:rFonts w:hint="eastAsia" w:ascii="宋体" w:hAnsi="宋体"/>
                <w:b/>
                <w:color w:val="auto"/>
                <w:sz w:val="24"/>
                <w:highlight w:val="none"/>
              </w:rPr>
            </w:pPr>
          </w:p>
        </w:tc>
        <w:tc>
          <w:tcPr>
            <w:tcW w:w="1705" w:type="dxa"/>
            <w:noWrap w:val="0"/>
            <w:vAlign w:val="top"/>
          </w:tcPr>
          <w:p w14:paraId="4B57B77B">
            <w:pPr>
              <w:tabs>
                <w:tab w:val="left" w:pos="1080"/>
              </w:tabs>
              <w:adjustRightInd w:val="0"/>
              <w:snapToGrid w:val="0"/>
              <w:spacing w:line="360" w:lineRule="auto"/>
              <w:ind w:firstLine="542"/>
              <w:jc w:val="left"/>
              <w:rPr>
                <w:rFonts w:hint="eastAsia" w:ascii="宋体" w:hAnsi="宋体"/>
                <w:b/>
                <w:color w:val="auto"/>
                <w:sz w:val="24"/>
                <w:highlight w:val="none"/>
              </w:rPr>
            </w:pPr>
          </w:p>
        </w:tc>
      </w:tr>
      <w:tr w14:paraId="47DC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7812FE1E">
            <w:pPr>
              <w:tabs>
                <w:tab w:val="left" w:pos="1080"/>
              </w:tabs>
              <w:adjustRightInd w:val="0"/>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5</w:t>
            </w:r>
          </w:p>
        </w:tc>
        <w:tc>
          <w:tcPr>
            <w:tcW w:w="1842" w:type="dxa"/>
            <w:noWrap w:val="0"/>
            <w:vAlign w:val="top"/>
          </w:tcPr>
          <w:p w14:paraId="20F4C4F7">
            <w:pPr>
              <w:tabs>
                <w:tab w:val="left" w:pos="1080"/>
              </w:tabs>
              <w:adjustRightInd w:val="0"/>
              <w:snapToGrid w:val="0"/>
              <w:spacing w:line="360" w:lineRule="auto"/>
              <w:ind w:firstLine="542"/>
              <w:jc w:val="left"/>
              <w:rPr>
                <w:rFonts w:hint="eastAsia" w:ascii="宋体" w:hAnsi="宋体"/>
                <w:b/>
                <w:color w:val="auto"/>
                <w:sz w:val="24"/>
                <w:highlight w:val="none"/>
              </w:rPr>
            </w:pPr>
          </w:p>
        </w:tc>
        <w:tc>
          <w:tcPr>
            <w:tcW w:w="2722" w:type="dxa"/>
            <w:noWrap w:val="0"/>
            <w:vAlign w:val="top"/>
          </w:tcPr>
          <w:p w14:paraId="164C839D">
            <w:pPr>
              <w:tabs>
                <w:tab w:val="left" w:pos="1080"/>
              </w:tabs>
              <w:adjustRightInd w:val="0"/>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资料员</w:t>
            </w:r>
          </w:p>
        </w:tc>
        <w:tc>
          <w:tcPr>
            <w:tcW w:w="2030" w:type="dxa"/>
            <w:noWrap w:val="0"/>
            <w:vAlign w:val="top"/>
          </w:tcPr>
          <w:p w14:paraId="4A82B734">
            <w:pPr>
              <w:tabs>
                <w:tab w:val="left" w:pos="1080"/>
              </w:tabs>
              <w:adjustRightInd w:val="0"/>
              <w:snapToGrid w:val="0"/>
              <w:spacing w:line="360" w:lineRule="auto"/>
              <w:ind w:firstLine="542"/>
              <w:jc w:val="left"/>
              <w:rPr>
                <w:rFonts w:hint="eastAsia" w:ascii="宋体" w:hAnsi="宋体"/>
                <w:b/>
                <w:color w:val="auto"/>
                <w:sz w:val="24"/>
                <w:highlight w:val="none"/>
              </w:rPr>
            </w:pPr>
          </w:p>
        </w:tc>
        <w:tc>
          <w:tcPr>
            <w:tcW w:w="1705" w:type="dxa"/>
            <w:noWrap w:val="0"/>
            <w:vAlign w:val="top"/>
          </w:tcPr>
          <w:p w14:paraId="1287918B">
            <w:pPr>
              <w:tabs>
                <w:tab w:val="left" w:pos="1080"/>
              </w:tabs>
              <w:adjustRightInd w:val="0"/>
              <w:snapToGrid w:val="0"/>
              <w:spacing w:line="360" w:lineRule="auto"/>
              <w:ind w:firstLine="542"/>
              <w:jc w:val="left"/>
              <w:rPr>
                <w:rFonts w:hint="eastAsia" w:ascii="宋体" w:hAnsi="宋体"/>
                <w:b/>
                <w:color w:val="auto"/>
                <w:sz w:val="24"/>
                <w:highlight w:val="none"/>
              </w:rPr>
            </w:pPr>
          </w:p>
        </w:tc>
      </w:tr>
      <w:tr w14:paraId="1B80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73674CA4">
            <w:pPr>
              <w:tabs>
                <w:tab w:val="left" w:pos="1080"/>
              </w:tabs>
              <w:adjustRightInd w:val="0"/>
              <w:snapToGrid w:val="0"/>
              <w:spacing w:line="360" w:lineRule="auto"/>
              <w:jc w:val="center"/>
              <w:rPr>
                <w:rFonts w:hint="eastAsia" w:ascii="宋体" w:hAnsi="宋体"/>
                <w:color w:val="auto"/>
                <w:sz w:val="24"/>
                <w:highlight w:val="none"/>
              </w:rPr>
            </w:pPr>
          </w:p>
        </w:tc>
        <w:tc>
          <w:tcPr>
            <w:tcW w:w="1842" w:type="dxa"/>
            <w:noWrap w:val="0"/>
            <w:vAlign w:val="top"/>
          </w:tcPr>
          <w:p w14:paraId="20E4F965">
            <w:pPr>
              <w:tabs>
                <w:tab w:val="left" w:pos="1080"/>
              </w:tabs>
              <w:adjustRightInd w:val="0"/>
              <w:snapToGrid w:val="0"/>
              <w:spacing w:line="360" w:lineRule="auto"/>
              <w:ind w:firstLine="542"/>
              <w:jc w:val="left"/>
              <w:rPr>
                <w:rFonts w:hint="eastAsia" w:ascii="宋体" w:hAnsi="宋体"/>
                <w:b/>
                <w:color w:val="auto"/>
                <w:sz w:val="24"/>
                <w:highlight w:val="none"/>
              </w:rPr>
            </w:pPr>
          </w:p>
        </w:tc>
        <w:tc>
          <w:tcPr>
            <w:tcW w:w="2722" w:type="dxa"/>
            <w:noWrap w:val="0"/>
            <w:vAlign w:val="top"/>
          </w:tcPr>
          <w:p w14:paraId="5847A47E">
            <w:pPr>
              <w:tabs>
                <w:tab w:val="left" w:pos="1080"/>
              </w:tabs>
              <w:adjustRightInd w:val="0"/>
              <w:snapToGrid w:val="0"/>
              <w:spacing w:line="360" w:lineRule="auto"/>
              <w:jc w:val="center"/>
              <w:rPr>
                <w:rFonts w:hint="eastAsia" w:ascii="宋体" w:hAnsi="宋体"/>
                <w:color w:val="auto"/>
                <w:sz w:val="24"/>
                <w:highlight w:val="none"/>
              </w:rPr>
            </w:pPr>
          </w:p>
        </w:tc>
        <w:tc>
          <w:tcPr>
            <w:tcW w:w="2030" w:type="dxa"/>
            <w:noWrap w:val="0"/>
            <w:vAlign w:val="top"/>
          </w:tcPr>
          <w:p w14:paraId="5B66308A">
            <w:pPr>
              <w:tabs>
                <w:tab w:val="left" w:pos="1080"/>
              </w:tabs>
              <w:adjustRightInd w:val="0"/>
              <w:snapToGrid w:val="0"/>
              <w:spacing w:line="360" w:lineRule="auto"/>
              <w:ind w:firstLine="542"/>
              <w:jc w:val="left"/>
              <w:rPr>
                <w:rFonts w:hint="eastAsia" w:ascii="宋体" w:hAnsi="宋体"/>
                <w:b/>
                <w:color w:val="auto"/>
                <w:sz w:val="24"/>
                <w:highlight w:val="none"/>
              </w:rPr>
            </w:pPr>
          </w:p>
        </w:tc>
        <w:tc>
          <w:tcPr>
            <w:tcW w:w="1705" w:type="dxa"/>
            <w:noWrap w:val="0"/>
            <w:vAlign w:val="top"/>
          </w:tcPr>
          <w:p w14:paraId="350931FF">
            <w:pPr>
              <w:tabs>
                <w:tab w:val="left" w:pos="1080"/>
              </w:tabs>
              <w:adjustRightInd w:val="0"/>
              <w:snapToGrid w:val="0"/>
              <w:spacing w:line="360" w:lineRule="auto"/>
              <w:ind w:firstLine="542"/>
              <w:jc w:val="left"/>
              <w:rPr>
                <w:rFonts w:hint="eastAsia" w:ascii="宋体" w:hAnsi="宋体"/>
                <w:b/>
                <w:color w:val="auto"/>
                <w:sz w:val="24"/>
                <w:highlight w:val="none"/>
              </w:rPr>
            </w:pPr>
          </w:p>
        </w:tc>
      </w:tr>
    </w:tbl>
    <w:p w14:paraId="17A44B94">
      <w:pPr>
        <w:widowControl/>
        <w:jc w:val="left"/>
        <w:rPr>
          <w:rFonts w:hint="eastAsia" w:ascii="宋体" w:hAnsi="宋体" w:cs="宋体"/>
          <w:b/>
          <w:bCs/>
          <w:color w:val="auto"/>
          <w:kern w:val="0"/>
          <w:sz w:val="22"/>
          <w:szCs w:val="22"/>
          <w:highlight w:val="none"/>
        </w:rPr>
      </w:pPr>
    </w:p>
    <w:p w14:paraId="02D2E148">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br w:type="page"/>
      </w:r>
    </w:p>
    <w:p w14:paraId="10D55CF1">
      <w:pPr>
        <w:spacing w:line="420" w:lineRule="exact"/>
        <w:outlineLvl w:val="1"/>
        <w:rPr>
          <w:rFonts w:ascii="宋体" w:hAnsi="宋体" w:cs="宋体"/>
          <w:b/>
          <w:bCs/>
          <w:color w:val="auto"/>
          <w:sz w:val="22"/>
          <w:szCs w:val="22"/>
          <w:highlight w:val="none"/>
        </w:rPr>
      </w:pPr>
      <w:bookmarkStart w:id="1057" w:name="_Toc16513"/>
      <w:bookmarkStart w:id="1058" w:name="_Toc28817"/>
      <w:bookmarkStart w:id="1059" w:name="_Toc14374"/>
      <w:bookmarkStart w:id="1060" w:name="_Toc15609"/>
      <w:bookmarkStart w:id="1061" w:name="_Toc155166231"/>
      <w:r>
        <w:rPr>
          <w:rFonts w:hint="eastAsia" w:ascii="宋体" w:hAnsi="宋体" w:cs="宋体"/>
          <w:b/>
          <w:bCs/>
          <w:color w:val="auto"/>
          <w:sz w:val="22"/>
          <w:szCs w:val="22"/>
          <w:highlight w:val="none"/>
        </w:rPr>
        <w:t>附件十三：工程技术标准</w:t>
      </w:r>
      <w:bookmarkEnd w:id="1057"/>
      <w:bookmarkEnd w:id="1058"/>
      <w:bookmarkEnd w:id="1059"/>
      <w:r>
        <w:rPr>
          <w:rFonts w:hint="eastAsia" w:ascii="宋体" w:hAnsi="宋体" w:cs="宋体"/>
          <w:b/>
          <w:bCs/>
          <w:color w:val="auto"/>
          <w:sz w:val="22"/>
          <w:szCs w:val="22"/>
          <w:highlight w:val="none"/>
        </w:rPr>
        <w:t>（按实际招标项目修订）</w:t>
      </w:r>
      <w:bookmarkEnd w:id="1060"/>
      <w:bookmarkEnd w:id="1061"/>
    </w:p>
    <w:p w14:paraId="6241C9A4">
      <w:pPr>
        <w:jc w:val="center"/>
        <w:rPr>
          <w:rFonts w:hint="eastAsia" w:ascii="宋体" w:hAnsi="宋体"/>
          <w:b/>
          <w:bCs/>
          <w:color w:val="auto"/>
          <w:sz w:val="36"/>
          <w:szCs w:val="36"/>
          <w:highlight w:val="none"/>
        </w:rPr>
      </w:pPr>
      <w:r>
        <w:rPr>
          <w:rFonts w:hint="eastAsia" w:ascii="宋体" w:hAnsi="宋体"/>
          <w:b/>
          <w:bCs/>
          <w:color w:val="auto"/>
          <w:sz w:val="36"/>
          <w:szCs w:val="36"/>
          <w:highlight w:val="none"/>
        </w:rPr>
        <w:t>工程技术标准</w:t>
      </w:r>
    </w:p>
    <w:p w14:paraId="440737C2">
      <w:pPr>
        <w:jc w:val="center"/>
        <w:rPr>
          <w:rFonts w:hint="eastAsia" w:ascii="宋体" w:hAnsi="宋体"/>
          <w:b/>
          <w:bCs/>
          <w:color w:val="auto"/>
          <w:sz w:val="30"/>
          <w:szCs w:val="30"/>
          <w:highlight w:val="none"/>
          <w:u w:val="single"/>
        </w:rPr>
      </w:pPr>
    </w:p>
    <w:p w14:paraId="0E04B162">
      <w:pPr>
        <w:widowControl/>
        <w:jc w:val="left"/>
        <w:rPr>
          <w:rFonts w:ascii="宋体" w:hAnsi="宋体" w:cs="宋体"/>
          <w:b/>
          <w:bCs/>
          <w:color w:val="auto"/>
          <w:kern w:val="0"/>
          <w:sz w:val="22"/>
          <w:szCs w:val="22"/>
          <w:highlight w:val="none"/>
        </w:rPr>
      </w:pPr>
      <w:bookmarkStart w:id="1062" w:name="_Toc26101"/>
      <w:bookmarkStart w:id="1063" w:name="_Toc3212"/>
      <w:bookmarkStart w:id="1064" w:name="_Toc11741"/>
      <w:bookmarkStart w:id="1065" w:name="_Toc9546"/>
      <w:bookmarkStart w:id="1066" w:name="_Toc20457"/>
      <w:r>
        <w:rPr>
          <w:rFonts w:ascii="宋体" w:hAnsi="宋体"/>
          <w:b/>
          <w:bCs/>
          <w:color w:val="auto"/>
          <w:sz w:val="30"/>
          <w:szCs w:val="30"/>
          <w:highlight w:val="none"/>
        </w:rPr>
        <w:br w:type="page"/>
      </w:r>
      <w:bookmarkEnd w:id="1062"/>
      <w:bookmarkEnd w:id="1063"/>
      <w:bookmarkEnd w:id="1064"/>
      <w:bookmarkEnd w:id="1065"/>
      <w:bookmarkEnd w:id="1066"/>
    </w:p>
    <w:p w14:paraId="79D1EF2C">
      <w:pPr>
        <w:spacing w:line="420" w:lineRule="exact"/>
        <w:outlineLvl w:val="1"/>
        <w:rPr>
          <w:rFonts w:ascii="宋体" w:hAnsi="宋体" w:cs="宋体"/>
          <w:b/>
          <w:bCs/>
          <w:color w:val="auto"/>
          <w:sz w:val="22"/>
          <w:szCs w:val="22"/>
          <w:highlight w:val="none"/>
        </w:rPr>
      </w:pPr>
      <w:bookmarkStart w:id="1067" w:name="_Toc2157"/>
      <w:bookmarkStart w:id="1068" w:name="_Toc155166232"/>
      <w:bookmarkStart w:id="1069" w:name="_Toc23835"/>
      <w:bookmarkStart w:id="1070" w:name="_Toc837"/>
      <w:bookmarkStart w:id="1071" w:name="_Toc9095"/>
      <w:r>
        <w:rPr>
          <w:rFonts w:hint="eastAsia" w:ascii="宋体" w:hAnsi="宋体" w:cs="宋体"/>
          <w:b/>
          <w:bCs/>
          <w:color w:val="auto"/>
          <w:sz w:val="22"/>
          <w:szCs w:val="22"/>
          <w:highlight w:val="none"/>
        </w:rPr>
        <w:t>附件十四：工程结算工作协议书</w:t>
      </w:r>
      <w:bookmarkEnd w:id="1067"/>
      <w:bookmarkEnd w:id="1068"/>
      <w:bookmarkEnd w:id="1069"/>
      <w:bookmarkEnd w:id="1070"/>
      <w:bookmarkEnd w:id="1071"/>
    </w:p>
    <w:p w14:paraId="4EB2C136">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工程结算工作协议书</w:t>
      </w:r>
    </w:p>
    <w:p w14:paraId="6E439489">
      <w:pPr>
        <w:adjustRightInd w:val="0"/>
        <w:snapToGrid w:val="0"/>
        <w:spacing w:line="360" w:lineRule="auto"/>
        <w:rPr>
          <w:rFonts w:hint="eastAsia" w:hAnsi="宋体" w:cs="宋体"/>
          <w:color w:val="auto"/>
          <w:sz w:val="28"/>
          <w:szCs w:val="28"/>
          <w:highlight w:val="none"/>
          <w:u w:val="single"/>
        </w:rPr>
      </w:pPr>
      <w:r>
        <w:rPr>
          <w:rFonts w:hint="eastAsia" w:ascii="宋体" w:hAnsi="宋体" w:cs="宋体-18030"/>
          <w:b/>
          <w:bCs/>
          <w:snapToGrid w:val="0"/>
          <w:color w:val="auto"/>
          <w:kern w:val="0"/>
          <w:sz w:val="24"/>
          <w:highlight w:val="none"/>
        </w:rPr>
        <w:t>发包人（甲方）：广州市番禺区水务工程建管中心（广州市番禺区水旱灾害防御中心）</w:t>
      </w:r>
    </w:p>
    <w:p w14:paraId="02160C6D">
      <w:pPr>
        <w:adjustRightInd w:val="0"/>
        <w:snapToGrid w:val="0"/>
        <w:spacing w:line="360" w:lineRule="auto"/>
        <w:rPr>
          <w:rFonts w:hint="eastAsia" w:ascii="宋体" w:hAnsi="宋体" w:cs="宋体-18030"/>
          <w:b/>
          <w:snapToGrid w:val="0"/>
          <w:color w:val="auto"/>
          <w:kern w:val="0"/>
          <w:sz w:val="24"/>
          <w:highlight w:val="none"/>
          <w:u w:val="single"/>
        </w:rPr>
      </w:pPr>
      <w:r>
        <w:rPr>
          <w:rFonts w:hint="eastAsia" w:ascii="宋体" w:hAnsi="宋体" w:cs="宋体-18030"/>
          <w:b/>
          <w:snapToGrid w:val="0"/>
          <w:color w:val="auto"/>
          <w:kern w:val="0"/>
          <w:sz w:val="24"/>
          <w:highlight w:val="none"/>
        </w:rPr>
        <w:t>承包人（乙方）：</w:t>
      </w:r>
      <w:r>
        <w:rPr>
          <w:rFonts w:hint="eastAsia" w:ascii="宋体" w:hAnsi="宋体" w:cs="宋体-18030"/>
          <w:b/>
          <w:bCs/>
          <w:snapToGrid w:val="0"/>
          <w:color w:val="auto"/>
          <w:kern w:val="0"/>
          <w:sz w:val="24"/>
          <w:highlight w:val="none"/>
        </w:rPr>
        <w:t>XXXXXXXXXXX</w:t>
      </w:r>
    </w:p>
    <w:p w14:paraId="4CA1BDDC">
      <w:pPr>
        <w:pStyle w:val="22"/>
        <w:spacing w:line="360" w:lineRule="auto"/>
        <w:ind w:firstLine="597" w:firstLineChars="249"/>
        <w:rPr>
          <w:rFonts w:hint="eastAsia" w:hAnsi="宋体"/>
          <w:snapToGrid w:val="0"/>
          <w:color w:val="auto"/>
          <w:kern w:val="0"/>
          <w:sz w:val="24"/>
          <w:szCs w:val="24"/>
          <w:highlight w:val="none"/>
        </w:rPr>
      </w:pPr>
      <w:r>
        <w:rPr>
          <w:rFonts w:hint="eastAsia" w:hAnsi="宋体"/>
          <w:snapToGrid w:val="0"/>
          <w:color w:val="auto"/>
          <w:kern w:val="0"/>
          <w:sz w:val="24"/>
          <w:szCs w:val="24"/>
          <w:highlight w:val="none"/>
        </w:rPr>
        <w:t>完成建设项目的结算工作，是建设项目开展工程款结算、财务决算、资产移交、工程审计等工作的前提条件，是圆满完成建设任务的需要。为及时做好工程结算工作，甲方、乙方双方经协商一致，签订本工作协议书，以资双方共同遵照执行。</w:t>
      </w:r>
    </w:p>
    <w:p w14:paraId="6ECD7CC6">
      <w:pPr>
        <w:adjustRightInd w:val="0"/>
        <w:snapToGrid w:val="0"/>
        <w:spacing w:line="360" w:lineRule="auto"/>
        <w:ind w:firstLine="463" w:firstLineChars="192"/>
        <w:rPr>
          <w:rFonts w:hint="eastAsia" w:ascii="宋体" w:hAnsi="宋体" w:cs="宋体-18030"/>
          <w:b/>
          <w:snapToGrid w:val="0"/>
          <w:color w:val="auto"/>
          <w:kern w:val="0"/>
          <w:sz w:val="24"/>
          <w:highlight w:val="none"/>
        </w:rPr>
      </w:pPr>
      <w:r>
        <w:rPr>
          <w:rFonts w:hint="eastAsia" w:ascii="宋体" w:hAnsi="宋体" w:cs="宋体-18030"/>
          <w:b/>
          <w:snapToGrid w:val="0"/>
          <w:color w:val="auto"/>
          <w:kern w:val="0"/>
          <w:sz w:val="24"/>
          <w:highlight w:val="none"/>
        </w:rPr>
        <w:t>1、工程结算报告的提交及审定</w:t>
      </w:r>
    </w:p>
    <w:p w14:paraId="44F41912">
      <w:pPr>
        <w:pStyle w:val="22"/>
        <w:adjustRightInd w:val="0"/>
        <w:snapToGrid w:val="0"/>
        <w:spacing w:line="360" w:lineRule="auto"/>
        <w:ind w:firstLine="360" w:firstLineChars="150"/>
        <w:rPr>
          <w:rFonts w:hint="eastAsia" w:hAnsi="宋体"/>
          <w:bCs/>
          <w:snapToGrid w:val="0"/>
          <w:color w:val="auto"/>
          <w:kern w:val="0"/>
          <w:sz w:val="24"/>
          <w:highlight w:val="none"/>
        </w:rPr>
      </w:pPr>
      <w:r>
        <w:rPr>
          <w:rFonts w:hint="eastAsia" w:hAnsi="宋体"/>
          <w:snapToGrid w:val="0"/>
          <w:color w:val="auto"/>
          <w:kern w:val="0"/>
          <w:sz w:val="24"/>
          <w:szCs w:val="24"/>
          <w:highlight w:val="none"/>
        </w:rPr>
        <w:t>（1）乙方应按甲方的要求和本项目结算工作的需要派出不少于</w:t>
      </w:r>
      <w:r>
        <w:rPr>
          <w:rFonts w:hint="eastAsia" w:hAnsi="宋体"/>
          <w:snapToGrid w:val="0"/>
          <w:color w:val="auto"/>
          <w:kern w:val="0"/>
          <w:sz w:val="24"/>
          <w:szCs w:val="24"/>
          <w:highlight w:val="none"/>
          <w:u w:val="single"/>
        </w:rPr>
        <w:t xml:space="preserve"> 1  </w:t>
      </w:r>
      <w:r>
        <w:rPr>
          <w:rFonts w:hint="eastAsia" w:hAnsi="宋体"/>
          <w:snapToGrid w:val="0"/>
          <w:color w:val="auto"/>
          <w:kern w:val="0"/>
          <w:sz w:val="24"/>
          <w:szCs w:val="24"/>
          <w:highlight w:val="none"/>
        </w:rPr>
        <w:t>名工程结算人员，在施工全过程中必须保证在工地现场办公，专门从事竣工档案编制、工程结算工作；工程结算人员</w:t>
      </w:r>
      <w:r>
        <w:rPr>
          <w:rFonts w:hint="eastAsia" w:hAnsi="宋体"/>
          <w:bCs/>
          <w:snapToGrid w:val="0"/>
          <w:color w:val="auto"/>
          <w:kern w:val="0"/>
          <w:sz w:val="24"/>
          <w:highlight w:val="none"/>
        </w:rPr>
        <w:t>每月驻工地时间少于20天的，发包人将按照每人每天5000元的标准向承包人收取违约金。</w:t>
      </w:r>
    </w:p>
    <w:p w14:paraId="6889528F">
      <w:pPr>
        <w:pStyle w:val="22"/>
        <w:adjustRightInd w:val="0"/>
        <w:snapToGrid w:val="0"/>
        <w:spacing w:line="360" w:lineRule="auto"/>
        <w:ind w:firstLine="360" w:firstLineChars="150"/>
        <w:rPr>
          <w:rFonts w:hint="eastAsia" w:hAnsi="宋体"/>
          <w:bCs/>
          <w:snapToGrid w:val="0"/>
          <w:color w:val="auto"/>
          <w:kern w:val="0"/>
          <w:sz w:val="24"/>
          <w:highlight w:val="none"/>
        </w:rPr>
      </w:pPr>
      <w:r>
        <w:rPr>
          <w:rFonts w:hint="eastAsia" w:hAnsi="宋体" w:cs="宋体-18030"/>
          <w:snapToGrid w:val="0"/>
          <w:color w:val="auto"/>
          <w:kern w:val="0"/>
          <w:sz w:val="24"/>
          <w:szCs w:val="24"/>
          <w:highlight w:val="none"/>
        </w:rPr>
        <w:t>（2）</w:t>
      </w:r>
      <w:r>
        <w:rPr>
          <w:rFonts w:hint="eastAsia" w:hAnsi="宋体"/>
          <w:snapToGrid w:val="0"/>
          <w:color w:val="auto"/>
          <w:kern w:val="0"/>
          <w:sz w:val="24"/>
          <w:szCs w:val="24"/>
          <w:highlight w:val="none"/>
        </w:rPr>
        <w:t>乙方</w:t>
      </w:r>
      <w:r>
        <w:rPr>
          <w:rFonts w:hint="eastAsia" w:hAnsi="宋体" w:cs="宋体-18030"/>
          <w:snapToGrid w:val="0"/>
          <w:color w:val="auto"/>
          <w:kern w:val="0"/>
          <w:sz w:val="24"/>
          <w:szCs w:val="24"/>
          <w:highlight w:val="none"/>
        </w:rPr>
        <w:t>应按</w:t>
      </w:r>
      <w:r>
        <w:rPr>
          <w:rFonts w:hint="eastAsia" w:hAnsi="宋体"/>
          <w:snapToGrid w:val="0"/>
          <w:color w:val="auto"/>
          <w:kern w:val="0"/>
          <w:sz w:val="24"/>
          <w:szCs w:val="24"/>
          <w:highlight w:val="none"/>
        </w:rPr>
        <w:t>甲方</w:t>
      </w:r>
      <w:r>
        <w:rPr>
          <w:rFonts w:hint="eastAsia" w:hAnsi="宋体" w:cs="宋体-18030"/>
          <w:snapToGrid w:val="0"/>
          <w:color w:val="auto"/>
          <w:kern w:val="0"/>
          <w:sz w:val="24"/>
          <w:szCs w:val="24"/>
          <w:highlight w:val="none"/>
        </w:rPr>
        <w:t>要求派出足够的、有能力的造价人员负责结算工作。若派出的造价人员不足或不能胜任结算工作，</w:t>
      </w:r>
      <w:r>
        <w:rPr>
          <w:rFonts w:hint="eastAsia" w:hAnsi="宋体"/>
          <w:snapToGrid w:val="0"/>
          <w:color w:val="auto"/>
          <w:kern w:val="0"/>
          <w:sz w:val="24"/>
          <w:szCs w:val="24"/>
          <w:highlight w:val="none"/>
        </w:rPr>
        <w:t>乙方</w:t>
      </w:r>
      <w:r>
        <w:rPr>
          <w:rFonts w:hint="eastAsia" w:hAnsi="宋体" w:cs="宋体-18030"/>
          <w:snapToGrid w:val="0"/>
          <w:color w:val="auto"/>
          <w:kern w:val="0"/>
          <w:sz w:val="24"/>
          <w:szCs w:val="24"/>
          <w:highlight w:val="none"/>
        </w:rPr>
        <w:t>应按</w:t>
      </w:r>
      <w:r>
        <w:rPr>
          <w:rFonts w:hint="eastAsia" w:hAnsi="宋体"/>
          <w:snapToGrid w:val="0"/>
          <w:color w:val="auto"/>
          <w:kern w:val="0"/>
          <w:sz w:val="24"/>
          <w:szCs w:val="24"/>
          <w:highlight w:val="none"/>
        </w:rPr>
        <w:t>甲方</w:t>
      </w:r>
      <w:r>
        <w:rPr>
          <w:rFonts w:hint="eastAsia" w:hAnsi="宋体" w:cs="宋体-18030"/>
          <w:snapToGrid w:val="0"/>
          <w:color w:val="auto"/>
          <w:kern w:val="0"/>
          <w:sz w:val="24"/>
          <w:szCs w:val="24"/>
          <w:highlight w:val="none"/>
        </w:rPr>
        <w:t>的要求及时更换，直至满足</w:t>
      </w:r>
      <w:r>
        <w:rPr>
          <w:rFonts w:hint="eastAsia" w:hAnsi="宋体"/>
          <w:snapToGrid w:val="0"/>
          <w:color w:val="auto"/>
          <w:kern w:val="0"/>
          <w:sz w:val="24"/>
          <w:szCs w:val="24"/>
          <w:highlight w:val="none"/>
        </w:rPr>
        <w:t>甲方</w:t>
      </w:r>
      <w:r>
        <w:rPr>
          <w:rFonts w:hint="eastAsia" w:hAnsi="宋体" w:cs="宋体-18030"/>
          <w:snapToGrid w:val="0"/>
          <w:color w:val="auto"/>
          <w:kern w:val="0"/>
          <w:sz w:val="24"/>
          <w:szCs w:val="24"/>
          <w:highlight w:val="none"/>
        </w:rPr>
        <w:t>要求为止。</w:t>
      </w:r>
    </w:p>
    <w:p w14:paraId="0F2690AC">
      <w:pPr>
        <w:pStyle w:val="22"/>
        <w:adjustRightInd w:val="0"/>
        <w:snapToGrid w:val="0"/>
        <w:spacing w:line="360" w:lineRule="auto"/>
        <w:ind w:firstLine="360" w:firstLineChars="150"/>
        <w:rPr>
          <w:rFonts w:hint="eastAsia" w:hAnsi="宋体"/>
          <w:snapToGrid w:val="0"/>
          <w:color w:val="auto"/>
          <w:kern w:val="0"/>
          <w:sz w:val="24"/>
          <w:szCs w:val="24"/>
          <w:highlight w:val="none"/>
        </w:rPr>
      </w:pPr>
      <w:r>
        <w:rPr>
          <w:rFonts w:hint="eastAsia" w:hAnsi="宋体" w:cs="宋体-18030"/>
          <w:snapToGrid w:val="0"/>
          <w:color w:val="auto"/>
          <w:kern w:val="0"/>
          <w:sz w:val="24"/>
          <w:szCs w:val="24"/>
          <w:highlight w:val="none"/>
        </w:rPr>
        <w:t>（3）</w:t>
      </w:r>
      <w:r>
        <w:rPr>
          <w:rFonts w:hint="eastAsia" w:hAnsi="宋体"/>
          <w:snapToGrid w:val="0"/>
          <w:color w:val="auto"/>
          <w:kern w:val="0"/>
          <w:sz w:val="24"/>
          <w:szCs w:val="24"/>
          <w:highlight w:val="none"/>
        </w:rPr>
        <w:t>乙方应按甲方的要求编制</w:t>
      </w:r>
      <w:r>
        <w:rPr>
          <w:rFonts w:hint="eastAsia" w:hAnsi="宋体" w:cs="宋体-18030"/>
          <w:snapToGrid w:val="0"/>
          <w:color w:val="auto"/>
          <w:kern w:val="0"/>
          <w:sz w:val="24"/>
          <w:szCs w:val="24"/>
          <w:highlight w:val="none"/>
        </w:rPr>
        <w:t>工程结算基础资料，</w:t>
      </w:r>
      <w:r>
        <w:rPr>
          <w:rFonts w:hint="eastAsia" w:hAnsi="宋体"/>
          <w:snapToGrid w:val="0"/>
          <w:color w:val="auto"/>
          <w:kern w:val="0"/>
          <w:sz w:val="24"/>
          <w:szCs w:val="24"/>
          <w:highlight w:val="none"/>
        </w:rPr>
        <w:t>执行甲方下发的结算编制指引及与结算有关的文件规定，并在竣工验收合格后二个月内向甲方提交符合甲方要求的全部竣工结算资料。</w:t>
      </w:r>
    </w:p>
    <w:p w14:paraId="176C5977">
      <w:pPr>
        <w:pStyle w:val="22"/>
        <w:adjustRightInd w:val="0"/>
        <w:snapToGrid w:val="0"/>
        <w:spacing w:line="360" w:lineRule="auto"/>
        <w:ind w:firstLine="360" w:firstLineChars="150"/>
        <w:rPr>
          <w:rFonts w:hint="eastAsia" w:hAnsi="宋体"/>
          <w:snapToGrid w:val="0"/>
          <w:color w:val="auto"/>
          <w:kern w:val="0"/>
          <w:sz w:val="24"/>
          <w:szCs w:val="24"/>
          <w:highlight w:val="none"/>
        </w:rPr>
      </w:pPr>
      <w:r>
        <w:rPr>
          <w:rFonts w:hint="eastAsia" w:hAnsi="宋体"/>
          <w:snapToGrid w:val="0"/>
          <w:color w:val="auto"/>
          <w:kern w:val="0"/>
          <w:sz w:val="24"/>
          <w:szCs w:val="24"/>
          <w:highlight w:val="none"/>
        </w:rPr>
        <w:t>（4）本项目合同正常结算工作以截止竣工验收合格后二个月内上报的工程结算资料为基础进行，乙方应积极配合甲方，完成上报结算书的审定工作。</w:t>
      </w:r>
    </w:p>
    <w:p w14:paraId="07D86E4B">
      <w:pPr>
        <w:adjustRightInd w:val="0"/>
        <w:snapToGrid w:val="0"/>
        <w:spacing w:line="360" w:lineRule="auto"/>
        <w:ind w:firstLine="360" w:firstLineChars="150"/>
        <w:rPr>
          <w:rFonts w:hint="eastAsia" w:ascii="宋体" w:hAnsi="宋体" w:cs="宋体-18030"/>
          <w:snapToGrid w:val="0"/>
          <w:color w:val="auto"/>
          <w:kern w:val="0"/>
          <w:sz w:val="24"/>
          <w:highlight w:val="none"/>
        </w:rPr>
      </w:pPr>
      <w:r>
        <w:rPr>
          <w:rFonts w:hint="eastAsia" w:ascii="宋体" w:hAnsi="宋体" w:cs="宋体-18030"/>
          <w:snapToGrid w:val="0"/>
          <w:color w:val="auto"/>
          <w:kern w:val="0"/>
          <w:sz w:val="24"/>
          <w:highlight w:val="none"/>
        </w:rPr>
        <w:t>（5）甲方在收到乙方提交的手续齐备的工程结算资料后经初步审核确认后报送有关部门审批。</w:t>
      </w:r>
    </w:p>
    <w:p w14:paraId="3C097CFC">
      <w:pPr>
        <w:adjustRightInd w:val="0"/>
        <w:snapToGrid w:val="0"/>
        <w:spacing w:line="360" w:lineRule="auto"/>
        <w:ind w:firstLine="360" w:firstLineChars="150"/>
        <w:rPr>
          <w:rFonts w:hint="eastAsia" w:ascii="宋体" w:hAnsi="宋体" w:cs="宋体-18030"/>
          <w:snapToGrid w:val="0"/>
          <w:color w:val="auto"/>
          <w:kern w:val="0"/>
          <w:sz w:val="24"/>
          <w:highlight w:val="none"/>
        </w:rPr>
      </w:pPr>
      <w:r>
        <w:rPr>
          <w:rFonts w:hint="eastAsia" w:ascii="宋体" w:hAnsi="宋体" w:cs="宋体-18030"/>
          <w:snapToGrid w:val="0"/>
          <w:color w:val="auto"/>
          <w:kern w:val="0"/>
          <w:sz w:val="24"/>
          <w:highlight w:val="none"/>
        </w:rPr>
        <w:t>（6）</w:t>
      </w:r>
      <w:r>
        <w:rPr>
          <w:rFonts w:hint="eastAsia" w:hAnsi="宋体"/>
          <w:snapToGrid w:val="0"/>
          <w:color w:val="auto"/>
          <w:kern w:val="0"/>
          <w:sz w:val="24"/>
          <w:highlight w:val="none"/>
        </w:rPr>
        <w:t>乙方</w:t>
      </w:r>
      <w:r>
        <w:rPr>
          <w:rFonts w:hint="eastAsia" w:ascii="宋体" w:hAnsi="宋体" w:cs="宋体-18030"/>
          <w:snapToGrid w:val="0"/>
          <w:color w:val="auto"/>
          <w:kern w:val="0"/>
          <w:sz w:val="24"/>
          <w:highlight w:val="none"/>
        </w:rPr>
        <w:t>应在</w:t>
      </w:r>
      <w:r>
        <w:rPr>
          <w:rFonts w:hint="eastAsia" w:hAnsi="宋体"/>
          <w:snapToGrid w:val="0"/>
          <w:color w:val="auto"/>
          <w:kern w:val="0"/>
          <w:sz w:val="24"/>
          <w:highlight w:val="none"/>
        </w:rPr>
        <w:t>甲方</w:t>
      </w:r>
      <w:r>
        <w:rPr>
          <w:rFonts w:hint="eastAsia" w:ascii="宋体" w:hAnsi="宋体"/>
          <w:snapToGrid w:val="0"/>
          <w:color w:val="auto"/>
          <w:kern w:val="0"/>
          <w:sz w:val="24"/>
          <w:highlight w:val="none"/>
        </w:rPr>
        <w:t>规定时间内提交送审结算书和结算资料，提交的结算资料应完整并且符合相关要求。</w:t>
      </w:r>
    </w:p>
    <w:p w14:paraId="4641566B">
      <w:pPr>
        <w:adjustRightInd w:val="0"/>
        <w:snapToGrid w:val="0"/>
        <w:spacing w:line="360" w:lineRule="auto"/>
        <w:ind w:firstLine="360" w:firstLineChars="150"/>
        <w:rPr>
          <w:rFonts w:hint="eastAsia" w:ascii="宋体" w:hAnsi="宋体" w:cs="宋体-18030"/>
          <w:snapToGrid w:val="0"/>
          <w:color w:val="auto"/>
          <w:kern w:val="0"/>
          <w:sz w:val="24"/>
          <w:highlight w:val="none"/>
        </w:rPr>
      </w:pPr>
      <w:r>
        <w:rPr>
          <w:rFonts w:hint="eastAsia" w:ascii="宋体" w:hAnsi="宋体" w:cs="宋体-18030"/>
          <w:snapToGrid w:val="0"/>
          <w:color w:val="auto"/>
          <w:kern w:val="0"/>
          <w:sz w:val="24"/>
          <w:highlight w:val="none"/>
        </w:rPr>
        <w:t>（7）</w:t>
      </w:r>
      <w:r>
        <w:rPr>
          <w:rFonts w:hint="eastAsia" w:ascii="宋体" w:hAnsi="宋体"/>
          <w:snapToGrid w:val="0"/>
          <w:color w:val="auto"/>
          <w:kern w:val="0"/>
          <w:sz w:val="24"/>
          <w:highlight w:val="none"/>
        </w:rPr>
        <w:t>在结算审核过程中，若发现乙方送审的结算资料不完整或不符合要求，乙方应按甲方或结算终审部门的要求在规定时间内补充完善。</w:t>
      </w:r>
    </w:p>
    <w:p w14:paraId="1F7CBC4B">
      <w:pPr>
        <w:adjustRightInd w:val="0"/>
        <w:snapToGrid w:val="0"/>
        <w:spacing w:line="360" w:lineRule="auto"/>
        <w:ind w:firstLine="360" w:firstLineChars="150"/>
        <w:rPr>
          <w:rFonts w:hint="eastAsia" w:ascii="宋体" w:hAnsi="宋体" w:cs="宋体-18030"/>
          <w:snapToGrid w:val="0"/>
          <w:color w:val="auto"/>
          <w:kern w:val="0"/>
          <w:sz w:val="24"/>
          <w:highlight w:val="none"/>
        </w:rPr>
      </w:pPr>
      <w:r>
        <w:rPr>
          <w:rFonts w:hint="eastAsia" w:ascii="宋体" w:hAnsi="宋体" w:cs="宋体-18030"/>
          <w:snapToGrid w:val="0"/>
          <w:color w:val="auto"/>
          <w:kern w:val="0"/>
          <w:sz w:val="24"/>
          <w:highlight w:val="none"/>
        </w:rPr>
        <w:t>（8）本项目结算资料甲方接收的最后截止日期为</w:t>
      </w:r>
      <w:r>
        <w:rPr>
          <w:rFonts w:hint="eastAsia" w:hAnsi="宋体"/>
          <w:snapToGrid w:val="0"/>
          <w:color w:val="auto"/>
          <w:kern w:val="0"/>
          <w:sz w:val="24"/>
          <w:highlight w:val="none"/>
        </w:rPr>
        <w:t>竣工验收合格满二个月的最后一天</w:t>
      </w:r>
      <w:r>
        <w:rPr>
          <w:rFonts w:hint="eastAsia" w:ascii="宋体" w:hAnsi="宋体" w:cs="宋体-18030"/>
          <w:snapToGrid w:val="0"/>
          <w:color w:val="auto"/>
          <w:kern w:val="0"/>
          <w:sz w:val="24"/>
          <w:highlight w:val="none"/>
        </w:rPr>
        <w:t>。逾期乙方仍未报送的本项目结算资料，视为已全部报出，甲方不再受理任何本项目结算资料。</w:t>
      </w:r>
    </w:p>
    <w:p w14:paraId="0D206CE6">
      <w:pPr>
        <w:adjustRightInd w:val="0"/>
        <w:snapToGrid w:val="0"/>
        <w:spacing w:line="360" w:lineRule="auto"/>
        <w:ind w:firstLine="360" w:firstLineChars="150"/>
        <w:rPr>
          <w:rFonts w:hint="eastAsia" w:ascii="宋体" w:hAnsi="宋体" w:cs="宋体-18030"/>
          <w:snapToGrid w:val="0"/>
          <w:color w:val="auto"/>
          <w:kern w:val="0"/>
          <w:sz w:val="24"/>
          <w:highlight w:val="none"/>
        </w:rPr>
      </w:pPr>
      <w:r>
        <w:rPr>
          <w:rFonts w:hint="eastAsia" w:ascii="宋体" w:hAnsi="宋体" w:cs="宋体-18030"/>
          <w:snapToGrid w:val="0"/>
          <w:color w:val="auto"/>
          <w:kern w:val="0"/>
          <w:sz w:val="24"/>
          <w:highlight w:val="none"/>
        </w:rPr>
        <w:t>（9）</w:t>
      </w:r>
      <w:r>
        <w:rPr>
          <w:rFonts w:hint="eastAsia" w:hAnsi="宋体"/>
          <w:snapToGrid w:val="0"/>
          <w:color w:val="auto"/>
          <w:kern w:val="0"/>
          <w:sz w:val="24"/>
          <w:highlight w:val="none"/>
        </w:rPr>
        <w:t>乙方</w:t>
      </w:r>
      <w:r>
        <w:rPr>
          <w:rFonts w:hint="eastAsia" w:ascii="宋体" w:hAnsi="宋体" w:cs="宋体-18030"/>
          <w:snapToGrid w:val="0"/>
          <w:color w:val="auto"/>
          <w:kern w:val="0"/>
          <w:sz w:val="24"/>
          <w:highlight w:val="none"/>
        </w:rPr>
        <w:t>应配合</w:t>
      </w:r>
      <w:r>
        <w:rPr>
          <w:rFonts w:hint="eastAsia" w:hAnsi="宋体"/>
          <w:snapToGrid w:val="0"/>
          <w:color w:val="auto"/>
          <w:kern w:val="0"/>
          <w:sz w:val="24"/>
          <w:highlight w:val="none"/>
        </w:rPr>
        <w:t>甲方</w:t>
      </w:r>
      <w:r>
        <w:rPr>
          <w:rFonts w:hint="eastAsia" w:ascii="宋体" w:hAnsi="宋体"/>
          <w:snapToGrid w:val="0"/>
          <w:color w:val="auto"/>
          <w:kern w:val="0"/>
          <w:sz w:val="24"/>
          <w:highlight w:val="none"/>
        </w:rPr>
        <w:t>的结算工作，包括按要求按时参加会议、按要求派人参加结算对数、对数人员应在对数备忘录上签字确认等。</w:t>
      </w:r>
    </w:p>
    <w:p w14:paraId="0753F46E">
      <w:pPr>
        <w:adjustRightInd w:val="0"/>
        <w:snapToGrid w:val="0"/>
        <w:spacing w:line="360" w:lineRule="auto"/>
        <w:ind w:firstLine="360" w:firstLineChars="150"/>
        <w:rPr>
          <w:rFonts w:hint="eastAsia" w:ascii="宋体-PUA" w:hAnsi="宋体" w:cs="宋体-18030"/>
          <w:snapToGrid w:val="0"/>
          <w:color w:val="auto"/>
          <w:kern w:val="0"/>
          <w:sz w:val="24"/>
          <w:highlight w:val="none"/>
        </w:rPr>
      </w:pPr>
      <w:r>
        <w:rPr>
          <w:rFonts w:hint="eastAsia" w:ascii="宋体" w:hAnsi="宋体" w:cs="宋体-18030"/>
          <w:snapToGrid w:val="0"/>
          <w:color w:val="auto"/>
          <w:kern w:val="0"/>
          <w:sz w:val="24"/>
          <w:highlight w:val="none"/>
        </w:rPr>
        <w:t>（10）乙方应按甲方的要求及时派出足够的工程结算管理人员与甲方派出的工程结算管理人员一起组成工程结算管理小组，并由乙方负责其总承包管理范围内工程结算的牵头工作，督促其总承包管理范围内的各专业单位按甲方的要求及时报送工程结算资料并予以落实，否则，应按承担违约责任。如乙方不按甲方的要求及时派出足够的工程结算管理人员，甲方有权另行聘请有关工程结算管理人员，有关费</w:t>
      </w:r>
      <w:r>
        <w:rPr>
          <w:rFonts w:hint="eastAsia" w:ascii="宋体-PUA" w:hAnsi="宋体" w:cs="宋体-18030"/>
          <w:snapToGrid w:val="0"/>
          <w:color w:val="auto"/>
          <w:kern w:val="0"/>
          <w:sz w:val="24"/>
          <w:highlight w:val="none"/>
        </w:rPr>
        <w:t>用在原合同的</w:t>
      </w:r>
      <w:r>
        <w:rPr>
          <w:rFonts w:hint="eastAsia" w:ascii="宋体-PUA" w:hAnsi="宋体" w:cs="宋体"/>
          <w:snapToGrid w:val="0"/>
          <w:color w:val="auto"/>
          <w:kern w:val="0"/>
          <w:sz w:val="24"/>
          <w:highlight w:val="none"/>
        </w:rPr>
        <w:t>工程进度款或履约保证金或履约担保中</w:t>
      </w:r>
      <w:r>
        <w:rPr>
          <w:rFonts w:hint="eastAsia" w:ascii="宋体-PUA" w:hAnsi="宋体" w:cs="宋体-18030"/>
          <w:snapToGrid w:val="0"/>
          <w:color w:val="auto"/>
          <w:kern w:val="0"/>
          <w:sz w:val="24"/>
          <w:highlight w:val="none"/>
        </w:rPr>
        <w:t>支付，乙方不得有异议。</w:t>
      </w:r>
    </w:p>
    <w:p w14:paraId="349DC70F">
      <w:pPr>
        <w:adjustRightInd w:val="0"/>
        <w:snapToGrid w:val="0"/>
        <w:spacing w:line="360" w:lineRule="auto"/>
        <w:ind w:firstLine="360" w:firstLineChars="150"/>
        <w:rPr>
          <w:rFonts w:hint="eastAsia" w:ascii="宋体" w:hAnsi="宋体" w:cs="宋体-18030"/>
          <w:snapToGrid w:val="0"/>
          <w:color w:val="auto"/>
          <w:kern w:val="0"/>
          <w:sz w:val="24"/>
          <w:highlight w:val="none"/>
        </w:rPr>
      </w:pPr>
      <w:r>
        <w:rPr>
          <w:rFonts w:hint="eastAsia" w:ascii="宋体" w:hAnsi="宋体" w:cs="宋体-18030"/>
          <w:snapToGrid w:val="0"/>
          <w:color w:val="auto"/>
          <w:kern w:val="0"/>
          <w:sz w:val="24"/>
          <w:highlight w:val="none"/>
        </w:rPr>
        <w:t>（11）乙方未在规定时间内递交竣工结算报告，经甲方催促后仍未递交或未明确答复的，甲方有权组织监理单位根据已有资料单方面编制竣工结算文件并送审，乙方应对相关结果予以认可。</w:t>
      </w:r>
    </w:p>
    <w:p w14:paraId="6123820B">
      <w:pPr>
        <w:adjustRightInd w:val="0"/>
        <w:snapToGrid w:val="0"/>
        <w:spacing w:line="360" w:lineRule="auto"/>
        <w:ind w:firstLine="360" w:firstLineChars="150"/>
        <w:rPr>
          <w:rFonts w:hint="eastAsia" w:ascii="宋体" w:hAnsi="宋体" w:cs="宋体-18030"/>
          <w:snapToGrid w:val="0"/>
          <w:color w:val="auto"/>
          <w:kern w:val="0"/>
          <w:sz w:val="24"/>
          <w:highlight w:val="none"/>
        </w:rPr>
      </w:pPr>
      <w:r>
        <w:rPr>
          <w:rFonts w:hint="eastAsia" w:ascii="宋体" w:hAnsi="宋体" w:cs="宋体-18030"/>
          <w:snapToGrid w:val="0"/>
          <w:color w:val="auto"/>
          <w:kern w:val="0"/>
          <w:sz w:val="24"/>
          <w:highlight w:val="none"/>
        </w:rPr>
        <w:t>（12）</w:t>
      </w:r>
      <w:r>
        <w:rPr>
          <w:rFonts w:hint="eastAsia" w:ascii="宋体" w:hAnsi="宋体"/>
          <w:color w:val="auto"/>
          <w:sz w:val="24"/>
          <w:highlight w:val="none"/>
        </w:rPr>
        <w:t>如乙方无正当理由、逾期未完成结算评审送审的，甲方有权报建设行政主管部门按照诚信评价体系的相关规定处理。</w:t>
      </w:r>
    </w:p>
    <w:p w14:paraId="6F67F82B">
      <w:pPr>
        <w:adjustRightInd w:val="0"/>
        <w:snapToGrid w:val="0"/>
        <w:spacing w:line="360" w:lineRule="auto"/>
        <w:ind w:firstLine="482" w:firstLineChars="200"/>
        <w:rPr>
          <w:rFonts w:hint="eastAsia" w:ascii="宋体" w:hAnsi="宋体" w:cs="宋体-18030"/>
          <w:b/>
          <w:snapToGrid w:val="0"/>
          <w:color w:val="auto"/>
          <w:kern w:val="0"/>
          <w:sz w:val="24"/>
          <w:highlight w:val="none"/>
        </w:rPr>
      </w:pPr>
      <w:r>
        <w:rPr>
          <w:rFonts w:hint="eastAsia" w:ascii="宋体" w:hAnsi="宋体" w:cs="宋体-18030"/>
          <w:b/>
          <w:snapToGrid w:val="0"/>
          <w:color w:val="auto"/>
          <w:kern w:val="0"/>
          <w:sz w:val="24"/>
          <w:highlight w:val="none"/>
        </w:rPr>
        <w:t>2、工程结算中争议问题的处理</w:t>
      </w:r>
    </w:p>
    <w:p w14:paraId="2301C462">
      <w:pPr>
        <w:adjustRightInd w:val="0"/>
        <w:snapToGrid w:val="0"/>
        <w:spacing w:line="360" w:lineRule="auto"/>
        <w:ind w:right="11" w:firstLine="460" w:firstLineChars="192"/>
        <w:rPr>
          <w:rFonts w:hint="eastAsia" w:ascii="宋体" w:hAnsi="宋体" w:cs="宋体-18030"/>
          <w:snapToGrid w:val="0"/>
          <w:color w:val="auto"/>
          <w:kern w:val="0"/>
          <w:sz w:val="24"/>
          <w:highlight w:val="none"/>
        </w:rPr>
      </w:pPr>
      <w:r>
        <w:rPr>
          <w:rFonts w:hint="eastAsia" w:ascii="宋体" w:hAnsi="宋体" w:cs="宋体-18030"/>
          <w:snapToGrid w:val="0"/>
          <w:color w:val="auto"/>
          <w:kern w:val="0"/>
          <w:sz w:val="24"/>
          <w:highlight w:val="none"/>
        </w:rPr>
        <w:t xml:space="preserve">对于工程结算中有争议的问题，依据合同的相关约定，本着“依法依规，实事求是和风险共担”的原则，按如下约定处理： </w:t>
      </w:r>
    </w:p>
    <w:p w14:paraId="0F9DD501">
      <w:pPr>
        <w:adjustRightInd w:val="0"/>
        <w:snapToGrid w:val="0"/>
        <w:spacing w:line="360" w:lineRule="auto"/>
        <w:ind w:right="11" w:firstLine="360" w:firstLineChars="150"/>
        <w:rPr>
          <w:rFonts w:hint="eastAsia" w:ascii="宋体" w:hAnsi="宋体" w:cs="宋体-18030"/>
          <w:snapToGrid w:val="0"/>
          <w:color w:val="auto"/>
          <w:kern w:val="0"/>
          <w:sz w:val="24"/>
          <w:highlight w:val="none"/>
        </w:rPr>
      </w:pPr>
      <w:r>
        <w:rPr>
          <w:rFonts w:hint="eastAsia" w:ascii="宋体" w:hAnsi="宋体" w:cs="宋体-18030"/>
          <w:snapToGrid w:val="0"/>
          <w:color w:val="auto"/>
          <w:kern w:val="0"/>
          <w:sz w:val="24"/>
          <w:highlight w:val="none"/>
        </w:rPr>
        <w:t>（1）乙方上报的工程结算资料经甲方审核后如发生争议，若协商后确无法达成一致的，由甲方委托的监理公司或造价咨询公司将双方对结算异议的事项编写成书面报告，与结算资料一并送审，由相关部门审核决定，最终结算以相关部门审定为准。</w:t>
      </w:r>
    </w:p>
    <w:p w14:paraId="720B3E6C">
      <w:pPr>
        <w:pStyle w:val="80"/>
        <w:ind w:firstLine="372" w:firstLineChars="150"/>
        <w:rPr>
          <w:rFonts w:hint="eastAsia" w:ascii="宋体" w:hAnsi="宋体" w:cs="宋体-18030"/>
          <w:color w:val="auto"/>
          <w:highlight w:val="none"/>
        </w:rPr>
      </w:pPr>
      <w:r>
        <w:rPr>
          <w:rFonts w:hint="eastAsia"/>
          <w:color w:val="auto"/>
          <w:highlight w:val="none"/>
        </w:rPr>
        <w:t>（2）乙方在工程实施过程中将发生的工程变更费用、工程签证费用、相关索赔费用报甲方审核后，如双方发生争议且未能达成一致意见，则由甲方待工程竣工结算时将相关情况报</w:t>
      </w:r>
      <w:r>
        <w:rPr>
          <w:rFonts w:hint="eastAsia" w:ascii="宋体" w:hAnsi="宋体" w:cs="宋体-18030"/>
          <w:snapToGrid w:val="0"/>
          <w:color w:val="auto"/>
          <w:highlight w:val="none"/>
        </w:rPr>
        <w:t>相关部门</w:t>
      </w:r>
      <w:r>
        <w:rPr>
          <w:rFonts w:hint="eastAsia"/>
          <w:color w:val="auto"/>
          <w:highlight w:val="none"/>
        </w:rPr>
        <w:t>审定。乙方不得因此而影响工程进度，否则，将按合同规定承担相应的违约责任。</w:t>
      </w:r>
    </w:p>
    <w:p w14:paraId="30C60152">
      <w:pPr>
        <w:adjustRightInd w:val="0"/>
        <w:snapToGrid w:val="0"/>
        <w:spacing w:line="360" w:lineRule="auto"/>
        <w:ind w:firstLine="463" w:firstLineChars="192"/>
        <w:rPr>
          <w:rFonts w:hint="eastAsia" w:ascii="宋体" w:hAnsi="宋体" w:cs="宋体-18030"/>
          <w:snapToGrid w:val="0"/>
          <w:color w:val="auto"/>
          <w:kern w:val="0"/>
          <w:sz w:val="24"/>
          <w:highlight w:val="none"/>
        </w:rPr>
      </w:pPr>
      <w:r>
        <w:rPr>
          <w:rFonts w:hint="eastAsia" w:ascii="宋体" w:hAnsi="宋体" w:cs="宋体-18030"/>
          <w:b/>
          <w:snapToGrid w:val="0"/>
          <w:color w:val="auto"/>
          <w:kern w:val="0"/>
          <w:sz w:val="24"/>
          <w:highlight w:val="none"/>
        </w:rPr>
        <w:t>3、</w:t>
      </w:r>
      <w:r>
        <w:rPr>
          <w:rFonts w:hint="eastAsia" w:ascii="宋体" w:hAnsi="宋体" w:cs="宋体-18030"/>
          <w:snapToGrid w:val="0"/>
          <w:color w:val="auto"/>
          <w:kern w:val="0"/>
          <w:sz w:val="24"/>
          <w:highlight w:val="none"/>
        </w:rPr>
        <w:t>本工作协议书作为原合同的组成部分，与原合同具有同等法律效力。本工作协议书的约定与原合同相冲突的，以本工作协议书的约定为准。</w:t>
      </w:r>
    </w:p>
    <w:p w14:paraId="490F77E2">
      <w:pPr>
        <w:adjustRightInd w:val="0"/>
        <w:snapToGrid w:val="0"/>
        <w:spacing w:line="360" w:lineRule="auto"/>
        <w:ind w:firstLine="482" w:firstLineChars="200"/>
        <w:rPr>
          <w:rFonts w:hint="eastAsia" w:ascii="宋体" w:hAnsi="宋体"/>
          <w:snapToGrid w:val="0"/>
          <w:color w:val="auto"/>
          <w:kern w:val="0"/>
          <w:sz w:val="24"/>
          <w:highlight w:val="none"/>
        </w:rPr>
      </w:pPr>
      <w:r>
        <w:rPr>
          <w:rFonts w:hint="eastAsia" w:ascii="宋体" w:hAnsi="宋体" w:cs="宋体-18030"/>
          <w:b/>
          <w:snapToGrid w:val="0"/>
          <w:color w:val="auto"/>
          <w:kern w:val="0"/>
          <w:sz w:val="24"/>
          <w:highlight w:val="none"/>
        </w:rPr>
        <w:t>4、</w:t>
      </w:r>
      <w:r>
        <w:rPr>
          <w:rFonts w:hint="eastAsia" w:ascii="宋体" w:hAnsi="宋体"/>
          <w:snapToGrid w:val="0"/>
          <w:color w:val="auto"/>
          <w:kern w:val="0"/>
          <w:sz w:val="24"/>
          <w:highlight w:val="none"/>
        </w:rPr>
        <w:t>本工作协议书于双方签字盖章后生效，至双方履行完本工作协议书中的义务与责任时终止。</w:t>
      </w:r>
    </w:p>
    <w:p w14:paraId="3CB8749B">
      <w:pPr>
        <w:adjustRightInd w:val="0"/>
        <w:snapToGrid w:val="0"/>
        <w:spacing w:line="360" w:lineRule="auto"/>
        <w:ind w:right="11"/>
        <w:rPr>
          <w:rFonts w:hint="eastAsia" w:ascii="宋体" w:hAnsi="宋体" w:cs="宋体-18030"/>
          <w:b/>
          <w:snapToGrid w:val="0"/>
          <w:color w:val="auto"/>
          <w:kern w:val="0"/>
          <w:sz w:val="24"/>
          <w:highlight w:val="none"/>
        </w:rPr>
      </w:pPr>
    </w:p>
    <w:p w14:paraId="362C88DA">
      <w:pPr>
        <w:adjustRightInd w:val="0"/>
        <w:snapToGrid w:val="0"/>
        <w:spacing w:line="360" w:lineRule="auto"/>
        <w:ind w:right="11"/>
        <w:rPr>
          <w:rFonts w:hint="eastAsia" w:ascii="楷体_GB2312" w:hAnsi="宋体" w:eastAsia="楷体_GB2312"/>
          <w:snapToGrid w:val="0"/>
          <w:color w:val="auto"/>
          <w:kern w:val="0"/>
          <w:sz w:val="24"/>
          <w:highlight w:val="none"/>
        </w:rPr>
      </w:pPr>
    </w:p>
    <w:p w14:paraId="23518569">
      <w:pPr>
        <w:jc w:val="center"/>
        <w:rPr>
          <w:rFonts w:hint="eastAsia" w:ascii="楷体_GB2312" w:hAnsi="宋体" w:eastAsia="楷体_GB2312"/>
          <w:snapToGrid w:val="0"/>
          <w:color w:val="auto"/>
          <w:kern w:val="0"/>
          <w:sz w:val="24"/>
          <w:highlight w:val="none"/>
        </w:rPr>
      </w:pPr>
      <w:bookmarkStart w:id="1072" w:name="_Toc14174"/>
      <w:bookmarkStart w:id="1073" w:name="_Toc18541"/>
      <w:bookmarkStart w:id="1074" w:name="_Toc20156"/>
      <w:bookmarkStart w:id="1075" w:name="_Toc3726"/>
      <w:bookmarkStart w:id="1076" w:name="_Toc9990"/>
      <w:r>
        <w:rPr>
          <w:rFonts w:hint="eastAsia" w:ascii="楷体_GB2312" w:hAnsi="宋体" w:eastAsia="楷体_GB2312"/>
          <w:snapToGrid w:val="0"/>
          <w:color w:val="auto"/>
          <w:kern w:val="0"/>
          <w:sz w:val="24"/>
          <w:highlight w:val="none"/>
        </w:rPr>
        <w:t>（本页为签署页，无正文内容）</w:t>
      </w:r>
      <w:bookmarkEnd w:id="1072"/>
      <w:bookmarkEnd w:id="1073"/>
      <w:bookmarkEnd w:id="1074"/>
      <w:bookmarkEnd w:id="1075"/>
      <w:bookmarkEnd w:id="1076"/>
    </w:p>
    <w:p w14:paraId="65191A96">
      <w:pPr>
        <w:adjustRightInd w:val="0"/>
        <w:snapToGrid w:val="0"/>
        <w:spacing w:line="360" w:lineRule="auto"/>
        <w:ind w:right="11"/>
        <w:rPr>
          <w:rFonts w:hint="eastAsia" w:ascii="楷体_GB2312" w:hAnsi="宋体" w:eastAsia="楷体_GB2312"/>
          <w:snapToGrid w:val="0"/>
          <w:color w:val="auto"/>
          <w:kern w:val="0"/>
          <w:sz w:val="24"/>
          <w:highlight w:val="none"/>
        </w:rPr>
      </w:pPr>
    </w:p>
    <w:p w14:paraId="1DAEDB1C">
      <w:pPr>
        <w:adjustRightInd w:val="0"/>
        <w:snapToGrid w:val="0"/>
        <w:spacing w:line="360" w:lineRule="auto"/>
        <w:ind w:right="11"/>
        <w:rPr>
          <w:rFonts w:ascii="宋体" w:hAnsi="宋体"/>
          <w:snapToGrid w:val="0"/>
          <w:color w:val="auto"/>
          <w:spacing w:val="-20"/>
          <w:kern w:val="0"/>
          <w:sz w:val="24"/>
          <w:highlight w:val="none"/>
        </w:rPr>
      </w:pPr>
    </w:p>
    <w:p w14:paraId="4E974B31">
      <w:pPr>
        <w:adjustRightInd w:val="0"/>
        <w:snapToGrid w:val="0"/>
        <w:spacing w:line="360" w:lineRule="auto"/>
        <w:ind w:right="11"/>
        <w:rPr>
          <w:rFonts w:ascii="宋体" w:hAnsi="宋体"/>
          <w:snapToGrid w:val="0"/>
          <w:color w:val="auto"/>
          <w:spacing w:val="-20"/>
          <w:kern w:val="0"/>
          <w:sz w:val="24"/>
          <w:highlight w:val="none"/>
        </w:rPr>
      </w:pPr>
    </w:p>
    <w:p w14:paraId="1714D150">
      <w:pPr>
        <w:adjustRightInd w:val="0"/>
        <w:snapToGrid w:val="0"/>
        <w:spacing w:line="360" w:lineRule="auto"/>
        <w:ind w:right="11"/>
        <w:rPr>
          <w:rFonts w:ascii="宋体" w:hAnsi="宋体"/>
          <w:snapToGrid w:val="0"/>
          <w:color w:val="auto"/>
          <w:spacing w:val="-20"/>
          <w:kern w:val="0"/>
          <w:sz w:val="24"/>
          <w:highlight w:val="none"/>
        </w:rPr>
      </w:pPr>
    </w:p>
    <w:tbl>
      <w:tblPr>
        <w:tblStyle w:val="41"/>
        <w:tblW w:w="0" w:type="auto"/>
        <w:tblInd w:w="0" w:type="dxa"/>
        <w:tblLayout w:type="autofit"/>
        <w:tblCellMar>
          <w:top w:w="0" w:type="dxa"/>
          <w:left w:w="108" w:type="dxa"/>
          <w:bottom w:w="0" w:type="dxa"/>
          <w:right w:w="108" w:type="dxa"/>
        </w:tblCellMar>
      </w:tblPr>
      <w:tblGrid>
        <w:gridCol w:w="4814"/>
        <w:gridCol w:w="4814"/>
      </w:tblGrid>
      <w:tr w14:paraId="2FAA2A3F">
        <w:tblPrEx>
          <w:tblCellMar>
            <w:top w:w="0" w:type="dxa"/>
            <w:left w:w="108" w:type="dxa"/>
            <w:bottom w:w="0" w:type="dxa"/>
            <w:right w:w="108" w:type="dxa"/>
          </w:tblCellMar>
        </w:tblPrEx>
        <w:trPr>
          <w:trHeight w:val="1134" w:hRule="atLeast"/>
        </w:trPr>
        <w:tc>
          <w:tcPr>
            <w:tcW w:w="4814" w:type="dxa"/>
            <w:noWrap w:val="0"/>
            <w:vAlign w:val="top"/>
          </w:tcPr>
          <w:p w14:paraId="28460595">
            <w:pPr>
              <w:adjustRightInd w:val="0"/>
              <w:snapToGrid w:val="0"/>
              <w:spacing w:line="360" w:lineRule="auto"/>
              <w:ind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甲方：广州市番禺区水务工程建管中心</w:t>
            </w:r>
          </w:p>
          <w:p w14:paraId="22256F9D">
            <w:pPr>
              <w:adjustRightInd w:val="0"/>
              <w:snapToGrid w:val="0"/>
              <w:spacing w:line="360" w:lineRule="auto"/>
              <w:ind w:right="11"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（广州市番禺区水旱灾害防御中心）</w:t>
            </w:r>
          </w:p>
          <w:p w14:paraId="731D492E">
            <w:pPr>
              <w:adjustRightInd w:val="0"/>
              <w:snapToGrid w:val="0"/>
              <w:spacing w:line="360" w:lineRule="auto"/>
              <w:ind w:right="11" w:firstLine="1680" w:firstLineChars="700"/>
              <w:rPr>
                <w:rFonts w:hint="eastAsia" w:ascii="宋体" w:hAnsi="宋体"/>
                <w:snapToGrid w:val="0"/>
                <w:color w:val="auto"/>
                <w:spacing w:val="-20"/>
                <w:kern w:val="0"/>
                <w:sz w:val="24"/>
                <w:highlight w:val="none"/>
              </w:rPr>
            </w:pPr>
            <w:r>
              <w:rPr>
                <w:rFonts w:hint="eastAsia" w:ascii="宋体" w:hAnsi="宋体"/>
                <w:snapToGrid w:val="0"/>
                <w:color w:val="auto"/>
                <w:kern w:val="0"/>
                <w:sz w:val="24"/>
                <w:highlight w:val="none"/>
              </w:rPr>
              <w:t>（盖公章）</w:t>
            </w:r>
          </w:p>
        </w:tc>
        <w:tc>
          <w:tcPr>
            <w:tcW w:w="4814" w:type="dxa"/>
            <w:noWrap w:val="0"/>
            <w:vAlign w:val="top"/>
          </w:tcPr>
          <w:p w14:paraId="5E59133E">
            <w:pPr>
              <w:adjustRightInd w:val="0"/>
              <w:snapToGrid w:val="0"/>
              <w:spacing w:line="360" w:lineRule="auto"/>
              <w:ind w:right="11"/>
              <w:rPr>
                <w:rFonts w:hint="eastAsia" w:ascii="宋体" w:hAnsi="宋体"/>
                <w:snapToGrid w:val="0"/>
                <w:color w:val="auto"/>
                <w:spacing w:val="-20"/>
                <w:kern w:val="0"/>
                <w:sz w:val="24"/>
                <w:highlight w:val="none"/>
              </w:rPr>
            </w:pPr>
            <w:r>
              <w:rPr>
                <w:rFonts w:hint="eastAsia" w:ascii="宋体" w:hAnsi="宋体"/>
                <w:snapToGrid w:val="0"/>
                <w:color w:val="auto"/>
                <w:spacing w:val="-20"/>
                <w:kern w:val="0"/>
                <w:sz w:val="24"/>
                <w:highlight w:val="none"/>
              </w:rPr>
              <w:t>乙方：（盖公章）</w:t>
            </w:r>
          </w:p>
        </w:tc>
      </w:tr>
      <w:tr w14:paraId="42C3FA15">
        <w:tblPrEx>
          <w:tblCellMar>
            <w:top w:w="0" w:type="dxa"/>
            <w:left w:w="108" w:type="dxa"/>
            <w:bottom w:w="0" w:type="dxa"/>
            <w:right w:w="108" w:type="dxa"/>
          </w:tblCellMar>
        </w:tblPrEx>
        <w:trPr>
          <w:trHeight w:val="1134" w:hRule="atLeast"/>
        </w:trPr>
        <w:tc>
          <w:tcPr>
            <w:tcW w:w="4814" w:type="dxa"/>
            <w:noWrap w:val="0"/>
            <w:vAlign w:val="top"/>
          </w:tcPr>
          <w:p w14:paraId="1DD42647">
            <w:pPr>
              <w:adjustRightInd w:val="0"/>
              <w:snapToGrid w:val="0"/>
              <w:spacing w:line="360" w:lineRule="auto"/>
              <w:ind w:right="11"/>
              <w:rPr>
                <w:rFonts w:hint="eastAsia" w:ascii="宋体" w:hAnsi="宋体"/>
                <w:snapToGrid w:val="0"/>
                <w:color w:val="auto"/>
                <w:spacing w:val="-20"/>
                <w:kern w:val="0"/>
                <w:sz w:val="24"/>
                <w:highlight w:val="none"/>
              </w:rPr>
            </w:pPr>
            <w:r>
              <w:rPr>
                <w:rFonts w:hint="eastAsia" w:ascii="宋体" w:hAnsi="宋体"/>
                <w:snapToGrid w:val="0"/>
                <w:color w:val="auto"/>
                <w:spacing w:val="-20"/>
                <w:kern w:val="0"/>
                <w:sz w:val="24"/>
                <w:highlight w:val="none"/>
              </w:rPr>
              <w:t>法定代表人：</w:t>
            </w:r>
          </w:p>
        </w:tc>
        <w:tc>
          <w:tcPr>
            <w:tcW w:w="4814" w:type="dxa"/>
            <w:noWrap w:val="0"/>
            <w:vAlign w:val="top"/>
          </w:tcPr>
          <w:p w14:paraId="62078B39">
            <w:pPr>
              <w:adjustRightInd w:val="0"/>
              <w:snapToGrid w:val="0"/>
              <w:spacing w:line="360" w:lineRule="auto"/>
              <w:ind w:right="11"/>
              <w:rPr>
                <w:rFonts w:hint="eastAsia" w:ascii="宋体" w:hAnsi="宋体"/>
                <w:snapToGrid w:val="0"/>
                <w:color w:val="auto"/>
                <w:spacing w:val="-20"/>
                <w:kern w:val="0"/>
                <w:sz w:val="24"/>
                <w:highlight w:val="none"/>
              </w:rPr>
            </w:pPr>
            <w:r>
              <w:rPr>
                <w:rFonts w:hint="eastAsia" w:ascii="宋体" w:hAnsi="宋体"/>
                <w:snapToGrid w:val="0"/>
                <w:color w:val="auto"/>
                <w:spacing w:val="-20"/>
                <w:kern w:val="0"/>
                <w:sz w:val="24"/>
                <w:highlight w:val="none"/>
              </w:rPr>
              <w:t>法定代表人：</w:t>
            </w:r>
          </w:p>
        </w:tc>
      </w:tr>
      <w:tr w14:paraId="1BBAD5AD">
        <w:tblPrEx>
          <w:tblCellMar>
            <w:top w:w="0" w:type="dxa"/>
            <w:left w:w="108" w:type="dxa"/>
            <w:bottom w:w="0" w:type="dxa"/>
            <w:right w:w="108" w:type="dxa"/>
          </w:tblCellMar>
        </w:tblPrEx>
        <w:trPr>
          <w:trHeight w:val="1134" w:hRule="atLeast"/>
        </w:trPr>
        <w:tc>
          <w:tcPr>
            <w:tcW w:w="4814" w:type="dxa"/>
            <w:noWrap w:val="0"/>
            <w:vAlign w:val="top"/>
          </w:tcPr>
          <w:p w14:paraId="1542A7A9">
            <w:pPr>
              <w:adjustRightInd w:val="0"/>
              <w:snapToGrid w:val="0"/>
              <w:spacing w:line="360" w:lineRule="auto"/>
              <w:ind w:right="11"/>
              <w:rPr>
                <w:rFonts w:hint="eastAsia" w:ascii="宋体" w:hAnsi="宋体"/>
                <w:snapToGrid w:val="0"/>
                <w:color w:val="auto"/>
                <w:spacing w:val="-20"/>
                <w:kern w:val="0"/>
                <w:sz w:val="24"/>
                <w:highlight w:val="none"/>
              </w:rPr>
            </w:pPr>
            <w:r>
              <w:rPr>
                <w:rFonts w:hint="eastAsia" w:ascii="宋体" w:hAnsi="宋体"/>
                <w:snapToGrid w:val="0"/>
                <w:color w:val="auto"/>
                <w:spacing w:val="-20"/>
                <w:kern w:val="0"/>
                <w:sz w:val="24"/>
                <w:highlight w:val="none"/>
              </w:rPr>
              <w:t>或委托代理人：</w:t>
            </w:r>
          </w:p>
        </w:tc>
        <w:tc>
          <w:tcPr>
            <w:tcW w:w="4814" w:type="dxa"/>
            <w:noWrap w:val="0"/>
            <w:vAlign w:val="top"/>
          </w:tcPr>
          <w:p w14:paraId="314D6C26">
            <w:pPr>
              <w:adjustRightInd w:val="0"/>
              <w:snapToGrid w:val="0"/>
              <w:spacing w:line="360" w:lineRule="auto"/>
              <w:ind w:right="11"/>
              <w:rPr>
                <w:rFonts w:hint="eastAsia" w:ascii="宋体" w:hAnsi="宋体"/>
                <w:snapToGrid w:val="0"/>
                <w:color w:val="auto"/>
                <w:spacing w:val="-20"/>
                <w:kern w:val="0"/>
                <w:sz w:val="24"/>
                <w:highlight w:val="none"/>
              </w:rPr>
            </w:pPr>
            <w:r>
              <w:rPr>
                <w:rFonts w:hint="eastAsia" w:ascii="宋体" w:hAnsi="宋体"/>
                <w:snapToGrid w:val="0"/>
                <w:color w:val="auto"/>
                <w:spacing w:val="-20"/>
                <w:kern w:val="0"/>
                <w:sz w:val="24"/>
                <w:highlight w:val="none"/>
              </w:rPr>
              <w:t>或委托代理人：</w:t>
            </w:r>
          </w:p>
        </w:tc>
      </w:tr>
      <w:tr w14:paraId="6F1C48E1">
        <w:tblPrEx>
          <w:tblCellMar>
            <w:top w:w="0" w:type="dxa"/>
            <w:left w:w="108" w:type="dxa"/>
            <w:bottom w:w="0" w:type="dxa"/>
            <w:right w:w="108" w:type="dxa"/>
          </w:tblCellMar>
        </w:tblPrEx>
        <w:trPr>
          <w:trHeight w:val="1134" w:hRule="atLeast"/>
        </w:trPr>
        <w:tc>
          <w:tcPr>
            <w:tcW w:w="4814" w:type="dxa"/>
            <w:noWrap w:val="0"/>
            <w:vAlign w:val="top"/>
          </w:tcPr>
          <w:p w14:paraId="4D98760E">
            <w:pPr>
              <w:adjustRightInd w:val="0"/>
              <w:snapToGrid w:val="0"/>
              <w:spacing w:line="360" w:lineRule="auto"/>
              <w:ind w:right="11"/>
              <w:jc w:val="center"/>
              <w:rPr>
                <w:rFonts w:hint="eastAsia" w:ascii="宋体" w:hAnsi="宋体"/>
                <w:snapToGrid w:val="0"/>
                <w:color w:val="auto"/>
                <w:spacing w:val="-20"/>
                <w:kern w:val="0"/>
                <w:sz w:val="24"/>
                <w:highlight w:val="none"/>
              </w:rPr>
            </w:pPr>
            <w:r>
              <w:rPr>
                <w:rFonts w:hint="eastAsia" w:ascii="宋体" w:hAnsi="宋体"/>
                <w:snapToGrid w:val="0"/>
                <w:color w:val="auto"/>
                <w:spacing w:val="-20"/>
                <w:kern w:val="0"/>
                <w:sz w:val="24"/>
                <w:highlight w:val="none"/>
              </w:rPr>
              <w:t>年   月   日</w:t>
            </w:r>
          </w:p>
        </w:tc>
        <w:tc>
          <w:tcPr>
            <w:tcW w:w="4814" w:type="dxa"/>
            <w:noWrap w:val="0"/>
            <w:vAlign w:val="top"/>
          </w:tcPr>
          <w:p w14:paraId="50CFE0E4">
            <w:pPr>
              <w:adjustRightInd w:val="0"/>
              <w:snapToGrid w:val="0"/>
              <w:spacing w:line="360" w:lineRule="auto"/>
              <w:ind w:right="11"/>
              <w:jc w:val="center"/>
              <w:rPr>
                <w:rFonts w:hint="eastAsia" w:ascii="宋体" w:hAnsi="宋体"/>
                <w:snapToGrid w:val="0"/>
                <w:color w:val="auto"/>
                <w:spacing w:val="-20"/>
                <w:kern w:val="0"/>
                <w:sz w:val="24"/>
                <w:highlight w:val="none"/>
              </w:rPr>
            </w:pPr>
            <w:r>
              <w:rPr>
                <w:rFonts w:hint="eastAsia" w:ascii="宋体" w:hAnsi="宋体"/>
                <w:snapToGrid w:val="0"/>
                <w:color w:val="auto"/>
                <w:spacing w:val="-20"/>
                <w:kern w:val="0"/>
                <w:sz w:val="24"/>
                <w:highlight w:val="none"/>
              </w:rPr>
              <w:t>年   月   日</w:t>
            </w:r>
          </w:p>
        </w:tc>
      </w:tr>
    </w:tbl>
    <w:p w14:paraId="49E8902B">
      <w:pPr>
        <w:adjustRightInd w:val="0"/>
        <w:snapToGrid w:val="0"/>
        <w:spacing w:line="360" w:lineRule="auto"/>
        <w:ind w:right="11"/>
        <w:rPr>
          <w:rFonts w:hint="eastAsia" w:ascii="宋体" w:hAnsi="宋体"/>
          <w:snapToGrid w:val="0"/>
          <w:color w:val="auto"/>
          <w:kern w:val="0"/>
          <w:sz w:val="24"/>
          <w:highlight w:val="none"/>
        </w:rPr>
      </w:pPr>
    </w:p>
    <w:p w14:paraId="5D0288B9">
      <w:pPr>
        <w:adjustRightInd w:val="0"/>
        <w:snapToGrid w:val="0"/>
        <w:spacing w:line="360" w:lineRule="auto"/>
        <w:ind w:firstLine="482" w:firstLineChars="200"/>
        <w:rPr>
          <w:rFonts w:hint="eastAsia" w:ascii="宋体" w:hAnsi="宋体" w:cs="宋体-18030"/>
          <w:b/>
          <w:snapToGrid w:val="0"/>
          <w:color w:val="auto"/>
          <w:kern w:val="0"/>
          <w:sz w:val="24"/>
          <w:highlight w:val="none"/>
        </w:rPr>
      </w:pPr>
    </w:p>
    <w:p w14:paraId="50677C80">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br w:type="page"/>
      </w:r>
    </w:p>
    <w:p w14:paraId="35575DDC">
      <w:pPr>
        <w:spacing w:before="240" w:beforeLines="100" w:after="240" w:afterLines="100" w:line="420" w:lineRule="exact"/>
        <w:outlineLvl w:val="1"/>
        <w:rPr>
          <w:rFonts w:ascii="宋体" w:hAnsi="宋体" w:cs="宋体"/>
          <w:b/>
          <w:bCs/>
          <w:color w:val="auto"/>
          <w:kern w:val="0"/>
          <w:sz w:val="22"/>
          <w:szCs w:val="22"/>
          <w:highlight w:val="none"/>
        </w:rPr>
      </w:pPr>
      <w:bookmarkStart w:id="1077" w:name="_Toc18723"/>
      <w:bookmarkStart w:id="1078" w:name="_Toc28450"/>
      <w:bookmarkStart w:id="1079" w:name="_Toc31180"/>
      <w:bookmarkStart w:id="1080" w:name="_Toc18563"/>
      <w:bookmarkStart w:id="1081" w:name="_Toc155166233"/>
      <w:r>
        <w:rPr>
          <w:rFonts w:hint="eastAsia" w:ascii="宋体" w:hAnsi="宋体" w:cs="宋体"/>
          <w:b/>
          <w:bCs/>
          <w:color w:val="auto"/>
          <w:kern w:val="0"/>
          <w:sz w:val="22"/>
          <w:szCs w:val="22"/>
          <w:highlight w:val="none"/>
        </w:rPr>
        <w:t>附件十五：本工程的主要管理和技术人员情况表</w:t>
      </w:r>
      <w:bookmarkEnd w:id="1077"/>
      <w:bookmarkEnd w:id="1078"/>
      <w:bookmarkEnd w:id="1079"/>
      <w:bookmarkEnd w:id="1080"/>
      <w:bookmarkEnd w:id="1081"/>
    </w:p>
    <w:p w14:paraId="5549F314">
      <w:pPr>
        <w:pStyle w:val="109"/>
        <w:widowControl w:val="0"/>
        <w:spacing w:before="0" w:after="0"/>
        <w:jc w:val="center"/>
        <w:rPr>
          <w:rFonts w:hint="eastAsia" w:ascii="宋体" w:hAnsi="宋体" w:eastAsia="宋体"/>
          <w:color w:val="auto"/>
          <w:sz w:val="28"/>
          <w:highlight w:val="none"/>
        </w:rPr>
      </w:pPr>
      <w:bookmarkStart w:id="1082" w:name="_Toc1574"/>
      <w:bookmarkStart w:id="1083" w:name="_Toc901"/>
      <w:bookmarkStart w:id="1084" w:name="_Toc19730"/>
      <w:bookmarkStart w:id="1085" w:name="_Toc21074"/>
      <w:bookmarkStart w:id="1086" w:name="_Toc31130"/>
      <w:r>
        <w:rPr>
          <w:rFonts w:hint="eastAsia" w:ascii="宋体" w:hAnsi="宋体" w:eastAsia="宋体"/>
          <w:color w:val="auto"/>
          <w:sz w:val="30"/>
          <w:highlight w:val="none"/>
        </w:rPr>
        <w:t>投入本工程的主要管理和技术人员情况表</w:t>
      </w:r>
      <w:bookmarkEnd w:id="1082"/>
      <w:bookmarkEnd w:id="1083"/>
      <w:bookmarkEnd w:id="1084"/>
      <w:bookmarkEnd w:id="1085"/>
      <w:bookmarkEnd w:id="1086"/>
    </w:p>
    <w:tbl>
      <w:tblPr>
        <w:tblStyle w:val="41"/>
        <w:tblW w:w="97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425"/>
        <w:gridCol w:w="1284"/>
        <w:gridCol w:w="1976"/>
        <w:gridCol w:w="2015"/>
        <w:gridCol w:w="1260"/>
      </w:tblGrid>
      <w:tr w14:paraId="67170C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6" w:type="dxa"/>
            <w:noWrap w:val="0"/>
            <w:vAlign w:val="center"/>
          </w:tcPr>
          <w:p w14:paraId="40E5621E">
            <w:pPr>
              <w:pStyle w:val="109"/>
              <w:adjustRightInd w:val="0"/>
              <w:snapToGrid w:val="0"/>
              <w:spacing w:before="0" w:after="0"/>
              <w:jc w:val="center"/>
              <w:rPr>
                <w:rFonts w:hint="eastAsia" w:ascii="宋体" w:hAnsi="宋体" w:eastAsia="宋体"/>
                <w:color w:val="auto"/>
                <w:highlight w:val="none"/>
              </w:rPr>
            </w:pPr>
            <w:r>
              <w:rPr>
                <w:rFonts w:hint="eastAsia" w:ascii="宋体" w:hAnsi="宋体" w:eastAsia="宋体"/>
                <w:color w:val="auto"/>
                <w:highlight w:val="none"/>
              </w:rPr>
              <w:t>序号</w:t>
            </w:r>
          </w:p>
        </w:tc>
        <w:tc>
          <w:tcPr>
            <w:tcW w:w="2425" w:type="dxa"/>
            <w:noWrap w:val="0"/>
            <w:vAlign w:val="center"/>
          </w:tcPr>
          <w:p w14:paraId="5651AD66">
            <w:pPr>
              <w:pStyle w:val="109"/>
              <w:adjustRightInd w:val="0"/>
              <w:snapToGrid w:val="0"/>
              <w:spacing w:before="0" w:after="0"/>
              <w:ind w:left="-69" w:right="-97"/>
              <w:jc w:val="center"/>
              <w:rPr>
                <w:rFonts w:hint="eastAsia" w:ascii="宋体" w:hAnsi="宋体" w:eastAsia="宋体"/>
                <w:color w:val="auto"/>
                <w:highlight w:val="none"/>
              </w:rPr>
            </w:pPr>
            <w:r>
              <w:rPr>
                <w:rFonts w:hint="eastAsia" w:ascii="宋体" w:hAnsi="宋体" w:eastAsia="宋体"/>
                <w:color w:val="auto"/>
                <w:highlight w:val="none"/>
              </w:rPr>
              <w:t>拟任职务</w:t>
            </w:r>
          </w:p>
        </w:tc>
        <w:tc>
          <w:tcPr>
            <w:tcW w:w="1284" w:type="dxa"/>
            <w:noWrap w:val="0"/>
            <w:vAlign w:val="center"/>
          </w:tcPr>
          <w:p w14:paraId="0BA47F52">
            <w:pPr>
              <w:pStyle w:val="109"/>
              <w:adjustRightInd w:val="0"/>
              <w:snapToGrid w:val="0"/>
              <w:spacing w:before="0" w:after="0"/>
              <w:jc w:val="center"/>
              <w:rPr>
                <w:rFonts w:hint="eastAsia" w:ascii="宋体" w:hAnsi="宋体" w:eastAsia="宋体"/>
                <w:color w:val="auto"/>
                <w:highlight w:val="none"/>
              </w:rPr>
            </w:pPr>
            <w:r>
              <w:rPr>
                <w:rFonts w:hint="eastAsia" w:ascii="宋体" w:hAnsi="宋体" w:eastAsia="宋体"/>
                <w:color w:val="auto"/>
                <w:highlight w:val="none"/>
              </w:rPr>
              <w:t>数量</w:t>
            </w:r>
          </w:p>
        </w:tc>
        <w:tc>
          <w:tcPr>
            <w:tcW w:w="1976" w:type="dxa"/>
            <w:noWrap w:val="0"/>
            <w:vAlign w:val="center"/>
          </w:tcPr>
          <w:p w14:paraId="286166D2">
            <w:pPr>
              <w:pStyle w:val="109"/>
              <w:adjustRightInd w:val="0"/>
              <w:snapToGrid w:val="0"/>
              <w:spacing w:before="0" w:after="0"/>
              <w:jc w:val="center"/>
              <w:rPr>
                <w:rFonts w:hint="eastAsia" w:ascii="宋体" w:hAnsi="宋体" w:eastAsia="宋体"/>
                <w:color w:val="auto"/>
                <w:highlight w:val="none"/>
              </w:rPr>
            </w:pPr>
            <w:r>
              <w:rPr>
                <w:rFonts w:hint="eastAsia" w:ascii="宋体" w:hAnsi="宋体" w:eastAsia="宋体"/>
                <w:color w:val="auto"/>
                <w:highlight w:val="none"/>
              </w:rPr>
              <w:t>姓名</w:t>
            </w:r>
          </w:p>
        </w:tc>
        <w:tc>
          <w:tcPr>
            <w:tcW w:w="2015" w:type="dxa"/>
            <w:noWrap w:val="0"/>
            <w:vAlign w:val="center"/>
          </w:tcPr>
          <w:p w14:paraId="6FBC46F3">
            <w:pPr>
              <w:pStyle w:val="109"/>
              <w:adjustRightInd w:val="0"/>
              <w:snapToGrid w:val="0"/>
              <w:spacing w:before="0" w:after="0"/>
              <w:ind w:firstLine="198"/>
              <w:jc w:val="center"/>
              <w:rPr>
                <w:rFonts w:hint="eastAsia" w:ascii="宋体" w:hAnsi="宋体" w:eastAsia="宋体"/>
                <w:color w:val="auto"/>
                <w:highlight w:val="none"/>
              </w:rPr>
            </w:pPr>
            <w:r>
              <w:rPr>
                <w:rFonts w:hint="eastAsia" w:ascii="宋体" w:hAnsi="宋体" w:eastAsia="宋体"/>
                <w:color w:val="auto"/>
                <w:highlight w:val="none"/>
              </w:rPr>
              <w:t>职称</w:t>
            </w:r>
          </w:p>
        </w:tc>
        <w:tc>
          <w:tcPr>
            <w:tcW w:w="1260" w:type="dxa"/>
            <w:noWrap w:val="0"/>
            <w:vAlign w:val="center"/>
          </w:tcPr>
          <w:p w14:paraId="7BC94FF9">
            <w:pPr>
              <w:pStyle w:val="109"/>
              <w:adjustRightInd w:val="0"/>
              <w:snapToGrid w:val="0"/>
              <w:spacing w:before="0" w:after="0"/>
              <w:jc w:val="center"/>
              <w:rPr>
                <w:rFonts w:hint="eastAsia" w:ascii="宋体" w:hAnsi="宋体" w:eastAsia="宋体"/>
                <w:color w:val="auto"/>
                <w:highlight w:val="none"/>
              </w:rPr>
            </w:pPr>
            <w:r>
              <w:rPr>
                <w:rFonts w:hint="eastAsia" w:ascii="宋体" w:hAnsi="宋体" w:eastAsia="宋体"/>
                <w:color w:val="auto"/>
                <w:highlight w:val="none"/>
              </w:rPr>
              <w:t>专业</w:t>
            </w:r>
          </w:p>
        </w:tc>
      </w:tr>
      <w:tr w14:paraId="441A9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826" w:type="dxa"/>
            <w:noWrap w:val="0"/>
            <w:vAlign w:val="center"/>
          </w:tcPr>
          <w:p w14:paraId="708E6BB8">
            <w:pPr>
              <w:pStyle w:val="109"/>
              <w:numPr>
                <w:ilvl w:val="0"/>
                <w:numId w:val="34"/>
              </w:numPr>
              <w:adjustRightInd w:val="0"/>
              <w:snapToGrid w:val="0"/>
              <w:spacing w:before="0" w:after="0"/>
              <w:jc w:val="center"/>
              <w:rPr>
                <w:rFonts w:hint="eastAsia" w:ascii="宋体" w:hAnsi="宋体" w:eastAsia="宋体"/>
                <w:color w:val="auto"/>
                <w:highlight w:val="none"/>
              </w:rPr>
            </w:pPr>
          </w:p>
        </w:tc>
        <w:tc>
          <w:tcPr>
            <w:tcW w:w="2425" w:type="dxa"/>
            <w:noWrap w:val="0"/>
            <w:vAlign w:val="center"/>
          </w:tcPr>
          <w:p w14:paraId="251FC805">
            <w:pPr>
              <w:pStyle w:val="109"/>
              <w:adjustRightInd w:val="0"/>
              <w:snapToGrid w:val="0"/>
              <w:spacing w:before="0" w:after="0"/>
              <w:ind w:firstLine="198"/>
              <w:jc w:val="center"/>
              <w:rPr>
                <w:rFonts w:hint="eastAsia" w:ascii="宋体" w:hAnsi="宋体" w:eastAsia="宋体"/>
                <w:color w:val="auto"/>
                <w:highlight w:val="none"/>
              </w:rPr>
            </w:pPr>
            <w:r>
              <w:rPr>
                <w:rFonts w:hint="eastAsia" w:ascii="宋体" w:hAnsi="宋体" w:eastAsia="宋体"/>
                <w:color w:val="auto"/>
                <w:highlight w:val="none"/>
              </w:rPr>
              <w:t>项目负责人</w:t>
            </w:r>
          </w:p>
        </w:tc>
        <w:tc>
          <w:tcPr>
            <w:tcW w:w="1284" w:type="dxa"/>
            <w:noWrap w:val="0"/>
            <w:vAlign w:val="center"/>
          </w:tcPr>
          <w:p w14:paraId="741861F9">
            <w:pPr>
              <w:pStyle w:val="109"/>
              <w:adjustRightInd w:val="0"/>
              <w:snapToGrid w:val="0"/>
              <w:spacing w:before="0" w:after="0"/>
              <w:ind w:firstLine="198"/>
              <w:jc w:val="center"/>
              <w:rPr>
                <w:rFonts w:hint="eastAsia" w:ascii="宋体" w:hAnsi="宋体" w:eastAsia="宋体"/>
                <w:color w:val="auto"/>
                <w:highlight w:val="none"/>
              </w:rPr>
            </w:pPr>
          </w:p>
        </w:tc>
        <w:tc>
          <w:tcPr>
            <w:tcW w:w="1976" w:type="dxa"/>
            <w:noWrap w:val="0"/>
            <w:vAlign w:val="center"/>
          </w:tcPr>
          <w:p w14:paraId="23077A80">
            <w:pPr>
              <w:pStyle w:val="109"/>
              <w:adjustRightInd w:val="0"/>
              <w:snapToGrid w:val="0"/>
              <w:spacing w:before="0" w:after="0"/>
              <w:ind w:firstLine="198"/>
              <w:jc w:val="center"/>
              <w:rPr>
                <w:rFonts w:hint="eastAsia" w:ascii="宋体" w:hAnsi="宋体" w:eastAsia="宋体"/>
                <w:color w:val="auto"/>
                <w:highlight w:val="none"/>
              </w:rPr>
            </w:pPr>
          </w:p>
        </w:tc>
        <w:tc>
          <w:tcPr>
            <w:tcW w:w="2015" w:type="dxa"/>
            <w:noWrap w:val="0"/>
            <w:vAlign w:val="center"/>
          </w:tcPr>
          <w:p w14:paraId="23F2E4B3">
            <w:pPr>
              <w:pStyle w:val="109"/>
              <w:adjustRightInd w:val="0"/>
              <w:snapToGrid w:val="0"/>
              <w:spacing w:before="0" w:after="0"/>
              <w:rPr>
                <w:rFonts w:hint="eastAsia" w:ascii="宋体" w:hAnsi="宋体" w:eastAsia="宋体"/>
                <w:color w:val="auto"/>
                <w:sz w:val="21"/>
                <w:szCs w:val="21"/>
                <w:highlight w:val="none"/>
              </w:rPr>
            </w:pPr>
          </w:p>
        </w:tc>
        <w:tc>
          <w:tcPr>
            <w:tcW w:w="1260" w:type="dxa"/>
            <w:noWrap w:val="0"/>
            <w:vAlign w:val="center"/>
          </w:tcPr>
          <w:p w14:paraId="0BBE98DE">
            <w:pPr>
              <w:pStyle w:val="109"/>
              <w:adjustRightInd w:val="0"/>
              <w:snapToGrid w:val="0"/>
              <w:spacing w:before="0" w:after="0"/>
              <w:ind w:firstLine="198"/>
              <w:jc w:val="center"/>
              <w:rPr>
                <w:rFonts w:hint="eastAsia" w:ascii="宋体" w:hAnsi="宋体" w:eastAsia="宋体"/>
                <w:color w:val="auto"/>
                <w:highlight w:val="none"/>
              </w:rPr>
            </w:pPr>
          </w:p>
        </w:tc>
      </w:tr>
      <w:tr w14:paraId="6EF3B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14:paraId="63399B84">
            <w:pPr>
              <w:pStyle w:val="109"/>
              <w:numPr>
                <w:ilvl w:val="0"/>
                <w:numId w:val="34"/>
              </w:numPr>
              <w:adjustRightInd w:val="0"/>
              <w:snapToGrid w:val="0"/>
              <w:spacing w:before="0" w:after="0"/>
              <w:jc w:val="center"/>
              <w:rPr>
                <w:rFonts w:hint="eastAsia" w:ascii="宋体" w:hAnsi="宋体" w:eastAsia="宋体"/>
                <w:color w:val="auto"/>
                <w:highlight w:val="none"/>
              </w:rPr>
            </w:pPr>
          </w:p>
        </w:tc>
        <w:tc>
          <w:tcPr>
            <w:tcW w:w="2425" w:type="dxa"/>
            <w:noWrap w:val="0"/>
            <w:vAlign w:val="center"/>
          </w:tcPr>
          <w:p w14:paraId="6A2A1812">
            <w:pPr>
              <w:pStyle w:val="109"/>
              <w:adjustRightInd w:val="0"/>
              <w:snapToGrid w:val="0"/>
              <w:spacing w:before="0" w:after="0"/>
              <w:ind w:firstLine="198"/>
              <w:jc w:val="center"/>
              <w:rPr>
                <w:rFonts w:hint="eastAsia" w:ascii="宋体" w:hAnsi="宋体" w:eastAsia="宋体"/>
                <w:color w:val="auto"/>
                <w:highlight w:val="none"/>
              </w:rPr>
            </w:pPr>
            <w:r>
              <w:rPr>
                <w:rFonts w:hint="eastAsia" w:ascii="宋体" w:hAnsi="宋体" w:eastAsia="宋体"/>
                <w:color w:val="auto"/>
                <w:highlight w:val="none"/>
              </w:rPr>
              <w:t>技术负责人</w:t>
            </w:r>
          </w:p>
        </w:tc>
        <w:tc>
          <w:tcPr>
            <w:tcW w:w="1284" w:type="dxa"/>
            <w:noWrap w:val="0"/>
            <w:vAlign w:val="center"/>
          </w:tcPr>
          <w:p w14:paraId="1AFB926B">
            <w:pPr>
              <w:pStyle w:val="109"/>
              <w:adjustRightInd w:val="0"/>
              <w:snapToGrid w:val="0"/>
              <w:spacing w:before="0" w:after="0"/>
              <w:ind w:firstLine="198"/>
              <w:jc w:val="center"/>
              <w:rPr>
                <w:rFonts w:hint="eastAsia" w:ascii="宋体" w:hAnsi="宋体" w:eastAsia="宋体"/>
                <w:color w:val="auto"/>
                <w:highlight w:val="none"/>
              </w:rPr>
            </w:pPr>
          </w:p>
        </w:tc>
        <w:tc>
          <w:tcPr>
            <w:tcW w:w="1976" w:type="dxa"/>
            <w:noWrap w:val="0"/>
            <w:vAlign w:val="center"/>
          </w:tcPr>
          <w:p w14:paraId="02327CBA">
            <w:pPr>
              <w:pStyle w:val="109"/>
              <w:adjustRightInd w:val="0"/>
              <w:snapToGrid w:val="0"/>
              <w:spacing w:before="0" w:after="0"/>
              <w:ind w:firstLine="198"/>
              <w:jc w:val="center"/>
              <w:rPr>
                <w:rFonts w:hint="eastAsia" w:ascii="宋体" w:hAnsi="宋体" w:eastAsia="宋体"/>
                <w:color w:val="auto"/>
                <w:highlight w:val="none"/>
              </w:rPr>
            </w:pPr>
          </w:p>
        </w:tc>
        <w:tc>
          <w:tcPr>
            <w:tcW w:w="2015" w:type="dxa"/>
            <w:noWrap w:val="0"/>
            <w:vAlign w:val="center"/>
          </w:tcPr>
          <w:p w14:paraId="1A65B123">
            <w:pPr>
              <w:pStyle w:val="109"/>
              <w:adjustRightInd w:val="0"/>
              <w:snapToGrid w:val="0"/>
              <w:spacing w:before="0" w:after="0"/>
              <w:rPr>
                <w:rFonts w:hint="eastAsia" w:ascii="宋体" w:hAnsi="宋体" w:eastAsia="宋体"/>
                <w:color w:val="auto"/>
                <w:sz w:val="21"/>
                <w:szCs w:val="21"/>
                <w:highlight w:val="none"/>
              </w:rPr>
            </w:pPr>
          </w:p>
        </w:tc>
        <w:tc>
          <w:tcPr>
            <w:tcW w:w="1260" w:type="dxa"/>
            <w:noWrap w:val="0"/>
            <w:vAlign w:val="center"/>
          </w:tcPr>
          <w:p w14:paraId="26216176">
            <w:pPr>
              <w:pStyle w:val="109"/>
              <w:adjustRightInd w:val="0"/>
              <w:snapToGrid w:val="0"/>
              <w:spacing w:before="0" w:after="0"/>
              <w:ind w:firstLine="198"/>
              <w:jc w:val="center"/>
              <w:rPr>
                <w:rFonts w:hint="eastAsia" w:ascii="宋体" w:hAnsi="宋体" w:eastAsia="宋体"/>
                <w:color w:val="auto"/>
                <w:highlight w:val="none"/>
              </w:rPr>
            </w:pPr>
          </w:p>
        </w:tc>
      </w:tr>
      <w:tr w14:paraId="31D61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14:paraId="7738A020">
            <w:pPr>
              <w:pStyle w:val="109"/>
              <w:numPr>
                <w:ilvl w:val="0"/>
                <w:numId w:val="34"/>
              </w:numPr>
              <w:adjustRightInd w:val="0"/>
              <w:snapToGrid w:val="0"/>
              <w:spacing w:before="0" w:after="0"/>
              <w:jc w:val="center"/>
              <w:rPr>
                <w:rFonts w:hint="eastAsia" w:ascii="宋体" w:hAnsi="宋体" w:eastAsia="宋体"/>
                <w:color w:val="auto"/>
                <w:highlight w:val="none"/>
              </w:rPr>
            </w:pPr>
          </w:p>
        </w:tc>
        <w:tc>
          <w:tcPr>
            <w:tcW w:w="2425" w:type="dxa"/>
            <w:noWrap w:val="0"/>
            <w:vAlign w:val="center"/>
          </w:tcPr>
          <w:p w14:paraId="1887D5FE">
            <w:pPr>
              <w:pStyle w:val="109"/>
              <w:adjustRightInd w:val="0"/>
              <w:snapToGrid w:val="0"/>
              <w:spacing w:before="0" w:after="0"/>
              <w:ind w:firstLine="198"/>
              <w:jc w:val="center"/>
              <w:rPr>
                <w:rFonts w:hint="eastAsia" w:ascii="宋体" w:hAnsi="宋体" w:eastAsia="宋体"/>
                <w:color w:val="auto"/>
                <w:highlight w:val="none"/>
              </w:rPr>
            </w:pPr>
            <w:r>
              <w:rPr>
                <w:rFonts w:hint="eastAsia" w:ascii="宋体" w:hAnsi="宋体" w:eastAsia="宋体"/>
                <w:color w:val="auto"/>
                <w:highlight w:val="none"/>
              </w:rPr>
              <w:t>工程师</w:t>
            </w:r>
          </w:p>
        </w:tc>
        <w:tc>
          <w:tcPr>
            <w:tcW w:w="1284" w:type="dxa"/>
            <w:noWrap w:val="0"/>
            <w:vAlign w:val="center"/>
          </w:tcPr>
          <w:p w14:paraId="2FE577DF">
            <w:pPr>
              <w:pStyle w:val="109"/>
              <w:adjustRightInd w:val="0"/>
              <w:snapToGrid w:val="0"/>
              <w:spacing w:before="0" w:after="0"/>
              <w:ind w:firstLine="198"/>
              <w:rPr>
                <w:rFonts w:hint="eastAsia" w:ascii="宋体" w:hAnsi="宋体" w:eastAsia="宋体"/>
                <w:color w:val="auto"/>
                <w:highlight w:val="none"/>
              </w:rPr>
            </w:pPr>
          </w:p>
        </w:tc>
        <w:tc>
          <w:tcPr>
            <w:tcW w:w="1976" w:type="dxa"/>
            <w:noWrap w:val="0"/>
            <w:vAlign w:val="center"/>
          </w:tcPr>
          <w:p w14:paraId="0AD38FA1">
            <w:pPr>
              <w:pStyle w:val="109"/>
              <w:adjustRightInd w:val="0"/>
              <w:snapToGrid w:val="0"/>
              <w:spacing w:before="0" w:after="0"/>
              <w:ind w:firstLine="198"/>
              <w:jc w:val="center"/>
              <w:rPr>
                <w:rFonts w:hint="eastAsia" w:ascii="宋体" w:hAnsi="宋体" w:eastAsia="宋体"/>
                <w:color w:val="auto"/>
                <w:highlight w:val="none"/>
              </w:rPr>
            </w:pPr>
          </w:p>
        </w:tc>
        <w:tc>
          <w:tcPr>
            <w:tcW w:w="2015" w:type="dxa"/>
            <w:noWrap w:val="0"/>
            <w:vAlign w:val="center"/>
          </w:tcPr>
          <w:p w14:paraId="3D4E3FEA">
            <w:pPr>
              <w:pStyle w:val="109"/>
              <w:adjustRightInd w:val="0"/>
              <w:snapToGrid w:val="0"/>
              <w:spacing w:before="0" w:after="0"/>
              <w:rPr>
                <w:rFonts w:hint="eastAsia" w:ascii="宋体" w:hAnsi="宋体" w:eastAsia="宋体"/>
                <w:color w:val="auto"/>
                <w:sz w:val="21"/>
                <w:szCs w:val="21"/>
                <w:highlight w:val="none"/>
              </w:rPr>
            </w:pPr>
          </w:p>
        </w:tc>
        <w:tc>
          <w:tcPr>
            <w:tcW w:w="1260" w:type="dxa"/>
            <w:noWrap w:val="0"/>
            <w:vAlign w:val="center"/>
          </w:tcPr>
          <w:p w14:paraId="66B9F3EC">
            <w:pPr>
              <w:pStyle w:val="109"/>
              <w:adjustRightInd w:val="0"/>
              <w:snapToGrid w:val="0"/>
              <w:spacing w:before="0" w:after="0"/>
              <w:ind w:firstLine="198"/>
              <w:jc w:val="center"/>
              <w:rPr>
                <w:rFonts w:hint="eastAsia" w:ascii="宋体" w:hAnsi="宋体" w:eastAsia="宋体"/>
                <w:color w:val="auto"/>
                <w:highlight w:val="none"/>
              </w:rPr>
            </w:pPr>
          </w:p>
        </w:tc>
      </w:tr>
      <w:tr w14:paraId="31B84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14:paraId="7CE95689">
            <w:pPr>
              <w:pStyle w:val="109"/>
              <w:numPr>
                <w:ilvl w:val="0"/>
                <w:numId w:val="34"/>
              </w:numPr>
              <w:adjustRightInd w:val="0"/>
              <w:snapToGrid w:val="0"/>
              <w:spacing w:before="0" w:after="0"/>
              <w:jc w:val="center"/>
              <w:rPr>
                <w:rFonts w:hint="eastAsia" w:ascii="宋体" w:hAnsi="宋体" w:eastAsia="宋体"/>
                <w:color w:val="auto"/>
                <w:highlight w:val="none"/>
              </w:rPr>
            </w:pPr>
          </w:p>
        </w:tc>
        <w:tc>
          <w:tcPr>
            <w:tcW w:w="2425" w:type="dxa"/>
            <w:noWrap w:val="0"/>
            <w:vAlign w:val="center"/>
          </w:tcPr>
          <w:p w14:paraId="3202A80B">
            <w:pPr>
              <w:pStyle w:val="109"/>
              <w:adjustRightInd w:val="0"/>
              <w:snapToGrid w:val="0"/>
              <w:spacing w:before="0" w:after="0"/>
              <w:ind w:firstLine="198"/>
              <w:jc w:val="center"/>
              <w:rPr>
                <w:rFonts w:hint="eastAsia" w:ascii="宋体" w:hAnsi="宋体" w:eastAsia="宋体"/>
                <w:color w:val="auto"/>
                <w:highlight w:val="none"/>
              </w:rPr>
            </w:pPr>
            <w:r>
              <w:rPr>
                <w:rFonts w:hint="eastAsia" w:ascii="宋体" w:hAnsi="宋体" w:eastAsia="宋体"/>
                <w:color w:val="auto"/>
                <w:highlight w:val="none"/>
              </w:rPr>
              <w:t>施工员</w:t>
            </w:r>
          </w:p>
        </w:tc>
        <w:tc>
          <w:tcPr>
            <w:tcW w:w="1284" w:type="dxa"/>
            <w:noWrap w:val="0"/>
            <w:vAlign w:val="center"/>
          </w:tcPr>
          <w:p w14:paraId="322554E1">
            <w:pPr>
              <w:pStyle w:val="109"/>
              <w:adjustRightInd w:val="0"/>
              <w:snapToGrid w:val="0"/>
              <w:spacing w:before="0" w:after="0"/>
              <w:ind w:firstLine="198"/>
              <w:jc w:val="center"/>
              <w:rPr>
                <w:rFonts w:hint="eastAsia" w:ascii="宋体" w:hAnsi="宋体" w:eastAsia="宋体"/>
                <w:color w:val="auto"/>
                <w:highlight w:val="none"/>
              </w:rPr>
            </w:pPr>
          </w:p>
        </w:tc>
        <w:tc>
          <w:tcPr>
            <w:tcW w:w="1976" w:type="dxa"/>
            <w:noWrap w:val="0"/>
            <w:vAlign w:val="center"/>
          </w:tcPr>
          <w:p w14:paraId="6C02580C">
            <w:pPr>
              <w:pStyle w:val="109"/>
              <w:adjustRightInd w:val="0"/>
              <w:snapToGrid w:val="0"/>
              <w:spacing w:before="0" w:after="0"/>
              <w:ind w:firstLine="198"/>
              <w:jc w:val="center"/>
              <w:rPr>
                <w:rFonts w:hint="eastAsia" w:ascii="宋体" w:hAnsi="宋体" w:eastAsia="宋体"/>
                <w:color w:val="auto"/>
                <w:highlight w:val="none"/>
              </w:rPr>
            </w:pPr>
          </w:p>
        </w:tc>
        <w:tc>
          <w:tcPr>
            <w:tcW w:w="2015" w:type="dxa"/>
            <w:noWrap w:val="0"/>
            <w:vAlign w:val="center"/>
          </w:tcPr>
          <w:p w14:paraId="6C5B50B4">
            <w:pPr>
              <w:rPr>
                <w:rFonts w:hint="eastAsia" w:ascii="宋体" w:hAnsi="宋体"/>
                <w:color w:val="auto"/>
                <w:highlight w:val="none"/>
              </w:rPr>
            </w:pPr>
          </w:p>
        </w:tc>
        <w:tc>
          <w:tcPr>
            <w:tcW w:w="1260" w:type="dxa"/>
            <w:noWrap w:val="0"/>
            <w:vAlign w:val="center"/>
          </w:tcPr>
          <w:p w14:paraId="7A835152">
            <w:pPr>
              <w:pStyle w:val="109"/>
              <w:adjustRightInd w:val="0"/>
              <w:snapToGrid w:val="0"/>
              <w:spacing w:before="0" w:after="0"/>
              <w:ind w:firstLine="198"/>
              <w:jc w:val="center"/>
              <w:rPr>
                <w:rFonts w:hint="eastAsia" w:ascii="宋体" w:hAnsi="宋体" w:eastAsia="宋体"/>
                <w:color w:val="auto"/>
                <w:highlight w:val="none"/>
              </w:rPr>
            </w:pPr>
          </w:p>
        </w:tc>
      </w:tr>
      <w:tr w14:paraId="457A6B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14:paraId="29DFAACB">
            <w:pPr>
              <w:pStyle w:val="109"/>
              <w:numPr>
                <w:ilvl w:val="0"/>
                <w:numId w:val="34"/>
              </w:numPr>
              <w:adjustRightInd w:val="0"/>
              <w:snapToGrid w:val="0"/>
              <w:spacing w:before="0" w:after="0"/>
              <w:jc w:val="center"/>
              <w:rPr>
                <w:rFonts w:hint="eastAsia" w:ascii="宋体" w:hAnsi="宋体" w:eastAsia="宋体"/>
                <w:color w:val="auto"/>
                <w:highlight w:val="none"/>
              </w:rPr>
            </w:pPr>
          </w:p>
        </w:tc>
        <w:tc>
          <w:tcPr>
            <w:tcW w:w="2425" w:type="dxa"/>
            <w:noWrap w:val="0"/>
            <w:vAlign w:val="center"/>
          </w:tcPr>
          <w:p w14:paraId="5BF666D0">
            <w:pPr>
              <w:pStyle w:val="109"/>
              <w:adjustRightInd w:val="0"/>
              <w:snapToGrid w:val="0"/>
              <w:spacing w:before="0" w:after="0"/>
              <w:ind w:firstLine="198"/>
              <w:jc w:val="center"/>
              <w:rPr>
                <w:rFonts w:hint="eastAsia" w:ascii="宋体" w:hAnsi="宋体" w:eastAsia="宋体"/>
                <w:color w:val="auto"/>
                <w:highlight w:val="none"/>
              </w:rPr>
            </w:pPr>
            <w:r>
              <w:rPr>
                <w:rFonts w:hint="eastAsia" w:ascii="宋体" w:hAnsi="宋体" w:eastAsia="宋体"/>
                <w:color w:val="auto"/>
                <w:highlight w:val="none"/>
              </w:rPr>
              <w:t>专职安全员</w:t>
            </w:r>
          </w:p>
        </w:tc>
        <w:tc>
          <w:tcPr>
            <w:tcW w:w="1284" w:type="dxa"/>
            <w:noWrap w:val="0"/>
            <w:vAlign w:val="center"/>
          </w:tcPr>
          <w:p w14:paraId="46E8FD73">
            <w:pPr>
              <w:pStyle w:val="109"/>
              <w:adjustRightInd w:val="0"/>
              <w:snapToGrid w:val="0"/>
              <w:spacing w:before="0" w:after="0"/>
              <w:ind w:firstLine="198"/>
              <w:jc w:val="center"/>
              <w:rPr>
                <w:rFonts w:hint="eastAsia" w:ascii="宋体" w:hAnsi="宋体" w:eastAsia="宋体"/>
                <w:color w:val="auto"/>
                <w:highlight w:val="none"/>
              </w:rPr>
            </w:pPr>
          </w:p>
        </w:tc>
        <w:tc>
          <w:tcPr>
            <w:tcW w:w="1976" w:type="dxa"/>
            <w:noWrap w:val="0"/>
            <w:vAlign w:val="center"/>
          </w:tcPr>
          <w:p w14:paraId="17A001C4">
            <w:pPr>
              <w:pStyle w:val="109"/>
              <w:adjustRightInd w:val="0"/>
              <w:snapToGrid w:val="0"/>
              <w:spacing w:before="0" w:after="0"/>
              <w:ind w:firstLine="198"/>
              <w:jc w:val="center"/>
              <w:rPr>
                <w:rFonts w:hint="eastAsia" w:ascii="宋体" w:hAnsi="宋体" w:eastAsia="宋体"/>
                <w:color w:val="auto"/>
                <w:highlight w:val="none"/>
              </w:rPr>
            </w:pPr>
          </w:p>
        </w:tc>
        <w:tc>
          <w:tcPr>
            <w:tcW w:w="2015" w:type="dxa"/>
            <w:noWrap w:val="0"/>
            <w:vAlign w:val="center"/>
          </w:tcPr>
          <w:p w14:paraId="7E0C4088">
            <w:pPr>
              <w:rPr>
                <w:rFonts w:hint="eastAsia" w:ascii="宋体" w:hAnsi="宋体"/>
                <w:color w:val="auto"/>
                <w:highlight w:val="none"/>
              </w:rPr>
            </w:pPr>
          </w:p>
        </w:tc>
        <w:tc>
          <w:tcPr>
            <w:tcW w:w="1260" w:type="dxa"/>
            <w:noWrap w:val="0"/>
            <w:vAlign w:val="center"/>
          </w:tcPr>
          <w:p w14:paraId="59DDC7B2">
            <w:pPr>
              <w:pStyle w:val="109"/>
              <w:adjustRightInd w:val="0"/>
              <w:snapToGrid w:val="0"/>
              <w:spacing w:before="0" w:after="0"/>
              <w:ind w:firstLine="198"/>
              <w:jc w:val="center"/>
              <w:rPr>
                <w:rFonts w:hint="eastAsia" w:ascii="宋体" w:hAnsi="宋体" w:eastAsia="宋体"/>
                <w:color w:val="auto"/>
                <w:highlight w:val="none"/>
              </w:rPr>
            </w:pPr>
          </w:p>
        </w:tc>
      </w:tr>
      <w:tr w14:paraId="05F65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14:paraId="17C5D5C2">
            <w:pPr>
              <w:pStyle w:val="109"/>
              <w:numPr>
                <w:ilvl w:val="0"/>
                <w:numId w:val="34"/>
              </w:numPr>
              <w:adjustRightInd w:val="0"/>
              <w:snapToGrid w:val="0"/>
              <w:spacing w:before="0" w:after="0"/>
              <w:jc w:val="center"/>
              <w:rPr>
                <w:rFonts w:hint="eastAsia" w:ascii="宋体" w:hAnsi="宋体" w:eastAsia="宋体"/>
                <w:color w:val="auto"/>
                <w:highlight w:val="none"/>
              </w:rPr>
            </w:pPr>
          </w:p>
        </w:tc>
        <w:tc>
          <w:tcPr>
            <w:tcW w:w="2425" w:type="dxa"/>
            <w:noWrap w:val="0"/>
            <w:vAlign w:val="center"/>
          </w:tcPr>
          <w:p w14:paraId="328EEAE2">
            <w:pPr>
              <w:pStyle w:val="109"/>
              <w:adjustRightInd w:val="0"/>
              <w:snapToGrid w:val="0"/>
              <w:spacing w:before="0" w:after="0"/>
              <w:ind w:firstLine="198"/>
              <w:jc w:val="center"/>
              <w:rPr>
                <w:rFonts w:hint="eastAsia" w:ascii="宋体" w:hAnsi="宋体" w:eastAsia="宋体"/>
                <w:color w:val="auto"/>
                <w:highlight w:val="none"/>
              </w:rPr>
            </w:pPr>
            <w:r>
              <w:rPr>
                <w:rFonts w:hint="eastAsia" w:ascii="宋体" w:hAnsi="宋体" w:eastAsia="宋体"/>
                <w:color w:val="auto"/>
                <w:highlight w:val="none"/>
              </w:rPr>
              <w:t>质检员</w:t>
            </w:r>
          </w:p>
        </w:tc>
        <w:tc>
          <w:tcPr>
            <w:tcW w:w="1284" w:type="dxa"/>
            <w:noWrap w:val="0"/>
            <w:vAlign w:val="center"/>
          </w:tcPr>
          <w:p w14:paraId="447DCFA7">
            <w:pPr>
              <w:pStyle w:val="109"/>
              <w:adjustRightInd w:val="0"/>
              <w:snapToGrid w:val="0"/>
              <w:spacing w:before="0" w:after="0"/>
              <w:ind w:firstLine="198"/>
              <w:jc w:val="center"/>
              <w:rPr>
                <w:rFonts w:hint="eastAsia" w:ascii="宋体" w:hAnsi="宋体" w:eastAsia="宋体"/>
                <w:color w:val="auto"/>
                <w:highlight w:val="none"/>
              </w:rPr>
            </w:pPr>
          </w:p>
        </w:tc>
        <w:tc>
          <w:tcPr>
            <w:tcW w:w="1976" w:type="dxa"/>
            <w:noWrap w:val="0"/>
            <w:vAlign w:val="center"/>
          </w:tcPr>
          <w:p w14:paraId="1EA3A531">
            <w:pPr>
              <w:pStyle w:val="109"/>
              <w:adjustRightInd w:val="0"/>
              <w:snapToGrid w:val="0"/>
              <w:spacing w:before="0" w:after="0"/>
              <w:ind w:firstLine="198"/>
              <w:jc w:val="center"/>
              <w:rPr>
                <w:rFonts w:hint="eastAsia" w:ascii="宋体" w:hAnsi="宋体" w:eastAsia="宋体"/>
                <w:color w:val="auto"/>
                <w:highlight w:val="none"/>
              </w:rPr>
            </w:pPr>
          </w:p>
        </w:tc>
        <w:tc>
          <w:tcPr>
            <w:tcW w:w="2015" w:type="dxa"/>
            <w:noWrap w:val="0"/>
            <w:vAlign w:val="center"/>
          </w:tcPr>
          <w:p w14:paraId="2B63B439">
            <w:pPr>
              <w:rPr>
                <w:rFonts w:hint="eastAsia" w:ascii="宋体" w:hAnsi="宋体"/>
                <w:color w:val="auto"/>
                <w:highlight w:val="none"/>
              </w:rPr>
            </w:pPr>
          </w:p>
        </w:tc>
        <w:tc>
          <w:tcPr>
            <w:tcW w:w="1260" w:type="dxa"/>
            <w:noWrap w:val="0"/>
            <w:vAlign w:val="center"/>
          </w:tcPr>
          <w:p w14:paraId="47FD4F54">
            <w:pPr>
              <w:pStyle w:val="109"/>
              <w:adjustRightInd w:val="0"/>
              <w:snapToGrid w:val="0"/>
              <w:spacing w:before="0" w:after="0"/>
              <w:ind w:firstLine="198"/>
              <w:jc w:val="center"/>
              <w:rPr>
                <w:rFonts w:hint="eastAsia" w:ascii="宋体" w:hAnsi="宋体" w:eastAsia="宋体"/>
                <w:color w:val="auto"/>
                <w:highlight w:val="none"/>
              </w:rPr>
            </w:pPr>
          </w:p>
        </w:tc>
      </w:tr>
      <w:tr w14:paraId="6544D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14:paraId="79585A2B">
            <w:pPr>
              <w:pStyle w:val="109"/>
              <w:numPr>
                <w:ilvl w:val="0"/>
                <w:numId w:val="34"/>
              </w:numPr>
              <w:adjustRightInd w:val="0"/>
              <w:snapToGrid w:val="0"/>
              <w:spacing w:before="0" w:after="0"/>
              <w:jc w:val="center"/>
              <w:rPr>
                <w:rFonts w:hint="eastAsia" w:ascii="宋体" w:hAnsi="宋体" w:eastAsia="宋体"/>
                <w:color w:val="auto"/>
                <w:highlight w:val="none"/>
              </w:rPr>
            </w:pPr>
          </w:p>
        </w:tc>
        <w:tc>
          <w:tcPr>
            <w:tcW w:w="2425" w:type="dxa"/>
            <w:noWrap w:val="0"/>
            <w:vAlign w:val="center"/>
          </w:tcPr>
          <w:p w14:paraId="638D9033">
            <w:pPr>
              <w:pStyle w:val="109"/>
              <w:adjustRightInd w:val="0"/>
              <w:snapToGrid w:val="0"/>
              <w:spacing w:before="0" w:after="0"/>
              <w:ind w:firstLine="198"/>
              <w:jc w:val="center"/>
              <w:rPr>
                <w:rFonts w:hint="eastAsia" w:ascii="宋体" w:hAnsi="宋体" w:eastAsia="宋体"/>
                <w:color w:val="auto"/>
                <w:highlight w:val="none"/>
              </w:rPr>
            </w:pPr>
            <w:r>
              <w:rPr>
                <w:rFonts w:hint="eastAsia" w:ascii="宋体" w:hAnsi="宋体" w:eastAsia="宋体"/>
                <w:color w:val="auto"/>
                <w:highlight w:val="none"/>
              </w:rPr>
              <w:t>资料员</w:t>
            </w:r>
          </w:p>
        </w:tc>
        <w:tc>
          <w:tcPr>
            <w:tcW w:w="1284" w:type="dxa"/>
            <w:noWrap w:val="0"/>
            <w:vAlign w:val="center"/>
          </w:tcPr>
          <w:p w14:paraId="5C6B144B">
            <w:pPr>
              <w:pStyle w:val="109"/>
              <w:adjustRightInd w:val="0"/>
              <w:snapToGrid w:val="0"/>
              <w:spacing w:before="0" w:after="0"/>
              <w:ind w:firstLine="198"/>
              <w:jc w:val="center"/>
              <w:rPr>
                <w:rFonts w:hint="eastAsia" w:ascii="宋体" w:hAnsi="宋体" w:eastAsia="宋体"/>
                <w:color w:val="auto"/>
                <w:highlight w:val="none"/>
              </w:rPr>
            </w:pPr>
          </w:p>
        </w:tc>
        <w:tc>
          <w:tcPr>
            <w:tcW w:w="1976" w:type="dxa"/>
            <w:noWrap w:val="0"/>
            <w:vAlign w:val="center"/>
          </w:tcPr>
          <w:p w14:paraId="6DDBCCD7">
            <w:pPr>
              <w:pStyle w:val="109"/>
              <w:adjustRightInd w:val="0"/>
              <w:snapToGrid w:val="0"/>
              <w:spacing w:before="0" w:after="0"/>
              <w:ind w:firstLine="198"/>
              <w:jc w:val="center"/>
              <w:rPr>
                <w:rFonts w:hint="eastAsia" w:ascii="宋体" w:hAnsi="宋体" w:eastAsia="宋体"/>
                <w:color w:val="auto"/>
                <w:highlight w:val="none"/>
              </w:rPr>
            </w:pPr>
          </w:p>
        </w:tc>
        <w:tc>
          <w:tcPr>
            <w:tcW w:w="2015" w:type="dxa"/>
            <w:noWrap w:val="0"/>
            <w:vAlign w:val="center"/>
          </w:tcPr>
          <w:p w14:paraId="14E16E43">
            <w:pPr>
              <w:pStyle w:val="109"/>
              <w:adjustRightInd w:val="0"/>
              <w:snapToGrid w:val="0"/>
              <w:spacing w:before="0" w:after="0"/>
              <w:ind w:firstLine="198"/>
              <w:jc w:val="center"/>
              <w:rPr>
                <w:rFonts w:hint="eastAsia" w:ascii="宋体" w:hAnsi="宋体" w:eastAsia="宋体"/>
                <w:color w:val="auto"/>
                <w:sz w:val="21"/>
                <w:szCs w:val="21"/>
                <w:highlight w:val="none"/>
              </w:rPr>
            </w:pPr>
          </w:p>
        </w:tc>
        <w:tc>
          <w:tcPr>
            <w:tcW w:w="1260" w:type="dxa"/>
            <w:noWrap w:val="0"/>
            <w:vAlign w:val="center"/>
          </w:tcPr>
          <w:p w14:paraId="76F41592">
            <w:pPr>
              <w:pStyle w:val="109"/>
              <w:adjustRightInd w:val="0"/>
              <w:snapToGrid w:val="0"/>
              <w:spacing w:before="0" w:after="0"/>
              <w:ind w:firstLine="198"/>
              <w:jc w:val="center"/>
              <w:rPr>
                <w:rFonts w:hint="eastAsia" w:ascii="宋体" w:hAnsi="宋体" w:eastAsia="宋体"/>
                <w:color w:val="auto"/>
                <w:highlight w:val="none"/>
              </w:rPr>
            </w:pPr>
          </w:p>
        </w:tc>
      </w:tr>
      <w:tr w14:paraId="5F21F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14:paraId="53B7C317">
            <w:pPr>
              <w:pStyle w:val="109"/>
              <w:numPr>
                <w:ilvl w:val="0"/>
                <w:numId w:val="34"/>
              </w:numPr>
              <w:adjustRightInd w:val="0"/>
              <w:snapToGrid w:val="0"/>
              <w:spacing w:before="0" w:after="0"/>
              <w:jc w:val="center"/>
              <w:rPr>
                <w:rFonts w:hint="eastAsia" w:ascii="宋体" w:hAnsi="宋体" w:eastAsia="宋体"/>
                <w:color w:val="auto"/>
                <w:highlight w:val="none"/>
              </w:rPr>
            </w:pPr>
          </w:p>
        </w:tc>
        <w:tc>
          <w:tcPr>
            <w:tcW w:w="2425" w:type="dxa"/>
            <w:noWrap w:val="0"/>
            <w:vAlign w:val="center"/>
          </w:tcPr>
          <w:p w14:paraId="3B776157">
            <w:pPr>
              <w:pStyle w:val="109"/>
              <w:adjustRightInd w:val="0"/>
              <w:snapToGrid w:val="0"/>
              <w:spacing w:before="0" w:after="0"/>
              <w:ind w:firstLine="198"/>
              <w:jc w:val="center"/>
              <w:rPr>
                <w:rFonts w:hint="eastAsia" w:ascii="宋体" w:hAnsi="宋体" w:eastAsia="宋体"/>
                <w:color w:val="auto"/>
                <w:highlight w:val="none"/>
              </w:rPr>
            </w:pPr>
            <w:r>
              <w:rPr>
                <w:rFonts w:hint="eastAsia" w:ascii="宋体" w:hAnsi="宋体" w:eastAsia="宋体"/>
                <w:color w:val="auto"/>
                <w:highlight w:val="none"/>
              </w:rPr>
              <w:t>预算员（造价员）</w:t>
            </w:r>
          </w:p>
        </w:tc>
        <w:tc>
          <w:tcPr>
            <w:tcW w:w="1284" w:type="dxa"/>
            <w:noWrap w:val="0"/>
            <w:vAlign w:val="center"/>
          </w:tcPr>
          <w:p w14:paraId="6A06B227">
            <w:pPr>
              <w:pStyle w:val="109"/>
              <w:adjustRightInd w:val="0"/>
              <w:snapToGrid w:val="0"/>
              <w:spacing w:before="0" w:after="0"/>
              <w:ind w:firstLine="198"/>
              <w:jc w:val="center"/>
              <w:rPr>
                <w:rFonts w:hint="eastAsia" w:ascii="宋体" w:hAnsi="宋体" w:eastAsia="宋体"/>
                <w:color w:val="auto"/>
                <w:highlight w:val="none"/>
              </w:rPr>
            </w:pPr>
          </w:p>
        </w:tc>
        <w:tc>
          <w:tcPr>
            <w:tcW w:w="1976" w:type="dxa"/>
            <w:noWrap w:val="0"/>
            <w:vAlign w:val="center"/>
          </w:tcPr>
          <w:p w14:paraId="4A3CA9FB">
            <w:pPr>
              <w:pStyle w:val="109"/>
              <w:adjustRightInd w:val="0"/>
              <w:snapToGrid w:val="0"/>
              <w:spacing w:before="0" w:after="0"/>
              <w:ind w:firstLine="198"/>
              <w:jc w:val="center"/>
              <w:rPr>
                <w:rFonts w:hint="eastAsia" w:ascii="宋体" w:hAnsi="宋体" w:eastAsia="宋体"/>
                <w:color w:val="auto"/>
                <w:highlight w:val="none"/>
              </w:rPr>
            </w:pPr>
          </w:p>
        </w:tc>
        <w:tc>
          <w:tcPr>
            <w:tcW w:w="2015" w:type="dxa"/>
            <w:noWrap w:val="0"/>
            <w:vAlign w:val="center"/>
          </w:tcPr>
          <w:p w14:paraId="1836DD13">
            <w:pPr>
              <w:pStyle w:val="109"/>
              <w:adjustRightInd w:val="0"/>
              <w:snapToGrid w:val="0"/>
              <w:spacing w:before="0" w:after="0"/>
              <w:ind w:firstLine="198"/>
              <w:jc w:val="center"/>
              <w:rPr>
                <w:rFonts w:hint="eastAsia" w:ascii="宋体" w:hAnsi="宋体" w:eastAsia="宋体"/>
                <w:color w:val="auto"/>
                <w:sz w:val="21"/>
                <w:szCs w:val="21"/>
                <w:highlight w:val="none"/>
              </w:rPr>
            </w:pPr>
          </w:p>
        </w:tc>
        <w:tc>
          <w:tcPr>
            <w:tcW w:w="1260" w:type="dxa"/>
            <w:noWrap w:val="0"/>
            <w:vAlign w:val="center"/>
          </w:tcPr>
          <w:p w14:paraId="4CA0C484">
            <w:pPr>
              <w:pStyle w:val="109"/>
              <w:adjustRightInd w:val="0"/>
              <w:snapToGrid w:val="0"/>
              <w:spacing w:before="0" w:after="0"/>
              <w:ind w:firstLine="198"/>
              <w:jc w:val="center"/>
              <w:rPr>
                <w:rFonts w:hint="eastAsia" w:ascii="宋体" w:hAnsi="宋体" w:eastAsia="宋体"/>
                <w:color w:val="auto"/>
                <w:highlight w:val="none"/>
              </w:rPr>
            </w:pPr>
          </w:p>
        </w:tc>
      </w:tr>
      <w:tr w14:paraId="68EA8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14:paraId="4EBE4070">
            <w:pPr>
              <w:pStyle w:val="109"/>
              <w:numPr>
                <w:ilvl w:val="0"/>
                <w:numId w:val="34"/>
              </w:numPr>
              <w:adjustRightInd w:val="0"/>
              <w:snapToGrid w:val="0"/>
              <w:spacing w:before="0" w:after="0"/>
              <w:jc w:val="center"/>
              <w:rPr>
                <w:rFonts w:hint="eastAsia" w:ascii="宋体" w:hAnsi="宋体" w:eastAsia="宋体"/>
                <w:color w:val="auto"/>
                <w:highlight w:val="none"/>
              </w:rPr>
            </w:pPr>
          </w:p>
        </w:tc>
        <w:tc>
          <w:tcPr>
            <w:tcW w:w="2425" w:type="dxa"/>
            <w:noWrap w:val="0"/>
            <w:vAlign w:val="center"/>
          </w:tcPr>
          <w:p w14:paraId="44D68B92">
            <w:pPr>
              <w:pStyle w:val="109"/>
              <w:adjustRightInd w:val="0"/>
              <w:snapToGrid w:val="0"/>
              <w:spacing w:before="0" w:after="0"/>
              <w:ind w:firstLine="198"/>
              <w:jc w:val="center"/>
              <w:rPr>
                <w:rFonts w:hint="eastAsia" w:ascii="宋体" w:hAnsi="宋体" w:eastAsia="宋体"/>
                <w:color w:val="auto"/>
                <w:highlight w:val="none"/>
              </w:rPr>
            </w:pPr>
            <w:r>
              <w:rPr>
                <w:rFonts w:hint="eastAsia" w:ascii="宋体" w:hAnsi="宋体" w:eastAsia="宋体"/>
                <w:color w:val="auto"/>
                <w:highlight w:val="none"/>
              </w:rPr>
              <w:t>投标人认为需投入的其他人员</w:t>
            </w:r>
          </w:p>
        </w:tc>
        <w:tc>
          <w:tcPr>
            <w:tcW w:w="1284" w:type="dxa"/>
            <w:noWrap w:val="0"/>
            <w:vAlign w:val="center"/>
          </w:tcPr>
          <w:p w14:paraId="48DC68F7">
            <w:pPr>
              <w:pStyle w:val="109"/>
              <w:adjustRightInd w:val="0"/>
              <w:snapToGrid w:val="0"/>
              <w:spacing w:before="0" w:after="0"/>
              <w:ind w:firstLine="198"/>
              <w:jc w:val="center"/>
              <w:rPr>
                <w:rFonts w:hint="eastAsia" w:ascii="宋体" w:hAnsi="宋体" w:eastAsia="宋体"/>
                <w:color w:val="auto"/>
                <w:highlight w:val="none"/>
              </w:rPr>
            </w:pPr>
          </w:p>
        </w:tc>
        <w:tc>
          <w:tcPr>
            <w:tcW w:w="1976" w:type="dxa"/>
            <w:noWrap w:val="0"/>
            <w:vAlign w:val="center"/>
          </w:tcPr>
          <w:p w14:paraId="1AB6855C">
            <w:pPr>
              <w:pStyle w:val="109"/>
              <w:adjustRightInd w:val="0"/>
              <w:snapToGrid w:val="0"/>
              <w:spacing w:before="0" w:after="0"/>
              <w:ind w:firstLine="198"/>
              <w:jc w:val="center"/>
              <w:rPr>
                <w:rFonts w:hint="eastAsia" w:ascii="宋体" w:hAnsi="宋体" w:eastAsia="宋体"/>
                <w:color w:val="auto"/>
                <w:highlight w:val="none"/>
              </w:rPr>
            </w:pPr>
          </w:p>
        </w:tc>
        <w:tc>
          <w:tcPr>
            <w:tcW w:w="2015" w:type="dxa"/>
            <w:noWrap w:val="0"/>
            <w:vAlign w:val="center"/>
          </w:tcPr>
          <w:p w14:paraId="1E93FC12">
            <w:pPr>
              <w:pStyle w:val="109"/>
              <w:adjustRightInd w:val="0"/>
              <w:snapToGrid w:val="0"/>
              <w:spacing w:before="0" w:after="0"/>
              <w:ind w:firstLine="198"/>
              <w:jc w:val="center"/>
              <w:rPr>
                <w:rFonts w:hint="eastAsia" w:ascii="宋体" w:hAnsi="宋体" w:eastAsia="宋体"/>
                <w:color w:val="auto"/>
                <w:sz w:val="21"/>
                <w:szCs w:val="21"/>
                <w:highlight w:val="none"/>
              </w:rPr>
            </w:pPr>
          </w:p>
        </w:tc>
        <w:tc>
          <w:tcPr>
            <w:tcW w:w="1260" w:type="dxa"/>
            <w:noWrap w:val="0"/>
            <w:vAlign w:val="center"/>
          </w:tcPr>
          <w:p w14:paraId="2E604AAB">
            <w:pPr>
              <w:pStyle w:val="109"/>
              <w:adjustRightInd w:val="0"/>
              <w:snapToGrid w:val="0"/>
              <w:spacing w:before="0" w:after="0"/>
              <w:ind w:firstLine="198"/>
              <w:jc w:val="center"/>
              <w:rPr>
                <w:rFonts w:hint="eastAsia" w:ascii="宋体" w:hAnsi="宋体" w:eastAsia="宋体"/>
                <w:color w:val="auto"/>
                <w:highlight w:val="none"/>
              </w:rPr>
            </w:pPr>
          </w:p>
        </w:tc>
      </w:tr>
      <w:tr w14:paraId="72DFFC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14:paraId="3E29C6D1">
            <w:pPr>
              <w:pStyle w:val="109"/>
              <w:numPr>
                <w:ilvl w:val="0"/>
                <w:numId w:val="34"/>
              </w:numPr>
              <w:adjustRightInd w:val="0"/>
              <w:snapToGrid w:val="0"/>
              <w:spacing w:before="0" w:after="0"/>
              <w:jc w:val="center"/>
              <w:rPr>
                <w:rFonts w:hint="eastAsia" w:ascii="宋体" w:hAnsi="宋体" w:eastAsia="宋体"/>
                <w:color w:val="auto"/>
                <w:highlight w:val="none"/>
              </w:rPr>
            </w:pPr>
          </w:p>
        </w:tc>
        <w:tc>
          <w:tcPr>
            <w:tcW w:w="2425" w:type="dxa"/>
            <w:noWrap w:val="0"/>
            <w:vAlign w:val="center"/>
          </w:tcPr>
          <w:p w14:paraId="2FCE3DA2">
            <w:pPr>
              <w:pStyle w:val="109"/>
              <w:adjustRightInd w:val="0"/>
              <w:snapToGrid w:val="0"/>
              <w:spacing w:before="0" w:after="0"/>
              <w:ind w:firstLine="198"/>
              <w:jc w:val="center"/>
              <w:rPr>
                <w:rFonts w:hint="eastAsia" w:ascii="宋体" w:hAnsi="宋体" w:eastAsia="宋体"/>
                <w:color w:val="auto"/>
                <w:highlight w:val="none"/>
              </w:rPr>
            </w:pPr>
          </w:p>
        </w:tc>
        <w:tc>
          <w:tcPr>
            <w:tcW w:w="1284" w:type="dxa"/>
            <w:noWrap w:val="0"/>
            <w:vAlign w:val="center"/>
          </w:tcPr>
          <w:p w14:paraId="3E61461A">
            <w:pPr>
              <w:pStyle w:val="109"/>
              <w:adjustRightInd w:val="0"/>
              <w:snapToGrid w:val="0"/>
              <w:spacing w:before="0" w:after="0"/>
              <w:ind w:firstLine="198"/>
              <w:jc w:val="center"/>
              <w:rPr>
                <w:rFonts w:hint="eastAsia" w:ascii="宋体" w:hAnsi="宋体" w:eastAsia="宋体"/>
                <w:color w:val="auto"/>
                <w:highlight w:val="none"/>
              </w:rPr>
            </w:pPr>
          </w:p>
        </w:tc>
        <w:tc>
          <w:tcPr>
            <w:tcW w:w="1976" w:type="dxa"/>
            <w:noWrap w:val="0"/>
            <w:vAlign w:val="center"/>
          </w:tcPr>
          <w:p w14:paraId="717E1DB6">
            <w:pPr>
              <w:pStyle w:val="109"/>
              <w:adjustRightInd w:val="0"/>
              <w:snapToGrid w:val="0"/>
              <w:spacing w:before="0" w:after="0"/>
              <w:ind w:firstLine="198"/>
              <w:jc w:val="center"/>
              <w:rPr>
                <w:rFonts w:hint="eastAsia" w:ascii="宋体" w:hAnsi="宋体" w:eastAsia="宋体"/>
                <w:color w:val="auto"/>
                <w:highlight w:val="none"/>
              </w:rPr>
            </w:pPr>
          </w:p>
        </w:tc>
        <w:tc>
          <w:tcPr>
            <w:tcW w:w="2015" w:type="dxa"/>
            <w:noWrap w:val="0"/>
            <w:vAlign w:val="center"/>
          </w:tcPr>
          <w:p w14:paraId="006BB5F5">
            <w:pPr>
              <w:pStyle w:val="109"/>
              <w:adjustRightInd w:val="0"/>
              <w:snapToGrid w:val="0"/>
              <w:spacing w:before="0" w:after="0"/>
              <w:ind w:firstLine="198"/>
              <w:jc w:val="center"/>
              <w:rPr>
                <w:rFonts w:hint="eastAsia" w:ascii="宋体" w:hAnsi="宋体" w:eastAsia="宋体"/>
                <w:color w:val="auto"/>
                <w:sz w:val="21"/>
                <w:szCs w:val="21"/>
                <w:highlight w:val="none"/>
              </w:rPr>
            </w:pPr>
          </w:p>
        </w:tc>
        <w:tc>
          <w:tcPr>
            <w:tcW w:w="1260" w:type="dxa"/>
            <w:noWrap w:val="0"/>
            <w:vAlign w:val="center"/>
          </w:tcPr>
          <w:p w14:paraId="3D56ED12">
            <w:pPr>
              <w:pStyle w:val="109"/>
              <w:adjustRightInd w:val="0"/>
              <w:snapToGrid w:val="0"/>
              <w:spacing w:before="0" w:after="0"/>
              <w:ind w:firstLine="198"/>
              <w:jc w:val="center"/>
              <w:rPr>
                <w:rFonts w:hint="eastAsia" w:ascii="宋体" w:hAnsi="宋体" w:eastAsia="宋体"/>
                <w:color w:val="auto"/>
                <w:highlight w:val="none"/>
              </w:rPr>
            </w:pPr>
          </w:p>
        </w:tc>
      </w:tr>
      <w:tr w14:paraId="245B1B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14:paraId="14359013">
            <w:pPr>
              <w:pStyle w:val="109"/>
              <w:numPr>
                <w:ilvl w:val="0"/>
                <w:numId w:val="34"/>
              </w:numPr>
              <w:adjustRightInd w:val="0"/>
              <w:snapToGrid w:val="0"/>
              <w:spacing w:before="0" w:after="0"/>
              <w:jc w:val="center"/>
              <w:rPr>
                <w:rFonts w:hint="eastAsia" w:ascii="宋体" w:hAnsi="宋体" w:eastAsia="宋体"/>
                <w:color w:val="auto"/>
                <w:highlight w:val="none"/>
              </w:rPr>
            </w:pPr>
          </w:p>
        </w:tc>
        <w:tc>
          <w:tcPr>
            <w:tcW w:w="2425" w:type="dxa"/>
            <w:noWrap w:val="0"/>
            <w:vAlign w:val="center"/>
          </w:tcPr>
          <w:p w14:paraId="1C7BEC31">
            <w:pPr>
              <w:pStyle w:val="109"/>
              <w:adjustRightInd w:val="0"/>
              <w:snapToGrid w:val="0"/>
              <w:spacing w:before="0" w:after="0"/>
              <w:ind w:firstLine="198"/>
              <w:jc w:val="center"/>
              <w:rPr>
                <w:rFonts w:hint="eastAsia" w:ascii="宋体" w:hAnsi="宋体" w:eastAsia="宋体"/>
                <w:color w:val="auto"/>
                <w:highlight w:val="none"/>
              </w:rPr>
            </w:pPr>
          </w:p>
        </w:tc>
        <w:tc>
          <w:tcPr>
            <w:tcW w:w="1284" w:type="dxa"/>
            <w:noWrap w:val="0"/>
            <w:vAlign w:val="center"/>
          </w:tcPr>
          <w:p w14:paraId="4BFA4C1B">
            <w:pPr>
              <w:pStyle w:val="109"/>
              <w:adjustRightInd w:val="0"/>
              <w:snapToGrid w:val="0"/>
              <w:spacing w:before="0" w:after="0"/>
              <w:ind w:firstLine="198"/>
              <w:jc w:val="center"/>
              <w:rPr>
                <w:rFonts w:hint="eastAsia" w:ascii="宋体" w:hAnsi="宋体" w:eastAsia="宋体"/>
                <w:color w:val="auto"/>
                <w:highlight w:val="none"/>
              </w:rPr>
            </w:pPr>
          </w:p>
        </w:tc>
        <w:tc>
          <w:tcPr>
            <w:tcW w:w="1976" w:type="dxa"/>
            <w:noWrap w:val="0"/>
            <w:vAlign w:val="center"/>
          </w:tcPr>
          <w:p w14:paraId="5756C433">
            <w:pPr>
              <w:pStyle w:val="109"/>
              <w:adjustRightInd w:val="0"/>
              <w:snapToGrid w:val="0"/>
              <w:spacing w:before="0" w:after="0"/>
              <w:ind w:firstLine="198"/>
              <w:jc w:val="center"/>
              <w:rPr>
                <w:rFonts w:hint="eastAsia" w:ascii="宋体" w:hAnsi="宋体" w:eastAsia="宋体"/>
                <w:color w:val="auto"/>
                <w:highlight w:val="none"/>
              </w:rPr>
            </w:pPr>
          </w:p>
        </w:tc>
        <w:tc>
          <w:tcPr>
            <w:tcW w:w="2015" w:type="dxa"/>
            <w:noWrap w:val="0"/>
            <w:vAlign w:val="center"/>
          </w:tcPr>
          <w:p w14:paraId="3B1A7866">
            <w:pPr>
              <w:pStyle w:val="109"/>
              <w:adjustRightInd w:val="0"/>
              <w:snapToGrid w:val="0"/>
              <w:spacing w:before="0" w:after="0"/>
              <w:ind w:firstLine="198"/>
              <w:jc w:val="center"/>
              <w:rPr>
                <w:rFonts w:hint="eastAsia" w:ascii="宋体" w:hAnsi="宋体" w:eastAsia="宋体"/>
                <w:color w:val="auto"/>
                <w:sz w:val="21"/>
                <w:szCs w:val="21"/>
                <w:highlight w:val="none"/>
              </w:rPr>
            </w:pPr>
          </w:p>
        </w:tc>
        <w:tc>
          <w:tcPr>
            <w:tcW w:w="1260" w:type="dxa"/>
            <w:noWrap w:val="0"/>
            <w:vAlign w:val="center"/>
          </w:tcPr>
          <w:p w14:paraId="45AD98F7">
            <w:pPr>
              <w:pStyle w:val="109"/>
              <w:adjustRightInd w:val="0"/>
              <w:snapToGrid w:val="0"/>
              <w:spacing w:before="0" w:after="0"/>
              <w:ind w:firstLine="198"/>
              <w:jc w:val="center"/>
              <w:rPr>
                <w:rFonts w:hint="eastAsia" w:ascii="宋体" w:hAnsi="宋体" w:eastAsia="宋体"/>
                <w:color w:val="auto"/>
                <w:highlight w:val="none"/>
              </w:rPr>
            </w:pPr>
          </w:p>
        </w:tc>
      </w:tr>
      <w:tr w14:paraId="3E51E2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14:paraId="11A4123D">
            <w:pPr>
              <w:pStyle w:val="109"/>
              <w:numPr>
                <w:ilvl w:val="0"/>
                <w:numId w:val="34"/>
              </w:numPr>
              <w:adjustRightInd w:val="0"/>
              <w:snapToGrid w:val="0"/>
              <w:spacing w:before="0" w:after="0"/>
              <w:jc w:val="center"/>
              <w:rPr>
                <w:rFonts w:hint="eastAsia" w:ascii="宋体" w:hAnsi="宋体" w:eastAsia="宋体"/>
                <w:color w:val="auto"/>
                <w:highlight w:val="none"/>
              </w:rPr>
            </w:pPr>
          </w:p>
        </w:tc>
        <w:tc>
          <w:tcPr>
            <w:tcW w:w="2425" w:type="dxa"/>
            <w:noWrap w:val="0"/>
            <w:vAlign w:val="center"/>
          </w:tcPr>
          <w:p w14:paraId="1123A519">
            <w:pPr>
              <w:pStyle w:val="109"/>
              <w:adjustRightInd w:val="0"/>
              <w:snapToGrid w:val="0"/>
              <w:spacing w:before="0" w:after="0"/>
              <w:ind w:firstLine="198"/>
              <w:jc w:val="center"/>
              <w:rPr>
                <w:rFonts w:hint="eastAsia" w:ascii="宋体" w:hAnsi="宋体" w:eastAsia="宋体"/>
                <w:color w:val="auto"/>
                <w:highlight w:val="none"/>
              </w:rPr>
            </w:pPr>
          </w:p>
        </w:tc>
        <w:tc>
          <w:tcPr>
            <w:tcW w:w="1284" w:type="dxa"/>
            <w:noWrap w:val="0"/>
            <w:vAlign w:val="center"/>
          </w:tcPr>
          <w:p w14:paraId="05D60B3D">
            <w:pPr>
              <w:pStyle w:val="109"/>
              <w:adjustRightInd w:val="0"/>
              <w:snapToGrid w:val="0"/>
              <w:spacing w:before="0" w:after="0"/>
              <w:ind w:firstLine="198"/>
              <w:jc w:val="center"/>
              <w:rPr>
                <w:rFonts w:hint="eastAsia" w:ascii="宋体" w:hAnsi="宋体" w:eastAsia="宋体"/>
                <w:color w:val="auto"/>
                <w:highlight w:val="none"/>
              </w:rPr>
            </w:pPr>
          </w:p>
        </w:tc>
        <w:tc>
          <w:tcPr>
            <w:tcW w:w="1976" w:type="dxa"/>
            <w:noWrap w:val="0"/>
            <w:vAlign w:val="center"/>
          </w:tcPr>
          <w:p w14:paraId="3B9AD783">
            <w:pPr>
              <w:pStyle w:val="109"/>
              <w:adjustRightInd w:val="0"/>
              <w:snapToGrid w:val="0"/>
              <w:spacing w:before="0" w:after="0"/>
              <w:ind w:firstLine="198"/>
              <w:jc w:val="center"/>
              <w:rPr>
                <w:rFonts w:hint="eastAsia" w:ascii="宋体" w:hAnsi="宋体" w:eastAsia="宋体"/>
                <w:color w:val="auto"/>
                <w:highlight w:val="none"/>
              </w:rPr>
            </w:pPr>
          </w:p>
        </w:tc>
        <w:tc>
          <w:tcPr>
            <w:tcW w:w="2015" w:type="dxa"/>
            <w:noWrap w:val="0"/>
            <w:vAlign w:val="center"/>
          </w:tcPr>
          <w:p w14:paraId="1450A291">
            <w:pPr>
              <w:pStyle w:val="109"/>
              <w:adjustRightInd w:val="0"/>
              <w:snapToGrid w:val="0"/>
              <w:spacing w:before="0" w:after="0"/>
              <w:ind w:firstLine="198"/>
              <w:jc w:val="center"/>
              <w:rPr>
                <w:rFonts w:hint="eastAsia" w:ascii="宋体" w:hAnsi="宋体" w:eastAsia="宋体"/>
                <w:color w:val="auto"/>
                <w:sz w:val="21"/>
                <w:szCs w:val="21"/>
                <w:highlight w:val="none"/>
              </w:rPr>
            </w:pPr>
          </w:p>
        </w:tc>
        <w:tc>
          <w:tcPr>
            <w:tcW w:w="1260" w:type="dxa"/>
            <w:noWrap w:val="0"/>
            <w:vAlign w:val="center"/>
          </w:tcPr>
          <w:p w14:paraId="75B64319">
            <w:pPr>
              <w:pStyle w:val="109"/>
              <w:adjustRightInd w:val="0"/>
              <w:snapToGrid w:val="0"/>
              <w:spacing w:before="0" w:after="0"/>
              <w:ind w:firstLine="198"/>
              <w:jc w:val="center"/>
              <w:rPr>
                <w:rFonts w:hint="eastAsia" w:ascii="宋体" w:hAnsi="宋体" w:eastAsia="宋体"/>
                <w:color w:val="auto"/>
                <w:highlight w:val="none"/>
              </w:rPr>
            </w:pPr>
          </w:p>
        </w:tc>
      </w:tr>
    </w:tbl>
    <w:p w14:paraId="4EF724AF">
      <w:pPr>
        <w:pStyle w:val="80"/>
        <w:ind w:firstLine="0" w:firstLineChars="0"/>
        <w:rPr>
          <w:rFonts w:hint="eastAsia" w:ascii="宋体" w:hAnsi="宋体"/>
          <w:color w:val="auto"/>
          <w:highlight w:val="none"/>
        </w:rPr>
      </w:pPr>
    </w:p>
    <w:p w14:paraId="7BE8C47D">
      <w:pPr>
        <w:pStyle w:val="80"/>
        <w:ind w:firstLine="0" w:firstLineChars="0"/>
        <w:rPr>
          <w:rFonts w:ascii="宋体" w:hAnsi="宋体"/>
          <w:color w:val="auto"/>
          <w:highlight w:val="none"/>
        </w:rPr>
      </w:pPr>
      <w:r>
        <w:rPr>
          <w:rFonts w:ascii="宋体" w:hAnsi="宋体"/>
          <w:color w:val="auto"/>
          <w:highlight w:val="none"/>
        </w:rPr>
        <w:br w:type="page"/>
      </w:r>
    </w:p>
    <w:p w14:paraId="7A82C452">
      <w:pPr>
        <w:spacing w:before="240" w:beforeLines="100" w:after="240" w:afterLines="100" w:line="420" w:lineRule="exact"/>
        <w:outlineLvl w:val="1"/>
        <w:rPr>
          <w:rFonts w:ascii="宋体" w:hAnsi="宋体" w:cs="宋体"/>
          <w:b/>
          <w:bCs/>
          <w:color w:val="auto"/>
          <w:kern w:val="0"/>
          <w:sz w:val="22"/>
          <w:szCs w:val="22"/>
          <w:highlight w:val="none"/>
        </w:rPr>
      </w:pPr>
      <w:bookmarkStart w:id="1087" w:name="_Toc24251"/>
      <w:bookmarkStart w:id="1088" w:name="_Toc5757"/>
      <w:bookmarkStart w:id="1089" w:name="_Toc18910"/>
      <w:bookmarkStart w:id="1090" w:name="_Toc155166234"/>
      <w:bookmarkStart w:id="1091" w:name="_Toc22436"/>
      <w:r>
        <w:rPr>
          <w:rFonts w:hint="eastAsia" w:ascii="宋体" w:hAnsi="宋体" w:cs="宋体"/>
          <w:b/>
          <w:bCs/>
          <w:color w:val="auto"/>
          <w:kern w:val="0"/>
          <w:sz w:val="22"/>
          <w:szCs w:val="22"/>
          <w:highlight w:val="none"/>
        </w:rPr>
        <w:t>附件十六：遵守《施工总承包单位安全总责承诺书》的承诺书</w:t>
      </w:r>
      <w:bookmarkEnd w:id="1087"/>
      <w:bookmarkEnd w:id="1088"/>
      <w:bookmarkEnd w:id="1089"/>
      <w:bookmarkEnd w:id="1090"/>
      <w:bookmarkEnd w:id="1091"/>
    </w:p>
    <w:p w14:paraId="4213DD11">
      <w:pPr>
        <w:pStyle w:val="109"/>
        <w:widowControl w:val="0"/>
        <w:spacing w:before="0" w:after="0"/>
        <w:jc w:val="center"/>
        <w:rPr>
          <w:rFonts w:ascii="宋体" w:hAnsi="宋体" w:eastAsia="宋体"/>
          <w:b/>
          <w:bCs/>
          <w:color w:val="auto"/>
          <w:sz w:val="30"/>
          <w:highlight w:val="none"/>
        </w:rPr>
      </w:pPr>
      <w:bookmarkStart w:id="1092" w:name="_Toc2219"/>
      <w:bookmarkStart w:id="1093" w:name="_Toc1170"/>
      <w:bookmarkStart w:id="1094" w:name="_Toc17481"/>
      <w:bookmarkStart w:id="1095" w:name="_Toc5281"/>
      <w:bookmarkStart w:id="1096" w:name="_Toc22491"/>
      <w:r>
        <w:rPr>
          <w:rFonts w:hint="eastAsia" w:ascii="宋体" w:hAnsi="宋体" w:eastAsia="宋体"/>
          <w:b/>
          <w:bCs/>
          <w:color w:val="auto"/>
          <w:sz w:val="30"/>
          <w:highlight w:val="none"/>
        </w:rPr>
        <w:t>遵守《施工总承包单位安全总责承诺书》的承诺书</w:t>
      </w:r>
      <w:bookmarkEnd w:id="1092"/>
      <w:bookmarkEnd w:id="1093"/>
      <w:bookmarkEnd w:id="1094"/>
      <w:bookmarkEnd w:id="1095"/>
      <w:bookmarkEnd w:id="1096"/>
    </w:p>
    <w:p w14:paraId="642D6E12">
      <w:pPr>
        <w:pStyle w:val="80"/>
        <w:ind w:firstLine="0" w:firstLineChars="0"/>
        <w:rPr>
          <w:rFonts w:hint="eastAsia" w:ascii="宋体" w:hAnsi="宋体"/>
          <w:color w:val="auto"/>
          <w:highlight w:val="none"/>
        </w:rPr>
      </w:pPr>
      <w:r>
        <w:rPr>
          <w:rFonts w:hint="eastAsia" w:ascii="宋体" w:hAnsi="宋体"/>
          <w:color w:val="auto"/>
          <w:highlight w:val="none"/>
        </w:rPr>
        <w:t>致：广州市番禺区水务工程建管中心（广州市番禺区水旱灾害防御中心）：</w:t>
      </w:r>
    </w:p>
    <w:p w14:paraId="29625460">
      <w:pPr>
        <w:pStyle w:val="80"/>
        <w:ind w:firstLine="496"/>
        <w:rPr>
          <w:rFonts w:hint="eastAsia" w:ascii="宋体" w:hAnsi="宋体"/>
          <w:color w:val="auto"/>
          <w:highlight w:val="none"/>
        </w:rPr>
      </w:pPr>
      <w:r>
        <w:rPr>
          <w:rFonts w:hint="eastAsia" w:ascii="宋体" w:hAnsi="宋体"/>
          <w:color w:val="auto"/>
          <w:highlight w:val="none"/>
        </w:rPr>
        <w:t>我司已理解发包人对本招标项目安全施工和余泥渣土运输与排放管理工作的要求，根据广州市建设委员会的《建设工地余泥渣土运输与排放源头管理工作实施意见》，我司郑重作出以下承诺：</w:t>
      </w:r>
    </w:p>
    <w:p w14:paraId="1E3006D5">
      <w:pPr>
        <w:pStyle w:val="80"/>
        <w:ind w:firstLine="496"/>
        <w:rPr>
          <w:rFonts w:hint="eastAsia" w:ascii="宋体" w:hAnsi="宋体"/>
          <w:color w:val="auto"/>
          <w:highlight w:val="none"/>
        </w:rPr>
      </w:pPr>
      <w:r>
        <w:rPr>
          <w:rFonts w:hint="eastAsia" w:ascii="宋体" w:hAnsi="宋体"/>
          <w:color w:val="auto"/>
          <w:highlight w:val="none"/>
        </w:rPr>
        <w:t>1、工地余泥渣土运输与排放管理员由专职安全员兼任；</w:t>
      </w:r>
    </w:p>
    <w:p w14:paraId="603CB074">
      <w:pPr>
        <w:pStyle w:val="80"/>
        <w:ind w:firstLine="496"/>
        <w:rPr>
          <w:rFonts w:hint="eastAsia" w:ascii="宋体" w:hAnsi="宋体"/>
          <w:color w:val="auto"/>
          <w:highlight w:val="none"/>
        </w:rPr>
      </w:pPr>
      <w:r>
        <w:rPr>
          <w:rFonts w:hint="eastAsia" w:ascii="宋体" w:hAnsi="宋体"/>
          <w:color w:val="auto"/>
          <w:highlight w:val="none"/>
        </w:rPr>
        <w:t>2、严格遵守《施工总承包单位安全总责承诺书》的以下内容：严格遵守建设工程余泥渣土运输与排放管理制度，执行“一不准进、三不准出”规定。选择合法的余泥渣土运输单位及排放点。承诺如违反建设工程余泥渣土运输与排放管理制度，将自愿接受：通报批评，记录不良行为，列入黑名单，并暂停企业投标报名一年，对项目负责人暂停投标报名二年。多次违规的，暂停投标报名二至三年，并提请资质审批部门降低或吊销企业资质、项目经理的建造师从业资格和专职安全员安全培训考核证书。</w:t>
      </w:r>
    </w:p>
    <w:p w14:paraId="4CCA37F1">
      <w:pPr>
        <w:pStyle w:val="80"/>
        <w:ind w:firstLine="0" w:firstLineChars="0"/>
        <w:rPr>
          <w:rFonts w:hint="eastAsia" w:ascii="宋体" w:hAnsi="宋体"/>
          <w:color w:val="auto"/>
          <w:highlight w:val="none"/>
        </w:rPr>
      </w:pPr>
    </w:p>
    <w:p w14:paraId="4CCE434D">
      <w:pPr>
        <w:pStyle w:val="80"/>
        <w:ind w:firstLine="0" w:firstLineChars="0"/>
        <w:rPr>
          <w:rFonts w:hint="eastAsia" w:ascii="宋体" w:hAnsi="宋体"/>
          <w:color w:val="auto"/>
          <w:highlight w:val="none"/>
        </w:rPr>
      </w:pPr>
    </w:p>
    <w:p w14:paraId="02237741">
      <w:pPr>
        <w:pStyle w:val="80"/>
        <w:ind w:firstLine="0" w:firstLineChars="0"/>
        <w:rPr>
          <w:rFonts w:hint="eastAsia" w:ascii="宋体" w:hAnsi="宋体"/>
          <w:color w:val="auto"/>
          <w:highlight w:val="none"/>
        </w:rPr>
      </w:pPr>
    </w:p>
    <w:p w14:paraId="33302825">
      <w:pPr>
        <w:pStyle w:val="80"/>
        <w:ind w:firstLine="3295" w:firstLineChars="1329"/>
        <w:rPr>
          <w:rFonts w:hint="eastAsia" w:ascii="宋体" w:hAnsi="宋体"/>
          <w:color w:val="auto"/>
          <w:highlight w:val="none"/>
        </w:rPr>
      </w:pPr>
      <w:r>
        <w:rPr>
          <w:rFonts w:hint="eastAsia" w:ascii="宋体" w:hAnsi="宋体"/>
          <w:color w:val="auto"/>
          <w:highlight w:val="none"/>
        </w:rPr>
        <w:t>承包人：　　（盖公章）</w:t>
      </w:r>
    </w:p>
    <w:p w14:paraId="5868F1CC">
      <w:pPr>
        <w:pStyle w:val="80"/>
        <w:ind w:firstLine="3295" w:firstLineChars="1329"/>
        <w:rPr>
          <w:rFonts w:hint="eastAsia" w:ascii="宋体" w:hAnsi="宋体"/>
          <w:color w:val="auto"/>
          <w:highlight w:val="none"/>
        </w:rPr>
      </w:pPr>
      <w:r>
        <w:rPr>
          <w:rFonts w:hint="eastAsia" w:ascii="宋体" w:hAnsi="宋体"/>
          <w:color w:val="auto"/>
          <w:highlight w:val="none"/>
        </w:rPr>
        <w:t>法定代表人或授权代理人（签字或盖章）：</w:t>
      </w:r>
    </w:p>
    <w:p w14:paraId="50917622">
      <w:pPr>
        <w:pStyle w:val="80"/>
        <w:ind w:firstLine="3295" w:firstLineChars="1329"/>
        <w:rPr>
          <w:rFonts w:ascii="宋体" w:hAnsi="宋体"/>
          <w:color w:val="auto"/>
          <w:highlight w:val="none"/>
        </w:rPr>
      </w:pPr>
      <w:r>
        <w:rPr>
          <w:rFonts w:hint="eastAsia" w:ascii="宋体" w:hAnsi="宋体"/>
          <w:color w:val="auto"/>
          <w:highlight w:val="none"/>
        </w:rPr>
        <w:t>日期：</w:t>
      </w:r>
      <w:r>
        <w:rPr>
          <w:rFonts w:ascii="宋体" w:hAnsi="宋体"/>
          <w:color w:val="auto"/>
          <w:highlight w:val="none"/>
        </w:rPr>
        <w:t xml:space="preserve">    </w:t>
      </w:r>
      <w:r>
        <w:rPr>
          <w:rFonts w:hint="eastAsia" w:ascii="宋体" w:hAnsi="宋体"/>
          <w:color w:val="auto"/>
          <w:highlight w:val="none"/>
        </w:rPr>
        <w:t>年</w:t>
      </w:r>
      <w:r>
        <w:rPr>
          <w:rFonts w:ascii="宋体" w:hAnsi="宋体"/>
          <w:color w:val="auto"/>
          <w:highlight w:val="none"/>
        </w:rPr>
        <w:t xml:space="preserve">    </w:t>
      </w:r>
      <w:r>
        <w:rPr>
          <w:rFonts w:hint="eastAsia" w:ascii="宋体" w:hAnsi="宋体"/>
          <w:color w:val="auto"/>
          <w:highlight w:val="none"/>
        </w:rPr>
        <w:t>月</w:t>
      </w:r>
      <w:r>
        <w:rPr>
          <w:rFonts w:ascii="宋体" w:hAnsi="宋体"/>
          <w:color w:val="auto"/>
          <w:highlight w:val="none"/>
        </w:rPr>
        <w:t xml:space="preserve">    </w:t>
      </w:r>
      <w:r>
        <w:rPr>
          <w:rFonts w:hint="eastAsia" w:ascii="宋体" w:hAnsi="宋体"/>
          <w:color w:val="auto"/>
          <w:highlight w:val="none"/>
        </w:rPr>
        <w:t>日</w:t>
      </w:r>
    </w:p>
    <w:p w14:paraId="546D2CBB">
      <w:pPr>
        <w:pStyle w:val="109"/>
        <w:adjustRightInd w:val="0"/>
        <w:snapToGrid w:val="0"/>
        <w:spacing w:before="0" w:after="0" w:line="360" w:lineRule="auto"/>
        <w:ind w:firstLine="198"/>
        <w:jc w:val="center"/>
        <w:rPr>
          <w:rFonts w:hint="eastAsia" w:ascii="宋体" w:hAnsi="宋体" w:eastAsia="宋体"/>
          <w:b/>
          <w:bCs/>
          <w:color w:val="auto"/>
          <w:sz w:val="30"/>
          <w:highlight w:val="none"/>
        </w:rPr>
      </w:pPr>
    </w:p>
    <w:p w14:paraId="7EF1523B">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br w:type="page"/>
      </w:r>
    </w:p>
    <w:p w14:paraId="1B189965">
      <w:pPr>
        <w:spacing w:before="240" w:beforeLines="100" w:after="240" w:afterLines="100" w:line="420" w:lineRule="exact"/>
        <w:outlineLvl w:val="1"/>
        <w:rPr>
          <w:rFonts w:ascii="宋体" w:hAnsi="宋体" w:cs="宋体"/>
          <w:b/>
          <w:bCs/>
          <w:color w:val="auto"/>
          <w:kern w:val="0"/>
          <w:sz w:val="22"/>
          <w:szCs w:val="22"/>
          <w:highlight w:val="none"/>
        </w:rPr>
      </w:pPr>
      <w:bookmarkStart w:id="1097" w:name="_Toc24760"/>
      <w:bookmarkStart w:id="1098" w:name="_Toc29338"/>
      <w:bookmarkStart w:id="1099" w:name="_Toc24774"/>
      <w:bookmarkStart w:id="1100" w:name="_Toc11798"/>
      <w:bookmarkStart w:id="1101" w:name="_Toc155166236"/>
      <w:r>
        <w:rPr>
          <w:rFonts w:hint="eastAsia" w:ascii="宋体" w:hAnsi="宋体" w:cs="宋体"/>
          <w:b/>
          <w:bCs/>
          <w:color w:val="auto"/>
          <w:kern w:val="0"/>
          <w:sz w:val="22"/>
          <w:szCs w:val="22"/>
          <w:highlight w:val="none"/>
        </w:rPr>
        <w:t>附件十七： 广州市住房和城乡建设委员会关于印发建设工程扬尘防治“6个100%” 管理标准细化措施的通知</w:t>
      </w:r>
      <w:bookmarkEnd w:id="1097"/>
      <w:bookmarkEnd w:id="1098"/>
      <w:bookmarkEnd w:id="1099"/>
      <w:bookmarkEnd w:id="1100"/>
      <w:bookmarkEnd w:id="1101"/>
    </w:p>
    <w:p w14:paraId="2F559232">
      <w:pPr>
        <w:widowControl/>
        <w:spacing w:after="375" w:line="420" w:lineRule="atLeast"/>
        <w:jc w:val="left"/>
        <w:rPr>
          <w:rFonts w:ascii="仿宋_GB2312" w:hAnsi="微软雅黑" w:eastAsia="仿宋_GB2312" w:cs="宋体"/>
          <w:color w:val="auto"/>
          <w:kern w:val="0"/>
          <w:sz w:val="32"/>
          <w:szCs w:val="32"/>
          <w:highlight w:val="none"/>
        </w:rPr>
      </w:pPr>
      <w:r>
        <w:rPr>
          <w:rFonts w:ascii="仿宋_GB2312" w:hAnsi="微软雅黑" w:eastAsia="仿宋_GB2312" w:cs="宋体"/>
          <w:color w:val="auto"/>
          <w:kern w:val="0"/>
          <w:sz w:val="32"/>
          <w:szCs w:val="32"/>
          <w:highlight w:val="none"/>
        </w:rPr>
        <w:drawing>
          <wp:inline distT="0" distB="0" distL="114300" distR="114300">
            <wp:extent cx="6288405" cy="2607310"/>
            <wp:effectExtent l="0" t="0" r="17145" b="2540"/>
            <wp:docPr id="441" name="图片 18" descr="C:\Users\Administrator\AppData\Roaming\Tencent\Users\34113520\QQ\WinTemp\RichOle\FI$OYKJP7)P~AT@KEZP2D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18" descr="C:\Users\Administrator\AppData\Roaming\Tencent\Users\34113520\QQ\WinTemp\RichOle\FI$OYKJP7)P~AT@KEZP2D_6.png"/>
                    <pic:cNvPicPr>
                      <a:picLocks noChangeAspect="1"/>
                    </pic:cNvPicPr>
                  </pic:nvPicPr>
                  <pic:blipFill>
                    <a:blip r:embed="rId34"/>
                    <a:stretch>
                      <a:fillRect/>
                    </a:stretch>
                  </pic:blipFill>
                  <pic:spPr>
                    <a:xfrm>
                      <a:off x="0" y="0"/>
                      <a:ext cx="6288405" cy="2607310"/>
                    </a:xfrm>
                    <a:prstGeom prst="rect">
                      <a:avLst/>
                    </a:prstGeom>
                    <a:noFill/>
                    <a:ln>
                      <a:noFill/>
                    </a:ln>
                  </pic:spPr>
                </pic:pic>
              </a:graphicData>
            </a:graphic>
          </wp:inline>
        </w:drawing>
      </w:r>
    </w:p>
    <w:p w14:paraId="634ADED5">
      <w:pPr>
        <w:jc w:val="center"/>
        <w:rPr>
          <w:rFonts w:hint="eastAsia" w:ascii="宋体" w:hAnsi="宋体" w:cs="宋体"/>
          <w:color w:val="auto"/>
          <w:kern w:val="0"/>
          <w:sz w:val="44"/>
          <w:szCs w:val="44"/>
          <w:highlight w:val="none"/>
        </w:rPr>
      </w:pPr>
      <w:bookmarkStart w:id="1102" w:name="_Toc91229906"/>
      <w:bookmarkStart w:id="1103" w:name="_Toc21165"/>
      <w:bookmarkStart w:id="1104" w:name="_Toc22535"/>
      <w:bookmarkStart w:id="1105" w:name="_Toc530482980"/>
      <w:bookmarkStart w:id="1106" w:name="_Toc91843128"/>
      <w:bookmarkStart w:id="1107" w:name="_Toc100504399"/>
      <w:bookmarkStart w:id="1108" w:name="_Toc32408"/>
      <w:bookmarkStart w:id="1109" w:name="_Toc5340"/>
      <w:bookmarkStart w:id="1110" w:name="_Toc91843543"/>
      <w:bookmarkStart w:id="1111" w:name="_Toc528168225"/>
      <w:bookmarkStart w:id="1112" w:name="_Toc20000"/>
      <w:r>
        <w:rPr>
          <w:rFonts w:hint="eastAsia" w:ascii="宋体" w:hAnsi="宋体" w:cs="宋体"/>
          <w:color w:val="auto"/>
          <w:kern w:val="0"/>
          <w:sz w:val="44"/>
          <w:szCs w:val="44"/>
          <w:highlight w:val="none"/>
        </w:rPr>
        <w:t>广州市住房和城乡建设委员会关于印发建设工程扬尘防治“6个100%”管理</w:t>
      </w:r>
      <w:bookmarkEnd w:id="1102"/>
      <w:bookmarkEnd w:id="1103"/>
      <w:bookmarkEnd w:id="1104"/>
      <w:bookmarkEnd w:id="1105"/>
      <w:bookmarkEnd w:id="1106"/>
      <w:bookmarkEnd w:id="1107"/>
      <w:bookmarkEnd w:id="1108"/>
      <w:bookmarkEnd w:id="1109"/>
      <w:bookmarkEnd w:id="1110"/>
      <w:bookmarkEnd w:id="1111"/>
      <w:bookmarkEnd w:id="1112"/>
    </w:p>
    <w:p w14:paraId="648B467A">
      <w:pPr>
        <w:jc w:val="center"/>
        <w:rPr>
          <w:rFonts w:hint="eastAsia" w:ascii="宋体" w:hAnsi="宋体" w:cs="宋体"/>
          <w:color w:val="auto"/>
          <w:kern w:val="0"/>
          <w:sz w:val="44"/>
          <w:szCs w:val="44"/>
          <w:highlight w:val="none"/>
        </w:rPr>
      </w:pPr>
      <w:bookmarkStart w:id="1113" w:name="_Toc32085"/>
      <w:bookmarkStart w:id="1114" w:name="_Toc27317"/>
      <w:bookmarkStart w:id="1115" w:name="_Toc100504400"/>
      <w:bookmarkStart w:id="1116" w:name="_Toc530482981"/>
      <w:bookmarkStart w:id="1117" w:name="_Toc91229907"/>
      <w:bookmarkStart w:id="1118" w:name="_Toc91843544"/>
      <w:bookmarkStart w:id="1119" w:name="_Toc91843129"/>
      <w:bookmarkStart w:id="1120" w:name="_Toc30685"/>
      <w:bookmarkStart w:id="1121" w:name="_Toc10733"/>
      <w:bookmarkStart w:id="1122" w:name="_Toc528168226"/>
      <w:bookmarkStart w:id="1123" w:name="_Toc4205"/>
      <w:r>
        <w:rPr>
          <w:rFonts w:hint="eastAsia" w:ascii="宋体" w:hAnsi="宋体" w:cs="宋体"/>
          <w:color w:val="auto"/>
          <w:kern w:val="0"/>
          <w:sz w:val="44"/>
          <w:szCs w:val="44"/>
          <w:highlight w:val="none"/>
        </w:rPr>
        <w:t>标准细化措施的通知</w:t>
      </w:r>
      <w:bookmarkEnd w:id="1113"/>
      <w:bookmarkEnd w:id="1114"/>
      <w:bookmarkEnd w:id="1115"/>
      <w:bookmarkEnd w:id="1116"/>
      <w:bookmarkEnd w:id="1117"/>
      <w:bookmarkEnd w:id="1118"/>
      <w:bookmarkEnd w:id="1119"/>
      <w:bookmarkEnd w:id="1120"/>
      <w:bookmarkEnd w:id="1121"/>
      <w:bookmarkEnd w:id="1122"/>
      <w:bookmarkEnd w:id="1123"/>
    </w:p>
    <w:p w14:paraId="2D23486C">
      <w:pPr>
        <w:widowControl/>
        <w:spacing w:line="580" w:lineRule="atLeast"/>
        <w:jc w:val="center"/>
        <w:rPr>
          <w:rFonts w:ascii="微软雅黑" w:hAnsi="微软雅黑" w:cs="宋体"/>
          <w:color w:val="auto"/>
          <w:kern w:val="0"/>
          <w:sz w:val="36"/>
          <w:szCs w:val="36"/>
          <w:highlight w:val="none"/>
        </w:rPr>
      </w:pPr>
    </w:p>
    <w:p w14:paraId="41E35ACB">
      <w:pPr>
        <w:widowControl/>
        <w:spacing w:after="375" w:line="420" w:lineRule="atLeast"/>
        <w:jc w:val="left"/>
        <w:rPr>
          <w:rFonts w:hint="eastAsia" w:ascii="仿宋_GB2312" w:hAnsi="微软雅黑" w:eastAsia="仿宋_GB2312" w:cs="宋体"/>
          <w:color w:val="auto"/>
          <w:kern w:val="0"/>
          <w:sz w:val="32"/>
          <w:szCs w:val="32"/>
          <w:highlight w:val="none"/>
        </w:rPr>
      </w:pPr>
      <w:r>
        <w:rPr>
          <w:rFonts w:hint="eastAsia" w:ascii="仿宋_GB2312" w:hAnsi="微软雅黑" w:eastAsia="仿宋_GB2312" w:cs="宋体"/>
          <w:color w:val="auto"/>
          <w:kern w:val="0"/>
          <w:sz w:val="32"/>
          <w:szCs w:val="32"/>
          <w:highlight w:val="none"/>
        </w:rPr>
        <w:t>各区住建局、广州空港委国土规划和建设局，各有关单位：</w:t>
      </w:r>
    </w:p>
    <w:p w14:paraId="1CCC8707">
      <w:pPr>
        <w:widowControl/>
        <w:spacing w:before="104" w:after="104" w:line="418" w:lineRule="atLeast"/>
        <w:ind w:firstLine="418"/>
        <w:rPr>
          <w:rFonts w:hint="eastAsia" w:ascii="仿宋_GB2312" w:hAnsi="微软雅黑" w:eastAsia="仿宋_GB2312" w:cs="宋体"/>
          <w:color w:val="auto"/>
          <w:kern w:val="0"/>
          <w:sz w:val="32"/>
          <w:szCs w:val="32"/>
          <w:highlight w:val="none"/>
        </w:rPr>
      </w:pPr>
      <w:r>
        <w:rPr>
          <w:rFonts w:hint="eastAsia" w:ascii="仿宋_GB2312" w:hAnsi="微软雅黑" w:eastAsia="仿宋_GB2312" w:cs="宋体"/>
          <w:color w:val="auto"/>
          <w:kern w:val="0"/>
          <w:sz w:val="32"/>
          <w:szCs w:val="32"/>
          <w:highlight w:val="none"/>
        </w:rPr>
        <w:t>为加强我市建筑工地文明施工管理，控制施工扬尘，推进生态文明建设，坚决打赢蓝天保卫战，我委制定了《广州市建设工程扬尘防治“6个100％”管理标准细化措施》。现印发给你们，请认真贯彻执行。执行中遇到的问题，请径向市住房城乡建设委反映。</w:t>
      </w:r>
    </w:p>
    <w:p w14:paraId="15CCE4FE">
      <w:pPr>
        <w:widowControl/>
        <w:spacing w:before="104" w:after="104" w:line="418" w:lineRule="atLeast"/>
        <w:ind w:firstLine="418"/>
        <w:rPr>
          <w:rFonts w:hint="eastAsia" w:ascii="仿宋_GB2312" w:hAnsi="微软雅黑" w:eastAsia="仿宋_GB2312" w:cs="宋体"/>
          <w:color w:val="auto"/>
          <w:kern w:val="0"/>
          <w:sz w:val="32"/>
          <w:szCs w:val="32"/>
          <w:highlight w:val="none"/>
        </w:rPr>
      </w:pPr>
      <w:r>
        <w:rPr>
          <w:rFonts w:hint="eastAsia" w:ascii="仿宋_GB2312" w:hAnsi="微软雅黑" w:eastAsia="仿宋_GB2312" w:cs="宋体"/>
          <w:color w:val="auto"/>
          <w:kern w:val="0"/>
          <w:sz w:val="32"/>
          <w:szCs w:val="32"/>
          <w:highlight w:val="none"/>
        </w:rPr>
        <w:t>特此通知。</w:t>
      </w:r>
    </w:p>
    <w:p w14:paraId="14EB766E">
      <w:pPr>
        <w:widowControl/>
        <w:spacing w:before="104" w:after="104" w:line="418" w:lineRule="atLeast"/>
        <w:ind w:firstLine="418"/>
        <w:jc w:val="right"/>
        <w:rPr>
          <w:rFonts w:hint="eastAsia" w:ascii="仿宋_GB2312" w:hAnsi="微软雅黑" w:eastAsia="仿宋_GB2312" w:cs="宋体"/>
          <w:color w:val="auto"/>
          <w:kern w:val="0"/>
          <w:sz w:val="32"/>
          <w:szCs w:val="32"/>
          <w:highlight w:val="none"/>
        </w:rPr>
      </w:pPr>
      <w:r>
        <w:rPr>
          <w:rFonts w:hint="eastAsia" w:ascii="仿宋_GB2312" w:hAnsi="微软雅黑" w:eastAsia="仿宋_GB2312" w:cs="宋体"/>
          <w:color w:val="auto"/>
          <w:kern w:val="0"/>
          <w:sz w:val="32"/>
          <w:szCs w:val="32"/>
          <w:highlight w:val="none"/>
        </w:rPr>
        <w:t>广州市住房和城乡建设委员会</w:t>
      </w:r>
    </w:p>
    <w:p w14:paraId="2B0AE74E">
      <w:pPr>
        <w:widowControl/>
        <w:spacing w:before="104" w:after="104" w:line="418" w:lineRule="atLeast"/>
        <w:ind w:firstLine="418"/>
        <w:jc w:val="right"/>
        <w:rPr>
          <w:rFonts w:hint="eastAsia" w:ascii="仿宋_GB2312" w:hAnsi="微软雅黑" w:eastAsia="仿宋_GB2312" w:cs="宋体"/>
          <w:color w:val="auto"/>
          <w:kern w:val="0"/>
          <w:sz w:val="32"/>
          <w:szCs w:val="32"/>
          <w:highlight w:val="none"/>
        </w:rPr>
      </w:pPr>
      <w:r>
        <w:rPr>
          <w:rFonts w:hint="eastAsia" w:ascii="仿宋_GB2312" w:hAnsi="微软雅黑" w:eastAsia="仿宋_GB2312" w:cs="宋体"/>
          <w:color w:val="auto"/>
          <w:kern w:val="0"/>
          <w:sz w:val="32"/>
          <w:szCs w:val="32"/>
          <w:highlight w:val="none"/>
        </w:rPr>
        <w:t>2018年8月13日</w:t>
      </w:r>
    </w:p>
    <w:p w14:paraId="0163D8E4">
      <w:pPr>
        <w:widowControl/>
        <w:spacing w:before="104" w:after="104" w:line="418" w:lineRule="atLeast"/>
        <w:ind w:firstLine="418"/>
        <w:jc w:val="right"/>
        <w:rPr>
          <w:rFonts w:hint="eastAsia" w:ascii="微软雅黑" w:hAnsi="微软雅黑" w:cs="宋体"/>
          <w:color w:val="auto"/>
          <w:kern w:val="0"/>
          <w:sz w:val="28"/>
          <w:szCs w:val="28"/>
          <w:highlight w:val="none"/>
        </w:rPr>
      </w:pPr>
    </w:p>
    <w:p w14:paraId="5A688065">
      <w:pPr>
        <w:widowControl/>
        <w:spacing w:before="104" w:after="104" w:line="418" w:lineRule="atLeast"/>
        <w:ind w:firstLine="418"/>
        <w:jc w:val="right"/>
        <w:rPr>
          <w:rFonts w:ascii="微软雅黑" w:hAnsi="微软雅黑" w:cs="宋体"/>
          <w:color w:val="auto"/>
          <w:kern w:val="0"/>
          <w:sz w:val="28"/>
          <w:szCs w:val="28"/>
          <w:highlight w:val="none"/>
        </w:rPr>
      </w:pPr>
    </w:p>
    <w:p w14:paraId="5F64B596">
      <w:pPr>
        <w:widowControl/>
        <w:jc w:val="left"/>
        <w:rPr>
          <w:rFonts w:ascii="方正小标宋_GBK" w:hAnsi="宋体" w:eastAsia="方正小标宋_GBK"/>
          <w:color w:val="auto"/>
          <w:kern w:val="0"/>
          <w:sz w:val="44"/>
          <w:szCs w:val="44"/>
          <w:highlight w:val="none"/>
        </w:rPr>
      </w:pPr>
      <w:r>
        <w:rPr>
          <w:rFonts w:ascii="方正小标宋_GBK" w:hAnsi="宋体" w:eastAsia="方正小标宋_GBK"/>
          <w:color w:val="auto"/>
          <w:kern w:val="0"/>
          <w:sz w:val="44"/>
          <w:szCs w:val="44"/>
          <w:highlight w:val="none"/>
        </w:rPr>
        <w:br w:type="page"/>
      </w:r>
    </w:p>
    <w:p w14:paraId="6A243F01">
      <w:pPr>
        <w:jc w:val="center"/>
        <w:rPr>
          <w:rFonts w:hint="eastAsia" w:ascii="方正小标宋_GBK" w:hAnsi="宋体" w:eastAsia="方正小标宋_GBK"/>
          <w:color w:val="auto"/>
          <w:kern w:val="0"/>
          <w:sz w:val="44"/>
          <w:szCs w:val="44"/>
          <w:highlight w:val="none"/>
        </w:rPr>
      </w:pPr>
      <w:bookmarkStart w:id="1124" w:name="_Toc5579"/>
      <w:bookmarkStart w:id="1125" w:name="_Toc9971"/>
      <w:bookmarkStart w:id="1126" w:name="_Toc23527"/>
      <w:r>
        <w:rPr>
          <w:rFonts w:hint="eastAsia" w:ascii="方正小标宋_GBK" w:hAnsi="宋体" w:eastAsia="方正小标宋_GBK"/>
          <w:color w:val="auto"/>
          <w:kern w:val="0"/>
          <w:sz w:val="44"/>
          <w:szCs w:val="44"/>
          <w:highlight w:val="none"/>
        </w:rPr>
        <w:t>广州市建设工程扬尘防治“6个100%”</w:t>
      </w:r>
      <w:bookmarkEnd w:id="1124"/>
      <w:bookmarkEnd w:id="1125"/>
      <w:bookmarkEnd w:id="1126"/>
    </w:p>
    <w:p w14:paraId="0355007E">
      <w:pPr>
        <w:jc w:val="center"/>
        <w:rPr>
          <w:rFonts w:hint="eastAsia" w:ascii="方正小标宋_GBK" w:hAnsi="宋体" w:eastAsia="方正小标宋_GBK"/>
          <w:color w:val="auto"/>
          <w:kern w:val="0"/>
          <w:sz w:val="44"/>
          <w:szCs w:val="44"/>
          <w:highlight w:val="none"/>
        </w:rPr>
      </w:pPr>
      <w:bookmarkStart w:id="1127" w:name="_Toc4248"/>
      <w:bookmarkStart w:id="1128" w:name="_Toc2422"/>
      <w:bookmarkStart w:id="1129" w:name="_Toc445"/>
      <w:r>
        <w:rPr>
          <w:rFonts w:hint="eastAsia" w:ascii="方正小标宋_GBK" w:hAnsi="宋体" w:eastAsia="方正小标宋_GBK"/>
          <w:color w:val="auto"/>
          <w:kern w:val="0"/>
          <w:sz w:val="44"/>
          <w:szCs w:val="44"/>
          <w:highlight w:val="none"/>
        </w:rPr>
        <w:t>管理标准细化措施</w:t>
      </w:r>
      <w:bookmarkEnd w:id="1127"/>
      <w:bookmarkEnd w:id="1128"/>
      <w:bookmarkEnd w:id="1129"/>
    </w:p>
    <w:p w14:paraId="22C5D266">
      <w:pPr>
        <w:widowControl/>
        <w:jc w:val="center"/>
        <w:rPr>
          <w:rFonts w:ascii="宋体"/>
          <w:b/>
          <w:color w:val="auto"/>
          <w:kern w:val="0"/>
          <w:sz w:val="44"/>
          <w:szCs w:val="44"/>
          <w:highlight w:val="none"/>
        </w:rPr>
      </w:pPr>
    </w:p>
    <w:p w14:paraId="0499E761">
      <w:pPr>
        <w:jc w:val="center"/>
        <w:rPr>
          <w:rFonts w:hint="eastAsia" w:ascii="黑体" w:hAnsi="黑体" w:eastAsia="黑体"/>
          <w:color w:val="auto"/>
          <w:kern w:val="0"/>
          <w:sz w:val="32"/>
          <w:szCs w:val="32"/>
          <w:highlight w:val="none"/>
        </w:rPr>
      </w:pPr>
      <w:bookmarkStart w:id="1130" w:name="_Toc20222"/>
      <w:bookmarkStart w:id="1131" w:name="_Toc28294"/>
      <w:bookmarkStart w:id="1132" w:name="_Toc15215"/>
      <w:bookmarkStart w:id="1133" w:name="_Toc8652"/>
      <w:bookmarkStart w:id="1134" w:name="_Toc27822"/>
      <w:r>
        <w:rPr>
          <w:rFonts w:hint="eastAsia" w:ascii="黑体" w:hAnsi="黑体" w:eastAsia="黑体"/>
          <w:color w:val="auto"/>
          <w:kern w:val="0"/>
          <w:sz w:val="32"/>
          <w:szCs w:val="32"/>
          <w:highlight w:val="none"/>
        </w:rPr>
        <w:t>一、施工现场100%围蔽</w:t>
      </w:r>
      <w:bookmarkEnd w:id="1130"/>
      <w:bookmarkEnd w:id="1131"/>
      <w:bookmarkEnd w:id="1132"/>
      <w:bookmarkEnd w:id="1133"/>
      <w:bookmarkEnd w:id="1134"/>
    </w:p>
    <w:p w14:paraId="26EC8CEC">
      <w:pPr>
        <w:jc w:val="center"/>
        <w:rPr>
          <w:rFonts w:hint="eastAsia" w:ascii="楷体_GB2312" w:eastAsia="楷体_GB2312"/>
          <w:b/>
          <w:color w:val="auto"/>
          <w:kern w:val="0"/>
          <w:sz w:val="32"/>
          <w:szCs w:val="32"/>
          <w:highlight w:val="none"/>
        </w:rPr>
      </w:pPr>
      <w:bookmarkStart w:id="1135" w:name="_Toc5325"/>
      <w:bookmarkStart w:id="1136" w:name="_Toc14127"/>
      <w:bookmarkStart w:id="1137" w:name="_Toc24197"/>
      <w:r>
        <w:rPr>
          <w:rFonts w:hint="eastAsia" w:ascii="楷体_GB2312" w:eastAsia="楷体_GB2312"/>
          <w:b/>
          <w:color w:val="auto"/>
          <w:kern w:val="0"/>
          <w:sz w:val="32"/>
          <w:szCs w:val="32"/>
          <w:highlight w:val="none"/>
        </w:rPr>
        <w:t>（一）</w:t>
      </w:r>
      <w:r>
        <w:rPr>
          <w:rFonts w:hint="eastAsia" w:ascii="楷体_GB2312" w:hAnsi="宋体" w:eastAsia="楷体_GB2312"/>
          <w:b/>
          <w:color w:val="auto"/>
          <w:kern w:val="0"/>
          <w:sz w:val="32"/>
          <w:szCs w:val="32"/>
          <w:highlight w:val="none"/>
        </w:rPr>
        <w:t>围蔽总要求</w:t>
      </w:r>
      <w:bookmarkEnd w:id="1135"/>
      <w:bookmarkEnd w:id="1136"/>
      <w:bookmarkEnd w:id="1137"/>
    </w:p>
    <w:p w14:paraId="5E486586">
      <w:pPr>
        <w:widowControl/>
        <w:spacing w:line="360" w:lineRule="auto"/>
        <w:ind w:firstLine="648" w:firstLineChars="200"/>
        <w:rPr>
          <w:rFonts w:hint="eastAsia" w:eastAsia="仿宋_GB2312"/>
          <w:color w:val="auto"/>
          <w:kern w:val="0"/>
          <w:sz w:val="32"/>
          <w:szCs w:val="32"/>
          <w:highlight w:val="none"/>
        </w:rPr>
      </w:pPr>
      <w:r>
        <w:rPr>
          <w:rFonts w:hint="eastAsia" w:eastAsia="仿宋_GB2312"/>
          <w:color w:val="auto"/>
          <w:spacing w:val="2"/>
          <w:kern w:val="0"/>
          <w:sz w:val="32"/>
          <w:szCs w:val="32"/>
          <w:highlight w:val="none"/>
        </w:rPr>
        <w:t>1.工地开工前，施工现场必须沿四周连续设置封闭围墙（围挡），</w:t>
      </w:r>
      <w:r>
        <w:rPr>
          <w:rFonts w:hint="eastAsia" w:ascii="仿宋_GB2312" w:eastAsia="仿宋_GB2312"/>
          <w:color w:val="auto"/>
          <w:kern w:val="0"/>
          <w:sz w:val="32"/>
          <w:szCs w:val="32"/>
          <w:highlight w:val="none"/>
        </w:rPr>
        <w:t>宜选用彩钢板、砌体等硬质材料搭设，并应保证施工作业人员和周边行人的安全。</w:t>
      </w:r>
      <w:r>
        <w:rPr>
          <w:rFonts w:ascii="仿宋_GB2312" w:hAnsi="宋体" w:eastAsia="仿宋_GB2312"/>
          <w:color w:val="auto"/>
          <w:kern w:val="0"/>
          <w:sz w:val="32"/>
          <w:szCs w:val="32"/>
          <w:highlight w:val="none"/>
        </w:rPr>
        <w:t>施工现场围墙</w:t>
      </w:r>
      <w:r>
        <w:rPr>
          <w:rFonts w:hint="eastAsia" w:ascii="仿宋_GB2312" w:hAnsi="宋体" w:eastAsia="仿宋_GB2312"/>
          <w:color w:val="auto"/>
          <w:kern w:val="0"/>
          <w:sz w:val="32"/>
          <w:szCs w:val="32"/>
          <w:highlight w:val="none"/>
        </w:rPr>
        <w:t>建议</w:t>
      </w:r>
      <w:r>
        <w:rPr>
          <w:rFonts w:ascii="仿宋_GB2312" w:hAnsi="宋体" w:eastAsia="仿宋_GB2312"/>
          <w:color w:val="auto"/>
          <w:kern w:val="0"/>
          <w:sz w:val="32"/>
          <w:szCs w:val="32"/>
          <w:highlight w:val="none"/>
        </w:rPr>
        <w:t>采用连续封闭的轻钢结构预制装配式活动围挡，减少建筑垃圾，保护</w:t>
      </w:r>
      <w:r>
        <w:rPr>
          <w:rFonts w:hint="eastAsia" w:ascii="仿宋_GB2312" w:hAnsi="宋体" w:eastAsia="仿宋_GB2312"/>
          <w:color w:val="auto"/>
          <w:kern w:val="0"/>
          <w:sz w:val="32"/>
          <w:szCs w:val="32"/>
          <w:highlight w:val="none"/>
        </w:rPr>
        <w:t>环境</w:t>
      </w:r>
      <w:r>
        <w:rPr>
          <w:rFonts w:hint="eastAsia" w:ascii="仿宋_GB2312" w:eastAsia="仿宋_GB2312"/>
          <w:color w:val="auto"/>
          <w:kern w:val="0"/>
          <w:sz w:val="32"/>
          <w:szCs w:val="32"/>
          <w:highlight w:val="none"/>
        </w:rPr>
        <w:t>。</w:t>
      </w:r>
      <w:r>
        <w:rPr>
          <w:rFonts w:ascii="仿宋_GB2312" w:eastAsia="仿宋_GB2312"/>
          <w:color w:val="auto"/>
          <w:kern w:val="0"/>
          <w:sz w:val="32"/>
          <w:szCs w:val="32"/>
          <w:highlight w:val="none"/>
        </w:rPr>
        <w:t xml:space="preserve"> </w:t>
      </w:r>
    </w:p>
    <w:p w14:paraId="6E5A0371">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2.围蔽材料坚固、耐用，外形美观；围墙（工地正门出入口）标明工程名称及建设（代建）、施工、监理、勘探、设计单位和监督机构名称，并配设有关质量、安全、文明施工标语，施工标牌一般挂设在工地大门右侧旁的外墙1.8米高度上。</w:t>
      </w:r>
    </w:p>
    <w:p w14:paraId="2F66F7CB">
      <w:pPr>
        <w:widowControl/>
        <w:spacing w:line="360" w:lineRule="auto"/>
        <w:ind w:firstLine="640" w:firstLineChars="200"/>
        <w:rPr>
          <w:rFonts w:hint="eastAsia" w:ascii="仿宋_GB2312" w:eastAsia="仿宋_GB2312"/>
          <w:b/>
          <w:bCs/>
          <w:color w:val="auto"/>
          <w:kern w:val="0"/>
          <w:sz w:val="32"/>
          <w:szCs w:val="32"/>
          <w:highlight w:val="none"/>
          <w:shd w:val="clear" w:color="auto" w:fill="FFFFFF"/>
        </w:rPr>
      </w:pPr>
      <w:r>
        <w:rPr>
          <w:rFonts w:hint="eastAsia" w:ascii="仿宋_GB2312" w:eastAsia="仿宋_GB2312"/>
          <w:color w:val="auto"/>
          <w:kern w:val="0"/>
          <w:sz w:val="32"/>
          <w:szCs w:val="32"/>
          <w:highlight w:val="none"/>
        </w:rPr>
        <w:t>3.实行</w:t>
      </w:r>
      <w:r>
        <w:rPr>
          <w:rFonts w:ascii="仿宋_GB2312" w:eastAsia="仿宋_GB2312"/>
          <w:color w:val="auto"/>
          <w:kern w:val="0"/>
          <w:sz w:val="32"/>
          <w:szCs w:val="32"/>
          <w:highlight w:val="none"/>
        </w:rPr>
        <w:t>施工场地扬尘</w:t>
      </w:r>
      <w:r>
        <w:rPr>
          <w:rFonts w:hint="eastAsia" w:ascii="仿宋_GB2312" w:eastAsia="仿宋_GB2312"/>
          <w:color w:val="auto"/>
          <w:kern w:val="0"/>
          <w:sz w:val="32"/>
          <w:szCs w:val="32"/>
          <w:highlight w:val="none"/>
        </w:rPr>
        <w:t>污染防治</w:t>
      </w:r>
      <w:r>
        <w:rPr>
          <w:rFonts w:ascii="仿宋_GB2312" w:eastAsia="仿宋_GB2312"/>
          <w:color w:val="auto"/>
          <w:kern w:val="0"/>
          <w:sz w:val="32"/>
          <w:szCs w:val="32"/>
          <w:highlight w:val="none"/>
        </w:rPr>
        <w:t>信息公示制</w:t>
      </w:r>
      <w:r>
        <w:rPr>
          <w:rFonts w:hint="eastAsia" w:ascii="仿宋_GB2312" w:eastAsia="仿宋_GB2312"/>
          <w:color w:val="auto"/>
          <w:kern w:val="0"/>
          <w:sz w:val="32"/>
          <w:szCs w:val="32"/>
          <w:highlight w:val="none"/>
        </w:rPr>
        <w:t>。各施工单位要将</w:t>
      </w:r>
      <w:r>
        <w:rPr>
          <w:rFonts w:hint="eastAsia" w:eastAsia="仿宋_GB2312"/>
          <w:color w:val="auto"/>
          <w:spacing w:val="2"/>
          <w:kern w:val="0"/>
          <w:sz w:val="32"/>
          <w:szCs w:val="32"/>
          <w:highlight w:val="none"/>
        </w:rPr>
        <w:t>工程概况、扬尘污染防治措施、非道路移动机械清单、建设各方责任单位名称及项目负责人姓名、本企业以及工程所在地相关行业主管部门的投诉举报电话等信息</w:t>
      </w:r>
      <w:r>
        <w:rPr>
          <w:rFonts w:hint="eastAsia" w:ascii="仿宋_GB2312" w:eastAsia="仿宋_GB2312"/>
          <w:color w:val="auto"/>
          <w:kern w:val="0"/>
          <w:sz w:val="32"/>
          <w:szCs w:val="32"/>
          <w:highlight w:val="none"/>
        </w:rPr>
        <w:t>在工地</w:t>
      </w:r>
      <w:r>
        <w:rPr>
          <w:rFonts w:hint="eastAsia" w:eastAsia="仿宋_GB2312"/>
          <w:color w:val="auto"/>
          <w:spacing w:val="2"/>
          <w:kern w:val="0"/>
          <w:sz w:val="32"/>
          <w:szCs w:val="32"/>
          <w:highlight w:val="none"/>
        </w:rPr>
        <w:t>围墙上（工地出入口正门</w:t>
      </w:r>
      <w:r>
        <w:rPr>
          <w:rFonts w:hint="eastAsia" w:ascii="仿宋_GB2312" w:eastAsia="仿宋_GB2312"/>
          <w:color w:val="auto"/>
          <w:kern w:val="0"/>
          <w:sz w:val="32"/>
          <w:szCs w:val="32"/>
          <w:highlight w:val="none"/>
        </w:rPr>
        <w:t>围墙</w:t>
      </w:r>
      <w:r>
        <w:rPr>
          <w:rFonts w:hint="eastAsia" w:eastAsia="仿宋_GB2312"/>
          <w:color w:val="auto"/>
          <w:spacing w:val="2"/>
          <w:kern w:val="0"/>
          <w:sz w:val="32"/>
          <w:szCs w:val="32"/>
          <w:highlight w:val="none"/>
        </w:rPr>
        <w:t>）向社会公示</w:t>
      </w:r>
      <w:r>
        <w:rPr>
          <w:rFonts w:hint="eastAsia" w:ascii="仿宋_GB2312" w:eastAsia="仿宋_GB2312"/>
          <w:color w:val="auto"/>
          <w:kern w:val="0"/>
          <w:sz w:val="32"/>
          <w:szCs w:val="32"/>
          <w:highlight w:val="none"/>
        </w:rPr>
        <w:t>。</w:t>
      </w:r>
    </w:p>
    <w:p w14:paraId="42134740">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4.工期在半年以上的建设工程必须采用连续、封闭的围墙，墙体采用砖砌18厘米厚砖墙砌筑，围蔽高度应不低于2.5米或者采用装配式材料围蔽；工期在半年以下15日以上的工程采用连续、封闭的围档，高度不低于2.5米，围板用角钢支撑，并通过C型钢柱与在地面固结，钢柱间距不大于3.3米；工期在15日以下的工程采用标准密扣式钢围栏(铁马)围蔽；市政人行道上施工要求采用通透式围蔽材料围蔽。</w:t>
      </w:r>
    </w:p>
    <w:p w14:paraId="6CA148EE">
      <w:pPr>
        <w:jc w:val="center"/>
        <w:rPr>
          <w:rFonts w:hint="eastAsia" w:ascii="楷体_GB2312" w:hAnsi="宋体" w:eastAsia="楷体_GB2312"/>
          <w:b/>
          <w:color w:val="auto"/>
          <w:kern w:val="0"/>
          <w:sz w:val="32"/>
          <w:szCs w:val="32"/>
          <w:highlight w:val="none"/>
        </w:rPr>
      </w:pPr>
      <w:bookmarkStart w:id="1138" w:name="_Toc10071"/>
      <w:bookmarkStart w:id="1139" w:name="_Toc20339"/>
      <w:bookmarkStart w:id="1140" w:name="_Toc3469"/>
      <w:r>
        <w:rPr>
          <w:rFonts w:hint="eastAsia" w:ascii="楷体_GB2312" w:hAnsi="宋体" w:eastAsia="楷体_GB2312"/>
          <w:b/>
          <w:color w:val="auto"/>
          <w:kern w:val="0"/>
          <w:sz w:val="32"/>
          <w:szCs w:val="32"/>
          <w:highlight w:val="none"/>
        </w:rPr>
        <w:t>（二）围蔽具体要求</w:t>
      </w:r>
      <w:bookmarkEnd w:id="1138"/>
      <w:bookmarkEnd w:id="1139"/>
      <w:bookmarkEnd w:id="1140"/>
    </w:p>
    <w:p w14:paraId="6C39E7E1">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1.装配式材料围蔽要求：（1）围蔽材料坚固、耐用，外形美观；（2）采用标准板材+立柱的形式，钢柱间距不大于3.3米；（3）围蔽脚线统一采用砖砌20厘米高、18厘米厚砖墙，防止淤泥杂物泻出围板外；（4）立柱顶安装LED照明灯约6米/盏；（5）围墙上方设置喷淋系统。</w:t>
      </w:r>
    </w:p>
    <w:p w14:paraId="2385FB18">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2.砌体式实体围墙设置要求：</w:t>
      </w:r>
      <w:r>
        <w:rPr>
          <w:rFonts w:hint="eastAsia" w:ascii="仿宋_GB2312" w:eastAsia="仿宋_GB2312"/>
          <w:color w:val="auto"/>
          <w:kern w:val="0"/>
          <w:sz w:val="32"/>
          <w:szCs w:val="32"/>
          <w:highlight w:val="none"/>
        </w:rPr>
        <w:t>（1）</w:t>
      </w:r>
      <w:r>
        <w:rPr>
          <w:rFonts w:hint="eastAsia" w:ascii="仿宋_GB2312" w:hAnsi="宋体" w:eastAsia="仿宋_GB2312"/>
          <w:color w:val="auto"/>
          <w:kern w:val="0"/>
          <w:sz w:val="32"/>
          <w:szCs w:val="32"/>
          <w:highlight w:val="none"/>
        </w:rPr>
        <w:t>砌筑墙脚和墙柱，墙脚高度不得低于50厘米，墙脚和墙柱外侧粘贴瓷砖，墙柱之间距离不超过3米，每隔6米在柱帽顶安装圆型节能灯具，电压应低于36V，并采取措施保证用电安全，外墙面批荡抹光和美化处理；（2）围墙厚度不得低于180毫米，围墙单边长度超过50米 时，间隔 20～30米 设置沉降缝，沿墙方向每 3～5米 设置壁柱；（3）围墙上方设置喷淋系统。</w:t>
      </w:r>
    </w:p>
    <w:p w14:paraId="2FBBB424">
      <w:pPr>
        <w:widowControl/>
        <w:spacing w:line="360" w:lineRule="auto"/>
        <w:ind w:firstLine="640" w:firstLineChars="200"/>
        <w:rPr>
          <w:rFonts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3.安全标志</w:t>
      </w:r>
      <w:r>
        <w:rPr>
          <w:rFonts w:hint="eastAsia" w:ascii="仿宋_GB2312" w:eastAsia="仿宋_GB2312"/>
          <w:color w:val="auto"/>
          <w:kern w:val="0"/>
          <w:sz w:val="32"/>
          <w:szCs w:val="32"/>
          <w:highlight w:val="none"/>
        </w:rPr>
        <w:t>。（1）</w:t>
      </w:r>
      <w:r>
        <w:rPr>
          <w:rFonts w:hint="eastAsia" w:ascii="仿宋_GB2312" w:hAnsi="宋体" w:eastAsia="仿宋_GB2312"/>
          <w:color w:val="auto"/>
          <w:kern w:val="0"/>
          <w:sz w:val="32"/>
          <w:szCs w:val="32"/>
          <w:highlight w:val="none"/>
        </w:rPr>
        <w:t>应车流方向起始设置“道路施工减速慢行”“限速XX公里”标志牌，占道施工时还需设置车辆改道引导标志牌，占道施工要在施工围蔽区和前后按规范设置警告区、上游过渡区、上游缓冲区、施工区、下游缓冲区、下游过渡区，并在警告区设置“前方施工 车辆慢行”以及“限速XXX”等警告标志牌;</w:t>
      </w:r>
      <w:r>
        <w:rPr>
          <w:rFonts w:hint="eastAsia" w:ascii="仿宋_GB2312" w:eastAsia="仿宋_GB2312"/>
          <w:color w:val="auto"/>
          <w:kern w:val="0"/>
          <w:sz w:val="32"/>
          <w:szCs w:val="32"/>
          <w:highlight w:val="none"/>
        </w:rPr>
        <w:t>（2）</w:t>
      </w:r>
      <w:r>
        <w:rPr>
          <w:rFonts w:hint="eastAsia" w:ascii="仿宋_GB2312" w:hAnsi="宋体" w:eastAsia="仿宋_GB2312"/>
          <w:color w:val="auto"/>
          <w:kern w:val="0"/>
          <w:sz w:val="32"/>
          <w:szCs w:val="32"/>
          <w:highlight w:val="none"/>
        </w:rPr>
        <w:t>临近车道的围蔽墙、板应在墙面按上、中、下张贴反光贴，考虑市区要求外墙张贴广告牌，反光贴与广告牌可间隔交替设置;</w:t>
      </w:r>
      <w:r>
        <w:rPr>
          <w:rFonts w:hint="eastAsia" w:ascii="仿宋_GB2312" w:eastAsia="仿宋_GB2312"/>
          <w:color w:val="auto"/>
          <w:kern w:val="0"/>
          <w:sz w:val="32"/>
          <w:szCs w:val="32"/>
          <w:highlight w:val="none"/>
        </w:rPr>
        <w:t>（3）</w:t>
      </w:r>
      <w:r>
        <w:rPr>
          <w:rFonts w:hint="eastAsia" w:ascii="仿宋_GB2312" w:hAnsi="宋体" w:eastAsia="仿宋_GB2312"/>
          <w:color w:val="auto"/>
          <w:kern w:val="0"/>
          <w:sz w:val="32"/>
          <w:szCs w:val="32"/>
          <w:highlight w:val="none"/>
        </w:rPr>
        <w:t>围蔽墙、板顶按约10～15米左右的间距设置夜间施工警示灯;</w:t>
      </w:r>
      <w:r>
        <w:rPr>
          <w:rFonts w:hint="eastAsia" w:ascii="仿宋_GB2312" w:eastAsia="仿宋_GB2312"/>
          <w:color w:val="auto"/>
          <w:kern w:val="0"/>
          <w:sz w:val="32"/>
          <w:szCs w:val="32"/>
          <w:highlight w:val="none"/>
        </w:rPr>
        <w:t>（4）</w:t>
      </w:r>
      <w:r>
        <w:rPr>
          <w:rFonts w:hint="eastAsia" w:ascii="仿宋_GB2312" w:hAnsi="宋体" w:eastAsia="仿宋_GB2312"/>
          <w:color w:val="auto"/>
          <w:kern w:val="0"/>
          <w:sz w:val="32"/>
          <w:szCs w:val="32"/>
          <w:highlight w:val="none"/>
        </w:rPr>
        <w:t>占用道路施工的围蔽区，迎车面起始端设置黄闪灯、防撞墩;（5）临近机动车道的围蔽墙板、墙外侧按不大于1米的间距设置钢防撞柱。</w:t>
      </w:r>
    </w:p>
    <w:p w14:paraId="3E65B41E">
      <w:pPr>
        <w:widowControl/>
        <w:spacing w:line="360" w:lineRule="auto"/>
        <w:rPr>
          <w:rFonts w:hint="eastAsia" w:ascii="仿宋_GB2312" w:eastAsia="仿宋_GB2312"/>
          <w:color w:val="auto"/>
          <w:kern w:val="0"/>
          <w:sz w:val="32"/>
          <w:szCs w:val="32"/>
          <w:highlight w:val="none"/>
        </w:rPr>
      </w:pPr>
      <w:r>
        <w:rPr>
          <w:color w:val="auto"/>
          <w:kern w:val="0"/>
          <w:highlight w:val="none"/>
        </w:rPr>
        <w:drawing>
          <wp:inline distT="0" distB="0" distL="114300" distR="114300">
            <wp:extent cx="4211955" cy="4211955"/>
            <wp:effectExtent l="0" t="0" r="17145" b="17145"/>
            <wp:docPr id="442" name="图片 20" descr="说明: 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20" descr="说明: 0008"/>
                    <pic:cNvPicPr>
                      <a:picLocks noChangeAspect="1"/>
                    </pic:cNvPicPr>
                  </pic:nvPicPr>
                  <pic:blipFill>
                    <a:blip r:embed="rId35"/>
                    <a:stretch>
                      <a:fillRect/>
                    </a:stretch>
                  </pic:blipFill>
                  <pic:spPr>
                    <a:xfrm>
                      <a:off x="0" y="0"/>
                      <a:ext cx="4211955" cy="4211955"/>
                    </a:xfrm>
                    <a:prstGeom prst="rect">
                      <a:avLst/>
                    </a:prstGeom>
                    <a:noFill/>
                    <a:ln>
                      <a:noFill/>
                    </a:ln>
                  </pic:spPr>
                </pic:pic>
              </a:graphicData>
            </a:graphic>
          </wp:inline>
        </w:drawing>
      </w:r>
    </w:p>
    <w:p w14:paraId="097776A3">
      <w:pPr>
        <w:widowControl/>
        <w:spacing w:line="360" w:lineRule="auto"/>
        <w:ind w:firstLine="640" w:firstLineChars="200"/>
        <w:jc w:val="left"/>
        <w:rPr>
          <w:rFonts w:hint="eastAsia" w:ascii="仿宋_GB2312" w:hAnsi="黑体" w:eastAsia="仿宋_GB2312"/>
          <w:color w:val="auto"/>
          <w:kern w:val="0"/>
          <w:sz w:val="32"/>
          <w:szCs w:val="32"/>
          <w:highlight w:val="none"/>
        </w:rPr>
      </w:pPr>
      <w:r>
        <w:rPr>
          <w:rFonts w:hint="eastAsia" w:ascii="仿宋_GB2312" w:eastAsia="仿宋_GB2312"/>
          <w:color w:val="auto"/>
          <w:kern w:val="0"/>
          <w:sz w:val="32"/>
          <w:szCs w:val="32"/>
          <w:highlight w:val="none"/>
        </w:rPr>
        <w:t>4.</w:t>
      </w:r>
      <w:r>
        <w:rPr>
          <w:rFonts w:hint="eastAsia" w:ascii="仿宋_GB2312" w:hAnsi="宋体" w:eastAsia="仿宋_GB2312"/>
          <w:color w:val="auto"/>
          <w:kern w:val="0"/>
          <w:sz w:val="32"/>
          <w:szCs w:val="32"/>
          <w:highlight w:val="none"/>
        </w:rPr>
        <w:t>外墙装饰要求</w:t>
      </w:r>
      <w:r>
        <w:rPr>
          <w:rFonts w:hint="eastAsia" w:ascii="仿宋_GB2312" w:eastAsia="仿宋_GB2312"/>
          <w:color w:val="auto"/>
          <w:kern w:val="0"/>
          <w:sz w:val="32"/>
          <w:szCs w:val="32"/>
          <w:highlight w:val="none"/>
        </w:rPr>
        <w:t>。</w:t>
      </w:r>
      <w:r>
        <w:rPr>
          <w:rFonts w:hint="eastAsia" w:ascii="仿宋_GB2312" w:hAnsi="宋体" w:eastAsia="仿宋_GB2312"/>
          <w:color w:val="auto"/>
          <w:kern w:val="0"/>
          <w:sz w:val="32"/>
          <w:szCs w:val="32"/>
          <w:highlight w:val="none"/>
        </w:rPr>
        <w:t>按市委宣传部的统一要求执行（另行通知），张贴公益广告或者宣传标语等，可适当张贴公司宣传画报等。</w:t>
      </w:r>
      <w:r>
        <w:rPr>
          <w:rFonts w:hint="eastAsia" w:ascii="仿宋_GB2312" w:hAnsi="黑体" w:eastAsia="仿宋_GB2312"/>
          <w:color w:val="auto"/>
          <w:kern w:val="0"/>
          <w:sz w:val="32"/>
          <w:szCs w:val="32"/>
          <w:highlight w:val="none"/>
        </w:rPr>
        <w:t>公益广告面积比例不少于围挡总面积的30%。围挡公益广告</w:t>
      </w:r>
      <w:r>
        <w:rPr>
          <w:rFonts w:hint="eastAsia" w:ascii="仿宋_GB2312" w:eastAsia="仿宋_GB2312"/>
          <w:color w:val="auto"/>
          <w:kern w:val="0"/>
          <w:sz w:val="32"/>
          <w:szCs w:val="32"/>
          <w:highlight w:val="none"/>
        </w:rPr>
        <w:t>做到定期清洗、保养和维护，破损严重的及时更换。</w:t>
      </w:r>
    </w:p>
    <w:p w14:paraId="22776CA5">
      <w:pPr>
        <w:widowControl/>
        <w:spacing w:line="360" w:lineRule="auto"/>
        <w:ind w:firstLine="640" w:firstLineChars="200"/>
        <w:jc w:val="left"/>
        <w:rPr>
          <w:rFonts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5. 围蔽沿线路口处，按交警部门要求应在端头30米范围内设置通透式挡板 (参考下图</w:t>
      </w:r>
      <w:r>
        <w:rPr>
          <w:rFonts w:ascii="仿宋_GB2312" w:hAnsi="宋体" w:eastAsia="仿宋_GB2312"/>
          <w:color w:val="auto"/>
          <w:kern w:val="0"/>
          <w:sz w:val="32"/>
          <w:szCs w:val="32"/>
          <w:highlight w:val="none"/>
        </w:rPr>
        <w:t>)</w:t>
      </w:r>
      <w:r>
        <w:rPr>
          <w:rFonts w:hint="eastAsia" w:ascii="仿宋_GB2312" w:hAnsi="宋体" w:eastAsia="仿宋_GB2312"/>
          <w:color w:val="auto"/>
          <w:kern w:val="0"/>
          <w:sz w:val="32"/>
          <w:szCs w:val="32"/>
          <w:highlight w:val="none"/>
        </w:rPr>
        <w:t xml:space="preserve"> 。</w:t>
      </w:r>
    </w:p>
    <w:p w14:paraId="7C7B0540">
      <w:pPr>
        <w:widowControl/>
        <w:spacing w:line="360" w:lineRule="auto"/>
        <w:ind w:firstLine="411" w:firstLineChars="196"/>
        <w:rPr>
          <w:rFonts w:ascii="仿宋_GB2312" w:hAnsi="宋体" w:eastAsia="仿宋_GB2312"/>
          <w:b/>
          <w:color w:val="auto"/>
          <w:kern w:val="0"/>
          <w:sz w:val="32"/>
          <w:szCs w:val="32"/>
          <w:highlight w:val="none"/>
        </w:rPr>
      </w:pPr>
      <w:r>
        <w:rPr>
          <w:color w:val="auto"/>
          <w:kern w:val="0"/>
          <w:highlight w:val="none"/>
        </w:rPr>
        <w:drawing>
          <wp:inline distT="0" distB="0" distL="114300" distR="114300">
            <wp:extent cx="3470275" cy="3621405"/>
            <wp:effectExtent l="0" t="0" r="15875" b="17145"/>
            <wp:docPr id="443" name="图片 19" descr="8510599478360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19" descr="85105994783603916"/>
                    <pic:cNvPicPr>
                      <a:picLocks noChangeAspect="1"/>
                    </pic:cNvPicPr>
                  </pic:nvPicPr>
                  <pic:blipFill>
                    <a:blip r:embed="rId36"/>
                    <a:stretch>
                      <a:fillRect/>
                    </a:stretch>
                  </pic:blipFill>
                  <pic:spPr>
                    <a:xfrm>
                      <a:off x="0" y="0"/>
                      <a:ext cx="3470275" cy="3621405"/>
                    </a:xfrm>
                    <a:prstGeom prst="rect">
                      <a:avLst/>
                    </a:prstGeom>
                    <a:noFill/>
                    <a:ln>
                      <a:noFill/>
                    </a:ln>
                  </pic:spPr>
                </pic:pic>
              </a:graphicData>
            </a:graphic>
          </wp:inline>
        </w:drawing>
      </w:r>
    </w:p>
    <w:p w14:paraId="00FCADB3">
      <w:pPr>
        <w:jc w:val="center"/>
        <w:rPr>
          <w:rFonts w:hint="eastAsia" w:ascii="楷体_GB2312" w:eastAsia="楷体_GB2312"/>
          <w:b/>
          <w:color w:val="auto"/>
          <w:kern w:val="0"/>
          <w:sz w:val="32"/>
          <w:szCs w:val="32"/>
          <w:highlight w:val="none"/>
        </w:rPr>
      </w:pPr>
      <w:bookmarkStart w:id="1141" w:name="_Toc7815"/>
      <w:bookmarkStart w:id="1142" w:name="_Toc12885"/>
      <w:bookmarkStart w:id="1143" w:name="_Toc15816"/>
      <w:r>
        <w:rPr>
          <w:rFonts w:hint="eastAsia" w:ascii="楷体_GB2312" w:hAnsi="宋体" w:eastAsia="楷体_GB2312"/>
          <w:b/>
          <w:color w:val="auto"/>
          <w:kern w:val="0"/>
          <w:sz w:val="32"/>
          <w:szCs w:val="32"/>
          <w:highlight w:val="none"/>
        </w:rPr>
        <w:t>（三）维护和更换</w:t>
      </w:r>
      <w:bookmarkEnd w:id="1141"/>
      <w:bookmarkEnd w:id="1142"/>
      <w:bookmarkEnd w:id="1143"/>
    </w:p>
    <w:p w14:paraId="1654A0B1">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1.围墙外立面有破损的要立即更换或者修复，围墙外的宣传画或者广告残旧的要进行翻新</w:t>
      </w:r>
      <w:r>
        <w:rPr>
          <w:rFonts w:hint="eastAsia" w:ascii="仿宋_GB2312" w:hAnsi="宋体" w:eastAsia="仿宋_GB2312"/>
          <w:color w:val="auto"/>
          <w:kern w:val="0"/>
          <w:sz w:val="30"/>
          <w:szCs w:val="30"/>
          <w:highlight w:val="none"/>
        </w:rPr>
        <w:t>，围板外立面及其广告宣传画等要定期维护、清洗和更换，保持围板立面的整洁清爽</w:t>
      </w:r>
      <w:r>
        <w:rPr>
          <w:rFonts w:hint="eastAsia" w:ascii="仿宋_GB2312" w:hAnsi="宋体" w:eastAsia="仿宋_GB2312"/>
          <w:color w:val="auto"/>
          <w:kern w:val="0"/>
          <w:sz w:val="32"/>
          <w:szCs w:val="32"/>
          <w:highlight w:val="none"/>
        </w:rPr>
        <w:t>。</w:t>
      </w:r>
    </w:p>
    <w:p w14:paraId="69E6A481">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2.对铁马、水马、钢护栏等易挪动的围蔽材料应安排专人进行日常巡查、维护，随时进行整改；铁质围蔽材料应至少半年进行一次检修、涂防锈漆，塑料等易老化的材料应对老化破碎的部分进行及时更换。</w:t>
      </w:r>
    </w:p>
    <w:p w14:paraId="38947BB2">
      <w:pPr>
        <w:jc w:val="center"/>
        <w:rPr>
          <w:rFonts w:hint="eastAsia" w:ascii="楷体_GB2312" w:hAnsi="宋体" w:eastAsia="楷体_GB2312"/>
          <w:b/>
          <w:color w:val="auto"/>
          <w:kern w:val="0"/>
          <w:sz w:val="32"/>
          <w:szCs w:val="32"/>
          <w:highlight w:val="none"/>
        </w:rPr>
      </w:pPr>
      <w:bookmarkStart w:id="1144" w:name="_Toc25207"/>
      <w:bookmarkStart w:id="1145" w:name="_Toc24964"/>
      <w:bookmarkStart w:id="1146" w:name="_Toc31333"/>
      <w:r>
        <w:rPr>
          <w:rFonts w:hint="eastAsia" w:ascii="楷体_GB2312" w:hAnsi="宋体" w:eastAsia="楷体_GB2312"/>
          <w:b/>
          <w:color w:val="auto"/>
          <w:kern w:val="0"/>
          <w:sz w:val="32"/>
          <w:szCs w:val="32"/>
          <w:highlight w:val="none"/>
        </w:rPr>
        <w:t>（四）基坑围蔽</w:t>
      </w:r>
      <w:bookmarkEnd w:id="1144"/>
      <w:bookmarkEnd w:id="1145"/>
      <w:bookmarkEnd w:id="1146"/>
    </w:p>
    <w:p w14:paraId="02B5402E">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1.基坑围蔽严格实行规范化、标准化管理。一般应使用定制护栏，不再使用钢管和绿色安全网按规范用钢管、绿色安全网围蔽。</w:t>
      </w:r>
    </w:p>
    <w:p w14:paraId="092833CF">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2.采用标准化定型钢护栏围蔽，高度不低于1.2米，护栏立柱间距不大于2米，护栏立柱与基础锚固并设立踢脚线（高度为20 厘米）</w:t>
      </w:r>
      <w:r>
        <w:rPr>
          <w:rFonts w:hint="eastAsia" w:ascii="仿宋_GB2312" w:eastAsia="仿宋_GB2312"/>
          <w:color w:val="auto"/>
          <w:kern w:val="0"/>
          <w:sz w:val="32"/>
          <w:szCs w:val="32"/>
          <w:highlight w:val="none"/>
        </w:rPr>
        <w:t>。</w:t>
      </w:r>
    </w:p>
    <w:p w14:paraId="4A49FFA1">
      <w:pPr>
        <w:widowControl/>
        <w:spacing w:line="360" w:lineRule="auto"/>
        <w:ind w:firstLine="640" w:firstLineChars="200"/>
        <w:rPr>
          <w:rFonts w:hint="eastAsia" w:ascii="仿宋_GB2312" w:eastAsia="仿宋_GB2312"/>
          <w:b/>
          <w:color w:val="auto"/>
          <w:kern w:val="0"/>
          <w:sz w:val="32"/>
          <w:szCs w:val="32"/>
          <w:highlight w:val="none"/>
        </w:rPr>
      </w:pPr>
      <w:r>
        <w:rPr>
          <w:rFonts w:hint="eastAsia" w:ascii="仿宋_GB2312" w:hAnsi="宋体" w:eastAsia="仿宋_GB2312"/>
          <w:color w:val="auto"/>
          <w:kern w:val="0"/>
          <w:sz w:val="32"/>
          <w:szCs w:val="32"/>
          <w:highlight w:val="none"/>
        </w:rPr>
        <w:t>3.格栅护栏的格栅条间距不大于15厘米。</w:t>
      </w:r>
    </w:p>
    <w:p w14:paraId="5F504356">
      <w:pPr>
        <w:jc w:val="center"/>
        <w:rPr>
          <w:rFonts w:hint="eastAsia" w:ascii="黑体" w:hAnsi="黑体" w:eastAsia="黑体"/>
          <w:color w:val="auto"/>
          <w:kern w:val="0"/>
          <w:sz w:val="32"/>
          <w:szCs w:val="32"/>
          <w:highlight w:val="none"/>
        </w:rPr>
      </w:pPr>
      <w:bookmarkStart w:id="1147" w:name="_Toc16231"/>
      <w:bookmarkStart w:id="1148" w:name="_Toc26959"/>
      <w:bookmarkStart w:id="1149" w:name="_Toc1488"/>
      <w:bookmarkStart w:id="1150" w:name="_Toc31703"/>
      <w:bookmarkStart w:id="1151" w:name="_Toc29800"/>
      <w:r>
        <w:rPr>
          <w:rFonts w:hint="eastAsia" w:ascii="黑体" w:hAnsi="黑体" w:eastAsia="黑体"/>
          <w:color w:val="auto"/>
          <w:kern w:val="0"/>
          <w:sz w:val="32"/>
          <w:szCs w:val="32"/>
          <w:highlight w:val="none"/>
        </w:rPr>
        <w:t>二、工地路面100%硬化</w:t>
      </w:r>
      <w:bookmarkEnd w:id="1147"/>
      <w:bookmarkEnd w:id="1148"/>
      <w:bookmarkEnd w:id="1149"/>
      <w:bookmarkEnd w:id="1150"/>
      <w:bookmarkEnd w:id="1151"/>
    </w:p>
    <w:p w14:paraId="2B82A2C5">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(一)施工现场大门内外通道、临时设施室内地面、材料堆放场、钢筋加工场、仓库地面等区域，应当浇厚度不小于20厘米，强度不低于C1</w:t>
      </w:r>
      <w:r>
        <w:rPr>
          <w:rFonts w:ascii="仿宋_GB2312" w:hAnsi="宋体" w:eastAsia="仿宋_GB2312"/>
          <w:color w:val="auto"/>
          <w:kern w:val="0"/>
          <w:sz w:val="32"/>
          <w:szCs w:val="32"/>
          <w:highlight w:val="none"/>
        </w:rPr>
        <w:t>5</w:t>
      </w:r>
      <w:r>
        <w:rPr>
          <w:rFonts w:hint="eastAsia" w:ascii="仿宋_GB2312" w:hAnsi="宋体" w:eastAsia="仿宋_GB2312"/>
          <w:color w:val="auto"/>
          <w:kern w:val="0"/>
          <w:sz w:val="32"/>
          <w:szCs w:val="32"/>
          <w:highlight w:val="none"/>
        </w:rPr>
        <w:t>的混凝土进行硬底化，机动车通道的宽度不小于3.5米。</w:t>
      </w:r>
    </w:p>
    <w:p w14:paraId="1476A891">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(二)工地内采用可重复使用的预制混凝土构件或钢板铺设技术，进行全面硬底化处理。</w:t>
      </w:r>
    </w:p>
    <w:p w14:paraId="3F84F293">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(三)生活服务区范围内，严格按照建筑工地文明施工管理的相关规定，全面采取地面硬化措施，并加强洒水，降低扬尘。</w:t>
      </w:r>
    </w:p>
    <w:p w14:paraId="1D78D2E1">
      <w:pPr>
        <w:widowControl/>
        <w:spacing w:line="360" w:lineRule="auto"/>
        <w:ind w:firstLine="640" w:firstLineChars="200"/>
        <w:rPr>
          <w:rFonts w:hint="eastAsia" w:eastAsia="仿宋_GB2312"/>
          <w:color w:val="auto"/>
          <w:kern w:val="0"/>
          <w:sz w:val="32"/>
          <w:szCs w:val="32"/>
          <w:highlight w:val="none"/>
        </w:rPr>
      </w:pPr>
      <w:r>
        <w:rPr>
          <w:rFonts w:hint="eastAsia" w:ascii="仿宋_GB2312" w:hAnsi="宋体" w:eastAsia="仿宋_GB2312"/>
          <w:color w:val="auto"/>
          <w:kern w:val="0"/>
          <w:sz w:val="32"/>
          <w:szCs w:val="32"/>
          <w:highlight w:val="none"/>
        </w:rPr>
        <w:t>(四)行车范围的施工作业面（含天然地基、路基、基坑面、边坡、施工作业便道等）。</w:t>
      </w:r>
      <w:r>
        <w:rPr>
          <w:rFonts w:hint="eastAsia" w:ascii="仿宋_GB2312" w:eastAsia="仿宋_GB2312"/>
          <w:color w:val="auto"/>
          <w:kern w:val="0"/>
          <w:sz w:val="32"/>
          <w:szCs w:val="32"/>
          <w:highlight w:val="none"/>
        </w:rPr>
        <w:t>施工工地在基坑开挖阶段，施工便道应当及时铺填碎石、钢板或其它材料，防止扬尘，施工到±0.00时，施工道路必须实现硬底化。</w:t>
      </w:r>
      <w:r>
        <w:rPr>
          <w:rFonts w:hint="eastAsia" w:ascii="仿宋_GB2312" w:hAnsi="宋体" w:eastAsia="仿宋_GB2312"/>
          <w:color w:val="auto"/>
          <w:kern w:val="0"/>
          <w:sz w:val="32"/>
          <w:szCs w:val="32"/>
          <w:highlight w:val="none"/>
        </w:rPr>
        <w:t>当施工现场具备条件实行水泥混凝土硬地化条件的，尽量采用地面硬化措施，当无法使用硬化措施时，应采用以下技术措施控制扬尘：</w:t>
      </w:r>
    </w:p>
    <w:p w14:paraId="25D48BF0">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1.施工作业持续时间在15日内的采取洒水防尘措施；</w:t>
      </w:r>
    </w:p>
    <w:p w14:paraId="38CA1E0A">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2.施工作业持续时间在15日至3个月的，采取使用表面喷洒沥青乳液或其它表面固化材料，并加强洒水的防尘措施；</w:t>
      </w:r>
    </w:p>
    <w:p w14:paraId="4C721C66">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3.施工作业持续时间在3个月以上的，采取沥青乳液改善土（集中搅拌混合料后现场摊铺碾压成型或现场喷洒沥青乳液后现场机械拌和碾压成型）防尘措施；其摊铺厚度、沥青乳液用量等根据施工作业时间、施工车辆的大小及数量等通过试验论证后确定。</w:t>
      </w:r>
    </w:p>
    <w:p w14:paraId="6F202DB2">
      <w:pPr>
        <w:jc w:val="center"/>
        <w:rPr>
          <w:rFonts w:hint="eastAsia" w:ascii="黑体" w:hAnsi="黑体" w:eastAsia="黑体"/>
          <w:color w:val="auto"/>
          <w:kern w:val="0"/>
          <w:sz w:val="32"/>
          <w:szCs w:val="32"/>
          <w:highlight w:val="none"/>
        </w:rPr>
      </w:pPr>
      <w:bookmarkStart w:id="1152" w:name="_Toc2753"/>
      <w:bookmarkStart w:id="1153" w:name="_Toc5474"/>
      <w:bookmarkStart w:id="1154" w:name="_Toc19271"/>
      <w:bookmarkStart w:id="1155" w:name="_Toc26969"/>
      <w:bookmarkStart w:id="1156" w:name="_Toc29676"/>
      <w:r>
        <w:rPr>
          <w:rFonts w:hint="eastAsia" w:ascii="黑体" w:hAnsi="黑体" w:eastAsia="黑体"/>
          <w:color w:val="auto"/>
          <w:kern w:val="0"/>
          <w:sz w:val="32"/>
          <w:szCs w:val="32"/>
          <w:highlight w:val="none"/>
        </w:rPr>
        <w:t>三、工地砂土、物料100%覆盖</w:t>
      </w:r>
      <w:bookmarkEnd w:id="1152"/>
      <w:bookmarkEnd w:id="1153"/>
      <w:bookmarkEnd w:id="1154"/>
      <w:bookmarkEnd w:id="1155"/>
      <w:bookmarkEnd w:id="1156"/>
    </w:p>
    <w:p w14:paraId="6EBBDDCC">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(一)工程渣土、建筑垃圾应当集中分类堆放，严密覆盖，宜在施工工地内设置封闭式垃圾站，严禁高空抛洒；非施工作业面的裸露土或临时存放的土堆闲置3个月内的，应该进行覆盖、压实、洒水等压尘措施。</w:t>
      </w:r>
    </w:p>
    <w:p w14:paraId="5A8BF23C">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(二)弃土、弃料以及其它建筑垃圾的临时覆盖可用编织布或者密布网。</w:t>
      </w:r>
    </w:p>
    <w:p w14:paraId="46E04229">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（三）建筑土方开挖后应当尽快回填，不能及时回填的应当采取覆盖或者固化等措施。</w:t>
      </w:r>
    </w:p>
    <w:p w14:paraId="7C6118E6">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(四)对裸露的砂土可采用密布网进行覆盖或料斗封闭。</w:t>
      </w:r>
    </w:p>
    <w:p w14:paraId="00BF55B4">
      <w:pPr>
        <w:jc w:val="center"/>
        <w:rPr>
          <w:rFonts w:hint="eastAsia" w:ascii="黑体" w:hAnsi="黑体" w:eastAsia="黑体"/>
          <w:color w:val="auto"/>
          <w:kern w:val="0"/>
          <w:sz w:val="32"/>
          <w:szCs w:val="32"/>
          <w:highlight w:val="none"/>
        </w:rPr>
      </w:pPr>
      <w:bookmarkStart w:id="1157" w:name="_Toc337"/>
      <w:bookmarkStart w:id="1158" w:name="_Toc14956"/>
      <w:bookmarkStart w:id="1159" w:name="_Toc21559"/>
      <w:bookmarkStart w:id="1160" w:name="_Toc11529"/>
      <w:bookmarkStart w:id="1161" w:name="_Toc6829"/>
      <w:r>
        <w:rPr>
          <w:rFonts w:hint="eastAsia" w:ascii="黑体" w:hAnsi="黑体" w:eastAsia="黑体"/>
          <w:color w:val="auto"/>
          <w:kern w:val="0"/>
          <w:sz w:val="32"/>
          <w:szCs w:val="32"/>
          <w:highlight w:val="none"/>
        </w:rPr>
        <w:t>四、施工作业100%洒水（拆除工程100%洒水降尘）</w:t>
      </w:r>
      <w:bookmarkEnd w:id="1157"/>
      <w:bookmarkEnd w:id="1158"/>
      <w:bookmarkEnd w:id="1159"/>
      <w:bookmarkEnd w:id="1160"/>
      <w:bookmarkEnd w:id="1161"/>
    </w:p>
    <w:p w14:paraId="327A5DE7">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(一)拆除工程必须采取喷水降尘措施，气象预报风速达到5级时，应当停止拆除工程施工。渣土要及时清运或者覆盖，在拆除施工完成之日起3日内清运完毕，并应遵守拆除工程管理的相关规定。</w:t>
      </w:r>
    </w:p>
    <w:p w14:paraId="352B86A2">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(二)喷淋系统设置（主要在新建工程设置）</w:t>
      </w:r>
    </w:p>
    <w:p w14:paraId="2F30EB3F">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1.设置部位：工地围墙上方；在</w:t>
      </w:r>
      <w:r>
        <w:rPr>
          <w:rFonts w:hint="eastAsia" w:ascii="仿宋_GB2312" w:hAnsi="宋体" w:eastAsia="仿宋_GB2312" w:cs="宋体"/>
          <w:color w:val="auto"/>
          <w:kern w:val="0"/>
          <w:sz w:val="32"/>
          <w:szCs w:val="32"/>
          <w:highlight w:val="none"/>
        </w:rPr>
        <w:t>基础施工及</w:t>
      </w:r>
      <w:r>
        <w:rPr>
          <w:rFonts w:hint="eastAsia" w:ascii="仿宋_GB2312" w:hAnsi="宋体" w:eastAsia="仿宋_GB2312"/>
          <w:color w:val="auto"/>
          <w:kern w:val="0"/>
          <w:sz w:val="32"/>
          <w:szCs w:val="32"/>
          <w:highlight w:val="none"/>
        </w:rPr>
        <w:t>土方阶段的基坑周边；涉及基坑开挖施工的，应在每道混凝土支撑上设置喷淋系统；</w:t>
      </w:r>
      <w:r>
        <w:rPr>
          <w:rFonts w:hint="eastAsia" w:ascii="仿宋_GB2312" w:hAnsi="宋体" w:eastAsia="仿宋_GB2312" w:cs="宋体"/>
          <w:color w:val="auto"/>
          <w:kern w:val="0"/>
          <w:sz w:val="32"/>
          <w:szCs w:val="32"/>
          <w:highlight w:val="none"/>
        </w:rPr>
        <w:t>房屋建筑</w:t>
      </w:r>
      <w:r>
        <w:rPr>
          <w:rFonts w:hint="eastAsia" w:ascii="仿宋_GB2312" w:hAnsi="宋体" w:eastAsia="仿宋_GB2312"/>
          <w:color w:val="auto"/>
          <w:kern w:val="0"/>
          <w:sz w:val="32"/>
          <w:szCs w:val="32"/>
          <w:highlight w:val="none"/>
        </w:rPr>
        <w:t>主体阶段的外排栅、爬升脚手架；塔吊等易产生扬尘的部位应设置喷淋系统；</w:t>
      </w:r>
      <w:r>
        <w:rPr>
          <w:rFonts w:hint="eastAsia" w:ascii="仿宋_GB2312" w:hAnsi="宋体" w:eastAsia="仿宋_GB2312" w:cs="宋体"/>
          <w:color w:val="auto"/>
          <w:kern w:val="0"/>
          <w:sz w:val="32"/>
          <w:szCs w:val="32"/>
          <w:highlight w:val="none"/>
        </w:rPr>
        <w:t>市政道路施工铣刨作业；拆除作业、爆破作业、预拌干混砂浆施工；房屋建筑和市政工程围挡；施工现场主要道路等部位或者施工作业阶段应当采取喷雾、喷淋或者洒水等扬尘污染防治措施。</w:t>
      </w:r>
    </w:p>
    <w:p w14:paraId="46F2105C">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2.喷淋系统设置要求：有土方作业的基坑布设间距1.5米，喷头大小4厘米，布设范围围绕基坑一圈；有外排栅结构，喷淋系统以间距3米，喷头大小4厘米一圈设置，原则第一道设置在15-20米，然后每隔25米设置一道；工地围墙外围、</w:t>
      </w:r>
      <w:r>
        <w:rPr>
          <w:rFonts w:hint="eastAsia" w:ascii="仿宋_GB2312" w:hAnsi="宋体" w:eastAsia="仿宋_GB2312" w:cs="宋体"/>
          <w:color w:val="auto"/>
          <w:kern w:val="0"/>
          <w:sz w:val="32"/>
          <w:szCs w:val="32"/>
          <w:highlight w:val="none"/>
        </w:rPr>
        <w:t>施工现场主要道路</w:t>
      </w:r>
      <w:r>
        <w:rPr>
          <w:rFonts w:hint="eastAsia" w:ascii="仿宋_GB2312" w:hAnsi="宋体" w:eastAsia="仿宋_GB2312"/>
          <w:color w:val="auto"/>
          <w:kern w:val="0"/>
          <w:sz w:val="32"/>
          <w:szCs w:val="32"/>
          <w:highlight w:val="none"/>
        </w:rPr>
        <w:t>间距3米，喷头大小4厘米一圈设置；其它易产生扬尘的施工作业根据扬尘污染程度设置相应的喷雾设备或者洒水降尘。</w:t>
      </w:r>
    </w:p>
    <w:p w14:paraId="43FB1F43">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3.开启喷淋系统或者洒水降尘的时间安排。根据施工现场扬尘情况，每天安排洒水不少于4次，洒水沿施工道路进行，早上7:30-8:00，中午11:00-12:00，下午14:30-15:00  17:30-18:00各一次；扬尘较多、遇重污染天气时以及每年10月至次年2月应安排6次以上；开启喷淋系统按此时间进行，每次持续1小时以上，对于基坑开挖或者拆除工程等易产生扬尘的作业，必须全时开启喷淋系统和雾炮设备；场内道路车辆流量每30分钟高于4架次的路面，维持整段路面湿润。</w:t>
      </w:r>
    </w:p>
    <w:p w14:paraId="364ECE62">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4.责任落实。每天洒水和开启喷淋系统、喷雾设备要安排专人负责，设立专门的登记本，责任人负责登记并签名。</w:t>
      </w:r>
      <w:r>
        <w:rPr>
          <w:rFonts w:hint="eastAsia" w:ascii="仿宋_GB2312" w:eastAsia="仿宋_GB2312"/>
          <w:color w:val="auto"/>
          <w:kern w:val="0"/>
          <w:sz w:val="32"/>
          <w:szCs w:val="32"/>
          <w:highlight w:val="none"/>
        </w:rPr>
        <w:t xml:space="preserve"> </w:t>
      </w:r>
    </w:p>
    <w:p w14:paraId="62535C72">
      <w:pPr>
        <w:widowControl/>
        <w:spacing w:line="360" w:lineRule="auto"/>
        <w:ind w:firstLine="640" w:firstLineChars="200"/>
        <w:rPr>
          <w:rFonts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(三) 雾炮设备设置。土方阶段在基坑周边按照30-50米间隔加设雾炮设备1台</w:t>
      </w:r>
      <w:r>
        <w:rPr>
          <w:rFonts w:hint="eastAsia" w:ascii="仿宋_GB2312" w:eastAsia="仿宋_GB2312"/>
          <w:color w:val="auto"/>
          <w:kern w:val="0"/>
          <w:sz w:val="32"/>
          <w:szCs w:val="32"/>
          <w:highlight w:val="none"/>
        </w:rPr>
        <w:t>。</w:t>
      </w:r>
      <w:r>
        <w:rPr>
          <w:rFonts w:hint="eastAsia" w:ascii="仿宋_GB2312" w:hAnsi="宋体" w:eastAsia="仿宋_GB2312"/>
          <w:color w:val="auto"/>
          <w:kern w:val="0"/>
          <w:sz w:val="32"/>
          <w:szCs w:val="32"/>
          <w:highlight w:val="none"/>
        </w:rPr>
        <w:t>扬尘达标要求：土方作业阶段，达到作业区目测扬尘高度小于1.5米，</w:t>
      </w:r>
      <w:r>
        <w:rPr>
          <w:rFonts w:ascii="仿宋_GB2312" w:hAnsi="宋体" w:eastAsia="仿宋_GB2312"/>
          <w:color w:val="auto"/>
          <w:kern w:val="0"/>
          <w:sz w:val="32"/>
          <w:szCs w:val="32"/>
          <w:highlight w:val="none"/>
        </w:rPr>
        <w:t>不扩散到场区外</w:t>
      </w:r>
      <w:r>
        <w:rPr>
          <w:rFonts w:hint="eastAsia" w:ascii="仿宋_GB2312" w:hAnsi="宋体" w:eastAsia="仿宋_GB2312"/>
          <w:color w:val="auto"/>
          <w:kern w:val="0"/>
          <w:sz w:val="32"/>
          <w:szCs w:val="32"/>
          <w:highlight w:val="none"/>
        </w:rPr>
        <w:t>；结构施工、安装装饰装修阶段，作业区目测扬尘高度小于0.5米；施工现场非作业区达到目测无扬尘的要求。超过此标准的，则安排开启雾炮设备和喷淋系统。</w:t>
      </w:r>
      <w:r>
        <w:rPr>
          <w:rFonts w:hint="eastAsia" w:ascii="仿宋_GB2312" w:eastAsia="仿宋_GB2312"/>
          <w:color w:val="auto"/>
          <w:kern w:val="0"/>
          <w:sz w:val="32"/>
          <w:szCs w:val="32"/>
          <w:highlight w:val="none"/>
        </w:rPr>
        <w:t xml:space="preserve"> </w:t>
      </w:r>
    </w:p>
    <w:p w14:paraId="0E4AF4B0">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四）施工现场应安装空气质量监测设备，如PM2.5监测仪，有条件的可与主管部门监控系统联网，并上传监测数据至市扬尘监管平台（设在市环保局）。监测设备小时PM10浓度超过200微克/立方米或PM2.5浓度超过100微克/立方米时，应开启雾炮设备和喷淋系统。</w:t>
      </w:r>
    </w:p>
    <w:p w14:paraId="2EB9D859">
      <w:pPr>
        <w:jc w:val="center"/>
        <w:rPr>
          <w:rFonts w:hint="eastAsia" w:ascii="黑体" w:hAnsi="黑体" w:eastAsia="黑体"/>
          <w:color w:val="auto"/>
          <w:kern w:val="0"/>
          <w:sz w:val="32"/>
          <w:szCs w:val="32"/>
          <w:highlight w:val="none"/>
        </w:rPr>
      </w:pPr>
      <w:bookmarkStart w:id="1162" w:name="_Toc4843"/>
      <w:bookmarkStart w:id="1163" w:name="_Toc19735"/>
      <w:bookmarkStart w:id="1164" w:name="_Toc32479"/>
      <w:bookmarkStart w:id="1165" w:name="_Toc5050"/>
      <w:bookmarkStart w:id="1166" w:name="_Toc3807"/>
      <w:r>
        <w:rPr>
          <w:rFonts w:hint="eastAsia" w:ascii="黑体" w:hAnsi="黑体" w:eastAsia="黑体"/>
          <w:color w:val="auto"/>
          <w:kern w:val="0"/>
          <w:sz w:val="32"/>
          <w:szCs w:val="32"/>
          <w:highlight w:val="none"/>
        </w:rPr>
        <w:t>五、出工地车辆100%冲净车轮车身</w:t>
      </w:r>
      <w:bookmarkEnd w:id="1162"/>
      <w:bookmarkEnd w:id="1163"/>
      <w:bookmarkEnd w:id="1164"/>
      <w:bookmarkEnd w:id="1165"/>
      <w:bookmarkEnd w:id="1166"/>
    </w:p>
    <w:p w14:paraId="407D7378">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(一)工地出入口应当安排专人进行车辆清洗和登记，进出工地的运输车辆的轮胎和车身外表应当完全冲洗干净后，方可进出工地。</w:t>
      </w:r>
    </w:p>
    <w:p w14:paraId="75A30637">
      <w:pPr>
        <w:widowControl/>
        <w:spacing w:line="360" w:lineRule="auto"/>
        <w:ind w:firstLine="640" w:firstLineChars="200"/>
        <w:rPr>
          <w:rFonts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1.车辆冲洗干净标准：进出工地的运输车辆的轮胎和车身外表应当完全除泥，确保车辆驶出工地时无尘土飞扬。</w:t>
      </w:r>
      <w:r>
        <w:rPr>
          <w:rFonts w:ascii="仿宋_GB2312" w:hAnsi="宋体" w:eastAsia="仿宋_GB2312"/>
          <w:color w:val="auto"/>
          <w:kern w:val="0"/>
          <w:sz w:val="32"/>
          <w:szCs w:val="32"/>
          <w:highlight w:val="none"/>
        </w:rPr>
        <w:t xml:space="preserve"> </w:t>
      </w:r>
    </w:p>
    <w:p w14:paraId="6866F30B">
      <w:pPr>
        <w:widowControl/>
        <w:spacing w:line="360" w:lineRule="auto"/>
        <w:ind w:firstLine="640" w:firstLineChars="200"/>
        <w:rPr>
          <w:rFonts w:hint="eastAsia" w:ascii="仿宋" w:hAnsi="仿宋" w:eastAsia="仿宋"/>
          <w:color w:val="auto"/>
          <w:kern w:val="0"/>
          <w:sz w:val="32"/>
          <w:szCs w:val="32"/>
          <w:highlight w:val="none"/>
        </w:rPr>
      </w:pPr>
      <w:r>
        <w:rPr>
          <w:rFonts w:hint="eastAsia" w:ascii="仿宋_GB2312" w:hAnsi="宋体" w:eastAsia="仿宋_GB2312"/>
          <w:color w:val="auto"/>
          <w:kern w:val="0"/>
          <w:sz w:val="32"/>
          <w:szCs w:val="32"/>
          <w:highlight w:val="none"/>
        </w:rPr>
        <w:t>2.建立泥头车管理台帐，详细记录车辆证照信息、进出场信息、冲洗情况、密闭情况等。每次车辆清洗要登记进出工地车辆的车牌号码、驾驶员姓名、进出工地时间等信息，车辆冲洗完后驾驶员和冲洗人要签名，监理单位负责人不定时对车辆清洗情况进行检查。</w:t>
      </w:r>
    </w:p>
    <w:p w14:paraId="5D4FF9AA">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3.工地在余泥运输阶段，施工单位要安排配备专职建筑废弃物运输管理人员，负责检查余泥装载和“一不准进、三不准出” （“一不准进”是指无《广州市建筑垃圾准运证》的车辆坚决不准进入建筑工地；“三不准出”是指超载、无遮盖、未冲洗干净车轮和车身的车辆，坚决不准驶出工地）等相关制度的落实。</w:t>
      </w:r>
    </w:p>
    <w:p w14:paraId="616E5305">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4.运输建筑余泥的车辆必须采取措施完全封闭严密且平装，保证车辆清洁。土方装载高度不能超过运输车辆侧壁标准高度；车辆钢盖板必须与车底平行，无倾斜角度；车身及车轮无散落土方；车辆洗车后驶出施工现场大门时车身无泥水滴落。</w:t>
      </w:r>
    </w:p>
    <w:p w14:paraId="3C32D5A9">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二)洗车槽设置要求。工地内车辆出入口内侧应当设置用混凝土浇筑的由宽30厘米、深40厘米沟槽围成宽3米、长5米的矩形洗车场设施；车辆冲洗设施按要求配套排水、泥浆沉淀设施；现场机具、设备、车辆冲洗用水必须设立循环用水装置，并安排专人管理。</w:t>
      </w:r>
    </w:p>
    <w:p w14:paraId="7351E633">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三)车辆冲洗设施的配备标准。应配备高压冲洗水枪或者安装自动洗车装置；不具备设置洗车设施的市政、管线工程，经所在工程的监管部门同意后，施工单位应采用移动式冲水设备冲洗工地车辆，并安排工人保洁。</w:t>
      </w:r>
    </w:p>
    <w:p w14:paraId="7D8017DE">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（四）建筑废弃物装载要求。</w:t>
      </w:r>
      <w:r>
        <w:rPr>
          <w:rFonts w:hint="eastAsia" w:eastAsia="仿宋_GB2312"/>
          <w:color w:val="auto"/>
          <w:kern w:val="0"/>
          <w:sz w:val="32"/>
          <w:szCs w:val="32"/>
          <w:highlight w:val="none"/>
        </w:rPr>
        <w:t>驶出工地的渣土和粉状物料运输车辆应该平装，不能高于车厢围栏且遮盖率达到</w:t>
      </w:r>
      <w:r>
        <w:rPr>
          <w:rFonts w:eastAsia="仿宋_GB2312"/>
          <w:color w:val="auto"/>
          <w:kern w:val="0"/>
          <w:sz w:val="32"/>
          <w:szCs w:val="32"/>
          <w:highlight w:val="none"/>
        </w:rPr>
        <w:t>100%</w:t>
      </w:r>
      <w:r>
        <w:rPr>
          <w:rFonts w:hint="eastAsia" w:eastAsia="仿宋_GB2312"/>
          <w:color w:val="auto"/>
          <w:kern w:val="0"/>
          <w:sz w:val="32"/>
          <w:szCs w:val="32"/>
          <w:highlight w:val="none"/>
        </w:rPr>
        <w:t>。</w:t>
      </w:r>
      <w:r>
        <w:rPr>
          <w:rFonts w:hint="eastAsia" w:ascii="仿宋_GB2312" w:hAnsi="仿宋" w:eastAsia="仿宋_GB2312"/>
          <w:color w:val="auto"/>
          <w:kern w:val="0"/>
          <w:sz w:val="32"/>
          <w:szCs w:val="32"/>
          <w:highlight w:val="none"/>
        </w:rPr>
        <w:t>施工现场泥头车或建筑材料（沙、石粉或余泥）运输车辆，车箱禁止用帆布或安全网覆盖，一律采用两旁带自动挡板的车箱，并做到全密封，防止建筑材料、垃圾和工程渣土飞扬、洒落、泄漏等。</w:t>
      </w:r>
    </w:p>
    <w:p w14:paraId="538BF2BC">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（五）全面安装视频监控设备。</w:t>
      </w:r>
    </w:p>
    <w:p w14:paraId="23FB1E56">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1.</w:t>
      </w:r>
      <w:r>
        <w:rPr>
          <w:rFonts w:hint="eastAsia" w:eastAsia="仿宋_GB2312"/>
          <w:color w:val="auto"/>
          <w:kern w:val="0"/>
          <w:sz w:val="32"/>
          <w:szCs w:val="32"/>
          <w:highlight w:val="none"/>
        </w:rPr>
        <w:t>房屋工程</w:t>
      </w:r>
      <w:r>
        <w:rPr>
          <w:rFonts w:eastAsia="仿宋_GB2312"/>
          <w:color w:val="auto"/>
          <w:kern w:val="0"/>
          <w:sz w:val="32"/>
          <w:szCs w:val="32"/>
          <w:highlight w:val="none"/>
        </w:rPr>
        <w:t>开工时，</w:t>
      </w:r>
      <w:r>
        <w:rPr>
          <w:rFonts w:hint="eastAsia" w:ascii="仿宋_GB2312" w:hAnsi="宋体" w:eastAsia="仿宋_GB2312"/>
          <w:color w:val="auto"/>
          <w:kern w:val="0"/>
          <w:sz w:val="32"/>
          <w:szCs w:val="32"/>
          <w:highlight w:val="none"/>
        </w:rPr>
        <w:t>项目施工现场出入口须安装视频监控设备，并确保能清晰监控车辆出场冲洗情况及运输车辆车牌号码；项目土方作业期间，必须在土方作业区域周边安装视频监控设备，视频监控录像现场存储时间不少于30天。</w:t>
      </w:r>
    </w:p>
    <w:p w14:paraId="3DE13D08">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2.</w:t>
      </w:r>
      <w:r>
        <w:rPr>
          <w:rFonts w:eastAsia="仿宋_GB2312"/>
          <w:color w:val="auto"/>
          <w:kern w:val="0"/>
          <w:sz w:val="32"/>
          <w:szCs w:val="32"/>
          <w:highlight w:val="none"/>
        </w:rPr>
        <w:t>城市建成区范围内，建筑面积在5000</w:t>
      </w:r>
      <w:r>
        <w:rPr>
          <w:rFonts w:hint="eastAsia" w:eastAsia="仿宋_GB2312"/>
          <w:color w:val="auto"/>
          <w:kern w:val="0"/>
          <w:sz w:val="32"/>
          <w:szCs w:val="32"/>
          <w:highlight w:val="none"/>
        </w:rPr>
        <w:t>0</w:t>
      </w:r>
      <w:r>
        <w:rPr>
          <w:rFonts w:eastAsia="仿宋_GB2312"/>
          <w:color w:val="auto"/>
          <w:kern w:val="0"/>
          <w:sz w:val="32"/>
          <w:szCs w:val="32"/>
          <w:highlight w:val="none"/>
        </w:rPr>
        <w:t>平方米的土地开挖、平整施工作业项目必须安装扬尘视频监控设备，</w:t>
      </w:r>
      <w:r>
        <w:rPr>
          <w:rFonts w:hint="eastAsia" w:eastAsia="仿宋_GB2312"/>
          <w:color w:val="auto"/>
          <w:kern w:val="0"/>
          <w:sz w:val="32"/>
          <w:szCs w:val="32"/>
          <w:highlight w:val="none"/>
        </w:rPr>
        <w:t>有条件的可与当地监督部门</w:t>
      </w:r>
      <w:r>
        <w:rPr>
          <w:rFonts w:eastAsia="仿宋_GB2312"/>
          <w:color w:val="auto"/>
          <w:kern w:val="0"/>
          <w:sz w:val="32"/>
          <w:szCs w:val="32"/>
          <w:highlight w:val="none"/>
        </w:rPr>
        <w:t>的视频监控中心进行联网，</w:t>
      </w:r>
      <w:r>
        <w:rPr>
          <w:rFonts w:hint="eastAsia" w:eastAsia="仿宋_GB2312"/>
          <w:color w:val="auto"/>
          <w:kern w:val="0"/>
          <w:sz w:val="32"/>
          <w:szCs w:val="32"/>
          <w:highlight w:val="none"/>
        </w:rPr>
        <w:t>实时监控工地施工扬尘管理和出场车</w:t>
      </w:r>
      <w:r>
        <w:rPr>
          <w:rFonts w:hint="eastAsia" w:ascii="仿宋_GB2312" w:eastAsia="仿宋_GB2312"/>
          <w:bCs/>
          <w:color w:val="auto"/>
          <w:kern w:val="0"/>
          <w:sz w:val="32"/>
          <w:szCs w:val="32"/>
          <w:highlight w:val="none"/>
        </w:rPr>
        <w:t>辆冲洗情况</w:t>
      </w:r>
      <w:r>
        <w:rPr>
          <w:rFonts w:eastAsia="仿宋_GB2312"/>
          <w:color w:val="auto"/>
          <w:kern w:val="0"/>
          <w:sz w:val="32"/>
          <w:szCs w:val="32"/>
          <w:highlight w:val="none"/>
        </w:rPr>
        <w:t>。</w:t>
      </w:r>
    </w:p>
    <w:p w14:paraId="4FA880F5">
      <w:pPr>
        <w:jc w:val="center"/>
        <w:rPr>
          <w:rFonts w:hint="eastAsia" w:ascii="黑体" w:hAnsi="黑体" w:eastAsia="黑体"/>
          <w:color w:val="auto"/>
          <w:kern w:val="0"/>
          <w:sz w:val="32"/>
          <w:szCs w:val="32"/>
          <w:highlight w:val="none"/>
        </w:rPr>
      </w:pPr>
      <w:bookmarkStart w:id="1167" w:name="_Toc15648"/>
      <w:bookmarkStart w:id="1168" w:name="_Toc20030"/>
      <w:bookmarkStart w:id="1169" w:name="_Toc23687"/>
      <w:bookmarkStart w:id="1170" w:name="_Toc20894"/>
      <w:bookmarkStart w:id="1171" w:name="_Toc3956"/>
      <w:r>
        <w:rPr>
          <w:rFonts w:hint="eastAsia" w:ascii="黑体" w:hAnsi="黑体" w:eastAsia="黑体"/>
          <w:color w:val="auto"/>
          <w:kern w:val="0"/>
          <w:sz w:val="32"/>
          <w:szCs w:val="32"/>
          <w:highlight w:val="none"/>
        </w:rPr>
        <w:t>六、长期裸土100%覆盖或绿化</w:t>
      </w:r>
      <w:bookmarkEnd w:id="1167"/>
      <w:bookmarkEnd w:id="1168"/>
      <w:bookmarkEnd w:id="1169"/>
      <w:bookmarkEnd w:id="1170"/>
      <w:bookmarkEnd w:id="1171"/>
    </w:p>
    <w:p w14:paraId="315AF037">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(一)施工现场内裸露3个月以上的土地，应当采取绿化措施；裸露3个月以下的土地，应当采取覆盖、压实、洒水等压尘措施。</w:t>
      </w:r>
    </w:p>
    <w:p w14:paraId="06DE4556">
      <w:pPr>
        <w:widowControl/>
        <w:spacing w:line="360" w:lineRule="auto"/>
        <w:ind w:firstLine="640" w:firstLineChars="200"/>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二)需要堆放3个月以上的渣土、堆土等应覆盖遮阴网，喷水保湿、培育自然植被；或者种植成本不高、覆盖性强、生长较快的草本植物，实行临时绿化。短期内不能按规划实施的空间规划绿地，可采取生态喷播的办法试行临时绿化。施工工地裸露土地绿化率不少于95%。</w:t>
      </w:r>
    </w:p>
    <w:p w14:paraId="28FE839B">
      <w:pPr>
        <w:widowControl/>
        <w:spacing w:line="360" w:lineRule="auto"/>
        <w:ind w:firstLine="640" w:firstLineChars="200"/>
        <w:rPr>
          <w:rFonts w:hint="eastAsia" w:ascii="仿宋_GB2312" w:eastAsia="仿宋_GB2312"/>
          <w:color w:val="auto"/>
          <w:kern w:val="0"/>
          <w:sz w:val="32"/>
          <w:szCs w:val="32"/>
          <w:highlight w:val="none"/>
        </w:rPr>
      </w:pPr>
      <w:r>
        <w:rPr>
          <w:rFonts w:hint="eastAsia" w:ascii="仿宋_GB2312" w:hAnsi="宋体" w:eastAsia="仿宋_GB2312"/>
          <w:color w:val="auto"/>
          <w:kern w:val="0"/>
          <w:sz w:val="32"/>
          <w:szCs w:val="32"/>
          <w:highlight w:val="none"/>
        </w:rPr>
        <w:t>（三）对土堆的边缘应适当垒砌砖石加以围挡处理，土堆应全面覆盖遮阴网，经常喷水，防止扬尘。进行草种、花卉播种，应使植物种子与表层土壤结合密切，然后喷水保湿，勤于养护，直至植物正常生长达到覆盖目的。施工工地堆土场宜设置简易喷灌设施，适时喷水保湿。</w:t>
      </w:r>
    </w:p>
    <w:p w14:paraId="5819DAAE">
      <w:pPr>
        <w:jc w:val="center"/>
        <w:rPr>
          <w:rFonts w:hint="eastAsia" w:ascii="黑体" w:hAnsi="黑体" w:eastAsia="黑体"/>
          <w:color w:val="auto"/>
          <w:kern w:val="0"/>
          <w:sz w:val="32"/>
          <w:szCs w:val="32"/>
          <w:highlight w:val="none"/>
        </w:rPr>
      </w:pPr>
      <w:bookmarkStart w:id="1172" w:name="_Toc1194"/>
      <w:bookmarkStart w:id="1173" w:name="_Toc1344"/>
      <w:bookmarkStart w:id="1174" w:name="_Toc3137"/>
      <w:bookmarkStart w:id="1175" w:name="_Toc4445"/>
      <w:bookmarkStart w:id="1176" w:name="_Toc24733"/>
      <w:r>
        <w:rPr>
          <w:rFonts w:hint="eastAsia" w:ascii="黑体" w:hAnsi="黑体" w:eastAsia="黑体"/>
          <w:color w:val="auto"/>
          <w:kern w:val="0"/>
          <w:sz w:val="32"/>
          <w:szCs w:val="32"/>
          <w:highlight w:val="none"/>
        </w:rPr>
        <w:t>七、建设、施工、监理企业在落实“6个100%”要求中所承担的职责</w:t>
      </w:r>
      <w:bookmarkEnd w:id="1172"/>
      <w:bookmarkEnd w:id="1173"/>
      <w:bookmarkEnd w:id="1174"/>
      <w:bookmarkEnd w:id="1175"/>
      <w:bookmarkEnd w:id="1176"/>
    </w:p>
    <w:p w14:paraId="0165CDDA">
      <w:pPr>
        <w:jc w:val="center"/>
        <w:rPr>
          <w:rFonts w:hint="eastAsia" w:ascii="楷体_GB2312" w:hAnsi="楷体" w:eastAsia="楷体_GB2312" w:cs="宋体"/>
          <w:b/>
          <w:color w:val="auto"/>
          <w:kern w:val="0"/>
          <w:sz w:val="32"/>
          <w:szCs w:val="32"/>
          <w:highlight w:val="none"/>
        </w:rPr>
      </w:pPr>
      <w:bookmarkStart w:id="1177" w:name="_Toc23831"/>
      <w:bookmarkStart w:id="1178" w:name="_Toc29479"/>
      <w:bookmarkStart w:id="1179" w:name="_Toc23106"/>
      <w:r>
        <w:rPr>
          <w:rFonts w:hint="eastAsia" w:ascii="楷体_GB2312" w:hAnsi="楷体" w:eastAsia="楷体_GB2312" w:cs="宋体"/>
          <w:b/>
          <w:color w:val="auto"/>
          <w:kern w:val="0"/>
          <w:sz w:val="32"/>
          <w:szCs w:val="32"/>
          <w:highlight w:val="none"/>
        </w:rPr>
        <w:t>（一）建设单位职责</w:t>
      </w:r>
      <w:bookmarkEnd w:id="1177"/>
      <w:bookmarkEnd w:id="1178"/>
      <w:bookmarkEnd w:id="1179"/>
    </w:p>
    <w:p w14:paraId="59376927">
      <w:pPr>
        <w:widowControl/>
        <w:spacing w:line="360" w:lineRule="auto"/>
        <w:ind w:firstLine="627" w:firstLineChars="196"/>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1.对施工扬尘污染防治负总责，应当将新开工工程的扬尘污染防治费用列入工程造价，在施工承包合同中明确施工单位扬尘污染防治责任，督促施工单位编制建设工程施工扬尘污染防治专项方案。</w:t>
      </w:r>
    </w:p>
    <w:p w14:paraId="6953FDFD">
      <w:pPr>
        <w:widowControl/>
        <w:spacing w:line="360" w:lineRule="auto"/>
        <w:ind w:firstLine="627" w:firstLineChars="196"/>
        <w:rPr>
          <w:rFonts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2.应当办理工程渣土消纳处置手续。</w:t>
      </w:r>
    </w:p>
    <w:p w14:paraId="53E3B31F">
      <w:pPr>
        <w:widowControl/>
        <w:spacing w:line="360" w:lineRule="auto"/>
        <w:ind w:firstLine="627" w:firstLineChars="196"/>
        <w:rPr>
          <w:rFonts w:hint="eastAsia" w:ascii="仿宋_GB2312"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3.闲置3个月以上的建设用地，应当对其裸露土体进行绿化、铺装或者遮盖；闲置3个月以下的，应当进行防尘覆盖。</w:t>
      </w:r>
    </w:p>
    <w:p w14:paraId="2B1A2C43">
      <w:pPr>
        <w:jc w:val="center"/>
        <w:rPr>
          <w:rFonts w:hint="eastAsia" w:ascii="楷体_GB2312" w:hAnsi="楷体" w:eastAsia="楷体_GB2312" w:cs="宋体"/>
          <w:b/>
          <w:color w:val="auto"/>
          <w:kern w:val="0"/>
          <w:sz w:val="32"/>
          <w:szCs w:val="32"/>
          <w:highlight w:val="none"/>
        </w:rPr>
      </w:pPr>
      <w:bookmarkStart w:id="1180" w:name="_Toc31639"/>
      <w:bookmarkStart w:id="1181" w:name="_Toc11690"/>
      <w:bookmarkStart w:id="1182" w:name="_Toc19260"/>
      <w:r>
        <w:rPr>
          <w:rFonts w:hint="eastAsia" w:ascii="楷体_GB2312" w:hAnsi="楷体" w:eastAsia="楷体_GB2312" w:cs="宋体"/>
          <w:b/>
          <w:color w:val="auto"/>
          <w:kern w:val="0"/>
          <w:sz w:val="32"/>
          <w:szCs w:val="32"/>
          <w:highlight w:val="none"/>
        </w:rPr>
        <w:t>（二）施工单位职责</w:t>
      </w:r>
      <w:bookmarkEnd w:id="1180"/>
      <w:bookmarkEnd w:id="1181"/>
      <w:bookmarkEnd w:id="1182"/>
    </w:p>
    <w:p w14:paraId="64E0F473">
      <w:pPr>
        <w:widowControl/>
        <w:spacing w:line="360" w:lineRule="auto"/>
        <w:ind w:firstLine="627" w:firstLineChars="196"/>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1.具体承担建设工程施工扬尘污染防治工作，落实施工现场各项扬尘防治措施，建立扬尘污染防治检查制度。</w:t>
      </w:r>
    </w:p>
    <w:p w14:paraId="65A837D8">
      <w:pPr>
        <w:widowControl/>
        <w:spacing w:line="360" w:lineRule="auto"/>
        <w:ind w:firstLine="627" w:firstLineChars="196"/>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2．施工单位应当制定具体的施工扬尘污染防治实施方案和扬尘污染防治费用使用计划；在施工工地公示扬尘污染防治措施、负责人、扬尘监督管理主管部门的举报投诉电话等信息。</w:t>
      </w:r>
    </w:p>
    <w:p w14:paraId="7C262122">
      <w:pPr>
        <w:widowControl/>
        <w:spacing w:line="360" w:lineRule="auto"/>
        <w:ind w:firstLine="627" w:firstLineChars="196"/>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3.应当与具备相应资格的运输企业，建筑物处置场所签订处置协议，及时清运建筑土方、工程渣土、建筑垃圾等散体物料。</w:t>
      </w:r>
    </w:p>
    <w:p w14:paraId="44461F87">
      <w:pPr>
        <w:widowControl/>
        <w:spacing w:line="360" w:lineRule="auto"/>
        <w:ind w:firstLine="627" w:firstLineChars="196"/>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4.实行施工总承包管理的工程，施工总承包单位应当对分包单位的扬尘污染防治工作负总责，并与分包单位签订相关管理协议，督促分包单位落实扬尘污染防治措施。</w:t>
      </w:r>
    </w:p>
    <w:p w14:paraId="25C6C7D2">
      <w:pPr>
        <w:jc w:val="center"/>
        <w:rPr>
          <w:rFonts w:hint="eastAsia" w:ascii="楷体_GB2312" w:hAnsi="楷体" w:eastAsia="楷体_GB2312" w:cs="宋体"/>
          <w:b/>
          <w:color w:val="auto"/>
          <w:kern w:val="0"/>
          <w:sz w:val="32"/>
          <w:szCs w:val="32"/>
          <w:highlight w:val="none"/>
        </w:rPr>
      </w:pPr>
      <w:bookmarkStart w:id="1183" w:name="_Toc19245"/>
      <w:bookmarkStart w:id="1184" w:name="_Toc2397"/>
      <w:bookmarkStart w:id="1185" w:name="_Toc9086"/>
      <w:r>
        <w:rPr>
          <w:rFonts w:hint="eastAsia" w:ascii="楷体_GB2312" w:hAnsi="楷体" w:eastAsia="楷体_GB2312" w:cs="宋体"/>
          <w:b/>
          <w:color w:val="auto"/>
          <w:kern w:val="0"/>
          <w:sz w:val="32"/>
          <w:szCs w:val="32"/>
          <w:highlight w:val="none"/>
        </w:rPr>
        <w:t>（三）监理单位职责</w:t>
      </w:r>
      <w:bookmarkEnd w:id="1183"/>
      <w:bookmarkEnd w:id="1184"/>
      <w:bookmarkEnd w:id="1185"/>
    </w:p>
    <w:p w14:paraId="693B1671">
      <w:pPr>
        <w:widowControl/>
        <w:spacing w:line="360" w:lineRule="auto"/>
        <w:ind w:firstLine="627" w:firstLineChars="196"/>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1.应当将施工扬尘污染防治纳入监理范围，在监理规划中提出有针对性的监理措施，并加强对施工单位扬尘污染防治情况的检查，督促施工单位落实扬尘防治措施。</w:t>
      </w:r>
    </w:p>
    <w:p w14:paraId="18757AE6">
      <w:pPr>
        <w:widowControl/>
        <w:spacing w:line="360" w:lineRule="auto"/>
        <w:ind w:firstLine="627" w:firstLineChars="196"/>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2.在实施监理过程中，发现施工单位未落实扬尘污染防治措施的行为，应当要求施工单位予以整改，情节严重的应当要求施工单位暂时停止施工，并及时报告建设单位。施工单位拒不整改或者不停止施工的，监理单位应当向工程所在地相关行业主管部门报告。</w:t>
      </w:r>
    </w:p>
    <w:p w14:paraId="7DE3EA8B">
      <w:pPr>
        <w:jc w:val="center"/>
        <w:rPr>
          <w:rFonts w:hint="eastAsia" w:ascii="黑体" w:hAnsi="黑体" w:eastAsia="黑体"/>
          <w:color w:val="auto"/>
          <w:kern w:val="0"/>
          <w:sz w:val="32"/>
          <w:szCs w:val="32"/>
          <w:highlight w:val="none"/>
        </w:rPr>
      </w:pPr>
      <w:bookmarkStart w:id="1186" w:name="_Toc28590"/>
      <w:bookmarkStart w:id="1187" w:name="_Toc13270"/>
      <w:bookmarkStart w:id="1188" w:name="_Toc6163"/>
      <w:bookmarkStart w:id="1189" w:name="_Toc32501"/>
      <w:bookmarkStart w:id="1190" w:name="_Toc22988"/>
      <w:r>
        <w:rPr>
          <w:rFonts w:hint="eastAsia" w:ascii="黑体" w:hAnsi="黑体" w:eastAsia="黑体"/>
          <w:color w:val="auto"/>
          <w:kern w:val="0"/>
          <w:sz w:val="32"/>
          <w:szCs w:val="32"/>
          <w:highlight w:val="none"/>
        </w:rPr>
        <w:t>八、各级住建部门和各级监督机构的监管责任</w:t>
      </w:r>
      <w:bookmarkEnd w:id="1186"/>
      <w:bookmarkEnd w:id="1187"/>
      <w:bookmarkEnd w:id="1188"/>
      <w:bookmarkEnd w:id="1189"/>
      <w:bookmarkEnd w:id="1190"/>
    </w:p>
    <w:p w14:paraId="60EA2DB5">
      <w:pPr>
        <w:widowControl/>
        <w:spacing w:line="360" w:lineRule="auto"/>
        <w:ind w:firstLine="640" w:firstLineChars="200"/>
        <w:jc w:val="left"/>
        <w:rPr>
          <w:rFonts w:hint="eastAsia" w:ascii="仿宋_GB2312" w:hAnsi="宋体" w:eastAsia="仿宋_GB2312" w:cs="宋体"/>
          <w:color w:val="auto"/>
          <w:kern w:val="0"/>
          <w:sz w:val="32"/>
          <w:szCs w:val="32"/>
          <w:highlight w:val="none"/>
        </w:rPr>
      </w:pPr>
      <w:r>
        <w:rPr>
          <w:rFonts w:hint="eastAsia" w:ascii="仿宋_GB2312" w:hAnsi="宋体" w:eastAsia="仿宋_GB2312"/>
          <w:color w:val="auto"/>
          <w:kern w:val="0"/>
          <w:sz w:val="32"/>
          <w:szCs w:val="32"/>
          <w:highlight w:val="none"/>
        </w:rPr>
        <w:t>（一）各级住房城乡建设部门和各级（质量）安全监督机构应当将建设工程施工扬尘污染防治列入日常监管范围。</w:t>
      </w:r>
      <w:r>
        <w:rPr>
          <w:rFonts w:hint="eastAsia" w:ascii="仿宋_GB2312" w:hAnsi="宋体" w:eastAsia="仿宋_GB2312" w:cs="宋体"/>
          <w:color w:val="auto"/>
          <w:kern w:val="0"/>
          <w:sz w:val="32"/>
          <w:szCs w:val="32"/>
          <w:highlight w:val="none"/>
        </w:rPr>
        <w:t>按照“谁发证，谁负责”和属地管理原则，建立建设项目清单化管理，明确监管责任单位和责任人。</w:t>
      </w:r>
    </w:p>
    <w:p w14:paraId="77EB10E0">
      <w:pPr>
        <w:widowControl/>
        <w:spacing w:line="360" w:lineRule="auto"/>
        <w:ind w:firstLine="640" w:firstLineChars="200"/>
        <w:jc w:val="left"/>
        <w:rPr>
          <w:rFonts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（二）严格监管，精细化管理。</w:t>
      </w:r>
    </w:p>
    <w:p w14:paraId="31CD8D24">
      <w:pPr>
        <w:widowControl/>
        <w:spacing w:line="360" w:lineRule="auto"/>
        <w:ind w:firstLine="640" w:firstLineChars="200"/>
        <w:jc w:val="left"/>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1.加强对新开工项目监管。对措施未完善、管理不到位的新开工项目一律不得开工；</w:t>
      </w:r>
      <w:r>
        <w:rPr>
          <w:rFonts w:ascii="仿宋_GB2312" w:hAnsi="宋体" w:eastAsia="仿宋_GB2312"/>
          <w:color w:val="auto"/>
          <w:kern w:val="0"/>
          <w:sz w:val="32"/>
          <w:szCs w:val="32"/>
          <w:highlight w:val="none"/>
        </w:rPr>
        <w:t>对未办理施工许可擅自开工建设的工程项目</w:t>
      </w:r>
      <w:r>
        <w:rPr>
          <w:rFonts w:hint="eastAsia" w:ascii="仿宋_GB2312" w:hAnsi="宋体" w:eastAsia="仿宋_GB2312"/>
          <w:color w:val="auto"/>
          <w:kern w:val="0"/>
          <w:sz w:val="32"/>
          <w:szCs w:val="32"/>
          <w:highlight w:val="none"/>
        </w:rPr>
        <w:t>加强</w:t>
      </w:r>
      <w:r>
        <w:rPr>
          <w:rFonts w:ascii="仿宋_GB2312" w:hAnsi="宋体" w:eastAsia="仿宋_GB2312"/>
          <w:color w:val="auto"/>
          <w:kern w:val="0"/>
          <w:sz w:val="32"/>
          <w:szCs w:val="32"/>
          <w:highlight w:val="none"/>
        </w:rPr>
        <w:t>稽查，</w:t>
      </w:r>
      <w:r>
        <w:rPr>
          <w:rFonts w:hint="eastAsia" w:ascii="仿宋_GB2312" w:hAnsi="宋体" w:eastAsia="仿宋_GB2312"/>
          <w:color w:val="auto"/>
          <w:kern w:val="0"/>
          <w:sz w:val="32"/>
          <w:szCs w:val="32"/>
          <w:highlight w:val="none"/>
        </w:rPr>
        <w:t>并抄告城管部门。</w:t>
      </w:r>
    </w:p>
    <w:p w14:paraId="53EEB6F8">
      <w:pPr>
        <w:widowControl/>
        <w:spacing w:line="360" w:lineRule="auto"/>
        <w:ind w:firstLine="640" w:firstLineChars="200"/>
        <w:jc w:val="left"/>
        <w:rPr>
          <w:rFonts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2.实施清单化管理。建立在建工程项目清单和重点监管项目清单，明确防治责任单位及其责任人、监管部门及其责任人，健全各项措施落实台帐，及时更新，清单化管理。</w:t>
      </w:r>
    </w:p>
    <w:p w14:paraId="66B3A7E9">
      <w:pPr>
        <w:widowControl/>
        <w:spacing w:line="360" w:lineRule="auto"/>
        <w:ind w:firstLine="640" w:firstLineChars="200"/>
        <w:jc w:val="left"/>
        <w:rPr>
          <w:rFonts w:ascii="仿宋_GB2312" w:hAnsi="宋体" w:eastAsia="仿宋_GB2312" w:cs="宋体"/>
          <w:color w:val="auto"/>
          <w:kern w:val="0"/>
          <w:sz w:val="32"/>
          <w:szCs w:val="32"/>
          <w:highlight w:val="none"/>
        </w:rPr>
      </w:pPr>
      <w:r>
        <w:rPr>
          <w:rFonts w:hint="eastAsia" w:ascii="仿宋_GB2312" w:hAnsi="宋体" w:eastAsia="仿宋_GB2312"/>
          <w:color w:val="auto"/>
          <w:kern w:val="0"/>
          <w:sz w:val="32"/>
          <w:szCs w:val="32"/>
          <w:highlight w:val="none"/>
        </w:rPr>
        <w:t>3.严格执法，督促各项措施落实。各级监管部门在开展文明施工常态化督查巡查时，要督促责任企业严格按照扬尘防治措施相关文件要求抓好落实。将有土方作业的房屋工程、市政工程、交通道路工程、</w:t>
      </w:r>
      <w:r>
        <w:rPr>
          <w:rFonts w:hint="eastAsia" w:ascii="仿宋_GB2312" w:eastAsia="仿宋_GB2312"/>
          <w:color w:val="auto"/>
          <w:kern w:val="0"/>
          <w:sz w:val="32"/>
          <w:szCs w:val="32"/>
          <w:highlight w:val="none"/>
        </w:rPr>
        <w:t>空气子站较近施工工地列入重点监管名单，实施重点监控，重点巡查，</w:t>
      </w:r>
      <w:r>
        <w:rPr>
          <w:rFonts w:hint="eastAsia" w:ascii="仿宋_GB2312" w:hAnsi="宋体" w:eastAsia="仿宋_GB2312"/>
          <w:color w:val="auto"/>
          <w:kern w:val="0"/>
          <w:sz w:val="32"/>
          <w:szCs w:val="32"/>
          <w:highlight w:val="none"/>
        </w:rPr>
        <w:t>对发现的扬尘污染落实不到位的工地应该建立台帐，督促整改，定期通报，采取信用处罚、行政处罚等手段督促工地落实“6个100%”的管理要求。</w:t>
      </w:r>
    </w:p>
    <w:p w14:paraId="2D5B2B61">
      <w:pPr>
        <w:widowControl/>
        <w:spacing w:line="360" w:lineRule="auto"/>
        <w:ind w:firstLine="640" w:firstLineChars="200"/>
        <w:jc w:val="left"/>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4.加大曝光力度。各级住建部门应当督促施工单位建立施工扬尘污染投诉举报和信息公开制度，完善重点督办和跟踪处理制度，对扬尘污染治理不力的责任单位、治理黑点及其跟踪处理情况及时通过新闻媒体或者部门网站向社会公布。</w:t>
      </w:r>
    </w:p>
    <w:p w14:paraId="7477F218">
      <w:pPr>
        <w:widowControl/>
        <w:spacing w:line="360" w:lineRule="auto"/>
        <w:ind w:firstLine="640" w:firstLineChars="200"/>
        <w:jc w:val="left"/>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（三）组织相关行业协会在开展安全文明、绿色施工示范工程评审时，将建设工程施工扬尘污染防治情况纳入评审保证项条件。</w:t>
      </w:r>
    </w:p>
    <w:p w14:paraId="4B9E7109">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br w:type="page"/>
      </w:r>
    </w:p>
    <w:p w14:paraId="3A8E5641">
      <w:pPr>
        <w:spacing w:before="240" w:beforeLines="100" w:after="240" w:afterLines="100" w:line="420" w:lineRule="exact"/>
        <w:outlineLvl w:val="1"/>
        <w:rPr>
          <w:rFonts w:ascii="宋体" w:hAnsi="宋体" w:cs="宋体"/>
          <w:b/>
          <w:bCs/>
          <w:color w:val="auto"/>
          <w:kern w:val="0"/>
          <w:sz w:val="22"/>
          <w:szCs w:val="22"/>
          <w:highlight w:val="none"/>
        </w:rPr>
      </w:pPr>
      <w:bookmarkStart w:id="1191" w:name="_Toc1054"/>
      <w:bookmarkStart w:id="1192" w:name="_Toc16912"/>
      <w:bookmarkStart w:id="1193" w:name="_Toc155166237"/>
      <w:bookmarkStart w:id="1194" w:name="_Toc26772"/>
      <w:bookmarkStart w:id="1195" w:name="_Toc23817"/>
      <w:r>
        <w:rPr>
          <w:rFonts w:hint="eastAsia" w:ascii="宋体" w:hAnsi="宋体" w:cs="宋体"/>
          <w:b/>
          <w:bCs/>
          <w:color w:val="auto"/>
          <w:kern w:val="0"/>
          <w:sz w:val="22"/>
          <w:szCs w:val="22"/>
          <w:highlight w:val="none"/>
        </w:rPr>
        <w:t>附件十八：</w:t>
      </w:r>
      <w:bookmarkStart w:id="1196" w:name="_Toc14915"/>
      <w:bookmarkStart w:id="1197" w:name="_Toc100504402"/>
      <w:bookmarkStart w:id="1198" w:name="_Toc32015"/>
      <w:r>
        <w:rPr>
          <w:rFonts w:hint="eastAsia" w:ascii="宋体" w:hAnsi="宋体" w:cs="宋体"/>
          <w:b/>
          <w:bCs/>
          <w:color w:val="auto"/>
          <w:kern w:val="0"/>
          <w:sz w:val="22"/>
          <w:szCs w:val="22"/>
          <w:highlight w:val="none"/>
        </w:rPr>
        <w:t>番禺区水务工程参建单位管理人员考核要求</w:t>
      </w:r>
      <w:bookmarkEnd w:id="1191"/>
      <w:bookmarkEnd w:id="1192"/>
      <w:bookmarkEnd w:id="1193"/>
      <w:bookmarkEnd w:id="1194"/>
      <w:bookmarkEnd w:id="1195"/>
      <w:bookmarkEnd w:id="1196"/>
      <w:bookmarkEnd w:id="1197"/>
      <w:bookmarkEnd w:id="1198"/>
    </w:p>
    <w:p w14:paraId="637B2DAA">
      <w:pPr>
        <w:pStyle w:val="109"/>
        <w:widowControl w:val="0"/>
        <w:spacing w:before="0" w:after="0"/>
        <w:jc w:val="center"/>
        <w:rPr>
          <w:rFonts w:hint="eastAsia" w:ascii="宋体" w:hAnsi="宋体" w:eastAsia="宋体"/>
          <w:b/>
          <w:bCs/>
          <w:color w:val="auto"/>
          <w:sz w:val="30"/>
          <w:highlight w:val="none"/>
        </w:rPr>
      </w:pPr>
      <w:bookmarkStart w:id="1199" w:name="_Toc23370"/>
      <w:bookmarkStart w:id="1200" w:name="_Toc12719"/>
      <w:bookmarkStart w:id="1201" w:name="_Toc15256"/>
      <w:bookmarkStart w:id="1202" w:name="_Toc19883"/>
      <w:bookmarkStart w:id="1203" w:name="_Toc8609"/>
      <w:r>
        <w:rPr>
          <w:rFonts w:hint="eastAsia" w:ascii="宋体" w:hAnsi="宋体" w:eastAsia="宋体"/>
          <w:b/>
          <w:bCs/>
          <w:color w:val="auto"/>
          <w:sz w:val="30"/>
          <w:highlight w:val="none"/>
        </w:rPr>
        <w:t>番禺区水务工程参建单位管理人员考核要求</w:t>
      </w:r>
      <w:bookmarkEnd w:id="1199"/>
      <w:bookmarkEnd w:id="1200"/>
      <w:bookmarkEnd w:id="1201"/>
      <w:bookmarkEnd w:id="1202"/>
      <w:bookmarkEnd w:id="1203"/>
    </w:p>
    <w:p w14:paraId="0FCB6E7D">
      <w:pPr>
        <w:jc w:val="center"/>
        <w:rPr>
          <w:rFonts w:hint="eastAsia" w:ascii="宋体" w:hAnsi="宋体"/>
          <w:b/>
          <w:color w:val="auto"/>
          <w:sz w:val="24"/>
          <w:highlight w:val="none"/>
        </w:rPr>
      </w:pPr>
      <w:r>
        <w:rPr>
          <w:rFonts w:hint="eastAsia" w:ascii="宋体" w:hAnsi="宋体"/>
          <w:b/>
          <w:color w:val="auto"/>
          <w:sz w:val="24"/>
          <w:highlight w:val="none"/>
        </w:rPr>
        <w:t>【本条款适用于最高投标限价在5000万元（含）以上项目】</w:t>
      </w:r>
    </w:p>
    <w:p w14:paraId="703D7F00">
      <w:pPr>
        <w:jc w:val="center"/>
        <w:rPr>
          <w:rFonts w:hint="eastAsia" w:ascii="宋体" w:hAnsi="宋体"/>
          <w:color w:val="auto"/>
          <w:sz w:val="24"/>
          <w:highlight w:val="none"/>
        </w:rPr>
      </w:pPr>
      <w:bookmarkStart w:id="1204" w:name="_Toc18017"/>
      <w:bookmarkStart w:id="1205" w:name="_Toc21717"/>
      <w:bookmarkStart w:id="1206" w:name="_Toc8921"/>
      <w:bookmarkStart w:id="1207" w:name="_Toc7669"/>
      <w:bookmarkStart w:id="1208" w:name="_Toc19374"/>
      <w:r>
        <w:rPr>
          <w:rFonts w:hint="eastAsia" w:ascii="宋体" w:hAnsi="宋体"/>
          <w:b/>
          <w:color w:val="auto"/>
          <w:sz w:val="24"/>
          <w:highlight w:val="none"/>
        </w:rPr>
        <w:t>第一章 总则</w:t>
      </w:r>
      <w:bookmarkEnd w:id="1204"/>
      <w:bookmarkEnd w:id="1205"/>
      <w:bookmarkEnd w:id="1206"/>
      <w:bookmarkEnd w:id="1207"/>
      <w:bookmarkEnd w:id="1208"/>
    </w:p>
    <w:p w14:paraId="5F062E94">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第一条 为加强我区水务工程参建单位履约管理工作，提升其管理人员的服务质量，根据有关法律、法规和规章，特制定本要求。</w:t>
      </w:r>
    </w:p>
    <w:p w14:paraId="6F8C0F31">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第二条 本要求适用于我区水务工程咨询、设计、监理、施工等单位。</w:t>
      </w:r>
    </w:p>
    <w:p w14:paraId="3367BAA3">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第三条 建设（代建）单位作为工程建设责任主体，具体考核工作由建设（代建）单位负责。</w:t>
      </w:r>
    </w:p>
    <w:p w14:paraId="48FF710D">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第四条 建设（代建）单位每月25日对参建单位管理人员进行考核，并做好相关台账。</w:t>
      </w:r>
    </w:p>
    <w:p w14:paraId="6B25169F">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第五条 建设（代建）单位在完成考核评价后，将其结果在2个工作日内以书面形式函告被评价单位。如被评价单位对评价结果有异议的，应当在收到书面通知3个工作日内向建设（代建）单位提出书面申诉，并提供必要的证明材料。逾期不提出申诉的，视为自动放弃申诉权利。</w:t>
      </w:r>
    </w:p>
    <w:p w14:paraId="3BB9A267">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第六条 建设（代建）单位每月完成考核评价工作后，在10个工作日内将考核资料电子版报局综合计划科备案。</w:t>
      </w:r>
    </w:p>
    <w:p w14:paraId="50226259">
      <w:pPr>
        <w:spacing w:line="360" w:lineRule="auto"/>
        <w:ind w:firstLine="640"/>
        <w:jc w:val="center"/>
        <w:rPr>
          <w:rFonts w:hint="eastAsia" w:ascii="宋体" w:hAnsi="宋体"/>
          <w:color w:val="auto"/>
          <w:sz w:val="24"/>
          <w:highlight w:val="none"/>
        </w:rPr>
      </w:pPr>
    </w:p>
    <w:p w14:paraId="5CFED472">
      <w:pPr>
        <w:jc w:val="center"/>
        <w:rPr>
          <w:rFonts w:hint="eastAsia" w:ascii="宋体" w:hAnsi="宋体"/>
          <w:b/>
          <w:bCs/>
          <w:color w:val="auto"/>
          <w:sz w:val="24"/>
          <w:highlight w:val="none"/>
        </w:rPr>
      </w:pPr>
      <w:bookmarkStart w:id="1209" w:name="_Toc5817"/>
      <w:bookmarkStart w:id="1210" w:name="_Toc18444"/>
      <w:bookmarkStart w:id="1211" w:name="_Toc12054"/>
      <w:bookmarkStart w:id="1212" w:name="_Toc30077"/>
      <w:bookmarkStart w:id="1213" w:name="_Toc21459"/>
      <w:r>
        <w:rPr>
          <w:rFonts w:hint="eastAsia" w:ascii="宋体" w:hAnsi="宋体"/>
          <w:b/>
          <w:bCs/>
          <w:color w:val="auto"/>
          <w:sz w:val="24"/>
          <w:highlight w:val="none"/>
        </w:rPr>
        <w:t>第二章 考核细则</w:t>
      </w:r>
      <w:bookmarkEnd w:id="1209"/>
      <w:bookmarkEnd w:id="1210"/>
      <w:bookmarkEnd w:id="1211"/>
      <w:bookmarkEnd w:id="1212"/>
      <w:bookmarkEnd w:id="1213"/>
    </w:p>
    <w:p w14:paraId="761F0686">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第七条 考核原则。统一标准、客观公正、实事求是。</w:t>
      </w:r>
    </w:p>
    <w:p w14:paraId="00FEB2E5">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第八条 考核对象。咨询、设计单位考核重点对象包括不限于项目负责人、设计代表；监理单位考核重点对象包括不限于总监理工程师、现场监理、监理员；施工单位包括不限于项目负责人、技术负责人、安全员、资料员等，以上人员须与投标文件管理人员一致。</w:t>
      </w:r>
    </w:p>
    <w:p w14:paraId="514B5090">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第九条 考核依据。被考核人的日常考勤、交通及设备配备记录、工作表现等台账。</w:t>
      </w:r>
    </w:p>
    <w:p w14:paraId="004064AB">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第十条 考核评分办法。考核评分满分为100分，考核内容主要包括人员出勤、专业技术能力、综合能力等，具体评分内容及赋分情况详见《番禺区水务工程参建单位管理人员考核评分表》（见附件1~5）。</w:t>
      </w:r>
    </w:p>
    <w:p w14:paraId="7C93AB69">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第十一条 考核评价办法。实行“红黄牌”制度，具体如下：</w:t>
      </w:r>
    </w:p>
    <w:p w14:paraId="0A073DCF">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（一）考核评分表低于60分的，认定为一次“黄牌事件”；考核评分表低于40分的，认定为一次“红牌”事件。</w:t>
      </w:r>
    </w:p>
    <w:p w14:paraId="029305B8">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（二）一年内累计三次“黄牌”事件认定为一次“红牌”事件。</w:t>
      </w:r>
    </w:p>
    <w:p w14:paraId="0DB7C8DA">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（三）“黄牌”和“红牌”事件在作出书面处罚决定一年内有效。</w:t>
      </w:r>
    </w:p>
    <w:p w14:paraId="559CF61B">
      <w:pPr>
        <w:spacing w:line="360" w:lineRule="auto"/>
        <w:ind w:firstLine="640"/>
        <w:rPr>
          <w:rFonts w:hint="eastAsia" w:ascii="宋体" w:hAnsi="宋体"/>
          <w:color w:val="auto"/>
          <w:sz w:val="24"/>
          <w:highlight w:val="none"/>
        </w:rPr>
      </w:pPr>
    </w:p>
    <w:p w14:paraId="57968C83">
      <w:pPr>
        <w:jc w:val="center"/>
        <w:rPr>
          <w:rFonts w:hint="eastAsia" w:ascii="宋体" w:hAnsi="宋体"/>
          <w:b/>
          <w:bCs/>
          <w:color w:val="auto"/>
          <w:sz w:val="24"/>
          <w:highlight w:val="none"/>
        </w:rPr>
      </w:pPr>
      <w:bookmarkStart w:id="1214" w:name="_Toc8432"/>
      <w:bookmarkStart w:id="1215" w:name="_Toc9383"/>
      <w:bookmarkStart w:id="1216" w:name="_Toc29083"/>
      <w:bookmarkStart w:id="1217" w:name="_Toc32393"/>
      <w:bookmarkStart w:id="1218" w:name="_Toc9490"/>
      <w:r>
        <w:rPr>
          <w:rFonts w:hint="eastAsia" w:ascii="宋体" w:hAnsi="宋体"/>
          <w:b/>
          <w:bCs/>
          <w:color w:val="auto"/>
          <w:sz w:val="24"/>
          <w:highlight w:val="none"/>
        </w:rPr>
        <w:t>第三章 奖惩措施</w:t>
      </w:r>
      <w:bookmarkEnd w:id="1214"/>
      <w:bookmarkEnd w:id="1215"/>
      <w:bookmarkEnd w:id="1216"/>
      <w:bookmarkEnd w:id="1217"/>
      <w:bookmarkEnd w:id="1218"/>
    </w:p>
    <w:p w14:paraId="179D585D">
      <w:pPr>
        <w:autoSpaceDE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第十二条 考核评价出现一次“黄牌”事件的，建设（代建）单位对被考核单位主要负责人进行约谈警告；考核评价累计出现2次“黄牌”事件的，建设（代建）单位要求被考核单位更换不合格管理人员，更换人员的学历、职称及工作经验不得低于原管理人员。建设（代建）单位有权扣除每人次5000元~20000元作为违约金，被考核单位在办理请款手续时，必须提供考核评价结果作为当月请款必备资料，建设（代建）单位在当期进度款中予以扣除，被考核单位要对出现黄牌事件的相关人员进行处理，处理情况形成报告送建设（代建）单位备案。</w:t>
      </w:r>
    </w:p>
    <w:p w14:paraId="5BE3C408">
      <w:pPr>
        <w:autoSpaceDE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第十三条 出现一次“红牌”事件的，建设（代建）要求被考核单位更换不合格管理人员，更换人员的学历、职称及工作经验不得低于原管理人员。由区水务局作出通报批评，建设（代建）单位有权扣除每人次20000元~40000元作为违约金，被考核单位在办理请款手续时，必须提供考核评价结果作为当月请款必备资料，建设（代建）单位在当期进度款中予以扣除，被考核单位要对出现黄牌事件的相关人员进行处理，处理情况形成报告送建设（代建）单位备案。</w:t>
      </w:r>
    </w:p>
    <w:p w14:paraId="6DA66637">
      <w:pPr>
        <w:autoSpaceDE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第十四条 出现两次“红牌”事件的，建设（代建）有权解除合同，被考核单位务必在2日内无条件退场，造成的一切损失由被考核单位承担。</w:t>
      </w:r>
    </w:p>
    <w:p w14:paraId="329FF1EB">
      <w:pPr>
        <w:autoSpaceDE w:val="0"/>
        <w:spacing w:line="360" w:lineRule="auto"/>
        <w:ind w:firstLine="482" w:firstLineChars="200"/>
        <w:jc w:val="center"/>
        <w:rPr>
          <w:rFonts w:hint="eastAsia" w:ascii="宋体" w:hAnsi="宋体"/>
          <w:b/>
          <w:color w:val="auto"/>
          <w:sz w:val="24"/>
          <w:highlight w:val="none"/>
        </w:rPr>
      </w:pPr>
    </w:p>
    <w:p w14:paraId="6040584C">
      <w:pPr>
        <w:jc w:val="center"/>
        <w:rPr>
          <w:rFonts w:hint="eastAsia" w:ascii="宋体" w:hAnsi="宋体"/>
          <w:b/>
          <w:color w:val="auto"/>
          <w:sz w:val="24"/>
          <w:highlight w:val="none"/>
        </w:rPr>
      </w:pPr>
      <w:bookmarkStart w:id="1219" w:name="_Toc17422"/>
      <w:bookmarkStart w:id="1220" w:name="_Toc12278"/>
      <w:bookmarkStart w:id="1221" w:name="_Toc4401"/>
      <w:bookmarkStart w:id="1222" w:name="_Toc11125"/>
      <w:bookmarkStart w:id="1223" w:name="_Toc31818"/>
      <w:r>
        <w:rPr>
          <w:rFonts w:hint="eastAsia" w:ascii="宋体" w:hAnsi="宋体"/>
          <w:b/>
          <w:color w:val="auto"/>
          <w:sz w:val="24"/>
          <w:highlight w:val="none"/>
        </w:rPr>
        <w:t>第四章 附则</w:t>
      </w:r>
      <w:bookmarkEnd w:id="1219"/>
      <w:bookmarkEnd w:id="1220"/>
      <w:bookmarkEnd w:id="1221"/>
      <w:bookmarkEnd w:id="1222"/>
      <w:bookmarkEnd w:id="1223"/>
    </w:p>
    <w:p w14:paraId="4CFF374A">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第十五条 本要求由区水务局负责解释。</w:t>
      </w:r>
    </w:p>
    <w:p w14:paraId="2356F7A8">
      <w:pPr>
        <w:spacing w:line="360" w:lineRule="auto"/>
        <w:ind w:firstLine="480" w:firstLineChars="200"/>
        <w:rPr>
          <w:rFonts w:hint="eastAsia" w:ascii="宋体" w:hAnsi="宋体"/>
          <w:color w:val="auto"/>
          <w:sz w:val="24"/>
          <w:highlight w:val="none"/>
        </w:rPr>
      </w:pPr>
    </w:p>
    <w:p w14:paraId="03E965DF">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附件：番禺区水务工程参建单位管理人员考核评分表1~5。</w:t>
      </w:r>
    </w:p>
    <w:p w14:paraId="2C150E2A">
      <w:pPr>
        <w:ind w:firstLine="640"/>
        <w:rPr>
          <w:rFonts w:hint="eastAsia" w:ascii="仿宋" w:hAnsi="仿宋" w:eastAsia="仿宋"/>
          <w:color w:val="auto"/>
          <w:sz w:val="32"/>
          <w:szCs w:val="32"/>
          <w:highlight w:val="none"/>
        </w:rPr>
      </w:pPr>
    </w:p>
    <w:p w14:paraId="2E23FF19">
      <w:pPr>
        <w:widowControl/>
        <w:jc w:val="left"/>
        <w:rPr>
          <w:rFonts w:ascii="宋体" w:hAnsi="宋体"/>
          <w:color w:val="auto"/>
          <w:sz w:val="24"/>
          <w:highlight w:val="none"/>
        </w:rPr>
      </w:pPr>
      <w:bookmarkStart w:id="1224" w:name="_Toc20190"/>
      <w:bookmarkStart w:id="1225" w:name="_Toc3766"/>
      <w:bookmarkStart w:id="1226" w:name="_Toc29255"/>
      <w:r>
        <w:rPr>
          <w:rFonts w:ascii="宋体" w:hAnsi="宋体"/>
          <w:color w:val="auto"/>
          <w:sz w:val="24"/>
          <w:highlight w:val="none"/>
        </w:rPr>
        <w:br w:type="page"/>
      </w:r>
    </w:p>
    <w:p w14:paraId="198E2DC7">
      <w:pPr>
        <w:spacing w:line="360" w:lineRule="auto"/>
        <w:ind w:firstLine="480" w:firstLineChars="200"/>
        <w:rPr>
          <w:rFonts w:hint="eastAsia" w:ascii="宋体" w:hAnsi="宋体"/>
          <w:color w:val="auto"/>
          <w:sz w:val="24"/>
          <w:highlight w:val="none"/>
        </w:rPr>
      </w:pPr>
      <w:bookmarkStart w:id="1227" w:name="_Toc18163"/>
      <w:bookmarkStart w:id="1228" w:name="_Toc16469"/>
      <w:bookmarkStart w:id="1229" w:name="_Toc32671"/>
      <w:bookmarkStart w:id="1230" w:name="_Toc29387"/>
      <w:bookmarkStart w:id="1231" w:name="_Toc11283"/>
      <w:r>
        <w:rPr>
          <w:rFonts w:hint="eastAsia" w:ascii="宋体" w:hAnsi="宋体"/>
          <w:color w:val="auto"/>
          <w:sz w:val="24"/>
          <w:highlight w:val="none"/>
        </w:rPr>
        <w:t>附表1</w:t>
      </w:r>
      <w:bookmarkEnd w:id="1224"/>
      <w:bookmarkEnd w:id="1225"/>
      <w:bookmarkEnd w:id="1226"/>
      <w:bookmarkEnd w:id="1227"/>
      <w:bookmarkEnd w:id="1228"/>
      <w:bookmarkEnd w:id="1229"/>
      <w:bookmarkEnd w:id="1230"/>
      <w:bookmarkEnd w:id="1231"/>
      <w:r>
        <w:rPr>
          <w:rFonts w:hint="eastAsia" w:ascii="宋体" w:hAnsi="宋体"/>
          <w:color w:val="auto"/>
          <w:sz w:val="24"/>
          <w:highlight w:val="none"/>
        </w:rPr>
        <w:t xml:space="preserve"> </w:t>
      </w:r>
    </w:p>
    <w:tbl>
      <w:tblPr>
        <w:tblStyle w:val="41"/>
        <w:tblW w:w="9371" w:type="dxa"/>
        <w:tblInd w:w="93" w:type="dxa"/>
        <w:tblLayout w:type="fixed"/>
        <w:tblCellMar>
          <w:top w:w="0" w:type="dxa"/>
          <w:left w:w="108" w:type="dxa"/>
          <w:bottom w:w="0" w:type="dxa"/>
          <w:right w:w="108" w:type="dxa"/>
        </w:tblCellMar>
      </w:tblPr>
      <w:tblGrid>
        <w:gridCol w:w="582"/>
        <w:gridCol w:w="1134"/>
        <w:gridCol w:w="2127"/>
        <w:gridCol w:w="708"/>
        <w:gridCol w:w="851"/>
        <w:gridCol w:w="709"/>
        <w:gridCol w:w="1275"/>
        <w:gridCol w:w="711"/>
        <w:gridCol w:w="1274"/>
      </w:tblGrid>
      <w:tr w14:paraId="33E720ED">
        <w:tblPrEx>
          <w:tblCellMar>
            <w:top w:w="0" w:type="dxa"/>
            <w:left w:w="108" w:type="dxa"/>
            <w:bottom w:w="0" w:type="dxa"/>
            <w:right w:w="108" w:type="dxa"/>
          </w:tblCellMar>
        </w:tblPrEx>
        <w:trPr>
          <w:trHeight w:val="522" w:hRule="atLeast"/>
        </w:trPr>
        <w:tc>
          <w:tcPr>
            <w:tcW w:w="9371" w:type="dxa"/>
            <w:gridSpan w:val="9"/>
            <w:tcBorders>
              <w:top w:val="single" w:color="000000" w:sz="4" w:space="0"/>
              <w:left w:val="single" w:color="000000" w:sz="4" w:space="0"/>
              <w:bottom w:val="single" w:color="000000" w:sz="4" w:space="0"/>
              <w:right w:val="single" w:color="000000" w:sz="4" w:space="0"/>
            </w:tcBorders>
            <w:noWrap w:val="0"/>
            <w:vAlign w:val="center"/>
          </w:tcPr>
          <w:p w14:paraId="2DDB51C0">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番禺区水务工程施工单位管理人员考核评分表(项目负责人）</w:t>
            </w:r>
          </w:p>
        </w:tc>
      </w:tr>
      <w:tr w14:paraId="283ECB3B">
        <w:tblPrEx>
          <w:tblCellMar>
            <w:top w:w="0" w:type="dxa"/>
            <w:left w:w="108" w:type="dxa"/>
            <w:bottom w:w="0" w:type="dxa"/>
            <w:right w:w="108" w:type="dxa"/>
          </w:tblCellMar>
        </w:tblPrEx>
        <w:trPr>
          <w:trHeight w:val="402"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14:paraId="35863257">
            <w:pPr>
              <w:widowControl/>
              <w:jc w:val="center"/>
              <w:rPr>
                <w:rFonts w:ascii="宋体" w:hAnsi="宋体" w:cs="宋体"/>
                <w:color w:val="auto"/>
                <w:kern w:val="0"/>
                <w:highlight w:val="none"/>
              </w:rPr>
            </w:pPr>
            <w:r>
              <w:rPr>
                <w:rFonts w:hint="eastAsia" w:ascii="宋体" w:hAnsi="宋体" w:cs="宋体"/>
                <w:color w:val="auto"/>
                <w:kern w:val="0"/>
                <w:highlight w:val="none"/>
              </w:rPr>
              <w:t>工程名称</w:t>
            </w:r>
          </w:p>
        </w:tc>
        <w:tc>
          <w:tcPr>
            <w:tcW w:w="4395" w:type="dxa"/>
            <w:gridSpan w:val="4"/>
            <w:tcBorders>
              <w:top w:val="single" w:color="000000" w:sz="4" w:space="0"/>
              <w:left w:val="single" w:color="000000" w:sz="4" w:space="0"/>
              <w:bottom w:val="single" w:color="000000" w:sz="4" w:space="0"/>
              <w:right w:val="single" w:color="000000" w:sz="4" w:space="0"/>
            </w:tcBorders>
            <w:noWrap w:val="0"/>
            <w:vAlign w:val="center"/>
          </w:tcPr>
          <w:p w14:paraId="43D3C024">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51378F18">
            <w:pPr>
              <w:widowControl/>
              <w:jc w:val="center"/>
              <w:rPr>
                <w:rFonts w:ascii="宋体" w:hAnsi="宋体" w:cs="宋体"/>
                <w:color w:val="auto"/>
                <w:kern w:val="0"/>
                <w:highlight w:val="none"/>
              </w:rPr>
            </w:pPr>
            <w:r>
              <w:rPr>
                <w:rFonts w:hint="eastAsia" w:ascii="宋体" w:hAnsi="宋体" w:cs="宋体"/>
                <w:color w:val="auto"/>
                <w:kern w:val="0"/>
                <w:highlight w:val="none"/>
              </w:rPr>
              <w:t>评分时间</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14:paraId="7D597FE4">
            <w:pPr>
              <w:widowControl/>
              <w:jc w:val="center"/>
              <w:rPr>
                <w:rFonts w:ascii="宋体" w:hAnsi="宋体" w:cs="宋体"/>
                <w:color w:val="auto"/>
                <w:kern w:val="0"/>
                <w:highlight w:val="none"/>
              </w:rPr>
            </w:pPr>
          </w:p>
        </w:tc>
      </w:tr>
      <w:tr w14:paraId="7D6F0C51">
        <w:tblPrEx>
          <w:tblCellMar>
            <w:top w:w="0" w:type="dxa"/>
            <w:left w:w="108" w:type="dxa"/>
            <w:bottom w:w="0" w:type="dxa"/>
            <w:right w:w="108" w:type="dxa"/>
          </w:tblCellMar>
        </w:tblPrEx>
        <w:trPr>
          <w:trHeight w:val="423"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14:paraId="07D42782">
            <w:pPr>
              <w:widowControl/>
              <w:jc w:val="center"/>
              <w:rPr>
                <w:rFonts w:ascii="宋体" w:hAnsi="宋体" w:cs="宋体"/>
                <w:color w:val="auto"/>
                <w:kern w:val="0"/>
                <w:highlight w:val="none"/>
              </w:rPr>
            </w:pPr>
            <w:r>
              <w:rPr>
                <w:rFonts w:hint="eastAsia" w:ascii="宋体" w:hAnsi="宋体" w:cs="宋体"/>
                <w:color w:val="auto"/>
                <w:kern w:val="0"/>
                <w:highlight w:val="none"/>
              </w:rPr>
              <w:t>建设单位</w:t>
            </w:r>
          </w:p>
        </w:tc>
        <w:tc>
          <w:tcPr>
            <w:tcW w:w="4395" w:type="dxa"/>
            <w:gridSpan w:val="4"/>
            <w:tcBorders>
              <w:top w:val="single" w:color="000000" w:sz="4" w:space="0"/>
              <w:left w:val="single" w:color="000000" w:sz="4" w:space="0"/>
              <w:bottom w:val="single" w:color="000000" w:sz="4" w:space="0"/>
              <w:right w:val="single" w:color="000000" w:sz="4" w:space="0"/>
            </w:tcBorders>
            <w:noWrap w:val="0"/>
            <w:vAlign w:val="center"/>
          </w:tcPr>
          <w:p w14:paraId="120CD28A">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44F7CF8C">
            <w:pPr>
              <w:widowControl/>
              <w:jc w:val="center"/>
              <w:rPr>
                <w:rFonts w:ascii="宋体" w:hAnsi="宋体" w:cs="宋体"/>
                <w:color w:val="auto"/>
                <w:kern w:val="0"/>
                <w:highlight w:val="none"/>
              </w:rPr>
            </w:pPr>
            <w:r>
              <w:rPr>
                <w:rFonts w:hint="eastAsia" w:ascii="宋体" w:hAnsi="宋体" w:cs="宋体"/>
                <w:color w:val="auto"/>
                <w:kern w:val="0"/>
                <w:highlight w:val="none"/>
              </w:rPr>
              <w:t>评分人</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14:paraId="4BED16B1">
            <w:pPr>
              <w:widowControl/>
              <w:jc w:val="center"/>
              <w:rPr>
                <w:rFonts w:ascii="宋体" w:hAnsi="宋体" w:cs="宋体"/>
                <w:color w:val="auto"/>
                <w:kern w:val="0"/>
                <w:highlight w:val="none"/>
              </w:rPr>
            </w:pPr>
          </w:p>
        </w:tc>
      </w:tr>
      <w:tr w14:paraId="43C9EE8E">
        <w:tblPrEx>
          <w:tblCellMar>
            <w:top w:w="0" w:type="dxa"/>
            <w:left w:w="108" w:type="dxa"/>
            <w:bottom w:w="0" w:type="dxa"/>
            <w:right w:w="108" w:type="dxa"/>
          </w:tblCellMar>
        </w:tblPrEx>
        <w:trPr>
          <w:trHeight w:val="414"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14:paraId="544E418B">
            <w:pPr>
              <w:widowControl/>
              <w:jc w:val="center"/>
              <w:rPr>
                <w:rFonts w:ascii="宋体" w:hAnsi="宋体" w:cs="宋体"/>
                <w:color w:val="auto"/>
                <w:kern w:val="0"/>
                <w:highlight w:val="none"/>
              </w:rPr>
            </w:pPr>
            <w:r>
              <w:rPr>
                <w:rFonts w:hint="eastAsia" w:ascii="宋体" w:hAnsi="宋体" w:cs="宋体"/>
                <w:color w:val="auto"/>
                <w:kern w:val="0"/>
                <w:highlight w:val="none"/>
              </w:rPr>
              <w:t>施工单位</w:t>
            </w:r>
          </w:p>
        </w:tc>
        <w:tc>
          <w:tcPr>
            <w:tcW w:w="4395" w:type="dxa"/>
            <w:gridSpan w:val="4"/>
            <w:tcBorders>
              <w:top w:val="single" w:color="000000" w:sz="4" w:space="0"/>
              <w:left w:val="single" w:color="000000" w:sz="4" w:space="0"/>
              <w:bottom w:val="single" w:color="000000" w:sz="4" w:space="0"/>
              <w:right w:val="single" w:color="000000" w:sz="4" w:space="0"/>
            </w:tcBorders>
            <w:noWrap w:val="0"/>
            <w:vAlign w:val="center"/>
          </w:tcPr>
          <w:p w14:paraId="2E4A5633">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5547FEAC">
            <w:pPr>
              <w:widowControl/>
              <w:jc w:val="center"/>
              <w:rPr>
                <w:rFonts w:ascii="宋体" w:hAnsi="宋体" w:cs="宋体"/>
                <w:color w:val="auto"/>
                <w:kern w:val="0"/>
                <w:highlight w:val="none"/>
              </w:rPr>
            </w:pPr>
            <w:r>
              <w:rPr>
                <w:rFonts w:hint="eastAsia" w:ascii="宋体" w:hAnsi="宋体" w:cs="宋体"/>
                <w:color w:val="auto"/>
                <w:kern w:val="0"/>
                <w:highlight w:val="none"/>
              </w:rPr>
              <w:t>项目负责人</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14:paraId="281C43FA">
            <w:pPr>
              <w:widowControl/>
              <w:jc w:val="center"/>
              <w:rPr>
                <w:rFonts w:ascii="宋体" w:hAnsi="宋体" w:cs="宋体"/>
                <w:color w:val="auto"/>
                <w:kern w:val="0"/>
                <w:highlight w:val="none"/>
              </w:rPr>
            </w:pPr>
          </w:p>
        </w:tc>
      </w:tr>
      <w:tr w14:paraId="3B1EC8D6">
        <w:tblPrEx>
          <w:tblCellMar>
            <w:top w:w="0" w:type="dxa"/>
            <w:left w:w="108" w:type="dxa"/>
            <w:bottom w:w="0" w:type="dxa"/>
            <w:right w:w="108" w:type="dxa"/>
          </w:tblCellMar>
        </w:tblPrEx>
        <w:trPr>
          <w:trHeight w:val="85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612B914E">
            <w:pPr>
              <w:widowControl/>
              <w:jc w:val="center"/>
              <w:rPr>
                <w:rFonts w:ascii="宋体" w:hAnsi="宋体" w:cs="宋体"/>
                <w:color w:val="auto"/>
                <w:kern w:val="0"/>
                <w:highlight w:val="none"/>
              </w:rPr>
            </w:pPr>
            <w:r>
              <w:rPr>
                <w:rFonts w:hint="eastAsia" w:ascii="宋体" w:hAnsi="宋体" w:cs="宋体"/>
                <w:color w:val="auto"/>
                <w:kern w:val="0"/>
                <w:highlight w:val="none"/>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47C2D793">
            <w:pPr>
              <w:widowControl/>
              <w:jc w:val="center"/>
              <w:rPr>
                <w:rFonts w:hint="eastAsia" w:ascii="宋体" w:hAnsi="宋体" w:cs="宋体"/>
                <w:color w:val="auto"/>
                <w:kern w:val="0"/>
                <w:highlight w:val="none"/>
              </w:rPr>
            </w:pPr>
            <w:r>
              <w:rPr>
                <w:rFonts w:hint="eastAsia" w:ascii="宋体" w:hAnsi="宋体" w:cs="宋体"/>
                <w:color w:val="auto"/>
                <w:kern w:val="0"/>
                <w:highlight w:val="none"/>
              </w:rPr>
              <w:t>考核</w:t>
            </w:r>
          </w:p>
          <w:p w14:paraId="597CDE97">
            <w:pPr>
              <w:widowControl/>
              <w:jc w:val="center"/>
              <w:rPr>
                <w:rFonts w:ascii="宋体" w:hAnsi="宋体" w:cs="宋体"/>
                <w:color w:val="auto"/>
                <w:kern w:val="0"/>
                <w:highlight w:val="none"/>
              </w:rPr>
            </w:pPr>
            <w:r>
              <w:rPr>
                <w:rFonts w:hint="eastAsia" w:ascii="宋体" w:hAnsi="宋体" w:cs="宋体"/>
                <w:color w:val="auto"/>
                <w:kern w:val="0"/>
                <w:highlight w:val="none"/>
              </w:rPr>
              <w:t>事项</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5871D61C">
            <w:pPr>
              <w:widowControl/>
              <w:jc w:val="center"/>
              <w:rPr>
                <w:rFonts w:ascii="宋体" w:hAnsi="宋体" w:cs="宋体"/>
                <w:color w:val="auto"/>
                <w:kern w:val="0"/>
                <w:highlight w:val="none"/>
              </w:rPr>
            </w:pPr>
            <w:r>
              <w:rPr>
                <w:rFonts w:hint="eastAsia" w:ascii="宋体" w:hAnsi="宋体" w:cs="宋体"/>
                <w:color w:val="auto"/>
                <w:kern w:val="0"/>
                <w:highlight w:val="none"/>
              </w:rPr>
              <w:t>考核具体内容</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A9A2525">
            <w:pPr>
              <w:widowControl/>
              <w:jc w:val="center"/>
              <w:rPr>
                <w:rFonts w:ascii="宋体" w:hAnsi="宋体" w:cs="宋体"/>
                <w:color w:val="auto"/>
                <w:kern w:val="0"/>
                <w:highlight w:val="none"/>
              </w:rPr>
            </w:pPr>
            <w:r>
              <w:rPr>
                <w:rFonts w:hint="eastAsia" w:ascii="宋体" w:hAnsi="宋体" w:cs="宋体"/>
                <w:color w:val="auto"/>
                <w:kern w:val="0"/>
                <w:highlight w:val="none"/>
              </w:rPr>
              <w:t>配分</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0C260AC">
            <w:pPr>
              <w:widowControl/>
              <w:jc w:val="center"/>
              <w:rPr>
                <w:rFonts w:ascii="宋体" w:hAnsi="宋体" w:cs="宋体"/>
                <w:color w:val="auto"/>
                <w:kern w:val="0"/>
                <w:highlight w:val="none"/>
              </w:rPr>
            </w:pPr>
            <w:r>
              <w:rPr>
                <w:rFonts w:hint="eastAsia"/>
                <w:color w:val="auto"/>
                <w:highlight w:val="none"/>
              </w:rPr>
              <w:t>优秀</w:t>
            </w:r>
            <w:r>
              <w:rPr>
                <w:rFonts w:hint="eastAsia"/>
                <w:color w:val="auto"/>
                <w:highlight w:val="none"/>
              </w:rPr>
              <w:br w:type="textWrapping"/>
            </w:r>
            <w:r>
              <w:rPr>
                <w:rFonts w:hint="eastAsia"/>
                <w:color w:val="auto"/>
                <w:highlight w:val="none"/>
              </w:rPr>
              <w:t>(9-10分)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B8C9DAC">
            <w:pPr>
              <w:widowControl/>
              <w:jc w:val="center"/>
              <w:rPr>
                <w:rFonts w:ascii="宋体" w:hAnsi="宋体" w:cs="宋体"/>
                <w:color w:val="auto"/>
                <w:kern w:val="0"/>
                <w:highlight w:val="none"/>
              </w:rPr>
            </w:pPr>
            <w:r>
              <w:rPr>
                <w:rFonts w:hint="eastAsia"/>
                <w:color w:val="auto"/>
                <w:highlight w:val="none"/>
              </w:rPr>
              <w:t>良好</w:t>
            </w:r>
            <w:r>
              <w:rPr>
                <w:rFonts w:hint="eastAsia"/>
                <w:color w:val="auto"/>
                <w:highlight w:val="none"/>
              </w:rPr>
              <w:br w:type="textWrapping"/>
            </w:r>
            <w:r>
              <w:rPr>
                <w:rFonts w:hint="eastAsia"/>
                <w:color w:val="auto"/>
                <w:highlight w:val="none"/>
              </w:rPr>
              <w:t>(7-8分)</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7A1F3E5C">
            <w:pPr>
              <w:widowControl/>
              <w:jc w:val="center"/>
              <w:rPr>
                <w:rFonts w:ascii="宋体" w:hAnsi="宋体" w:cs="宋体"/>
                <w:color w:val="auto"/>
                <w:kern w:val="0"/>
                <w:highlight w:val="none"/>
              </w:rPr>
            </w:pPr>
            <w:r>
              <w:rPr>
                <w:rFonts w:hint="eastAsia"/>
                <w:color w:val="auto"/>
                <w:highlight w:val="none"/>
              </w:rPr>
              <w:t>一般</w:t>
            </w:r>
            <w:r>
              <w:rPr>
                <w:rFonts w:hint="eastAsia"/>
                <w:color w:val="auto"/>
                <w:highlight w:val="none"/>
              </w:rPr>
              <w:br w:type="textWrapping"/>
            </w:r>
            <w:r>
              <w:rPr>
                <w:rFonts w:hint="eastAsia"/>
                <w:color w:val="auto"/>
                <w:highlight w:val="none"/>
              </w:rPr>
              <w:t>(5-6分)</w:t>
            </w: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51380680">
            <w:pPr>
              <w:widowControl/>
              <w:jc w:val="center"/>
              <w:rPr>
                <w:rFonts w:ascii="宋体" w:hAnsi="宋体" w:cs="宋体"/>
                <w:color w:val="auto"/>
                <w:kern w:val="0"/>
                <w:highlight w:val="none"/>
              </w:rPr>
            </w:pPr>
            <w:r>
              <w:rPr>
                <w:rFonts w:hint="eastAsia"/>
                <w:color w:val="auto"/>
                <w:highlight w:val="none"/>
              </w:rPr>
              <w:t>较差</w:t>
            </w:r>
            <w:r>
              <w:rPr>
                <w:rFonts w:hint="eastAsia"/>
                <w:color w:val="auto"/>
                <w:highlight w:val="none"/>
              </w:rPr>
              <w:br w:type="textWrapping"/>
            </w:r>
            <w:r>
              <w:rPr>
                <w:rFonts w:hint="eastAsia"/>
                <w:color w:val="auto"/>
                <w:highlight w:val="none"/>
              </w:rPr>
              <w:t>(0-4分)</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29B1D0F2">
            <w:pPr>
              <w:widowControl/>
              <w:jc w:val="center"/>
              <w:rPr>
                <w:rFonts w:ascii="宋体" w:hAnsi="宋体" w:cs="宋体"/>
                <w:color w:val="auto"/>
                <w:kern w:val="0"/>
                <w:highlight w:val="none"/>
              </w:rPr>
            </w:pPr>
            <w:r>
              <w:rPr>
                <w:rFonts w:hint="eastAsia" w:ascii="宋体" w:hAnsi="宋体" w:cs="宋体"/>
                <w:color w:val="auto"/>
                <w:kern w:val="0"/>
                <w:highlight w:val="none"/>
              </w:rPr>
              <w:t>备注说明</w:t>
            </w:r>
            <w:r>
              <w:rPr>
                <w:rFonts w:hint="eastAsia" w:ascii="宋体" w:hAnsi="宋体" w:cs="宋体"/>
                <w:color w:val="auto"/>
                <w:kern w:val="0"/>
                <w:highlight w:val="none"/>
              </w:rPr>
              <w:br w:type="textWrapping"/>
            </w:r>
            <w:r>
              <w:rPr>
                <w:rFonts w:hint="eastAsia" w:ascii="宋体" w:hAnsi="宋体" w:cs="宋体"/>
                <w:color w:val="auto"/>
                <w:kern w:val="0"/>
                <w:highlight w:val="none"/>
              </w:rPr>
              <w:t>（较差要写清楚原因）</w:t>
            </w:r>
          </w:p>
        </w:tc>
      </w:tr>
      <w:tr w14:paraId="0FD43BB8">
        <w:tblPrEx>
          <w:tblCellMar>
            <w:top w:w="0" w:type="dxa"/>
            <w:left w:w="108" w:type="dxa"/>
            <w:bottom w:w="0" w:type="dxa"/>
            <w:right w:w="108" w:type="dxa"/>
          </w:tblCellMar>
        </w:tblPrEx>
        <w:trPr>
          <w:trHeight w:val="54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592FB532">
            <w:pPr>
              <w:widowControl/>
              <w:jc w:val="center"/>
              <w:rPr>
                <w:rFonts w:ascii="宋体" w:hAnsi="宋体" w:cs="宋体"/>
                <w:color w:val="auto"/>
                <w:kern w:val="0"/>
                <w:highlight w:val="none"/>
              </w:rPr>
            </w:pPr>
            <w:r>
              <w:rPr>
                <w:rFonts w:hint="eastAsia" w:ascii="宋体" w:hAnsi="宋体" w:cs="宋体"/>
                <w:color w:val="auto"/>
                <w:kern w:val="0"/>
                <w:highlight w:val="none"/>
              </w:rPr>
              <w:t>1</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484D146A">
            <w:pPr>
              <w:widowControl/>
              <w:jc w:val="center"/>
              <w:rPr>
                <w:rFonts w:ascii="宋体" w:hAnsi="宋体" w:cs="宋体"/>
                <w:color w:val="auto"/>
                <w:kern w:val="0"/>
                <w:highlight w:val="none"/>
              </w:rPr>
            </w:pPr>
            <w:r>
              <w:rPr>
                <w:rFonts w:hint="eastAsia"/>
                <w:color w:val="auto"/>
                <w:highlight w:val="none"/>
              </w:rPr>
              <w:t>工作态度与纪律（30分）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7531E373">
            <w:pPr>
              <w:widowControl/>
              <w:jc w:val="center"/>
              <w:rPr>
                <w:rFonts w:ascii="宋体" w:hAnsi="宋体" w:cs="宋体"/>
                <w:color w:val="auto"/>
                <w:kern w:val="0"/>
                <w:highlight w:val="none"/>
              </w:rPr>
            </w:pPr>
            <w:r>
              <w:rPr>
                <w:rFonts w:hint="eastAsia"/>
                <w:color w:val="auto"/>
                <w:highlight w:val="none"/>
              </w:rPr>
              <w:t>每月驻场工作情况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58AEB2AC">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D671339">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EB878AA">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2286AEF1">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70DF6F3F">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45B62A50">
            <w:pPr>
              <w:widowControl/>
              <w:jc w:val="center"/>
              <w:rPr>
                <w:rFonts w:ascii="宋体" w:hAnsi="宋体" w:cs="宋体"/>
                <w:color w:val="auto"/>
                <w:kern w:val="0"/>
                <w:highlight w:val="none"/>
              </w:rPr>
            </w:pPr>
          </w:p>
        </w:tc>
      </w:tr>
      <w:tr w14:paraId="667797F5">
        <w:tblPrEx>
          <w:tblCellMar>
            <w:top w:w="0" w:type="dxa"/>
            <w:left w:w="108" w:type="dxa"/>
            <w:bottom w:w="0" w:type="dxa"/>
            <w:right w:w="108" w:type="dxa"/>
          </w:tblCellMar>
        </w:tblPrEx>
        <w:trPr>
          <w:trHeight w:val="124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58F04602">
            <w:pPr>
              <w:widowControl/>
              <w:jc w:val="center"/>
              <w:rPr>
                <w:rFonts w:ascii="宋体" w:hAnsi="宋体" w:cs="宋体"/>
                <w:color w:val="auto"/>
                <w:kern w:val="0"/>
                <w:highlight w:val="none"/>
              </w:rPr>
            </w:pPr>
            <w:r>
              <w:rPr>
                <w:rFonts w:hint="eastAsia" w:ascii="宋体" w:hAnsi="宋体" w:cs="宋体"/>
                <w:color w:val="auto"/>
                <w:kern w:val="0"/>
                <w:highlight w:val="none"/>
              </w:rPr>
              <w:t>2</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8F59BC">
            <w:pPr>
              <w:widowControl/>
              <w:jc w:val="left"/>
              <w:rPr>
                <w:rFonts w:ascii="宋体" w:hAnsi="宋体" w:cs="宋体"/>
                <w:color w:val="auto"/>
                <w:kern w:val="0"/>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4C5B53B9">
            <w:pPr>
              <w:widowControl/>
              <w:jc w:val="center"/>
              <w:rPr>
                <w:rFonts w:ascii="宋体" w:hAnsi="宋体" w:cs="宋体"/>
                <w:color w:val="auto"/>
                <w:kern w:val="0"/>
                <w:highlight w:val="none"/>
              </w:rPr>
            </w:pPr>
            <w:r>
              <w:rPr>
                <w:rFonts w:hint="eastAsia"/>
                <w:color w:val="auto"/>
                <w:highlight w:val="none"/>
              </w:rPr>
              <w:t>工程项目部是否认真贯彻执行国家法律、法规、方针、政策和强制性标准</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84636AE">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D55D2E8">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5C9E98D">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2106E048">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2E94959B">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72AADE3D">
            <w:pPr>
              <w:widowControl/>
              <w:jc w:val="center"/>
              <w:rPr>
                <w:rFonts w:ascii="宋体" w:hAnsi="宋体" w:cs="宋体"/>
                <w:color w:val="auto"/>
                <w:kern w:val="0"/>
                <w:highlight w:val="none"/>
              </w:rPr>
            </w:pPr>
          </w:p>
        </w:tc>
      </w:tr>
      <w:tr w14:paraId="0317F9F3">
        <w:tblPrEx>
          <w:tblCellMar>
            <w:top w:w="0" w:type="dxa"/>
            <w:left w:w="108" w:type="dxa"/>
            <w:bottom w:w="0" w:type="dxa"/>
            <w:right w:w="108" w:type="dxa"/>
          </w:tblCellMar>
        </w:tblPrEx>
        <w:trPr>
          <w:trHeight w:val="968"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2800A382">
            <w:pPr>
              <w:widowControl/>
              <w:jc w:val="center"/>
              <w:rPr>
                <w:rFonts w:ascii="宋体" w:hAnsi="宋体" w:cs="宋体"/>
                <w:color w:val="auto"/>
                <w:kern w:val="0"/>
                <w:highlight w:val="none"/>
              </w:rPr>
            </w:pPr>
            <w:r>
              <w:rPr>
                <w:rFonts w:hint="eastAsia" w:ascii="宋体" w:hAnsi="宋体" w:cs="宋体"/>
                <w:color w:val="auto"/>
                <w:kern w:val="0"/>
                <w:highlight w:val="none"/>
              </w:rPr>
              <w:t>3</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6D91D9">
            <w:pPr>
              <w:widowControl/>
              <w:jc w:val="left"/>
              <w:rPr>
                <w:rFonts w:ascii="宋体" w:hAnsi="宋体" w:cs="宋体"/>
                <w:color w:val="auto"/>
                <w:kern w:val="0"/>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2C670994">
            <w:pPr>
              <w:widowControl/>
              <w:jc w:val="center"/>
              <w:rPr>
                <w:rFonts w:ascii="宋体" w:hAnsi="宋体" w:cs="宋体"/>
                <w:color w:val="auto"/>
                <w:kern w:val="0"/>
                <w:highlight w:val="none"/>
              </w:rPr>
            </w:pPr>
            <w:r>
              <w:rPr>
                <w:rFonts w:hint="eastAsia"/>
                <w:color w:val="auto"/>
                <w:highlight w:val="none"/>
              </w:rPr>
              <w:t>项目管理实施规划和各项管理制度的完善和执行情况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13CA9560">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A058184">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904DF3C">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7B528B87">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07544D28">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362D9EC1">
            <w:pPr>
              <w:widowControl/>
              <w:jc w:val="center"/>
              <w:rPr>
                <w:rFonts w:ascii="宋体" w:hAnsi="宋体" w:cs="宋体"/>
                <w:color w:val="auto"/>
                <w:kern w:val="0"/>
                <w:highlight w:val="none"/>
              </w:rPr>
            </w:pPr>
          </w:p>
        </w:tc>
      </w:tr>
      <w:tr w14:paraId="74436E59">
        <w:tblPrEx>
          <w:tblCellMar>
            <w:top w:w="0" w:type="dxa"/>
            <w:left w:w="108" w:type="dxa"/>
            <w:bottom w:w="0" w:type="dxa"/>
            <w:right w:w="108" w:type="dxa"/>
          </w:tblCellMar>
        </w:tblPrEx>
        <w:trPr>
          <w:trHeight w:val="960"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426AD8EB">
            <w:pPr>
              <w:widowControl/>
              <w:jc w:val="center"/>
              <w:rPr>
                <w:rFonts w:ascii="宋体" w:hAnsi="宋体" w:cs="宋体"/>
                <w:color w:val="auto"/>
                <w:kern w:val="0"/>
                <w:highlight w:val="none"/>
              </w:rPr>
            </w:pPr>
            <w:r>
              <w:rPr>
                <w:rFonts w:hint="eastAsia" w:ascii="宋体" w:hAnsi="宋体" w:cs="宋体"/>
                <w:color w:val="auto"/>
                <w:kern w:val="0"/>
                <w:highlight w:val="none"/>
              </w:rPr>
              <w:t>4</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1EB30826">
            <w:pPr>
              <w:widowControl/>
              <w:jc w:val="center"/>
              <w:rPr>
                <w:rFonts w:ascii="宋体" w:hAnsi="宋体" w:cs="宋体"/>
                <w:color w:val="auto"/>
                <w:kern w:val="0"/>
                <w:highlight w:val="none"/>
              </w:rPr>
            </w:pPr>
            <w:r>
              <w:rPr>
                <w:rFonts w:hint="eastAsia"/>
                <w:color w:val="auto"/>
                <w:highlight w:val="none"/>
              </w:rPr>
              <w:t>工作任务完成情况（30分）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7CFDE29F">
            <w:pPr>
              <w:widowControl/>
              <w:jc w:val="center"/>
              <w:rPr>
                <w:rFonts w:ascii="宋体" w:hAnsi="宋体" w:cs="宋体"/>
                <w:color w:val="auto"/>
                <w:kern w:val="0"/>
                <w:highlight w:val="none"/>
              </w:rPr>
            </w:pPr>
            <w:r>
              <w:rPr>
                <w:rFonts w:hint="eastAsia"/>
                <w:color w:val="auto"/>
                <w:highlight w:val="none"/>
              </w:rPr>
              <w:t>对项目关键岗位人员和特种作业人员到岗履职的管理情况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C3AA616">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439FFF06">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032E456">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4296CF07">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4A32F3AA">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690F633B">
            <w:pPr>
              <w:widowControl/>
              <w:jc w:val="center"/>
              <w:rPr>
                <w:rFonts w:ascii="宋体" w:hAnsi="宋体" w:cs="宋体"/>
                <w:color w:val="auto"/>
                <w:kern w:val="0"/>
                <w:highlight w:val="none"/>
              </w:rPr>
            </w:pPr>
          </w:p>
        </w:tc>
      </w:tr>
      <w:tr w14:paraId="0354C71D">
        <w:tblPrEx>
          <w:tblCellMar>
            <w:top w:w="0" w:type="dxa"/>
            <w:left w:w="108" w:type="dxa"/>
            <w:bottom w:w="0" w:type="dxa"/>
            <w:right w:w="108" w:type="dxa"/>
          </w:tblCellMar>
        </w:tblPrEx>
        <w:trPr>
          <w:trHeight w:val="1156"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75AED32A">
            <w:pPr>
              <w:widowControl/>
              <w:jc w:val="center"/>
              <w:rPr>
                <w:rFonts w:ascii="宋体" w:hAnsi="宋体" w:cs="宋体"/>
                <w:color w:val="auto"/>
                <w:kern w:val="0"/>
                <w:highlight w:val="none"/>
              </w:rPr>
            </w:pPr>
            <w:r>
              <w:rPr>
                <w:rFonts w:hint="eastAsia" w:ascii="宋体" w:hAnsi="宋体" w:cs="宋体"/>
                <w:color w:val="auto"/>
                <w:kern w:val="0"/>
                <w:highlight w:val="none"/>
              </w:rPr>
              <w:t>5</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DBD2F3">
            <w:pPr>
              <w:widowControl/>
              <w:jc w:val="left"/>
              <w:rPr>
                <w:rFonts w:ascii="宋体" w:hAnsi="宋体" w:cs="宋体"/>
                <w:color w:val="auto"/>
                <w:kern w:val="0"/>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5E1947E8">
            <w:pPr>
              <w:widowControl/>
              <w:jc w:val="center"/>
              <w:rPr>
                <w:rFonts w:ascii="宋体" w:hAnsi="宋体" w:cs="宋体"/>
                <w:color w:val="auto"/>
                <w:kern w:val="0"/>
                <w:highlight w:val="none"/>
              </w:rPr>
            </w:pPr>
            <w:r>
              <w:rPr>
                <w:rFonts w:hint="eastAsia"/>
                <w:color w:val="auto"/>
                <w:highlight w:val="none"/>
              </w:rPr>
              <w:t>项目施工组织设计、总体施工进度计划、专项施工方案等的制订和执行情况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7B1FD045">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3CD4644">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0D29C5F">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6B2FF35F">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6B12932C">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43366FE7">
            <w:pPr>
              <w:widowControl/>
              <w:jc w:val="center"/>
              <w:rPr>
                <w:rFonts w:ascii="宋体" w:hAnsi="宋体" w:cs="宋体"/>
                <w:color w:val="auto"/>
                <w:kern w:val="0"/>
                <w:highlight w:val="none"/>
              </w:rPr>
            </w:pPr>
          </w:p>
        </w:tc>
      </w:tr>
      <w:tr w14:paraId="7F9D68DA">
        <w:tblPrEx>
          <w:tblCellMar>
            <w:top w:w="0" w:type="dxa"/>
            <w:left w:w="108" w:type="dxa"/>
            <w:bottom w:w="0" w:type="dxa"/>
            <w:right w:w="108" w:type="dxa"/>
          </w:tblCellMar>
        </w:tblPrEx>
        <w:trPr>
          <w:trHeight w:val="99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78191837">
            <w:pPr>
              <w:widowControl/>
              <w:jc w:val="center"/>
              <w:rPr>
                <w:rFonts w:ascii="宋体" w:hAnsi="宋体" w:cs="宋体"/>
                <w:color w:val="auto"/>
                <w:kern w:val="0"/>
                <w:highlight w:val="none"/>
              </w:rPr>
            </w:pPr>
            <w:r>
              <w:rPr>
                <w:rFonts w:hint="eastAsia" w:ascii="宋体" w:hAnsi="宋体" w:cs="宋体"/>
                <w:color w:val="auto"/>
                <w:kern w:val="0"/>
                <w:highlight w:val="none"/>
              </w:rPr>
              <w:t>6</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D1FFEF">
            <w:pPr>
              <w:widowControl/>
              <w:jc w:val="left"/>
              <w:rPr>
                <w:rFonts w:ascii="宋体" w:hAnsi="宋体" w:cs="宋体"/>
                <w:color w:val="auto"/>
                <w:kern w:val="0"/>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0CC3BE8D">
            <w:pPr>
              <w:widowControl/>
              <w:jc w:val="center"/>
              <w:rPr>
                <w:rFonts w:ascii="宋体" w:hAnsi="宋体" w:cs="宋体"/>
                <w:color w:val="auto"/>
                <w:kern w:val="0"/>
                <w:highlight w:val="none"/>
              </w:rPr>
            </w:pPr>
            <w:r>
              <w:rPr>
                <w:rFonts w:hint="eastAsia"/>
                <w:color w:val="auto"/>
                <w:highlight w:val="none"/>
              </w:rPr>
              <w:t>现场质量管理、资料与工程进度是否同步等情况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BEC20D6">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B110F37">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F7B2919">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467B6BF2">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2A78250C">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1D88EC25">
            <w:pPr>
              <w:widowControl/>
              <w:jc w:val="center"/>
              <w:rPr>
                <w:rFonts w:ascii="宋体" w:hAnsi="宋体" w:cs="宋体"/>
                <w:color w:val="auto"/>
                <w:kern w:val="0"/>
                <w:highlight w:val="none"/>
              </w:rPr>
            </w:pPr>
          </w:p>
        </w:tc>
      </w:tr>
      <w:tr w14:paraId="21BF91CD">
        <w:tblPrEx>
          <w:tblCellMar>
            <w:top w:w="0" w:type="dxa"/>
            <w:left w:w="108" w:type="dxa"/>
            <w:bottom w:w="0" w:type="dxa"/>
            <w:right w:w="108" w:type="dxa"/>
          </w:tblCellMar>
        </w:tblPrEx>
        <w:trPr>
          <w:trHeight w:val="1127"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6B727A61">
            <w:pPr>
              <w:widowControl/>
              <w:jc w:val="center"/>
              <w:rPr>
                <w:rFonts w:ascii="宋体" w:hAnsi="宋体" w:cs="宋体"/>
                <w:color w:val="auto"/>
                <w:kern w:val="0"/>
                <w:highlight w:val="none"/>
              </w:rPr>
            </w:pPr>
            <w:r>
              <w:rPr>
                <w:rFonts w:hint="eastAsia" w:ascii="宋体" w:hAnsi="宋体" w:cs="宋体"/>
                <w:color w:val="auto"/>
                <w:kern w:val="0"/>
                <w:highlight w:val="none"/>
              </w:rPr>
              <w:t>7</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37C6ED21">
            <w:pPr>
              <w:widowControl/>
              <w:jc w:val="center"/>
              <w:rPr>
                <w:rFonts w:hint="eastAsia"/>
                <w:color w:val="auto"/>
                <w:highlight w:val="none"/>
              </w:rPr>
            </w:pPr>
            <w:r>
              <w:rPr>
                <w:rFonts w:hint="eastAsia"/>
                <w:color w:val="auto"/>
                <w:highlight w:val="none"/>
              </w:rPr>
              <w:t>专业技术水平</w:t>
            </w:r>
          </w:p>
          <w:p w14:paraId="74D5A3EC">
            <w:pPr>
              <w:widowControl/>
              <w:jc w:val="center"/>
              <w:rPr>
                <w:rFonts w:ascii="宋体" w:hAnsi="宋体" w:cs="宋体"/>
                <w:color w:val="auto"/>
                <w:kern w:val="0"/>
                <w:highlight w:val="none"/>
              </w:rPr>
            </w:pPr>
            <w:r>
              <w:rPr>
                <w:rFonts w:hint="eastAsia"/>
                <w:color w:val="auto"/>
                <w:highlight w:val="none"/>
              </w:rPr>
              <w:t>（20分）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4BB4FC11">
            <w:pPr>
              <w:widowControl/>
              <w:jc w:val="center"/>
              <w:rPr>
                <w:rFonts w:ascii="宋体" w:hAnsi="宋体" w:cs="宋体"/>
                <w:color w:val="auto"/>
                <w:kern w:val="0"/>
                <w:highlight w:val="none"/>
              </w:rPr>
            </w:pPr>
            <w:r>
              <w:rPr>
                <w:rFonts w:hint="eastAsia"/>
                <w:color w:val="auto"/>
                <w:highlight w:val="none"/>
              </w:rPr>
              <w:t>组织、协调过程管理和解决项目施工过程中出现问题是否及时、合理。</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00EC0F8">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E642311">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DCB99F7">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261A1CAC">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59192A4B">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39FAB337">
            <w:pPr>
              <w:widowControl/>
              <w:jc w:val="center"/>
              <w:rPr>
                <w:rFonts w:ascii="宋体" w:hAnsi="宋体" w:cs="宋体"/>
                <w:color w:val="auto"/>
                <w:kern w:val="0"/>
                <w:highlight w:val="none"/>
              </w:rPr>
            </w:pPr>
          </w:p>
        </w:tc>
      </w:tr>
      <w:tr w14:paraId="050A1B8B">
        <w:tblPrEx>
          <w:tblCellMar>
            <w:top w:w="0" w:type="dxa"/>
            <w:left w:w="108" w:type="dxa"/>
            <w:bottom w:w="0" w:type="dxa"/>
            <w:right w:w="108" w:type="dxa"/>
          </w:tblCellMar>
        </w:tblPrEx>
        <w:trPr>
          <w:trHeight w:val="720"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303453CA">
            <w:pPr>
              <w:widowControl/>
              <w:jc w:val="center"/>
              <w:rPr>
                <w:rFonts w:ascii="宋体" w:hAnsi="宋体" w:cs="宋体"/>
                <w:color w:val="auto"/>
                <w:kern w:val="0"/>
                <w:highlight w:val="none"/>
              </w:rPr>
            </w:pPr>
            <w:r>
              <w:rPr>
                <w:rFonts w:hint="eastAsia" w:ascii="宋体" w:hAnsi="宋体" w:cs="宋体"/>
                <w:color w:val="auto"/>
                <w:kern w:val="0"/>
                <w:highlight w:val="none"/>
              </w:rPr>
              <w:t>8</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E63F4B">
            <w:pPr>
              <w:widowControl/>
              <w:jc w:val="left"/>
              <w:rPr>
                <w:rFonts w:ascii="宋体" w:hAnsi="宋体" w:cs="宋体"/>
                <w:color w:val="auto"/>
                <w:kern w:val="0"/>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2C2587BE">
            <w:pPr>
              <w:widowControl/>
              <w:jc w:val="center"/>
              <w:rPr>
                <w:rFonts w:ascii="宋体" w:hAnsi="宋体" w:cs="宋体"/>
                <w:color w:val="auto"/>
                <w:kern w:val="0"/>
                <w:highlight w:val="none"/>
              </w:rPr>
            </w:pPr>
            <w:r>
              <w:rPr>
                <w:rFonts w:hint="eastAsia"/>
                <w:color w:val="auto"/>
                <w:highlight w:val="none"/>
              </w:rPr>
              <w:t>是否及时发现隐患，并及时合理落实整改措施</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50C2EAEA">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3F8CB850">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E6039BD">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5A71CDD1">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5308182D">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53B75317">
            <w:pPr>
              <w:widowControl/>
              <w:jc w:val="center"/>
              <w:rPr>
                <w:rFonts w:ascii="宋体" w:hAnsi="宋体" w:cs="宋体"/>
                <w:color w:val="auto"/>
                <w:kern w:val="0"/>
                <w:highlight w:val="none"/>
              </w:rPr>
            </w:pPr>
          </w:p>
        </w:tc>
      </w:tr>
      <w:tr w14:paraId="34DB620F">
        <w:tblPrEx>
          <w:tblCellMar>
            <w:top w:w="0" w:type="dxa"/>
            <w:left w:w="108" w:type="dxa"/>
            <w:bottom w:w="0" w:type="dxa"/>
            <w:right w:w="108" w:type="dxa"/>
          </w:tblCellMar>
        </w:tblPrEx>
        <w:trPr>
          <w:trHeight w:val="124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0484B423">
            <w:pPr>
              <w:widowControl/>
              <w:jc w:val="center"/>
              <w:rPr>
                <w:rFonts w:ascii="宋体" w:hAnsi="宋体" w:cs="宋体"/>
                <w:color w:val="auto"/>
                <w:kern w:val="0"/>
                <w:highlight w:val="none"/>
              </w:rPr>
            </w:pPr>
            <w:r>
              <w:rPr>
                <w:rFonts w:hint="eastAsia" w:ascii="宋体" w:hAnsi="宋体" w:cs="宋体"/>
                <w:color w:val="auto"/>
                <w:kern w:val="0"/>
                <w:highlight w:val="none"/>
              </w:rPr>
              <w:t>9</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20AB51CF">
            <w:pPr>
              <w:widowControl/>
              <w:jc w:val="center"/>
              <w:rPr>
                <w:rFonts w:ascii="宋体" w:hAnsi="宋体" w:cs="宋体"/>
                <w:color w:val="auto"/>
                <w:kern w:val="0"/>
                <w:highlight w:val="none"/>
              </w:rPr>
            </w:pPr>
            <w:r>
              <w:rPr>
                <w:rFonts w:hint="eastAsia"/>
                <w:color w:val="auto"/>
                <w:highlight w:val="none"/>
              </w:rPr>
              <w:t>综合能力（20分）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76AE30C9">
            <w:pPr>
              <w:widowControl/>
              <w:jc w:val="center"/>
              <w:rPr>
                <w:rFonts w:ascii="宋体" w:hAnsi="宋体" w:cs="宋体"/>
                <w:color w:val="auto"/>
                <w:kern w:val="0"/>
                <w:highlight w:val="none"/>
              </w:rPr>
            </w:pPr>
            <w:r>
              <w:rPr>
                <w:rFonts w:hint="eastAsia"/>
                <w:color w:val="auto"/>
                <w:highlight w:val="none"/>
              </w:rPr>
              <w:t>安全生产、文明施工落实情况（包括但不限于农民工工资、疫情防控、防扬尘等）</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19723468">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308A236">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6BDC4E7">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54891B89">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30AE71BF">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5087CA86">
            <w:pPr>
              <w:widowControl/>
              <w:jc w:val="center"/>
              <w:rPr>
                <w:rFonts w:ascii="宋体" w:hAnsi="宋体" w:cs="宋体"/>
                <w:color w:val="auto"/>
                <w:kern w:val="0"/>
                <w:highlight w:val="none"/>
              </w:rPr>
            </w:pPr>
          </w:p>
        </w:tc>
      </w:tr>
      <w:tr w14:paraId="26360644">
        <w:tblPrEx>
          <w:tblCellMar>
            <w:top w:w="0" w:type="dxa"/>
            <w:left w:w="108" w:type="dxa"/>
            <w:bottom w:w="0" w:type="dxa"/>
            <w:right w:w="108" w:type="dxa"/>
          </w:tblCellMar>
        </w:tblPrEx>
        <w:trPr>
          <w:trHeight w:val="125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6C69D17A">
            <w:pPr>
              <w:widowControl/>
              <w:jc w:val="center"/>
              <w:rPr>
                <w:rFonts w:ascii="宋体" w:hAnsi="宋体" w:cs="宋体"/>
                <w:color w:val="auto"/>
                <w:kern w:val="0"/>
                <w:highlight w:val="none"/>
              </w:rPr>
            </w:pPr>
            <w:r>
              <w:rPr>
                <w:rFonts w:hint="eastAsia" w:ascii="宋体" w:hAnsi="宋体" w:cs="宋体"/>
                <w:color w:val="auto"/>
                <w:kern w:val="0"/>
                <w:highlight w:val="none"/>
              </w:rPr>
              <w:t>10</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AF7A00">
            <w:pPr>
              <w:widowControl/>
              <w:jc w:val="left"/>
              <w:rPr>
                <w:rFonts w:ascii="宋体" w:hAnsi="宋体" w:cs="宋体"/>
                <w:color w:val="auto"/>
                <w:kern w:val="0"/>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0D0F7B96">
            <w:pPr>
              <w:widowControl/>
              <w:jc w:val="center"/>
              <w:rPr>
                <w:rFonts w:ascii="宋体" w:hAnsi="宋体" w:cs="宋体"/>
                <w:color w:val="auto"/>
                <w:kern w:val="0"/>
                <w:highlight w:val="none"/>
              </w:rPr>
            </w:pPr>
            <w:r>
              <w:rPr>
                <w:rFonts w:hint="eastAsia"/>
                <w:color w:val="auto"/>
                <w:highlight w:val="none"/>
              </w:rPr>
              <w:t>落实上级交办的事项是否及时、合理，及时了解工程总体情况，总结经验</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7A7531A">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19AA9AB">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1E4EBD4">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603F0E0B">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4B54D63B">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4C014CCE">
            <w:pPr>
              <w:widowControl/>
              <w:jc w:val="center"/>
              <w:rPr>
                <w:rFonts w:ascii="宋体" w:hAnsi="宋体" w:cs="宋体"/>
                <w:color w:val="auto"/>
                <w:kern w:val="0"/>
                <w:highlight w:val="none"/>
              </w:rPr>
            </w:pPr>
          </w:p>
        </w:tc>
      </w:tr>
      <w:tr w14:paraId="4DBF5CFC">
        <w:tblPrEx>
          <w:tblCellMar>
            <w:top w:w="0" w:type="dxa"/>
            <w:left w:w="108" w:type="dxa"/>
            <w:bottom w:w="0" w:type="dxa"/>
            <w:right w:w="108" w:type="dxa"/>
          </w:tblCellMar>
        </w:tblPrEx>
        <w:trPr>
          <w:trHeight w:val="437" w:hRule="atLeast"/>
        </w:trPr>
        <w:tc>
          <w:tcPr>
            <w:tcW w:w="3843" w:type="dxa"/>
            <w:gridSpan w:val="3"/>
            <w:tcBorders>
              <w:top w:val="single" w:color="000000" w:sz="4" w:space="0"/>
              <w:left w:val="single" w:color="000000" w:sz="4" w:space="0"/>
              <w:bottom w:val="single" w:color="000000" w:sz="4" w:space="0"/>
              <w:right w:val="single" w:color="000000" w:sz="4" w:space="0"/>
            </w:tcBorders>
            <w:noWrap w:val="0"/>
            <w:vAlign w:val="center"/>
          </w:tcPr>
          <w:p w14:paraId="7ED85E10">
            <w:pPr>
              <w:widowControl/>
              <w:jc w:val="center"/>
              <w:rPr>
                <w:rFonts w:ascii="宋体" w:hAnsi="宋体" w:cs="宋体"/>
                <w:color w:val="auto"/>
                <w:kern w:val="0"/>
                <w:highlight w:val="none"/>
              </w:rPr>
            </w:pPr>
            <w:r>
              <w:rPr>
                <w:rFonts w:hint="eastAsia" w:ascii="宋体" w:hAnsi="宋体" w:cs="宋体"/>
                <w:color w:val="auto"/>
                <w:kern w:val="0"/>
                <w:highlight w:val="none"/>
              </w:rPr>
              <w:t>合计</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66BF9A19">
            <w:pPr>
              <w:widowControl/>
              <w:jc w:val="center"/>
              <w:rPr>
                <w:rFonts w:ascii="宋体" w:hAnsi="宋体" w:cs="宋体"/>
                <w:color w:val="auto"/>
                <w:kern w:val="0"/>
                <w:highlight w:val="none"/>
              </w:rPr>
            </w:pPr>
            <w:r>
              <w:rPr>
                <w:rFonts w:hint="eastAsia" w:ascii="宋体" w:hAnsi="宋体" w:cs="宋体"/>
                <w:color w:val="auto"/>
                <w:kern w:val="0"/>
                <w:highlight w:val="none"/>
              </w:rPr>
              <w:t>100</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C091866">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245B669">
            <w:pPr>
              <w:widowControl/>
              <w:jc w:val="center"/>
              <w:rPr>
                <w:rFonts w:ascii="宋体" w:hAnsi="宋体" w:cs="宋体"/>
                <w:color w:val="auto"/>
                <w:kern w:val="0"/>
                <w:highlight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5A707AC9">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6739C3BE">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5F5E3F38">
            <w:pPr>
              <w:widowControl/>
              <w:jc w:val="center"/>
              <w:rPr>
                <w:rFonts w:ascii="宋体" w:hAnsi="宋体" w:cs="宋体"/>
                <w:color w:val="auto"/>
                <w:kern w:val="0"/>
                <w:highlight w:val="none"/>
              </w:rPr>
            </w:pPr>
          </w:p>
        </w:tc>
      </w:tr>
    </w:tbl>
    <w:p w14:paraId="660F46BD">
      <w:pPr>
        <w:spacing w:line="360" w:lineRule="auto"/>
        <w:ind w:firstLine="480" w:firstLineChars="200"/>
        <w:rPr>
          <w:rFonts w:hint="eastAsia" w:ascii="宋体" w:hAnsi="宋体"/>
          <w:color w:val="auto"/>
          <w:sz w:val="24"/>
          <w:highlight w:val="none"/>
        </w:rPr>
      </w:pPr>
      <w:bookmarkStart w:id="1232" w:name="_Toc14696"/>
      <w:bookmarkStart w:id="1233" w:name="_Toc14144"/>
      <w:bookmarkStart w:id="1234" w:name="_Toc22069"/>
      <w:r>
        <w:rPr>
          <w:rFonts w:hint="eastAsia" w:ascii="宋体" w:hAnsi="宋体"/>
          <w:color w:val="auto"/>
          <w:sz w:val="24"/>
          <w:highlight w:val="none"/>
        </w:rPr>
        <w:t>附表2</w:t>
      </w:r>
      <w:bookmarkEnd w:id="1232"/>
      <w:bookmarkEnd w:id="1233"/>
      <w:bookmarkEnd w:id="1234"/>
      <w:r>
        <w:rPr>
          <w:rFonts w:hint="eastAsia" w:ascii="宋体" w:hAnsi="宋体"/>
          <w:color w:val="auto"/>
          <w:sz w:val="24"/>
          <w:highlight w:val="none"/>
        </w:rPr>
        <w:t xml:space="preserve"> </w:t>
      </w:r>
    </w:p>
    <w:tbl>
      <w:tblPr>
        <w:tblStyle w:val="41"/>
        <w:tblW w:w="9371" w:type="dxa"/>
        <w:tblInd w:w="93" w:type="dxa"/>
        <w:tblLayout w:type="fixed"/>
        <w:tblCellMar>
          <w:top w:w="0" w:type="dxa"/>
          <w:left w:w="108" w:type="dxa"/>
          <w:bottom w:w="0" w:type="dxa"/>
          <w:right w:w="108" w:type="dxa"/>
        </w:tblCellMar>
      </w:tblPr>
      <w:tblGrid>
        <w:gridCol w:w="582"/>
        <w:gridCol w:w="1134"/>
        <w:gridCol w:w="2127"/>
        <w:gridCol w:w="708"/>
        <w:gridCol w:w="851"/>
        <w:gridCol w:w="853"/>
        <w:gridCol w:w="992"/>
        <w:gridCol w:w="850"/>
        <w:gridCol w:w="1274"/>
      </w:tblGrid>
      <w:tr w14:paraId="4504E925">
        <w:tblPrEx>
          <w:tblCellMar>
            <w:top w:w="0" w:type="dxa"/>
            <w:left w:w="108" w:type="dxa"/>
            <w:bottom w:w="0" w:type="dxa"/>
            <w:right w:w="108" w:type="dxa"/>
          </w:tblCellMar>
        </w:tblPrEx>
        <w:trPr>
          <w:trHeight w:val="522" w:hRule="atLeast"/>
        </w:trPr>
        <w:tc>
          <w:tcPr>
            <w:tcW w:w="9371" w:type="dxa"/>
            <w:gridSpan w:val="9"/>
            <w:tcBorders>
              <w:top w:val="single" w:color="000000" w:sz="4" w:space="0"/>
              <w:left w:val="single" w:color="000000" w:sz="4" w:space="0"/>
              <w:bottom w:val="single" w:color="000000" w:sz="4" w:space="0"/>
              <w:right w:val="single" w:color="000000" w:sz="4" w:space="0"/>
            </w:tcBorders>
            <w:noWrap w:val="0"/>
            <w:vAlign w:val="center"/>
          </w:tcPr>
          <w:p w14:paraId="1EB3AF91">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番禺区水务工程施工单位管理人员考核评分表(技术负责人）</w:t>
            </w:r>
          </w:p>
        </w:tc>
      </w:tr>
      <w:tr w14:paraId="743B7359">
        <w:tblPrEx>
          <w:tblCellMar>
            <w:top w:w="0" w:type="dxa"/>
            <w:left w:w="108" w:type="dxa"/>
            <w:bottom w:w="0" w:type="dxa"/>
            <w:right w:w="108" w:type="dxa"/>
          </w:tblCellMar>
        </w:tblPrEx>
        <w:trPr>
          <w:trHeight w:val="402"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14:paraId="6B5A5962">
            <w:pPr>
              <w:widowControl/>
              <w:jc w:val="center"/>
              <w:rPr>
                <w:rFonts w:ascii="宋体" w:hAnsi="宋体" w:cs="宋体"/>
                <w:color w:val="auto"/>
                <w:kern w:val="0"/>
                <w:highlight w:val="none"/>
              </w:rPr>
            </w:pPr>
            <w:r>
              <w:rPr>
                <w:rFonts w:hint="eastAsia" w:ascii="宋体" w:hAnsi="宋体" w:cs="宋体"/>
                <w:color w:val="auto"/>
                <w:kern w:val="0"/>
                <w:highlight w:val="none"/>
              </w:rPr>
              <w:t>工程名称</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14:paraId="0B45CB1B">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9C4B8B4">
            <w:pPr>
              <w:widowControl/>
              <w:jc w:val="center"/>
              <w:rPr>
                <w:rFonts w:hint="eastAsia" w:ascii="宋体" w:hAnsi="宋体" w:cs="宋体"/>
                <w:color w:val="auto"/>
                <w:kern w:val="0"/>
                <w:highlight w:val="none"/>
              </w:rPr>
            </w:pPr>
            <w:r>
              <w:rPr>
                <w:rFonts w:hint="eastAsia" w:ascii="宋体" w:hAnsi="宋体" w:cs="宋体"/>
                <w:color w:val="auto"/>
                <w:kern w:val="0"/>
                <w:highlight w:val="none"/>
              </w:rPr>
              <w:t>评分</w:t>
            </w:r>
          </w:p>
          <w:p w14:paraId="6CF2551C">
            <w:pPr>
              <w:widowControl/>
              <w:jc w:val="center"/>
              <w:rPr>
                <w:rFonts w:ascii="宋体" w:hAnsi="宋体" w:cs="宋体"/>
                <w:color w:val="auto"/>
                <w:kern w:val="0"/>
                <w:highlight w:val="none"/>
              </w:rPr>
            </w:pPr>
            <w:r>
              <w:rPr>
                <w:rFonts w:hint="eastAsia" w:ascii="宋体" w:hAnsi="宋体" w:cs="宋体"/>
                <w:color w:val="auto"/>
                <w:kern w:val="0"/>
                <w:highlight w:val="none"/>
              </w:rPr>
              <w:t>时间</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14:paraId="3F5AC7F5">
            <w:pPr>
              <w:widowControl/>
              <w:jc w:val="center"/>
              <w:rPr>
                <w:rFonts w:ascii="宋体" w:hAnsi="宋体" w:cs="宋体"/>
                <w:color w:val="auto"/>
                <w:kern w:val="0"/>
                <w:highlight w:val="none"/>
              </w:rPr>
            </w:pPr>
          </w:p>
        </w:tc>
      </w:tr>
      <w:tr w14:paraId="6E09A01E">
        <w:tblPrEx>
          <w:tblCellMar>
            <w:top w:w="0" w:type="dxa"/>
            <w:left w:w="108" w:type="dxa"/>
            <w:bottom w:w="0" w:type="dxa"/>
            <w:right w:w="108" w:type="dxa"/>
          </w:tblCellMar>
        </w:tblPrEx>
        <w:trPr>
          <w:trHeight w:val="423"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14:paraId="5509EA31">
            <w:pPr>
              <w:widowControl/>
              <w:jc w:val="center"/>
              <w:rPr>
                <w:rFonts w:ascii="宋体" w:hAnsi="宋体" w:cs="宋体"/>
                <w:color w:val="auto"/>
                <w:kern w:val="0"/>
                <w:highlight w:val="none"/>
              </w:rPr>
            </w:pPr>
            <w:r>
              <w:rPr>
                <w:rFonts w:hint="eastAsia" w:ascii="宋体" w:hAnsi="宋体" w:cs="宋体"/>
                <w:color w:val="auto"/>
                <w:kern w:val="0"/>
                <w:highlight w:val="none"/>
              </w:rPr>
              <w:t>建设单位</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14:paraId="466743D5">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4AF3E88">
            <w:pPr>
              <w:widowControl/>
              <w:jc w:val="center"/>
              <w:rPr>
                <w:rFonts w:ascii="宋体" w:hAnsi="宋体" w:cs="宋体"/>
                <w:color w:val="auto"/>
                <w:kern w:val="0"/>
                <w:highlight w:val="none"/>
              </w:rPr>
            </w:pPr>
            <w:r>
              <w:rPr>
                <w:rFonts w:hint="eastAsia" w:ascii="宋体" w:hAnsi="宋体" w:cs="宋体"/>
                <w:color w:val="auto"/>
                <w:kern w:val="0"/>
                <w:highlight w:val="none"/>
              </w:rPr>
              <w:t>评分人</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14:paraId="419B2DFA">
            <w:pPr>
              <w:widowControl/>
              <w:jc w:val="center"/>
              <w:rPr>
                <w:rFonts w:ascii="宋体" w:hAnsi="宋体" w:cs="宋体"/>
                <w:color w:val="auto"/>
                <w:kern w:val="0"/>
                <w:highlight w:val="none"/>
              </w:rPr>
            </w:pPr>
          </w:p>
        </w:tc>
      </w:tr>
      <w:tr w14:paraId="3EAA5286">
        <w:tblPrEx>
          <w:tblCellMar>
            <w:top w:w="0" w:type="dxa"/>
            <w:left w:w="108" w:type="dxa"/>
            <w:bottom w:w="0" w:type="dxa"/>
            <w:right w:w="108" w:type="dxa"/>
          </w:tblCellMar>
        </w:tblPrEx>
        <w:trPr>
          <w:trHeight w:val="414"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14:paraId="5D2C32C2">
            <w:pPr>
              <w:widowControl/>
              <w:jc w:val="center"/>
              <w:rPr>
                <w:rFonts w:ascii="宋体" w:hAnsi="宋体" w:cs="宋体"/>
                <w:color w:val="auto"/>
                <w:kern w:val="0"/>
                <w:highlight w:val="none"/>
              </w:rPr>
            </w:pPr>
            <w:r>
              <w:rPr>
                <w:rFonts w:hint="eastAsia" w:ascii="宋体" w:hAnsi="宋体" w:cs="宋体"/>
                <w:color w:val="auto"/>
                <w:kern w:val="0"/>
                <w:highlight w:val="none"/>
              </w:rPr>
              <w:t>施工单位</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14:paraId="58A5D694">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4E31282">
            <w:pPr>
              <w:widowControl/>
              <w:jc w:val="center"/>
              <w:rPr>
                <w:rFonts w:ascii="宋体" w:hAnsi="宋体" w:cs="宋体"/>
                <w:color w:val="auto"/>
                <w:kern w:val="0"/>
                <w:highlight w:val="none"/>
              </w:rPr>
            </w:pPr>
            <w:r>
              <w:rPr>
                <w:rFonts w:hint="eastAsia" w:ascii="宋体" w:hAnsi="宋体" w:cs="宋体"/>
                <w:color w:val="auto"/>
                <w:kern w:val="0"/>
                <w:highlight w:val="none"/>
              </w:rPr>
              <w:t>技术负责人</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14:paraId="29B9F944">
            <w:pPr>
              <w:widowControl/>
              <w:jc w:val="center"/>
              <w:rPr>
                <w:rFonts w:ascii="宋体" w:hAnsi="宋体" w:cs="宋体"/>
                <w:color w:val="auto"/>
                <w:kern w:val="0"/>
                <w:highlight w:val="none"/>
              </w:rPr>
            </w:pPr>
          </w:p>
        </w:tc>
      </w:tr>
      <w:tr w14:paraId="1D7B8BF1">
        <w:tblPrEx>
          <w:tblCellMar>
            <w:top w:w="0" w:type="dxa"/>
            <w:left w:w="108" w:type="dxa"/>
            <w:bottom w:w="0" w:type="dxa"/>
            <w:right w:w="108" w:type="dxa"/>
          </w:tblCellMar>
        </w:tblPrEx>
        <w:trPr>
          <w:trHeight w:val="85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5D7C2432">
            <w:pPr>
              <w:widowControl/>
              <w:jc w:val="center"/>
              <w:rPr>
                <w:rFonts w:ascii="宋体" w:hAnsi="宋体" w:cs="宋体"/>
                <w:color w:val="auto"/>
                <w:kern w:val="0"/>
                <w:highlight w:val="none"/>
              </w:rPr>
            </w:pPr>
            <w:r>
              <w:rPr>
                <w:rFonts w:hint="eastAsia" w:ascii="宋体" w:hAnsi="宋体" w:cs="宋体"/>
                <w:color w:val="auto"/>
                <w:kern w:val="0"/>
                <w:highlight w:val="none"/>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C4CCE5A">
            <w:pPr>
              <w:widowControl/>
              <w:jc w:val="center"/>
              <w:rPr>
                <w:rFonts w:ascii="宋体" w:hAnsi="宋体" w:cs="宋体"/>
                <w:color w:val="auto"/>
                <w:kern w:val="0"/>
                <w:highlight w:val="none"/>
              </w:rPr>
            </w:pPr>
            <w:r>
              <w:rPr>
                <w:rFonts w:hint="eastAsia" w:ascii="宋体" w:hAnsi="宋体" w:cs="宋体"/>
                <w:color w:val="auto"/>
                <w:kern w:val="0"/>
                <w:highlight w:val="none"/>
              </w:rPr>
              <w:t>考核事项</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79B0F31E">
            <w:pPr>
              <w:widowControl/>
              <w:jc w:val="center"/>
              <w:rPr>
                <w:rFonts w:ascii="宋体" w:hAnsi="宋体" w:cs="宋体"/>
                <w:color w:val="auto"/>
                <w:kern w:val="0"/>
                <w:highlight w:val="none"/>
              </w:rPr>
            </w:pPr>
            <w:r>
              <w:rPr>
                <w:rFonts w:hint="eastAsia" w:ascii="宋体" w:hAnsi="宋体" w:cs="宋体"/>
                <w:color w:val="auto"/>
                <w:kern w:val="0"/>
                <w:highlight w:val="none"/>
              </w:rPr>
              <w:t>考核具体内容</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52BE5FE4">
            <w:pPr>
              <w:widowControl/>
              <w:jc w:val="center"/>
              <w:rPr>
                <w:rFonts w:ascii="宋体" w:hAnsi="宋体" w:cs="宋体"/>
                <w:color w:val="auto"/>
                <w:kern w:val="0"/>
                <w:highlight w:val="none"/>
              </w:rPr>
            </w:pPr>
            <w:r>
              <w:rPr>
                <w:rFonts w:hint="eastAsia" w:ascii="宋体" w:hAnsi="宋体" w:cs="宋体"/>
                <w:color w:val="auto"/>
                <w:kern w:val="0"/>
                <w:highlight w:val="none"/>
              </w:rPr>
              <w:t>配分</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6363654">
            <w:pPr>
              <w:widowControl/>
              <w:jc w:val="center"/>
              <w:rPr>
                <w:rFonts w:ascii="宋体" w:hAnsi="宋体" w:cs="宋体"/>
                <w:color w:val="auto"/>
                <w:kern w:val="0"/>
                <w:highlight w:val="none"/>
              </w:rPr>
            </w:pPr>
            <w:r>
              <w:rPr>
                <w:rFonts w:hint="eastAsia"/>
                <w:color w:val="auto"/>
                <w:highlight w:val="none"/>
              </w:rPr>
              <w:t>优秀</w:t>
            </w:r>
            <w:r>
              <w:rPr>
                <w:rFonts w:hint="eastAsia"/>
                <w:color w:val="auto"/>
                <w:highlight w:val="none"/>
              </w:rPr>
              <w:br w:type="textWrapping"/>
            </w:r>
            <w:r>
              <w:rPr>
                <w:rFonts w:hint="eastAsia"/>
                <w:color w:val="auto"/>
                <w:highlight w:val="none"/>
              </w:rPr>
              <w:t>(9-10分)</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0B548E29">
            <w:pPr>
              <w:widowControl/>
              <w:jc w:val="center"/>
              <w:rPr>
                <w:rFonts w:ascii="宋体" w:hAnsi="宋体" w:cs="宋体"/>
                <w:color w:val="auto"/>
                <w:kern w:val="0"/>
                <w:highlight w:val="none"/>
              </w:rPr>
            </w:pPr>
            <w:r>
              <w:rPr>
                <w:rFonts w:hint="eastAsia"/>
                <w:color w:val="auto"/>
                <w:highlight w:val="none"/>
              </w:rPr>
              <w:t>良好</w:t>
            </w:r>
            <w:r>
              <w:rPr>
                <w:rFonts w:hint="eastAsia"/>
                <w:color w:val="auto"/>
                <w:highlight w:val="none"/>
              </w:rPr>
              <w:br w:type="textWrapping"/>
            </w:r>
            <w:r>
              <w:rPr>
                <w:rFonts w:hint="eastAsia"/>
                <w:color w:val="auto"/>
                <w:highlight w:val="none"/>
              </w:rPr>
              <w:t>(7-8分)</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29E3F7C">
            <w:pPr>
              <w:widowControl/>
              <w:jc w:val="center"/>
              <w:rPr>
                <w:rFonts w:ascii="宋体" w:hAnsi="宋体" w:cs="宋体"/>
                <w:color w:val="auto"/>
                <w:kern w:val="0"/>
                <w:highlight w:val="none"/>
              </w:rPr>
            </w:pPr>
            <w:r>
              <w:rPr>
                <w:rFonts w:hint="eastAsia"/>
                <w:color w:val="auto"/>
                <w:highlight w:val="none"/>
              </w:rPr>
              <w:t>一般</w:t>
            </w:r>
            <w:r>
              <w:rPr>
                <w:rFonts w:hint="eastAsia"/>
                <w:color w:val="auto"/>
                <w:highlight w:val="none"/>
              </w:rPr>
              <w:br w:type="textWrapping"/>
            </w:r>
            <w:r>
              <w:rPr>
                <w:rFonts w:hint="eastAsia"/>
                <w:color w:val="auto"/>
                <w:highlight w:val="none"/>
              </w:rPr>
              <w:t>(5-6分)</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B19A184">
            <w:pPr>
              <w:widowControl/>
              <w:jc w:val="center"/>
              <w:rPr>
                <w:rFonts w:ascii="宋体" w:hAnsi="宋体" w:cs="宋体"/>
                <w:color w:val="auto"/>
                <w:kern w:val="0"/>
                <w:highlight w:val="none"/>
              </w:rPr>
            </w:pPr>
            <w:r>
              <w:rPr>
                <w:rFonts w:hint="eastAsia"/>
                <w:color w:val="auto"/>
                <w:highlight w:val="none"/>
              </w:rPr>
              <w:t>较差</w:t>
            </w:r>
            <w:r>
              <w:rPr>
                <w:rFonts w:hint="eastAsia"/>
                <w:color w:val="auto"/>
                <w:highlight w:val="none"/>
              </w:rPr>
              <w:br w:type="textWrapping"/>
            </w:r>
            <w:r>
              <w:rPr>
                <w:rFonts w:hint="eastAsia"/>
                <w:color w:val="auto"/>
                <w:highlight w:val="none"/>
              </w:rPr>
              <w:t>(0-4分)</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05CFC797">
            <w:pPr>
              <w:widowControl/>
              <w:jc w:val="center"/>
              <w:rPr>
                <w:rFonts w:ascii="宋体" w:hAnsi="宋体" w:cs="宋体"/>
                <w:color w:val="auto"/>
                <w:kern w:val="0"/>
                <w:highlight w:val="none"/>
              </w:rPr>
            </w:pPr>
            <w:r>
              <w:rPr>
                <w:rFonts w:hint="eastAsia" w:ascii="宋体" w:hAnsi="宋体" w:cs="宋体"/>
                <w:color w:val="auto"/>
                <w:kern w:val="0"/>
                <w:highlight w:val="none"/>
              </w:rPr>
              <w:t>备注说明</w:t>
            </w:r>
            <w:r>
              <w:rPr>
                <w:rFonts w:hint="eastAsia" w:ascii="宋体" w:hAnsi="宋体" w:cs="宋体"/>
                <w:color w:val="auto"/>
                <w:kern w:val="0"/>
                <w:highlight w:val="none"/>
              </w:rPr>
              <w:br w:type="textWrapping"/>
            </w:r>
            <w:r>
              <w:rPr>
                <w:rFonts w:hint="eastAsia" w:ascii="宋体" w:hAnsi="宋体" w:cs="宋体"/>
                <w:color w:val="auto"/>
                <w:kern w:val="0"/>
                <w:highlight w:val="none"/>
              </w:rPr>
              <w:t>（较差要写清楚原因）</w:t>
            </w:r>
          </w:p>
        </w:tc>
      </w:tr>
      <w:tr w14:paraId="5646A921">
        <w:tblPrEx>
          <w:tblCellMar>
            <w:top w:w="0" w:type="dxa"/>
            <w:left w:w="108" w:type="dxa"/>
            <w:bottom w:w="0" w:type="dxa"/>
            <w:right w:w="108" w:type="dxa"/>
          </w:tblCellMar>
        </w:tblPrEx>
        <w:trPr>
          <w:trHeight w:val="54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4FB57CA4">
            <w:pPr>
              <w:widowControl/>
              <w:jc w:val="center"/>
              <w:rPr>
                <w:rFonts w:ascii="宋体" w:hAnsi="宋体" w:cs="宋体"/>
                <w:color w:val="auto"/>
                <w:kern w:val="0"/>
                <w:highlight w:val="none"/>
              </w:rPr>
            </w:pPr>
            <w:r>
              <w:rPr>
                <w:rFonts w:hint="eastAsia" w:ascii="宋体" w:hAnsi="宋体" w:cs="宋体"/>
                <w:color w:val="auto"/>
                <w:kern w:val="0"/>
                <w:highlight w:val="none"/>
              </w:rPr>
              <w:t>1</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21032EB8">
            <w:pPr>
              <w:widowControl/>
              <w:jc w:val="center"/>
              <w:rPr>
                <w:rFonts w:ascii="宋体" w:hAnsi="宋体" w:cs="宋体"/>
                <w:color w:val="auto"/>
                <w:kern w:val="0"/>
                <w:highlight w:val="none"/>
              </w:rPr>
            </w:pPr>
            <w:r>
              <w:rPr>
                <w:rFonts w:hint="eastAsia"/>
                <w:color w:val="auto"/>
                <w:highlight w:val="none"/>
              </w:rPr>
              <w:t>工作态度与纪律（20分）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64F3357F">
            <w:pPr>
              <w:widowControl/>
              <w:jc w:val="center"/>
              <w:rPr>
                <w:rFonts w:ascii="宋体" w:hAnsi="宋体" w:cs="宋体"/>
                <w:color w:val="auto"/>
                <w:kern w:val="0"/>
                <w:highlight w:val="none"/>
              </w:rPr>
            </w:pPr>
            <w:r>
              <w:rPr>
                <w:rFonts w:hint="eastAsia"/>
                <w:color w:val="auto"/>
                <w:highlight w:val="none"/>
              </w:rPr>
              <w:t>每月驻场工作情况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526D15F">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2D43DD0D">
            <w:pPr>
              <w:widowControl/>
              <w:jc w:val="center"/>
              <w:rPr>
                <w:rFonts w:ascii="宋体" w:hAnsi="宋体" w:cs="宋体"/>
                <w:color w:val="auto"/>
                <w:kern w:val="0"/>
                <w:highlight w:val="none"/>
              </w:rPr>
            </w:pP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6934229">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60DE7E2">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336B698">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5BE4807E">
            <w:pPr>
              <w:widowControl/>
              <w:jc w:val="center"/>
              <w:rPr>
                <w:rFonts w:ascii="宋体" w:hAnsi="宋体" w:cs="宋体"/>
                <w:color w:val="auto"/>
                <w:kern w:val="0"/>
                <w:highlight w:val="none"/>
              </w:rPr>
            </w:pPr>
          </w:p>
        </w:tc>
      </w:tr>
      <w:tr w14:paraId="2170D058">
        <w:tblPrEx>
          <w:tblCellMar>
            <w:top w:w="0" w:type="dxa"/>
            <w:left w:w="108" w:type="dxa"/>
            <w:bottom w:w="0" w:type="dxa"/>
            <w:right w:w="108" w:type="dxa"/>
          </w:tblCellMar>
        </w:tblPrEx>
        <w:trPr>
          <w:trHeight w:val="98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700E7169">
            <w:pPr>
              <w:widowControl/>
              <w:jc w:val="center"/>
              <w:rPr>
                <w:rFonts w:ascii="宋体" w:hAnsi="宋体" w:cs="宋体"/>
                <w:color w:val="auto"/>
                <w:kern w:val="0"/>
                <w:highlight w:val="none"/>
              </w:rPr>
            </w:pPr>
            <w:r>
              <w:rPr>
                <w:rFonts w:hint="eastAsia" w:ascii="宋体" w:hAnsi="宋体" w:cs="宋体"/>
                <w:color w:val="auto"/>
                <w:kern w:val="0"/>
                <w:highlight w:val="none"/>
              </w:rPr>
              <w:t>2</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6E8F01">
            <w:pPr>
              <w:widowControl/>
              <w:jc w:val="left"/>
              <w:rPr>
                <w:rFonts w:ascii="宋体" w:hAnsi="宋体" w:cs="宋体"/>
                <w:color w:val="auto"/>
                <w:kern w:val="0"/>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09C54E5F">
            <w:pPr>
              <w:widowControl/>
              <w:jc w:val="center"/>
              <w:rPr>
                <w:rFonts w:ascii="宋体" w:hAnsi="宋体" w:cs="宋体"/>
                <w:color w:val="auto"/>
                <w:kern w:val="0"/>
                <w:highlight w:val="none"/>
              </w:rPr>
            </w:pPr>
            <w:r>
              <w:rPr>
                <w:rFonts w:hint="eastAsia"/>
                <w:color w:val="auto"/>
                <w:highlight w:val="none"/>
              </w:rPr>
              <w:t>是否按时制定施工项目的技术管理要求和技术管理工作计划</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C42CEDE">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F147E09">
            <w:pPr>
              <w:widowControl/>
              <w:jc w:val="center"/>
              <w:rPr>
                <w:rFonts w:ascii="宋体" w:hAnsi="宋体" w:cs="宋体"/>
                <w:color w:val="auto"/>
                <w:kern w:val="0"/>
                <w:highlight w:val="none"/>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599870E1">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D63A7F8">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2F4C9FD">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5666D852">
            <w:pPr>
              <w:widowControl/>
              <w:jc w:val="center"/>
              <w:rPr>
                <w:rFonts w:ascii="宋体" w:hAnsi="宋体" w:cs="宋体"/>
                <w:color w:val="auto"/>
                <w:kern w:val="0"/>
                <w:highlight w:val="none"/>
              </w:rPr>
            </w:pPr>
          </w:p>
        </w:tc>
      </w:tr>
      <w:tr w14:paraId="2C681DE1">
        <w:tblPrEx>
          <w:tblCellMar>
            <w:top w:w="0" w:type="dxa"/>
            <w:left w:w="108" w:type="dxa"/>
            <w:bottom w:w="0" w:type="dxa"/>
            <w:right w:w="108" w:type="dxa"/>
          </w:tblCellMar>
        </w:tblPrEx>
        <w:trPr>
          <w:trHeight w:val="571"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0C1FDFEB">
            <w:pPr>
              <w:widowControl/>
              <w:jc w:val="center"/>
              <w:rPr>
                <w:rFonts w:ascii="宋体" w:hAnsi="宋体" w:cs="宋体"/>
                <w:color w:val="auto"/>
                <w:kern w:val="0"/>
                <w:highlight w:val="none"/>
              </w:rPr>
            </w:pPr>
            <w:r>
              <w:rPr>
                <w:rFonts w:hint="eastAsia" w:ascii="宋体" w:hAnsi="宋体" w:cs="宋体"/>
                <w:color w:val="auto"/>
                <w:kern w:val="0"/>
                <w:highlight w:val="none"/>
              </w:rPr>
              <w:t>3</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5FC68F1E">
            <w:pPr>
              <w:widowControl/>
              <w:jc w:val="center"/>
              <w:rPr>
                <w:rFonts w:ascii="宋体" w:hAnsi="宋体" w:cs="宋体"/>
                <w:color w:val="auto"/>
                <w:kern w:val="0"/>
                <w:highlight w:val="none"/>
              </w:rPr>
            </w:pPr>
            <w:r>
              <w:rPr>
                <w:rFonts w:hint="eastAsia"/>
                <w:color w:val="auto"/>
                <w:highlight w:val="none"/>
              </w:rPr>
              <w:t>工作任务完成情况（30分）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11643A06">
            <w:pPr>
              <w:widowControl/>
              <w:jc w:val="center"/>
              <w:rPr>
                <w:rFonts w:ascii="宋体" w:hAnsi="宋体" w:cs="宋体"/>
                <w:color w:val="auto"/>
                <w:kern w:val="0"/>
                <w:highlight w:val="none"/>
              </w:rPr>
            </w:pPr>
            <w:r>
              <w:rPr>
                <w:rFonts w:hint="eastAsia"/>
                <w:color w:val="auto"/>
                <w:highlight w:val="none"/>
              </w:rPr>
              <w:t>技术交底工作情况和效果</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61DDE1C4">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29BF5D8">
            <w:pPr>
              <w:widowControl/>
              <w:jc w:val="center"/>
              <w:rPr>
                <w:rFonts w:ascii="宋体" w:hAnsi="宋体" w:cs="宋体"/>
                <w:color w:val="auto"/>
                <w:kern w:val="0"/>
                <w:highlight w:val="none"/>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4408E184">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E6F4EEF">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D9B823B">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18CBB12D">
            <w:pPr>
              <w:widowControl/>
              <w:jc w:val="center"/>
              <w:rPr>
                <w:rFonts w:ascii="宋体" w:hAnsi="宋体" w:cs="宋体"/>
                <w:color w:val="auto"/>
                <w:kern w:val="0"/>
                <w:highlight w:val="none"/>
              </w:rPr>
            </w:pPr>
          </w:p>
        </w:tc>
      </w:tr>
      <w:tr w14:paraId="1B1B271A">
        <w:tblPrEx>
          <w:tblCellMar>
            <w:top w:w="0" w:type="dxa"/>
            <w:left w:w="108" w:type="dxa"/>
            <w:bottom w:w="0" w:type="dxa"/>
            <w:right w:w="108" w:type="dxa"/>
          </w:tblCellMar>
        </w:tblPrEx>
        <w:trPr>
          <w:trHeight w:val="1543"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7A2F3C57">
            <w:pPr>
              <w:widowControl/>
              <w:jc w:val="center"/>
              <w:rPr>
                <w:rFonts w:ascii="宋体" w:hAnsi="宋体" w:cs="宋体"/>
                <w:color w:val="auto"/>
                <w:kern w:val="0"/>
                <w:highlight w:val="none"/>
              </w:rPr>
            </w:pPr>
            <w:r>
              <w:rPr>
                <w:rFonts w:hint="eastAsia" w:ascii="宋体" w:hAnsi="宋体" w:cs="宋体"/>
                <w:color w:val="auto"/>
                <w:kern w:val="0"/>
                <w:highlight w:val="none"/>
              </w:rPr>
              <w:t>4</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1D5034">
            <w:pPr>
              <w:widowControl/>
              <w:jc w:val="left"/>
              <w:rPr>
                <w:rFonts w:ascii="宋体" w:hAnsi="宋体" w:cs="宋体"/>
                <w:color w:val="auto"/>
                <w:kern w:val="0"/>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3BEB40B0">
            <w:pPr>
              <w:widowControl/>
              <w:jc w:val="center"/>
              <w:rPr>
                <w:rFonts w:ascii="宋体" w:hAnsi="宋体" w:cs="宋体"/>
                <w:color w:val="auto"/>
                <w:kern w:val="0"/>
                <w:highlight w:val="none"/>
              </w:rPr>
            </w:pPr>
            <w:r>
              <w:rPr>
                <w:rFonts w:hint="eastAsia"/>
                <w:color w:val="auto"/>
                <w:highlight w:val="none"/>
              </w:rPr>
              <w:t>施工组织设计、重大危险源识别和控制方案、专项施工方案等的编制和组织实施情况。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7EF7A3E8">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1474BD4">
            <w:pPr>
              <w:widowControl/>
              <w:jc w:val="center"/>
              <w:rPr>
                <w:rFonts w:ascii="宋体" w:hAnsi="宋体" w:cs="宋体"/>
                <w:color w:val="auto"/>
                <w:kern w:val="0"/>
                <w:highlight w:val="none"/>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56F1509B">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3910675">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6A56F53">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32ED07F0">
            <w:pPr>
              <w:widowControl/>
              <w:jc w:val="center"/>
              <w:rPr>
                <w:rFonts w:ascii="宋体" w:hAnsi="宋体" w:cs="宋体"/>
                <w:color w:val="auto"/>
                <w:kern w:val="0"/>
                <w:highlight w:val="none"/>
              </w:rPr>
            </w:pPr>
          </w:p>
        </w:tc>
      </w:tr>
      <w:tr w14:paraId="606586B7">
        <w:tblPrEx>
          <w:tblCellMar>
            <w:top w:w="0" w:type="dxa"/>
            <w:left w:w="108" w:type="dxa"/>
            <w:bottom w:w="0" w:type="dxa"/>
            <w:right w:w="108" w:type="dxa"/>
          </w:tblCellMar>
        </w:tblPrEx>
        <w:trPr>
          <w:trHeight w:val="1394"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33B9C22D">
            <w:pPr>
              <w:widowControl/>
              <w:jc w:val="center"/>
              <w:rPr>
                <w:rFonts w:ascii="宋体" w:hAnsi="宋体" w:cs="宋体"/>
                <w:color w:val="auto"/>
                <w:kern w:val="0"/>
                <w:highlight w:val="none"/>
              </w:rPr>
            </w:pPr>
            <w:r>
              <w:rPr>
                <w:rFonts w:hint="eastAsia" w:ascii="宋体" w:hAnsi="宋体" w:cs="宋体"/>
                <w:color w:val="auto"/>
                <w:kern w:val="0"/>
                <w:highlight w:val="none"/>
              </w:rPr>
              <w:t>5</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3F074E">
            <w:pPr>
              <w:widowControl/>
              <w:jc w:val="left"/>
              <w:rPr>
                <w:rFonts w:ascii="宋体" w:hAnsi="宋体" w:cs="宋体"/>
                <w:color w:val="auto"/>
                <w:kern w:val="0"/>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315C0A95">
            <w:pPr>
              <w:widowControl/>
              <w:jc w:val="center"/>
              <w:rPr>
                <w:rFonts w:ascii="宋体" w:hAnsi="宋体" w:cs="宋体"/>
                <w:color w:val="auto"/>
                <w:kern w:val="0"/>
                <w:highlight w:val="none"/>
              </w:rPr>
            </w:pPr>
            <w:r>
              <w:rPr>
                <w:rFonts w:hint="eastAsia"/>
                <w:color w:val="auto"/>
                <w:highlight w:val="none"/>
              </w:rPr>
              <w:t>处理工程验收提出的质量安全问题整改情况。技术资料的签证、收集、整理和归档情况。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03DCFA3E">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41676C06">
            <w:pPr>
              <w:widowControl/>
              <w:jc w:val="center"/>
              <w:rPr>
                <w:rFonts w:ascii="宋体" w:hAnsi="宋体" w:cs="宋体"/>
                <w:color w:val="auto"/>
                <w:kern w:val="0"/>
                <w:highlight w:val="none"/>
              </w:rPr>
            </w:pP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F82788F">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BFCF7C8">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6CBAA55">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716E2294">
            <w:pPr>
              <w:widowControl/>
              <w:jc w:val="center"/>
              <w:rPr>
                <w:rFonts w:ascii="宋体" w:hAnsi="宋体" w:cs="宋体"/>
                <w:color w:val="auto"/>
                <w:kern w:val="0"/>
                <w:highlight w:val="none"/>
              </w:rPr>
            </w:pPr>
          </w:p>
        </w:tc>
      </w:tr>
      <w:tr w14:paraId="5F611626">
        <w:tblPrEx>
          <w:tblCellMar>
            <w:top w:w="0" w:type="dxa"/>
            <w:left w:w="108" w:type="dxa"/>
            <w:bottom w:w="0" w:type="dxa"/>
            <w:right w:w="108" w:type="dxa"/>
          </w:tblCellMar>
        </w:tblPrEx>
        <w:trPr>
          <w:trHeight w:val="1214"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194CB84D">
            <w:pPr>
              <w:widowControl/>
              <w:jc w:val="center"/>
              <w:rPr>
                <w:rFonts w:ascii="宋体" w:hAnsi="宋体" w:cs="宋体"/>
                <w:color w:val="auto"/>
                <w:kern w:val="0"/>
                <w:highlight w:val="none"/>
              </w:rPr>
            </w:pPr>
            <w:r>
              <w:rPr>
                <w:rFonts w:hint="eastAsia" w:ascii="宋体" w:hAnsi="宋体" w:cs="宋体"/>
                <w:color w:val="auto"/>
                <w:kern w:val="0"/>
                <w:highlight w:val="none"/>
              </w:rPr>
              <w:t>6</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2696D0D0">
            <w:pPr>
              <w:widowControl/>
              <w:jc w:val="center"/>
              <w:rPr>
                <w:rFonts w:ascii="宋体" w:hAnsi="宋体" w:cs="宋体"/>
                <w:color w:val="auto"/>
                <w:kern w:val="0"/>
                <w:highlight w:val="none"/>
              </w:rPr>
            </w:pPr>
            <w:r>
              <w:rPr>
                <w:rFonts w:hint="eastAsia"/>
                <w:color w:val="auto"/>
                <w:highlight w:val="none"/>
              </w:rPr>
              <w:t>专业技术水平</w:t>
            </w:r>
            <w:r>
              <w:rPr>
                <w:rFonts w:hint="eastAsia"/>
                <w:color w:val="auto"/>
                <w:highlight w:val="none"/>
              </w:rPr>
              <w:br w:type="textWrapping"/>
            </w:r>
            <w:r>
              <w:rPr>
                <w:rFonts w:hint="eastAsia"/>
                <w:color w:val="auto"/>
                <w:highlight w:val="none"/>
              </w:rPr>
              <w:t>（30分）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727D3855">
            <w:pPr>
              <w:widowControl/>
              <w:jc w:val="center"/>
              <w:rPr>
                <w:rFonts w:ascii="宋体" w:hAnsi="宋体" w:cs="宋体"/>
                <w:color w:val="auto"/>
                <w:kern w:val="0"/>
                <w:highlight w:val="none"/>
              </w:rPr>
            </w:pPr>
            <w:r>
              <w:rPr>
                <w:rFonts w:hint="eastAsia"/>
                <w:color w:val="auto"/>
                <w:highlight w:val="none"/>
              </w:rPr>
              <w:t>熟悉施工图纸，是否组织并参加图纸会审和技术交底，并对结果进行确认</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613EC1E9">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20894D9F">
            <w:pPr>
              <w:widowControl/>
              <w:jc w:val="center"/>
              <w:rPr>
                <w:rFonts w:ascii="宋体" w:hAnsi="宋体" w:cs="宋体"/>
                <w:color w:val="auto"/>
                <w:kern w:val="0"/>
                <w:highlight w:val="none"/>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415C6451">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24346B1">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BD62479">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60AEE773">
            <w:pPr>
              <w:widowControl/>
              <w:jc w:val="center"/>
              <w:rPr>
                <w:rFonts w:ascii="宋体" w:hAnsi="宋体" w:cs="宋体"/>
                <w:color w:val="auto"/>
                <w:kern w:val="0"/>
                <w:highlight w:val="none"/>
              </w:rPr>
            </w:pPr>
          </w:p>
        </w:tc>
      </w:tr>
      <w:tr w14:paraId="12BFA72D">
        <w:tblPrEx>
          <w:tblCellMar>
            <w:top w:w="0" w:type="dxa"/>
            <w:left w:w="108" w:type="dxa"/>
            <w:bottom w:w="0" w:type="dxa"/>
            <w:right w:w="108" w:type="dxa"/>
          </w:tblCellMar>
        </w:tblPrEx>
        <w:trPr>
          <w:trHeight w:val="676"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7FC78F95">
            <w:pPr>
              <w:widowControl/>
              <w:jc w:val="center"/>
              <w:rPr>
                <w:rFonts w:hint="eastAsia" w:ascii="宋体" w:hAnsi="宋体" w:cs="宋体"/>
                <w:color w:val="auto"/>
                <w:kern w:val="0"/>
                <w:highlight w:val="none"/>
              </w:rPr>
            </w:pPr>
            <w:r>
              <w:rPr>
                <w:rFonts w:hint="eastAsia" w:ascii="宋体" w:hAnsi="宋体" w:cs="宋体"/>
                <w:color w:val="auto"/>
                <w:kern w:val="0"/>
                <w:highlight w:val="none"/>
              </w:rPr>
              <w:t>7</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964266">
            <w:pPr>
              <w:widowControl/>
              <w:jc w:val="center"/>
              <w:rPr>
                <w:rFonts w:ascii="宋体" w:hAnsi="宋体" w:cs="宋体"/>
                <w:color w:val="auto"/>
                <w:kern w:val="0"/>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23AABC99">
            <w:pPr>
              <w:widowControl/>
              <w:jc w:val="center"/>
              <w:rPr>
                <w:rFonts w:ascii="宋体" w:hAnsi="宋体" w:cs="宋体"/>
                <w:color w:val="auto"/>
                <w:kern w:val="0"/>
                <w:highlight w:val="none"/>
              </w:rPr>
            </w:pPr>
            <w:r>
              <w:rPr>
                <w:rFonts w:hint="eastAsia"/>
                <w:color w:val="auto"/>
                <w:highlight w:val="none"/>
              </w:rPr>
              <w:t>复核、组织工程测量及其资料评定的情况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832A9D4">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4D3DD9C">
            <w:pPr>
              <w:widowControl/>
              <w:jc w:val="center"/>
              <w:rPr>
                <w:rFonts w:ascii="宋体" w:hAnsi="宋体" w:cs="宋体"/>
                <w:color w:val="auto"/>
                <w:kern w:val="0"/>
                <w:highlight w:val="none"/>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6436858D">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FA0A287">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6A9401A">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58CCD957">
            <w:pPr>
              <w:widowControl/>
              <w:jc w:val="center"/>
              <w:rPr>
                <w:rFonts w:ascii="宋体" w:hAnsi="宋体" w:cs="宋体"/>
                <w:color w:val="auto"/>
                <w:kern w:val="0"/>
                <w:highlight w:val="none"/>
              </w:rPr>
            </w:pPr>
          </w:p>
        </w:tc>
      </w:tr>
      <w:tr w14:paraId="0C668763">
        <w:tblPrEx>
          <w:tblCellMar>
            <w:top w:w="0" w:type="dxa"/>
            <w:left w:w="108" w:type="dxa"/>
            <w:bottom w:w="0" w:type="dxa"/>
            <w:right w:w="108" w:type="dxa"/>
          </w:tblCellMar>
        </w:tblPrEx>
        <w:trPr>
          <w:trHeight w:val="1267"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4DFE78F6">
            <w:pPr>
              <w:widowControl/>
              <w:jc w:val="center"/>
              <w:rPr>
                <w:rFonts w:ascii="宋体" w:hAnsi="宋体" w:cs="宋体"/>
                <w:color w:val="auto"/>
                <w:kern w:val="0"/>
                <w:highlight w:val="none"/>
              </w:rPr>
            </w:pPr>
            <w:r>
              <w:rPr>
                <w:rFonts w:hint="eastAsia" w:ascii="宋体" w:hAnsi="宋体" w:cs="宋体"/>
                <w:color w:val="auto"/>
                <w:kern w:val="0"/>
                <w:highlight w:val="none"/>
              </w:rPr>
              <w:t>8</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A0C0E2">
            <w:pPr>
              <w:widowControl/>
              <w:jc w:val="left"/>
              <w:rPr>
                <w:rFonts w:ascii="宋体" w:hAnsi="宋体" w:cs="宋体"/>
                <w:color w:val="auto"/>
                <w:kern w:val="0"/>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15E21073">
            <w:pPr>
              <w:widowControl/>
              <w:jc w:val="center"/>
              <w:rPr>
                <w:rFonts w:ascii="宋体" w:hAnsi="宋体" w:cs="宋体"/>
                <w:color w:val="auto"/>
                <w:kern w:val="0"/>
                <w:highlight w:val="none"/>
              </w:rPr>
            </w:pPr>
            <w:r>
              <w:rPr>
                <w:rFonts w:hint="eastAsia"/>
                <w:color w:val="auto"/>
                <w:highlight w:val="none"/>
              </w:rPr>
              <w:t>组织、协调施工过程管理和解决项目施工过程中出现问题是否及时、合理。</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5C58F6C3">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76090EA">
            <w:pPr>
              <w:widowControl/>
              <w:jc w:val="center"/>
              <w:rPr>
                <w:rFonts w:ascii="宋体" w:hAnsi="宋体" w:cs="宋体"/>
                <w:color w:val="auto"/>
                <w:kern w:val="0"/>
                <w:highlight w:val="none"/>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1F13B953">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A0C46CA">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C913B05">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273A05B3">
            <w:pPr>
              <w:widowControl/>
              <w:jc w:val="center"/>
              <w:rPr>
                <w:rFonts w:ascii="宋体" w:hAnsi="宋体" w:cs="宋体"/>
                <w:color w:val="auto"/>
                <w:kern w:val="0"/>
                <w:highlight w:val="none"/>
              </w:rPr>
            </w:pPr>
          </w:p>
        </w:tc>
      </w:tr>
      <w:tr w14:paraId="6C9CC3CE">
        <w:tblPrEx>
          <w:tblCellMar>
            <w:top w:w="0" w:type="dxa"/>
            <w:left w:w="108" w:type="dxa"/>
            <w:bottom w:w="0" w:type="dxa"/>
            <w:right w:w="108" w:type="dxa"/>
          </w:tblCellMar>
        </w:tblPrEx>
        <w:trPr>
          <w:trHeight w:val="88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1A348EF4">
            <w:pPr>
              <w:widowControl/>
              <w:jc w:val="center"/>
              <w:rPr>
                <w:rFonts w:ascii="宋体" w:hAnsi="宋体" w:cs="宋体"/>
                <w:color w:val="auto"/>
                <w:kern w:val="0"/>
                <w:highlight w:val="none"/>
              </w:rPr>
            </w:pPr>
            <w:r>
              <w:rPr>
                <w:rFonts w:hint="eastAsia" w:ascii="宋体" w:hAnsi="宋体" w:cs="宋体"/>
                <w:color w:val="auto"/>
                <w:kern w:val="0"/>
                <w:highlight w:val="none"/>
              </w:rPr>
              <w:t>9</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4AC26E48">
            <w:pPr>
              <w:widowControl/>
              <w:jc w:val="center"/>
              <w:rPr>
                <w:rFonts w:ascii="宋体" w:hAnsi="宋体" w:cs="宋体"/>
                <w:color w:val="auto"/>
                <w:kern w:val="0"/>
                <w:highlight w:val="none"/>
              </w:rPr>
            </w:pPr>
            <w:r>
              <w:rPr>
                <w:rFonts w:hint="eastAsia"/>
                <w:color w:val="auto"/>
                <w:highlight w:val="none"/>
              </w:rPr>
              <w:t>综合能力</w:t>
            </w:r>
            <w:r>
              <w:rPr>
                <w:rFonts w:hint="eastAsia"/>
                <w:color w:val="auto"/>
                <w:highlight w:val="none"/>
              </w:rPr>
              <w:br w:type="textWrapping"/>
            </w:r>
            <w:r>
              <w:rPr>
                <w:rFonts w:hint="eastAsia"/>
                <w:color w:val="auto"/>
                <w:highlight w:val="none"/>
              </w:rPr>
              <w:t>（20分）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338F68FE">
            <w:pPr>
              <w:widowControl/>
              <w:jc w:val="center"/>
              <w:rPr>
                <w:rFonts w:ascii="宋体" w:hAnsi="宋体" w:cs="宋体"/>
                <w:color w:val="auto"/>
                <w:kern w:val="0"/>
                <w:highlight w:val="none"/>
              </w:rPr>
            </w:pPr>
            <w:r>
              <w:rPr>
                <w:rFonts w:hint="eastAsia"/>
                <w:color w:val="auto"/>
                <w:highlight w:val="none"/>
              </w:rPr>
              <w:t>对专业分包单位的技术和安全组织工作督促落实情况。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22FCA3C3">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42E1BB07">
            <w:pPr>
              <w:widowControl/>
              <w:jc w:val="center"/>
              <w:rPr>
                <w:rFonts w:ascii="宋体" w:hAnsi="宋体" w:cs="宋体"/>
                <w:color w:val="auto"/>
                <w:kern w:val="0"/>
                <w:highlight w:val="none"/>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1A59C996">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7A2F503">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30DC0F1">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68E08615">
            <w:pPr>
              <w:widowControl/>
              <w:jc w:val="center"/>
              <w:rPr>
                <w:rFonts w:ascii="宋体" w:hAnsi="宋体" w:cs="宋体"/>
                <w:color w:val="auto"/>
                <w:kern w:val="0"/>
                <w:highlight w:val="none"/>
              </w:rPr>
            </w:pPr>
          </w:p>
        </w:tc>
      </w:tr>
      <w:tr w14:paraId="7B4B360B">
        <w:tblPrEx>
          <w:tblCellMar>
            <w:top w:w="0" w:type="dxa"/>
            <w:left w:w="108" w:type="dxa"/>
            <w:bottom w:w="0" w:type="dxa"/>
            <w:right w:w="108" w:type="dxa"/>
          </w:tblCellMar>
        </w:tblPrEx>
        <w:trPr>
          <w:trHeight w:val="710"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2DD2B75F">
            <w:pPr>
              <w:widowControl/>
              <w:jc w:val="center"/>
              <w:rPr>
                <w:rFonts w:ascii="宋体" w:hAnsi="宋体" w:cs="宋体"/>
                <w:color w:val="auto"/>
                <w:kern w:val="0"/>
                <w:highlight w:val="none"/>
              </w:rPr>
            </w:pPr>
            <w:r>
              <w:rPr>
                <w:rFonts w:hint="eastAsia" w:ascii="宋体" w:hAnsi="宋体" w:cs="宋体"/>
                <w:color w:val="auto"/>
                <w:kern w:val="0"/>
                <w:highlight w:val="none"/>
              </w:rPr>
              <w:t>10</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E4CC17">
            <w:pPr>
              <w:widowControl/>
              <w:jc w:val="left"/>
              <w:rPr>
                <w:rFonts w:ascii="宋体" w:hAnsi="宋体" w:cs="宋体"/>
                <w:color w:val="auto"/>
                <w:kern w:val="0"/>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63C3F2AE">
            <w:pPr>
              <w:widowControl/>
              <w:jc w:val="center"/>
              <w:rPr>
                <w:rFonts w:ascii="宋体" w:hAnsi="宋体" w:cs="宋体"/>
                <w:color w:val="auto"/>
                <w:kern w:val="0"/>
                <w:highlight w:val="none"/>
              </w:rPr>
            </w:pPr>
            <w:r>
              <w:rPr>
                <w:rFonts w:hint="eastAsia"/>
                <w:color w:val="auto"/>
                <w:highlight w:val="none"/>
              </w:rPr>
              <w:t>指导质量检验和试验的工作情况及效果</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4C3C981">
            <w:pPr>
              <w:widowControl/>
              <w:jc w:val="center"/>
              <w:rPr>
                <w:rFonts w:ascii="宋体" w:hAnsi="宋体" w:cs="宋体"/>
                <w:color w:val="auto"/>
                <w:kern w:val="0"/>
                <w:highlight w:val="none"/>
              </w:rPr>
            </w:pPr>
            <w:r>
              <w:rPr>
                <w:rFonts w:hint="eastAsia"/>
                <w:color w:val="auto"/>
                <w:sz w:val="22"/>
                <w:szCs w:val="22"/>
                <w:highlight w:val="none"/>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9FF2D06">
            <w:pPr>
              <w:widowControl/>
              <w:jc w:val="center"/>
              <w:rPr>
                <w:rFonts w:ascii="宋体" w:hAnsi="宋体" w:cs="宋体"/>
                <w:color w:val="auto"/>
                <w:kern w:val="0"/>
                <w:highlight w:val="none"/>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09A79406">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20BB414">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C27EB12">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41F518DE">
            <w:pPr>
              <w:widowControl/>
              <w:jc w:val="center"/>
              <w:rPr>
                <w:rFonts w:ascii="宋体" w:hAnsi="宋体" w:cs="宋体"/>
                <w:color w:val="auto"/>
                <w:kern w:val="0"/>
                <w:highlight w:val="none"/>
              </w:rPr>
            </w:pPr>
          </w:p>
        </w:tc>
      </w:tr>
      <w:tr w14:paraId="401911C6">
        <w:tblPrEx>
          <w:tblCellMar>
            <w:top w:w="0" w:type="dxa"/>
            <w:left w:w="108" w:type="dxa"/>
            <w:bottom w:w="0" w:type="dxa"/>
            <w:right w:w="108" w:type="dxa"/>
          </w:tblCellMar>
        </w:tblPrEx>
        <w:trPr>
          <w:trHeight w:val="448" w:hRule="atLeast"/>
        </w:trPr>
        <w:tc>
          <w:tcPr>
            <w:tcW w:w="3843" w:type="dxa"/>
            <w:gridSpan w:val="3"/>
            <w:tcBorders>
              <w:top w:val="single" w:color="000000" w:sz="4" w:space="0"/>
              <w:left w:val="single" w:color="000000" w:sz="4" w:space="0"/>
              <w:bottom w:val="single" w:color="000000" w:sz="4" w:space="0"/>
              <w:right w:val="single" w:color="000000" w:sz="4" w:space="0"/>
            </w:tcBorders>
            <w:noWrap w:val="0"/>
            <w:vAlign w:val="center"/>
          </w:tcPr>
          <w:p w14:paraId="4AD29D89">
            <w:pPr>
              <w:widowControl/>
              <w:jc w:val="center"/>
              <w:rPr>
                <w:rFonts w:ascii="宋体" w:hAnsi="宋体" w:cs="宋体"/>
                <w:color w:val="auto"/>
                <w:kern w:val="0"/>
                <w:highlight w:val="none"/>
              </w:rPr>
            </w:pPr>
            <w:r>
              <w:rPr>
                <w:rFonts w:hint="eastAsia" w:ascii="宋体" w:hAnsi="宋体" w:cs="宋体"/>
                <w:color w:val="auto"/>
                <w:kern w:val="0"/>
                <w:highlight w:val="none"/>
              </w:rPr>
              <w:t>合计</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77554341">
            <w:pPr>
              <w:widowControl/>
              <w:jc w:val="center"/>
              <w:rPr>
                <w:rFonts w:ascii="宋体" w:hAnsi="宋体" w:cs="宋体"/>
                <w:color w:val="auto"/>
                <w:kern w:val="0"/>
                <w:highlight w:val="none"/>
              </w:rPr>
            </w:pPr>
            <w:r>
              <w:rPr>
                <w:rFonts w:hint="eastAsia" w:ascii="宋体" w:hAnsi="宋体" w:cs="宋体"/>
                <w:color w:val="auto"/>
                <w:kern w:val="0"/>
                <w:highlight w:val="none"/>
              </w:rPr>
              <w:t>100</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99A7326">
            <w:pPr>
              <w:widowControl/>
              <w:jc w:val="center"/>
              <w:rPr>
                <w:rFonts w:ascii="宋体" w:hAnsi="宋体" w:cs="宋体"/>
                <w:color w:val="auto"/>
                <w:kern w:val="0"/>
                <w:highlight w:val="none"/>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7BBC44CF">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9D5DA75">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64B1331">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08BA56A9">
            <w:pPr>
              <w:widowControl/>
              <w:jc w:val="center"/>
              <w:rPr>
                <w:rFonts w:ascii="宋体" w:hAnsi="宋体" w:cs="宋体"/>
                <w:color w:val="auto"/>
                <w:kern w:val="0"/>
                <w:highlight w:val="none"/>
              </w:rPr>
            </w:pPr>
          </w:p>
        </w:tc>
      </w:tr>
    </w:tbl>
    <w:p w14:paraId="51BBD161">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br w:type="page"/>
      </w:r>
      <w:bookmarkStart w:id="1235" w:name="_Toc4946"/>
      <w:bookmarkStart w:id="1236" w:name="_Toc27627"/>
      <w:bookmarkStart w:id="1237" w:name="_Toc14165"/>
      <w:bookmarkStart w:id="1238" w:name="_Toc25527"/>
      <w:bookmarkStart w:id="1239" w:name="_Toc3631"/>
      <w:bookmarkStart w:id="1240" w:name="_Toc101"/>
      <w:bookmarkStart w:id="1241" w:name="_Toc12158"/>
      <w:bookmarkStart w:id="1242" w:name="_Toc5275"/>
      <w:r>
        <w:rPr>
          <w:rFonts w:hint="eastAsia" w:ascii="宋体" w:hAnsi="宋体"/>
          <w:color w:val="auto"/>
          <w:sz w:val="24"/>
          <w:highlight w:val="none"/>
        </w:rPr>
        <w:t>附表3</w:t>
      </w:r>
      <w:bookmarkEnd w:id="1235"/>
      <w:bookmarkEnd w:id="1236"/>
      <w:bookmarkEnd w:id="1237"/>
      <w:bookmarkEnd w:id="1238"/>
      <w:bookmarkEnd w:id="1239"/>
      <w:bookmarkEnd w:id="1240"/>
      <w:bookmarkEnd w:id="1241"/>
      <w:bookmarkEnd w:id="1242"/>
      <w:r>
        <w:rPr>
          <w:rFonts w:hint="eastAsia" w:ascii="宋体" w:hAnsi="宋体"/>
          <w:color w:val="auto"/>
          <w:sz w:val="24"/>
          <w:highlight w:val="none"/>
        </w:rPr>
        <w:t xml:space="preserve"> </w:t>
      </w:r>
    </w:p>
    <w:tbl>
      <w:tblPr>
        <w:tblStyle w:val="41"/>
        <w:tblW w:w="9371" w:type="dxa"/>
        <w:tblInd w:w="93" w:type="dxa"/>
        <w:tblLayout w:type="fixed"/>
        <w:tblCellMar>
          <w:top w:w="0" w:type="dxa"/>
          <w:left w:w="108" w:type="dxa"/>
          <w:bottom w:w="0" w:type="dxa"/>
          <w:right w:w="108" w:type="dxa"/>
        </w:tblCellMar>
      </w:tblPr>
      <w:tblGrid>
        <w:gridCol w:w="582"/>
        <w:gridCol w:w="1134"/>
        <w:gridCol w:w="2410"/>
        <w:gridCol w:w="709"/>
        <w:gridCol w:w="709"/>
        <w:gridCol w:w="711"/>
        <w:gridCol w:w="992"/>
        <w:gridCol w:w="850"/>
        <w:gridCol w:w="1274"/>
      </w:tblGrid>
      <w:tr w14:paraId="63B8129E">
        <w:tblPrEx>
          <w:tblCellMar>
            <w:top w:w="0" w:type="dxa"/>
            <w:left w:w="108" w:type="dxa"/>
            <w:bottom w:w="0" w:type="dxa"/>
            <w:right w:w="108" w:type="dxa"/>
          </w:tblCellMar>
        </w:tblPrEx>
        <w:trPr>
          <w:trHeight w:val="522" w:hRule="atLeast"/>
          <w:tblHeader/>
        </w:trPr>
        <w:tc>
          <w:tcPr>
            <w:tcW w:w="9371" w:type="dxa"/>
            <w:gridSpan w:val="9"/>
            <w:tcBorders>
              <w:top w:val="single" w:color="000000" w:sz="4" w:space="0"/>
              <w:left w:val="single" w:color="000000" w:sz="4" w:space="0"/>
              <w:bottom w:val="single" w:color="000000" w:sz="4" w:space="0"/>
              <w:right w:val="single" w:color="000000" w:sz="4" w:space="0"/>
            </w:tcBorders>
            <w:noWrap w:val="0"/>
            <w:vAlign w:val="center"/>
          </w:tcPr>
          <w:p w14:paraId="5A842853">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番禺区水务工程施工单位管理人员考核评分表(安全员）</w:t>
            </w:r>
          </w:p>
        </w:tc>
      </w:tr>
      <w:tr w14:paraId="4DEB14B7">
        <w:tblPrEx>
          <w:tblCellMar>
            <w:top w:w="0" w:type="dxa"/>
            <w:left w:w="108" w:type="dxa"/>
            <w:bottom w:w="0" w:type="dxa"/>
            <w:right w:w="108" w:type="dxa"/>
          </w:tblCellMar>
        </w:tblPrEx>
        <w:trPr>
          <w:trHeight w:val="402" w:hRule="atLeast"/>
          <w:tblHeader/>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14:paraId="663BA56C">
            <w:pPr>
              <w:widowControl/>
              <w:jc w:val="center"/>
              <w:rPr>
                <w:rFonts w:ascii="宋体" w:hAnsi="宋体" w:cs="宋体"/>
                <w:color w:val="auto"/>
                <w:kern w:val="0"/>
                <w:highlight w:val="none"/>
              </w:rPr>
            </w:pPr>
            <w:r>
              <w:rPr>
                <w:rFonts w:hint="eastAsia" w:ascii="宋体" w:hAnsi="宋体" w:cs="宋体"/>
                <w:color w:val="auto"/>
                <w:kern w:val="0"/>
                <w:highlight w:val="none"/>
              </w:rPr>
              <w:t>工程名称</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14:paraId="06A742E0">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05DBD71">
            <w:pPr>
              <w:widowControl/>
              <w:jc w:val="center"/>
              <w:rPr>
                <w:rFonts w:hint="eastAsia" w:ascii="宋体" w:hAnsi="宋体" w:cs="宋体"/>
                <w:color w:val="auto"/>
                <w:kern w:val="0"/>
                <w:highlight w:val="none"/>
              </w:rPr>
            </w:pPr>
            <w:r>
              <w:rPr>
                <w:rFonts w:hint="eastAsia" w:ascii="宋体" w:hAnsi="宋体" w:cs="宋体"/>
                <w:color w:val="auto"/>
                <w:kern w:val="0"/>
                <w:highlight w:val="none"/>
              </w:rPr>
              <w:t>评分</w:t>
            </w:r>
          </w:p>
          <w:p w14:paraId="28D60EAA">
            <w:pPr>
              <w:widowControl/>
              <w:jc w:val="center"/>
              <w:rPr>
                <w:rFonts w:ascii="宋体" w:hAnsi="宋体" w:cs="宋体"/>
                <w:color w:val="auto"/>
                <w:kern w:val="0"/>
                <w:highlight w:val="none"/>
              </w:rPr>
            </w:pPr>
            <w:r>
              <w:rPr>
                <w:rFonts w:hint="eastAsia" w:ascii="宋体" w:hAnsi="宋体" w:cs="宋体"/>
                <w:color w:val="auto"/>
                <w:kern w:val="0"/>
                <w:highlight w:val="none"/>
              </w:rPr>
              <w:t>时间</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14:paraId="0F2E631C">
            <w:pPr>
              <w:widowControl/>
              <w:jc w:val="center"/>
              <w:rPr>
                <w:rFonts w:ascii="宋体" w:hAnsi="宋体" w:cs="宋体"/>
                <w:color w:val="auto"/>
                <w:kern w:val="0"/>
                <w:highlight w:val="none"/>
              </w:rPr>
            </w:pPr>
          </w:p>
        </w:tc>
      </w:tr>
      <w:tr w14:paraId="5E8E68B5">
        <w:tblPrEx>
          <w:tblCellMar>
            <w:top w:w="0" w:type="dxa"/>
            <w:left w:w="108" w:type="dxa"/>
            <w:bottom w:w="0" w:type="dxa"/>
            <w:right w:w="108" w:type="dxa"/>
          </w:tblCellMar>
        </w:tblPrEx>
        <w:trPr>
          <w:trHeight w:val="423" w:hRule="atLeast"/>
          <w:tblHeader/>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14:paraId="0F9C4E1B">
            <w:pPr>
              <w:widowControl/>
              <w:jc w:val="center"/>
              <w:rPr>
                <w:rFonts w:ascii="宋体" w:hAnsi="宋体" w:cs="宋体"/>
                <w:color w:val="auto"/>
                <w:kern w:val="0"/>
                <w:highlight w:val="none"/>
              </w:rPr>
            </w:pPr>
            <w:r>
              <w:rPr>
                <w:rFonts w:hint="eastAsia" w:ascii="宋体" w:hAnsi="宋体" w:cs="宋体"/>
                <w:color w:val="auto"/>
                <w:kern w:val="0"/>
                <w:highlight w:val="none"/>
              </w:rPr>
              <w:t>建设单位</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14:paraId="2DB41797">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4AFD08E">
            <w:pPr>
              <w:widowControl/>
              <w:jc w:val="center"/>
              <w:rPr>
                <w:rFonts w:ascii="宋体" w:hAnsi="宋体" w:cs="宋体"/>
                <w:color w:val="auto"/>
                <w:kern w:val="0"/>
                <w:highlight w:val="none"/>
              </w:rPr>
            </w:pPr>
            <w:r>
              <w:rPr>
                <w:rFonts w:hint="eastAsia" w:ascii="宋体" w:hAnsi="宋体" w:cs="宋体"/>
                <w:color w:val="auto"/>
                <w:kern w:val="0"/>
                <w:highlight w:val="none"/>
              </w:rPr>
              <w:t>评分人</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14:paraId="5B079234">
            <w:pPr>
              <w:widowControl/>
              <w:jc w:val="center"/>
              <w:rPr>
                <w:rFonts w:ascii="宋体" w:hAnsi="宋体" w:cs="宋体"/>
                <w:color w:val="auto"/>
                <w:kern w:val="0"/>
                <w:highlight w:val="none"/>
              </w:rPr>
            </w:pPr>
          </w:p>
        </w:tc>
      </w:tr>
      <w:tr w14:paraId="0BEF28CD">
        <w:tblPrEx>
          <w:tblCellMar>
            <w:top w:w="0" w:type="dxa"/>
            <w:left w:w="108" w:type="dxa"/>
            <w:bottom w:w="0" w:type="dxa"/>
            <w:right w:w="108" w:type="dxa"/>
          </w:tblCellMar>
        </w:tblPrEx>
        <w:trPr>
          <w:trHeight w:val="414" w:hRule="atLeast"/>
          <w:tblHeader/>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14:paraId="04AAEF4E">
            <w:pPr>
              <w:widowControl/>
              <w:jc w:val="center"/>
              <w:rPr>
                <w:rFonts w:ascii="宋体" w:hAnsi="宋体" w:cs="宋体"/>
                <w:color w:val="auto"/>
                <w:kern w:val="0"/>
                <w:highlight w:val="none"/>
              </w:rPr>
            </w:pPr>
            <w:r>
              <w:rPr>
                <w:rFonts w:hint="eastAsia" w:ascii="宋体" w:hAnsi="宋体" w:cs="宋体"/>
                <w:color w:val="auto"/>
                <w:kern w:val="0"/>
                <w:highlight w:val="none"/>
              </w:rPr>
              <w:t>施工单位</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14:paraId="4C097D48">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F75769D">
            <w:pPr>
              <w:widowControl/>
              <w:jc w:val="center"/>
              <w:rPr>
                <w:rFonts w:ascii="宋体" w:hAnsi="宋体" w:cs="宋体"/>
                <w:color w:val="auto"/>
                <w:kern w:val="0"/>
                <w:highlight w:val="none"/>
              </w:rPr>
            </w:pPr>
            <w:r>
              <w:rPr>
                <w:rFonts w:ascii="宋体" w:hAnsi="宋体" w:cs="宋体"/>
                <w:color w:val="auto"/>
                <w:kern w:val="0"/>
                <w:highlight w:val="none"/>
              </w:rPr>
              <w:t>安全员</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14:paraId="1DC523AF">
            <w:pPr>
              <w:widowControl/>
              <w:jc w:val="center"/>
              <w:rPr>
                <w:rFonts w:ascii="宋体" w:hAnsi="宋体" w:cs="宋体"/>
                <w:color w:val="auto"/>
                <w:kern w:val="0"/>
                <w:highlight w:val="none"/>
              </w:rPr>
            </w:pPr>
          </w:p>
        </w:tc>
      </w:tr>
      <w:tr w14:paraId="48CD7BC0">
        <w:tblPrEx>
          <w:tblCellMar>
            <w:top w:w="0" w:type="dxa"/>
            <w:left w:w="108" w:type="dxa"/>
            <w:bottom w:w="0" w:type="dxa"/>
            <w:right w:w="108" w:type="dxa"/>
          </w:tblCellMar>
        </w:tblPrEx>
        <w:trPr>
          <w:trHeight w:val="855" w:hRule="atLeast"/>
          <w:tblHeader/>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09AD41C1">
            <w:pPr>
              <w:widowControl/>
              <w:jc w:val="center"/>
              <w:rPr>
                <w:rFonts w:ascii="宋体" w:hAnsi="宋体" w:cs="宋体"/>
                <w:color w:val="auto"/>
                <w:kern w:val="0"/>
                <w:highlight w:val="none"/>
              </w:rPr>
            </w:pPr>
            <w:r>
              <w:rPr>
                <w:rFonts w:hint="eastAsia" w:ascii="宋体" w:hAnsi="宋体" w:cs="宋体"/>
                <w:color w:val="auto"/>
                <w:kern w:val="0"/>
                <w:highlight w:val="none"/>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49D0BEAA">
            <w:pPr>
              <w:widowControl/>
              <w:jc w:val="center"/>
              <w:rPr>
                <w:rFonts w:ascii="宋体" w:hAnsi="宋体" w:cs="宋体"/>
                <w:color w:val="auto"/>
                <w:kern w:val="0"/>
                <w:highlight w:val="none"/>
              </w:rPr>
            </w:pPr>
            <w:r>
              <w:rPr>
                <w:rFonts w:hint="eastAsia" w:ascii="宋体" w:hAnsi="宋体" w:cs="宋体"/>
                <w:color w:val="auto"/>
                <w:kern w:val="0"/>
                <w:highlight w:val="none"/>
              </w:rPr>
              <w:t>考核事项</w:t>
            </w:r>
          </w:p>
        </w:tc>
        <w:tc>
          <w:tcPr>
            <w:tcW w:w="2410" w:type="dxa"/>
            <w:tcBorders>
              <w:top w:val="single" w:color="000000" w:sz="4" w:space="0"/>
              <w:left w:val="single" w:color="000000" w:sz="4" w:space="0"/>
              <w:bottom w:val="single" w:color="000000" w:sz="4" w:space="0"/>
              <w:right w:val="single" w:color="000000" w:sz="4" w:space="0"/>
            </w:tcBorders>
            <w:noWrap w:val="0"/>
            <w:vAlign w:val="center"/>
          </w:tcPr>
          <w:p w14:paraId="3C05D883">
            <w:pPr>
              <w:widowControl/>
              <w:jc w:val="center"/>
              <w:rPr>
                <w:rFonts w:ascii="宋体" w:hAnsi="宋体" w:cs="宋体"/>
                <w:color w:val="auto"/>
                <w:kern w:val="0"/>
                <w:highlight w:val="none"/>
              </w:rPr>
            </w:pPr>
            <w:r>
              <w:rPr>
                <w:rFonts w:hint="eastAsia" w:ascii="宋体" w:hAnsi="宋体" w:cs="宋体"/>
                <w:color w:val="auto"/>
                <w:kern w:val="0"/>
                <w:highlight w:val="none"/>
              </w:rPr>
              <w:t>考核具体内容</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ABD8193">
            <w:pPr>
              <w:widowControl/>
              <w:jc w:val="center"/>
              <w:rPr>
                <w:rFonts w:ascii="宋体" w:hAnsi="宋体" w:cs="宋体"/>
                <w:color w:val="auto"/>
                <w:kern w:val="0"/>
                <w:highlight w:val="none"/>
              </w:rPr>
            </w:pPr>
            <w:r>
              <w:rPr>
                <w:rFonts w:hint="eastAsia" w:ascii="宋体" w:hAnsi="宋体" w:cs="宋体"/>
                <w:color w:val="auto"/>
                <w:kern w:val="0"/>
                <w:highlight w:val="none"/>
              </w:rPr>
              <w:t>配分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13A3F02">
            <w:pPr>
              <w:widowControl/>
              <w:jc w:val="center"/>
              <w:rPr>
                <w:rFonts w:ascii="宋体" w:hAnsi="宋体" w:cs="宋体"/>
                <w:color w:val="auto"/>
                <w:kern w:val="0"/>
                <w:highlight w:val="none"/>
              </w:rPr>
            </w:pPr>
            <w:r>
              <w:rPr>
                <w:rFonts w:hint="eastAsia"/>
                <w:color w:val="auto"/>
                <w:highlight w:val="none"/>
              </w:rPr>
              <w:t>优秀</w:t>
            </w:r>
            <w:r>
              <w:rPr>
                <w:rFonts w:hint="eastAsia"/>
                <w:color w:val="auto"/>
                <w:highlight w:val="none"/>
              </w:rPr>
              <w:br w:type="textWrapping"/>
            </w:r>
            <w:r>
              <w:rPr>
                <w:rFonts w:hint="eastAsia"/>
                <w:color w:val="auto"/>
                <w:highlight w:val="none"/>
              </w:rPr>
              <w:t>(9-10分)</w:t>
            </w: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65FDD4DE">
            <w:pPr>
              <w:widowControl/>
              <w:jc w:val="center"/>
              <w:rPr>
                <w:rFonts w:ascii="宋体" w:hAnsi="宋体" w:cs="宋体"/>
                <w:color w:val="auto"/>
                <w:kern w:val="0"/>
                <w:highlight w:val="none"/>
              </w:rPr>
            </w:pPr>
            <w:r>
              <w:rPr>
                <w:rFonts w:hint="eastAsia"/>
                <w:color w:val="auto"/>
                <w:highlight w:val="none"/>
              </w:rPr>
              <w:t>良好</w:t>
            </w:r>
            <w:r>
              <w:rPr>
                <w:rFonts w:hint="eastAsia"/>
                <w:color w:val="auto"/>
                <w:highlight w:val="none"/>
              </w:rPr>
              <w:br w:type="textWrapping"/>
            </w:r>
            <w:r>
              <w:rPr>
                <w:rFonts w:hint="eastAsia"/>
                <w:color w:val="auto"/>
                <w:highlight w:val="none"/>
              </w:rPr>
              <w:t>(7-8分)</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299CD00">
            <w:pPr>
              <w:widowControl/>
              <w:jc w:val="center"/>
              <w:rPr>
                <w:rFonts w:ascii="宋体" w:hAnsi="宋体" w:cs="宋体"/>
                <w:color w:val="auto"/>
                <w:kern w:val="0"/>
                <w:highlight w:val="none"/>
              </w:rPr>
            </w:pPr>
            <w:r>
              <w:rPr>
                <w:rFonts w:hint="eastAsia"/>
                <w:color w:val="auto"/>
                <w:highlight w:val="none"/>
              </w:rPr>
              <w:t>一般</w:t>
            </w:r>
            <w:r>
              <w:rPr>
                <w:rFonts w:hint="eastAsia"/>
                <w:color w:val="auto"/>
                <w:highlight w:val="none"/>
              </w:rPr>
              <w:br w:type="textWrapping"/>
            </w:r>
            <w:r>
              <w:rPr>
                <w:rFonts w:hint="eastAsia"/>
                <w:color w:val="auto"/>
                <w:highlight w:val="none"/>
              </w:rPr>
              <w:t>(5-6分)</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DAAC1ED">
            <w:pPr>
              <w:widowControl/>
              <w:jc w:val="center"/>
              <w:rPr>
                <w:rFonts w:ascii="宋体" w:hAnsi="宋体" w:cs="宋体"/>
                <w:color w:val="auto"/>
                <w:kern w:val="0"/>
                <w:highlight w:val="none"/>
              </w:rPr>
            </w:pPr>
            <w:r>
              <w:rPr>
                <w:rFonts w:hint="eastAsia"/>
                <w:color w:val="auto"/>
                <w:highlight w:val="none"/>
              </w:rPr>
              <w:t>较差</w:t>
            </w:r>
            <w:r>
              <w:rPr>
                <w:rFonts w:hint="eastAsia"/>
                <w:color w:val="auto"/>
                <w:highlight w:val="none"/>
              </w:rPr>
              <w:br w:type="textWrapping"/>
            </w:r>
            <w:r>
              <w:rPr>
                <w:rFonts w:hint="eastAsia"/>
                <w:color w:val="auto"/>
                <w:highlight w:val="none"/>
              </w:rPr>
              <w:t>(0-4分)</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607F92AE">
            <w:pPr>
              <w:widowControl/>
              <w:jc w:val="center"/>
              <w:rPr>
                <w:rFonts w:ascii="宋体" w:hAnsi="宋体" w:cs="宋体"/>
                <w:color w:val="auto"/>
                <w:kern w:val="0"/>
                <w:highlight w:val="none"/>
              </w:rPr>
            </w:pPr>
            <w:r>
              <w:rPr>
                <w:rFonts w:hint="eastAsia" w:ascii="宋体" w:hAnsi="宋体" w:cs="宋体"/>
                <w:color w:val="auto"/>
                <w:kern w:val="0"/>
                <w:highlight w:val="none"/>
              </w:rPr>
              <w:t>备注说明</w:t>
            </w:r>
            <w:r>
              <w:rPr>
                <w:rFonts w:hint="eastAsia" w:ascii="宋体" w:hAnsi="宋体" w:cs="宋体"/>
                <w:color w:val="auto"/>
                <w:kern w:val="0"/>
                <w:highlight w:val="none"/>
              </w:rPr>
              <w:br w:type="textWrapping"/>
            </w:r>
            <w:r>
              <w:rPr>
                <w:rFonts w:hint="eastAsia" w:ascii="宋体" w:hAnsi="宋体" w:cs="宋体"/>
                <w:color w:val="auto"/>
                <w:kern w:val="0"/>
                <w:highlight w:val="none"/>
              </w:rPr>
              <w:t>（较差要写清楚原因）</w:t>
            </w:r>
          </w:p>
        </w:tc>
      </w:tr>
      <w:tr w14:paraId="23D2EB8E">
        <w:tblPrEx>
          <w:tblCellMar>
            <w:top w:w="0" w:type="dxa"/>
            <w:left w:w="108" w:type="dxa"/>
            <w:bottom w:w="0" w:type="dxa"/>
            <w:right w:w="108" w:type="dxa"/>
          </w:tblCellMar>
        </w:tblPrEx>
        <w:trPr>
          <w:trHeight w:val="97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00A9E125">
            <w:pPr>
              <w:widowControl/>
              <w:jc w:val="center"/>
              <w:rPr>
                <w:rFonts w:ascii="宋体" w:hAnsi="宋体" w:cs="宋体"/>
                <w:color w:val="auto"/>
                <w:kern w:val="0"/>
                <w:highlight w:val="none"/>
              </w:rPr>
            </w:pPr>
            <w:r>
              <w:rPr>
                <w:rFonts w:hint="eastAsia" w:ascii="宋体" w:hAnsi="宋体" w:cs="宋体"/>
                <w:color w:val="auto"/>
                <w:kern w:val="0"/>
                <w:highlight w:val="none"/>
              </w:rPr>
              <w:t>1</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4298D248">
            <w:pPr>
              <w:widowControl/>
              <w:jc w:val="center"/>
              <w:rPr>
                <w:rFonts w:ascii="宋体" w:hAnsi="宋体" w:cs="宋体"/>
                <w:color w:val="auto"/>
                <w:kern w:val="0"/>
                <w:highlight w:val="none"/>
              </w:rPr>
            </w:pPr>
            <w:r>
              <w:rPr>
                <w:rFonts w:hint="eastAsia"/>
                <w:color w:val="auto"/>
                <w:highlight w:val="none"/>
              </w:rPr>
              <w:t>工作态度与纪律（30分）</w:t>
            </w:r>
          </w:p>
        </w:tc>
        <w:tc>
          <w:tcPr>
            <w:tcW w:w="2410" w:type="dxa"/>
            <w:tcBorders>
              <w:top w:val="single" w:color="000000" w:sz="4" w:space="0"/>
              <w:left w:val="single" w:color="000000" w:sz="4" w:space="0"/>
              <w:bottom w:val="single" w:color="000000" w:sz="4" w:space="0"/>
              <w:right w:val="single" w:color="000000" w:sz="4" w:space="0"/>
            </w:tcBorders>
            <w:noWrap w:val="0"/>
            <w:vAlign w:val="center"/>
          </w:tcPr>
          <w:p w14:paraId="7699415C">
            <w:pPr>
              <w:widowControl/>
              <w:jc w:val="center"/>
              <w:rPr>
                <w:rFonts w:ascii="宋体" w:hAnsi="宋体" w:cs="宋体"/>
                <w:color w:val="auto"/>
                <w:kern w:val="0"/>
                <w:highlight w:val="none"/>
              </w:rPr>
            </w:pPr>
            <w:r>
              <w:rPr>
                <w:rFonts w:hint="eastAsia"/>
                <w:color w:val="auto"/>
                <w:highlight w:val="none"/>
              </w:rPr>
              <w:t>是否严格执行跟班制度，深入施工现场进行安全督察</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DBD04CA">
            <w:pPr>
              <w:widowControl/>
              <w:jc w:val="center"/>
              <w:rPr>
                <w:rFonts w:ascii="宋体" w:hAnsi="宋体" w:cs="宋体"/>
                <w:color w:val="auto"/>
                <w:kern w:val="0"/>
                <w:highlight w:val="none"/>
              </w:rPr>
            </w:pPr>
            <w:r>
              <w:rPr>
                <w:rFonts w:hint="eastAsia"/>
                <w:color w:val="auto"/>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8756A5A">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ign w:val="center"/>
          </w:tcPr>
          <w:p w14:paraId="72507A30">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A62EDED">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2D064FA">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407695BE">
            <w:pPr>
              <w:widowControl/>
              <w:jc w:val="center"/>
              <w:rPr>
                <w:rFonts w:ascii="宋体" w:hAnsi="宋体" w:cs="宋体"/>
                <w:color w:val="auto"/>
                <w:kern w:val="0"/>
                <w:highlight w:val="none"/>
              </w:rPr>
            </w:pPr>
          </w:p>
        </w:tc>
      </w:tr>
      <w:tr w14:paraId="3FB9830E">
        <w:tblPrEx>
          <w:tblCellMar>
            <w:top w:w="0" w:type="dxa"/>
            <w:left w:w="108" w:type="dxa"/>
            <w:bottom w:w="0" w:type="dxa"/>
            <w:right w:w="108" w:type="dxa"/>
          </w:tblCellMar>
        </w:tblPrEx>
        <w:trPr>
          <w:trHeight w:val="98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5499E3A1">
            <w:pPr>
              <w:widowControl/>
              <w:jc w:val="center"/>
              <w:rPr>
                <w:rFonts w:ascii="宋体" w:hAnsi="宋体" w:cs="宋体"/>
                <w:color w:val="auto"/>
                <w:kern w:val="0"/>
                <w:highlight w:val="none"/>
              </w:rPr>
            </w:pPr>
            <w:r>
              <w:rPr>
                <w:rFonts w:hint="eastAsia" w:ascii="宋体" w:hAnsi="宋体" w:cs="宋体"/>
                <w:color w:val="auto"/>
                <w:kern w:val="0"/>
                <w:highlight w:val="none"/>
              </w:rPr>
              <w:t>2</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5926B1">
            <w:pPr>
              <w:widowControl/>
              <w:jc w:val="left"/>
              <w:rPr>
                <w:rFonts w:ascii="宋体" w:hAnsi="宋体" w:cs="宋体"/>
                <w:color w:val="auto"/>
                <w:kern w:val="0"/>
                <w:highlight w:val="none"/>
              </w:rPr>
            </w:pPr>
          </w:p>
        </w:tc>
        <w:tc>
          <w:tcPr>
            <w:tcW w:w="2410" w:type="dxa"/>
            <w:tcBorders>
              <w:top w:val="single" w:color="000000" w:sz="4" w:space="0"/>
              <w:left w:val="single" w:color="000000" w:sz="4" w:space="0"/>
              <w:bottom w:val="single" w:color="000000" w:sz="4" w:space="0"/>
              <w:right w:val="single" w:color="000000" w:sz="4" w:space="0"/>
            </w:tcBorders>
            <w:noWrap w:val="0"/>
            <w:vAlign w:val="center"/>
          </w:tcPr>
          <w:p w14:paraId="69F9DD03">
            <w:pPr>
              <w:widowControl/>
              <w:jc w:val="center"/>
              <w:rPr>
                <w:rFonts w:ascii="宋体" w:hAnsi="宋体" w:cs="宋体"/>
                <w:color w:val="auto"/>
                <w:kern w:val="0"/>
                <w:highlight w:val="none"/>
              </w:rPr>
            </w:pPr>
            <w:r>
              <w:rPr>
                <w:rFonts w:hint="eastAsia"/>
                <w:color w:val="auto"/>
                <w:highlight w:val="none"/>
              </w:rPr>
              <w:t>是否熟悉安全生产法律法规、操作规程、标准等安全知识</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5F24FE0">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3EF9D75">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2CA86C15">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4452BCD">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DD9461B">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00FD50AC">
            <w:pPr>
              <w:widowControl/>
              <w:jc w:val="center"/>
              <w:rPr>
                <w:rFonts w:ascii="宋体" w:hAnsi="宋体" w:cs="宋体"/>
                <w:color w:val="auto"/>
                <w:kern w:val="0"/>
                <w:highlight w:val="none"/>
              </w:rPr>
            </w:pPr>
          </w:p>
        </w:tc>
      </w:tr>
      <w:tr w14:paraId="0C1E7014">
        <w:tblPrEx>
          <w:tblCellMar>
            <w:top w:w="0" w:type="dxa"/>
            <w:left w:w="108" w:type="dxa"/>
            <w:bottom w:w="0" w:type="dxa"/>
            <w:right w:w="108" w:type="dxa"/>
          </w:tblCellMar>
        </w:tblPrEx>
        <w:trPr>
          <w:trHeight w:val="1551"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02E86FEB">
            <w:pPr>
              <w:widowControl/>
              <w:jc w:val="center"/>
              <w:rPr>
                <w:rFonts w:ascii="宋体" w:hAnsi="宋体" w:cs="宋体"/>
                <w:color w:val="auto"/>
                <w:kern w:val="0"/>
                <w:highlight w:val="none"/>
              </w:rPr>
            </w:pPr>
            <w:r>
              <w:rPr>
                <w:rFonts w:hint="eastAsia" w:ascii="宋体" w:hAnsi="宋体" w:cs="宋体"/>
                <w:color w:val="auto"/>
                <w:kern w:val="0"/>
                <w:highlight w:val="none"/>
              </w:rPr>
              <w:t>3</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E1AE6E">
            <w:pPr>
              <w:widowControl/>
              <w:jc w:val="left"/>
              <w:rPr>
                <w:rFonts w:ascii="宋体" w:hAnsi="宋体" w:cs="宋体"/>
                <w:color w:val="auto"/>
                <w:kern w:val="0"/>
                <w:highlight w:val="none"/>
              </w:rPr>
            </w:pPr>
          </w:p>
        </w:tc>
        <w:tc>
          <w:tcPr>
            <w:tcW w:w="2410" w:type="dxa"/>
            <w:tcBorders>
              <w:top w:val="single" w:color="000000" w:sz="4" w:space="0"/>
              <w:left w:val="single" w:color="000000" w:sz="4" w:space="0"/>
              <w:bottom w:val="single" w:color="000000" w:sz="4" w:space="0"/>
              <w:right w:val="single" w:color="000000" w:sz="4" w:space="0"/>
            </w:tcBorders>
            <w:noWrap w:val="0"/>
            <w:vAlign w:val="center"/>
          </w:tcPr>
          <w:p w14:paraId="59E5BCB8">
            <w:pPr>
              <w:widowControl/>
              <w:jc w:val="center"/>
              <w:rPr>
                <w:rFonts w:ascii="宋体" w:hAnsi="宋体" w:cs="宋体"/>
                <w:color w:val="auto"/>
                <w:kern w:val="0"/>
                <w:highlight w:val="none"/>
              </w:rPr>
            </w:pPr>
            <w:r>
              <w:rPr>
                <w:rFonts w:hint="eastAsia"/>
                <w:color w:val="auto"/>
                <w:highlight w:val="none"/>
              </w:rPr>
              <w:t>是否对建设管理部门及其安监机构、现场监理部在各类检查中发现的安全生产问题认真组织整改落实</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4551CCDE">
            <w:pPr>
              <w:widowControl/>
              <w:jc w:val="center"/>
              <w:rPr>
                <w:rFonts w:ascii="宋体" w:hAnsi="宋体" w:cs="宋体"/>
                <w:color w:val="auto"/>
                <w:kern w:val="0"/>
                <w:highlight w:val="none"/>
              </w:rPr>
            </w:pPr>
            <w:r>
              <w:rPr>
                <w:rFonts w:hint="eastAsia"/>
                <w:color w:val="auto"/>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235168C">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12DA349A">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FA78853">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4C64EE3">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284A45D0">
            <w:pPr>
              <w:widowControl/>
              <w:jc w:val="center"/>
              <w:rPr>
                <w:rFonts w:ascii="宋体" w:hAnsi="宋体" w:cs="宋体"/>
                <w:color w:val="auto"/>
                <w:kern w:val="0"/>
                <w:highlight w:val="none"/>
              </w:rPr>
            </w:pPr>
          </w:p>
        </w:tc>
      </w:tr>
      <w:tr w14:paraId="3A00D7AD">
        <w:tblPrEx>
          <w:tblCellMar>
            <w:top w:w="0" w:type="dxa"/>
            <w:left w:w="108" w:type="dxa"/>
            <w:bottom w:w="0" w:type="dxa"/>
            <w:right w:w="108" w:type="dxa"/>
          </w:tblCellMar>
        </w:tblPrEx>
        <w:trPr>
          <w:trHeight w:val="553"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2F4E82CD">
            <w:pPr>
              <w:widowControl/>
              <w:jc w:val="center"/>
              <w:rPr>
                <w:rFonts w:ascii="宋体" w:hAnsi="宋体" w:cs="宋体"/>
                <w:color w:val="auto"/>
                <w:kern w:val="0"/>
                <w:highlight w:val="none"/>
              </w:rPr>
            </w:pPr>
            <w:r>
              <w:rPr>
                <w:rFonts w:hint="eastAsia" w:ascii="宋体" w:hAnsi="宋体" w:cs="宋体"/>
                <w:color w:val="auto"/>
                <w:kern w:val="0"/>
                <w:highlight w:val="none"/>
              </w:rPr>
              <w:t>4</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6757B604">
            <w:pPr>
              <w:widowControl/>
              <w:jc w:val="center"/>
              <w:rPr>
                <w:rFonts w:ascii="宋体" w:hAnsi="宋体" w:cs="宋体"/>
                <w:color w:val="auto"/>
                <w:kern w:val="0"/>
                <w:highlight w:val="none"/>
              </w:rPr>
            </w:pPr>
            <w:r>
              <w:rPr>
                <w:rFonts w:hint="eastAsia"/>
                <w:color w:val="auto"/>
                <w:highlight w:val="none"/>
              </w:rPr>
              <w:t>工作任务完成情况（30分）</w:t>
            </w:r>
          </w:p>
        </w:tc>
        <w:tc>
          <w:tcPr>
            <w:tcW w:w="2410" w:type="dxa"/>
            <w:tcBorders>
              <w:top w:val="single" w:color="000000" w:sz="4" w:space="0"/>
              <w:left w:val="single" w:color="000000" w:sz="4" w:space="0"/>
              <w:bottom w:val="single" w:color="000000" w:sz="4" w:space="0"/>
              <w:right w:val="single" w:color="000000" w:sz="4" w:space="0"/>
            </w:tcBorders>
            <w:noWrap w:val="0"/>
            <w:vAlign w:val="center"/>
          </w:tcPr>
          <w:p w14:paraId="198EA783">
            <w:pPr>
              <w:widowControl/>
              <w:jc w:val="center"/>
              <w:rPr>
                <w:rFonts w:ascii="宋体" w:hAnsi="宋体" w:cs="宋体"/>
                <w:color w:val="auto"/>
                <w:kern w:val="0"/>
                <w:highlight w:val="none"/>
              </w:rPr>
            </w:pPr>
            <w:r>
              <w:rPr>
                <w:rFonts w:hint="eastAsia"/>
                <w:color w:val="auto"/>
                <w:highlight w:val="none"/>
              </w:rPr>
              <w:t>是否落实安全教育</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798A145">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2F77901">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62B983DD">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9C3FC58">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78AF8A4">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3BC78FE9">
            <w:pPr>
              <w:widowControl/>
              <w:jc w:val="center"/>
              <w:rPr>
                <w:rFonts w:ascii="宋体" w:hAnsi="宋体" w:cs="宋体"/>
                <w:color w:val="auto"/>
                <w:kern w:val="0"/>
                <w:highlight w:val="none"/>
              </w:rPr>
            </w:pPr>
          </w:p>
        </w:tc>
      </w:tr>
      <w:tr w14:paraId="71910BA4">
        <w:tblPrEx>
          <w:tblCellMar>
            <w:top w:w="0" w:type="dxa"/>
            <w:left w:w="108" w:type="dxa"/>
            <w:bottom w:w="0" w:type="dxa"/>
            <w:right w:w="108" w:type="dxa"/>
          </w:tblCellMar>
        </w:tblPrEx>
        <w:trPr>
          <w:trHeight w:val="1267"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70A0A76F">
            <w:pPr>
              <w:widowControl/>
              <w:jc w:val="center"/>
              <w:rPr>
                <w:rFonts w:ascii="宋体" w:hAnsi="宋体" w:cs="宋体"/>
                <w:color w:val="auto"/>
                <w:kern w:val="0"/>
                <w:highlight w:val="none"/>
              </w:rPr>
            </w:pPr>
            <w:r>
              <w:rPr>
                <w:rFonts w:hint="eastAsia" w:ascii="宋体" w:hAnsi="宋体" w:cs="宋体"/>
                <w:color w:val="auto"/>
                <w:kern w:val="0"/>
                <w:highlight w:val="none"/>
              </w:rPr>
              <w:t>5</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E7ED71">
            <w:pPr>
              <w:widowControl/>
              <w:jc w:val="left"/>
              <w:rPr>
                <w:rFonts w:ascii="宋体" w:hAnsi="宋体" w:cs="宋体"/>
                <w:color w:val="auto"/>
                <w:kern w:val="0"/>
                <w:highlight w:val="none"/>
              </w:rPr>
            </w:pPr>
          </w:p>
        </w:tc>
        <w:tc>
          <w:tcPr>
            <w:tcW w:w="2410" w:type="dxa"/>
            <w:tcBorders>
              <w:top w:val="single" w:color="000000" w:sz="4" w:space="0"/>
              <w:left w:val="single" w:color="000000" w:sz="4" w:space="0"/>
              <w:bottom w:val="single" w:color="000000" w:sz="4" w:space="0"/>
              <w:right w:val="single" w:color="000000" w:sz="4" w:space="0"/>
            </w:tcBorders>
            <w:noWrap w:val="0"/>
            <w:vAlign w:val="center"/>
          </w:tcPr>
          <w:p w14:paraId="3AA85644">
            <w:pPr>
              <w:widowControl/>
              <w:jc w:val="center"/>
              <w:rPr>
                <w:rFonts w:ascii="宋体" w:hAnsi="宋体" w:cs="宋体"/>
                <w:color w:val="auto"/>
                <w:kern w:val="0"/>
                <w:highlight w:val="none"/>
              </w:rPr>
            </w:pPr>
            <w:r>
              <w:rPr>
                <w:rFonts w:hint="eastAsia"/>
                <w:color w:val="auto"/>
                <w:highlight w:val="none"/>
              </w:rPr>
              <w:t>安全生产文明施工（疫情防控、现场管理“六个100%”、现场安全措施等）是否落实到位</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40CC13D2">
            <w:pPr>
              <w:widowControl/>
              <w:jc w:val="center"/>
              <w:rPr>
                <w:rFonts w:ascii="宋体" w:hAnsi="宋体" w:cs="宋体"/>
                <w:color w:val="auto"/>
                <w:kern w:val="0"/>
                <w:highlight w:val="none"/>
              </w:rPr>
            </w:pPr>
            <w:r>
              <w:rPr>
                <w:rFonts w:hint="eastAsia"/>
                <w:color w:val="auto"/>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4DF4FCB2">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4140DDB8">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78859E6">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E0516A1">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69DD9E18">
            <w:pPr>
              <w:widowControl/>
              <w:jc w:val="center"/>
              <w:rPr>
                <w:rFonts w:ascii="宋体" w:hAnsi="宋体" w:cs="宋体"/>
                <w:color w:val="auto"/>
                <w:kern w:val="0"/>
                <w:highlight w:val="none"/>
              </w:rPr>
            </w:pPr>
          </w:p>
        </w:tc>
      </w:tr>
      <w:tr w14:paraId="37C0B1D4">
        <w:tblPrEx>
          <w:tblCellMar>
            <w:top w:w="0" w:type="dxa"/>
            <w:left w:w="108" w:type="dxa"/>
            <w:bottom w:w="0" w:type="dxa"/>
            <w:right w:w="108" w:type="dxa"/>
          </w:tblCellMar>
        </w:tblPrEx>
        <w:trPr>
          <w:trHeight w:val="154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52814479">
            <w:pPr>
              <w:widowControl/>
              <w:jc w:val="center"/>
              <w:rPr>
                <w:rFonts w:ascii="宋体" w:hAnsi="宋体" w:cs="宋体"/>
                <w:color w:val="auto"/>
                <w:kern w:val="0"/>
                <w:highlight w:val="none"/>
              </w:rPr>
            </w:pPr>
            <w:r>
              <w:rPr>
                <w:rFonts w:hint="eastAsia" w:ascii="宋体" w:hAnsi="宋体" w:cs="宋体"/>
                <w:color w:val="auto"/>
                <w:kern w:val="0"/>
                <w:highlight w:val="none"/>
              </w:rPr>
              <w:t>6</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9049AB">
            <w:pPr>
              <w:widowControl/>
              <w:jc w:val="left"/>
              <w:rPr>
                <w:rFonts w:ascii="宋体" w:hAnsi="宋体" w:cs="宋体"/>
                <w:color w:val="auto"/>
                <w:kern w:val="0"/>
                <w:highlight w:val="none"/>
              </w:rPr>
            </w:pPr>
          </w:p>
        </w:tc>
        <w:tc>
          <w:tcPr>
            <w:tcW w:w="2410" w:type="dxa"/>
            <w:tcBorders>
              <w:top w:val="single" w:color="000000" w:sz="4" w:space="0"/>
              <w:left w:val="single" w:color="000000" w:sz="4" w:space="0"/>
              <w:bottom w:val="single" w:color="000000" w:sz="4" w:space="0"/>
              <w:right w:val="single" w:color="000000" w:sz="4" w:space="0"/>
            </w:tcBorders>
            <w:noWrap w:val="0"/>
            <w:vAlign w:val="center"/>
          </w:tcPr>
          <w:p w14:paraId="4100791C">
            <w:pPr>
              <w:widowControl/>
              <w:jc w:val="center"/>
              <w:rPr>
                <w:rFonts w:ascii="宋体" w:hAnsi="宋体" w:cs="宋体"/>
                <w:color w:val="auto"/>
                <w:kern w:val="0"/>
                <w:highlight w:val="none"/>
              </w:rPr>
            </w:pPr>
            <w:r>
              <w:rPr>
                <w:rFonts w:hint="eastAsia"/>
                <w:color w:val="auto"/>
                <w:highlight w:val="none"/>
              </w:rPr>
              <w:t>是否及时制止违章指挥、违章操作行为，是否及时发现、纠正、督促整改安全事故隐患，并报告项目负责人</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D0B902C">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EA8F345">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ign w:val="center"/>
          </w:tcPr>
          <w:p w14:paraId="55241357">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75F184C">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E5FD674">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1580F435">
            <w:pPr>
              <w:widowControl/>
              <w:jc w:val="center"/>
              <w:rPr>
                <w:rFonts w:ascii="宋体" w:hAnsi="宋体" w:cs="宋体"/>
                <w:color w:val="auto"/>
                <w:kern w:val="0"/>
                <w:highlight w:val="none"/>
              </w:rPr>
            </w:pPr>
          </w:p>
        </w:tc>
      </w:tr>
      <w:tr w14:paraId="006CC7B1">
        <w:tblPrEx>
          <w:tblCellMar>
            <w:top w:w="0" w:type="dxa"/>
            <w:left w:w="108" w:type="dxa"/>
            <w:bottom w:w="0" w:type="dxa"/>
            <w:right w:w="108" w:type="dxa"/>
          </w:tblCellMar>
        </w:tblPrEx>
        <w:trPr>
          <w:trHeight w:val="183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3C874951">
            <w:pPr>
              <w:widowControl/>
              <w:jc w:val="center"/>
              <w:rPr>
                <w:rFonts w:ascii="宋体" w:hAnsi="宋体" w:cs="宋体"/>
                <w:color w:val="auto"/>
                <w:kern w:val="0"/>
                <w:highlight w:val="none"/>
              </w:rPr>
            </w:pPr>
            <w:r>
              <w:rPr>
                <w:rFonts w:hint="eastAsia" w:ascii="宋体" w:hAnsi="宋体" w:cs="宋体"/>
                <w:color w:val="auto"/>
                <w:kern w:val="0"/>
                <w:highlight w:val="none"/>
              </w:rPr>
              <w:t>7</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5C2ABDD3">
            <w:pPr>
              <w:widowControl/>
              <w:jc w:val="center"/>
              <w:rPr>
                <w:rFonts w:ascii="宋体" w:hAnsi="宋体" w:cs="宋体"/>
                <w:color w:val="auto"/>
                <w:kern w:val="0"/>
                <w:highlight w:val="none"/>
              </w:rPr>
            </w:pPr>
            <w:r>
              <w:rPr>
                <w:rFonts w:hint="eastAsia"/>
                <w:color w:val="auto"/>
                <w:highlight w:val="none"/>
              </w:rPr>
              <w:t>安全生产管理水平（20分）</w:t>
            </w:r>
          </w:p>
        </w:tc>
        <w:tc>
          <w:tcPr>
            <w:tcW w:w="2410" w:type="dxa"/>
            <w:tcBorders>
              <w:top w:val="single" w:color="000000" w:sz="4" w:space="0"/>
              <w:left w:val="single" w:color="000000" w:sz="4" w:space="0"/>
              <w:bottom w:val="single" w:color="000000" w:sz="4" w:space="0"/>
              <w:right w:val="single" w:color="000000" w:sz="4" w:space="0"/>
            </w:tcBorders>
            <w:noWrap w:val="0"/>
            <w:vAlign w:val="center"/>
          </w:tcPr>
          <w:p w14:paraId="506BA0B5">
            <w:pPr>
              <w:widowControl/>
              <w:jc w:val="center"/>
              <w:rPr>
                <w:rFonts w:ascii="宋体" w:hAnsi="宋体" w:cs="宋体"/>
                <w:color w:val="auto"/>
                <w:kern w:val="0"/>
                <w:highlight w:val="none"/>
              </w:rPr>
            </w:pPr>
            <w:r>
              <w:rPr>
                <w:rFonts w:hint="eastAsia"/>
                <w:color w:val="auto"/>
                <w:highlight w:val="none"/>
              </w:rPr>
              <w:t>是否熟悉施工项目重大危险源和安全专项施工方案，向项目部提出重大环节、重点部位的安全生产防范建议是否及时合理。</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1CF8F51">
            <w:pPr>
              <w:widowControl/>
              <w:jc w:val="center"/>
              <w:rPr>
                <w:rFonts w:ascii="宋体" w:hAnsi="宋体" w:cs="宋体"/>
                <w:color w:val="auto"/>
                <w:kern w:val="0"/>
                <w:highlight w:val="none"/>
              </w:rPr>
            </w:pPr>
            <w:r>
              <w:rPr>
                <w:rFonts w:hint="eastAsia"/>
                <w:color w:val="auto"/>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B17E24A">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6C8AB366">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614EDD2">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89F1B60">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4870F7AC">
            <w:pPr>
              <w:widowControl/>
              <w:jc w:val="center"/>
              <w:rPr>
                <w:rFonts w:ascii="宋体" w:hAnsi="宋体" w:cs="宋体"/>
                <w:color w:val="auto"/>
                <w:kern w:val="0"/>
                <w:highlight w:val="none"/>
              </w:rPr>
            </w:pPr>
          </w:p>
        </w:tc>
      </w:tr>
      <w:tr w14:paraId="1F27060D">
        <w:tblPrEx>
          <w:tblCellMar>
            <w:top w:w="0" w:type="dxa"/>
            <w:left w:w="108" w:type="dxa"/>
            <w:bottom w:w="0" w:type="dxa"/>
            <w:right w:w="108" w:type="dxa"/>
          </w:tblCellMar>
        </w:tblPrEx>
        <w:trPr>
          <w:trHeight w:val="1833"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4B97609F">
            <w:pPr>
              <w:widowControl/>
              <w:jc w:val="center"/>
              <w:rPr>
                <w:rFonts w:ascii="宋体" w:hAnsi="宋体" w:cs="宋体"/>
                <w:color w:val="auto"/>
                <w:kern w:val="0"/>
                <w:highlight w:val="none"/>
              </w:rPr>
            </w:pPr>
            <w:r>
              <w:rPr>
                <w:rFonts w:hint="eastAsia" w:ascii="宋体" w:hAnsi="宋体" w:cs="宋体"/>
                <w:color w:val="auto"/>
                <w:kern w:val="0"/>
                <w:highlight w:val="none"/>
              </w:rPr>
              <w:t>8</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04D56C">
            <w:pPr>
              <w:widowControl/>
              <w:jc w:val="left"/>
              <w:rPr>
                <w:rFonts w:ascii="宋体" w:hAnsi="宋体" w:cs="宋体"/>
                <w:color w:val="auto"/>
                <w:kern w:val="0"/>
                <w:highlight w:val="none"/>
              </w:rPr>
            </w:pPr>
          </w:p>
        </w:tc>
        <w:tc>
          <w:tcPr>
            <w:tcW w:w="2410" w:type="dxa"/>
            <w:tcBorders>
              <w:top w:val="single" w:color="000000" w:sz="4" w:space="0"/>
              <w:left w:val="single" w:color="000000" w:sz="4" w:space="0"/>
              <w:bottom w:val="single" w:color="000000" w:sz="4" w:space="0"/>
              <w:right w:val="single" w:color="000000" w:sz="4" w:space="0"/>
            </w:tcBorders>
            <w:noWrap w:val="0"/>
            <w:vAlign w:val="center"/>
          </w:tcPr>
          <w:p w14:paraId="17944799">
            <w:pPr>
              <w:widowControl/>
              <w:jc w:val="center"/>
              <w:rPr>
                <w:rFonts w:ascii="宋体" w:hAnsi="宋体" w:cs="宋体"/>
                <w:color w:val="auto"/>
                <w:kern w:val="0"/>
                <w:highlight w:val="none"/>
              </w:rPr>
            </w:pPr>
            <w:r>
              <w:rPr>
                <w:rFonts w:hint="eastAsia"/>
                <w:color w:val="auto"/>
                <w:highlight w:val="none"/>
              </w:rPr>
              <w:t>是否查验特种作业人员持有证件上岗情况和人员、证件与单位相符情况，施工现场与专项施工方案相符情况。</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B28282B">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3EB99F2">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0CB08D01">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A224ACC">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B997764">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1A4D541B">
            <w:pPr>
              <w:widowControl/>
              <w:jc w:val="center"/>
              <w:rPr>
                <w:rFonts w:ascii="宋体" w:hAnsi="宋体" w:cs="宋体"/>
                <w:color w:val="auto"/>
                <w:kern w:val="0"/>
                <w:highlight w:val="none"/>
              </w:rPr>
            </w:pPr>
          </w:p>
        </w:tc>
      </w:tr>
      <w:tr w14:paraId="08B4CA68">
        <w:tblPrEx>
          <w:tblCellMar>
            <w:top w:w="0" w:type="dxa"/>
            <w:left w:w="108" w:type="dxa"/>
            <w:bottom w:w="0" w:type="dxa"/>
            <w:right w:w="108" w:type="dxa"/>
          </w:tblCellMar>
        </w:tblPrEx>
        <w:trPr>
          <w:trHeight w:val="1317"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765EB054">
            <w:pPr>
              <w:widowControl/>
              <w:jc w:val="center"/>
              <w:rPr>
                <w:rFonts w:ascii="宋体" w:hAnsi="宋体" w:cs="宋体"/>
                <w:color w:val="auto"/>
                <w:kern w:val="0"/>
                <w:highlight w:val="none"/>
              </w:rPr>
            </w:pPr>
            <w:r>
              <w:rPr>
                <w:rFonts w:hint="eastAsia" w:ascii="宋体" w:hAnsi="宋体" w:cs="宋体"/>
                <w:color w:val="auto"/>
                <w:kern w:val="0"/>
                <w:highlight w:val="none"/>
              </w:rPr>
              <w:t>9</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79D412B8">
            <w:pPr>
              <w:widowControl/>
              <w:jc w:val="center"/>
              <w:rPr>
                <w:rFonts w:ascii="宋体" w:hAnsi="宋体" w:cs="宋体"/>
                <w:color w:val="auto"/>
                <w:kern w:val="0"/>
                <w:highlight w:val="none"/>
              </w:rPr>
            </w:pPr>
            <w:r>
              <w:rPr>
                <w:rFonts w:hint="eastAsia"/>
                <w:color w:val="auto"/>
                <w:highlight w:val="none"/>
              </w:rPr>
              <w:t>综合能力（20分）</w:t>
            </w:r>
          </w:p>
        </w:tc>
        <w:tc>
          <w:tcPr>
            <w:tcW w:w="2410" w:type="dxa"/>
            <w:tcBorders>
              <w:top w:val="single" w:color="000000" w:sz="4" w:space="0"/>
              <w:left w:val="single" w:color="000000" w:sz="4" w:space="0"/>
              <w:bottom w:val="single" w:color="000000" w:sz="4" w:space="0"/>
              <w:right w:val="single" w:color="000000" w:sz="4" w:space="0"/>
            </w:tcBorders>
            <w:noWrap w:val="0"/>
            <w:vAlign w:val="center"/>
          </w:tcPr>
          <w:p w14:paraId="57DC7C89">
            <w:pPr>
              <w:widowControl/>
              <w:jc w:val="center"/>
              <w:rPr>
                <w:rFonts w:ascii="宋体" w:hAnsi="宋体" w:cs="宋体"/>
                <w:color w:val="auto"/>
                <w:kern w:val="0"/>
                <w:highlight w:val="none"/>
              </w:rPr>
            </w:pPr>
            <w:r>
              <w:rPr>
                <w:rFonts w:hint="eastAsia"/>
                <w:color w:val="auto"/>
                <w:highlight w:val="none"/>
              </w:rPr>
              <w:t>是否及时向项目负责人报告项目部安全生产情况，安全生产资料是否完整、规范。</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687D3D2">
            <w:pPr>
              <w:widowControl/>
              <w:jc w:val="center"/>
              <w:rPr>
                <w:rFonts w:ascii="宋体" w:hAnsi="宋体" w:cs="宋体"/>
                <w:color w:val="auto"/>
                <w:kern w:val="0"/>
                <w:highlight w:val="none"/>
              </w:rPr>
            </w:pPr>
            <w:r>
              <w:rPr>
                <w:rFonts w:hint="eastAsia"/>
                <w:color w:val="auto"/>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4A8429CD">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71987FB0">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3558A6E">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805EAC3">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644B5BFD">
            <w:pPr>
              <w:widowControl/>
              <w:jc w:val="center"/>
              <w:rPr>
                <w:rFonts w:ascii="宋体" w:hAnsi="宋体" w:cs="宋体"/>
                <w:color w:val="auto"/>
                <w:kern w:val="0"/>
                <w:highlight w:val="none"/>
              </w:rPr>
            </w:pPr>
          </w:p>
        </w:tc>
      </w:tr>
      <w:tr w14:paraId="67835258">
        <w:tblPrEx>
          <w:tblCellMar>
            <w:top w:w="0" w:type="dxa"/>
            <w:left w:w="108" w:type="dxa"/>
            <w:bottom w:w="0" w:type="dxa"/>
            <w:right w:w="108" w:type="dxa"/>
          </w:tblCellMar>
        </w:tblPrEx>
        <w:trPr>
          <w:trHeight w:val="121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7109019E">
            <w:pPr>
              <w:widowControl/>
              <w:jc w:val="center"/>
              <w:rPr>
                <w:rFonts w:ascii="宋体" w:hAnsi="宋体" w:cs="宋体"/>
                <w:color w:val="auto"/>
                <w:kern w:val="0"/>
                <w:highlight w:val="none"/>
              </w:rPr>
            </w:pPr>
            <w:r>
              <w:rPr>
                <w:rFonts w:hint="eastAsia" w:ascii="宋体" w:hAnsi="宋体" w:cs="宋体"/>
                <w:color w:val="auto"/>
                <w:kern w:val="0"/>
                <w:highlight w:val="none"/>
              </w:rPr>
              <w:t>10</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F5F33F">
            <w:pPr>
              <w:widowControl/>
              <w:jc w:val="left"/>
              <w:rPr>
                <w:rFonts w:ascii="宋体" w:hAnsi="宋体" w:cs="宋体"/>
                <w:color w:val="auto"/>
                <w:kern w:val="0"/>
                <w:highlight w:val="none"/>
              </w:rPr>
            </w:pPr>
          </w:p>
        </w:tc>
        <w:tc>
          <w:tcPr>
            <w:tcW w:w="2410" w:type="dxa"/>
            <w:tcBorders>
              <w:top w:val="single" w:color="000000" w:sz="4" w:space="0"/>
              <w:left w:val="single" w:color="000000" w:sz="4" w:space="0"/>
              <w:bottom w:val="single" w:color="000000" w:sz="4" w:space="0"/>
              <w:right w:val="single" w:color="000000" w:sz="4" w:space="0"/>
            </w:tcBorders>
            <w:noWrap w:val="0"/>
            <w:vAlign w:val="center"/>
          </w:tcPr>
          <w:p w14:paraId="435EA8C0">
            <w:pPr>
              <w:widowControl/>
              <w:jc w:val="center"/>
              <w:rPr>
                <w:rFonts w:ascii="宋体" w:hAnsi="宋体" w:cs="宋体"/>
                <w:color w:val="auto"/>
                <w:kern w:val="0"/>
                <w:highlight w:val="none"/>
              </w:rPr>
            </w:pPr>
            <w:r>
              <w:rPr>
                <w:rFonts w:hint="eastAsia"/>
                <w:color w:val="auto"/>
                <w:highlight w:val="none"/>
              </w:rPr>
              <w:t>是否做好施工现场重大危险源的监控管理，是否按规范做好安全记录，建立隐患台账。</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699E0D0">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0B53A22">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39E6F16B">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3B11E04">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09BAE26">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178FEB48">
            <w:pPr>
              <w:widowControl/>
              <w:jc w:val="center"/>
              <w:rPr>
                <w:rFonts w:ascii="宋体" w:hAnsi="宋体" w:cs="宋体"/>
                <w:color w:val="auto"/>
                <w:kern w:val="0"/>
                <w:highlight w:val="none"/>
              </w:rPr>
            </w:pPr>
          </w:p>
        </w:tc>
      </w:tr>
      <w:tr w14:paraId="17985418">
        <w:tblPrEx>
          <w:tblCellMar>
            <w:top w:w="0" w:type="dxa"/>
            <w:left w:w="108" w:type="dxa"/>
            <w:bottom w:w="0" w:type="dxa"/>
            <w:right w:w="108" w:type="dxa"/>
          </w:tblCellMar>
        </w:tblPrEx>
        <w:trPr>
          <w:trHeight w:val="540" w:hRule="atLeast"/>
        </w:trPr>
        <w:tc>
          <w:tcPr>
            <w:tcW w:w="4126" w:type="dxa"/>
            <w:gridSpan w:val="3"/>
            <w:tcBorders>
              <w:top w:val="single" w:color="000000" w:sz="4" w:space="0"/>
              <w:left w:val="single" w:color="000000" w:sz="4" w:space="0"/>
              <w:bottom w:val="single" w:color="000000" w:sz="4" w:space="0"/>
              <w:right w:val="single" w:color="000000" w:sz="4" w:space="0"/>
            </w:tcBorders>
            <w:noWrap w:val="0"/>
            <w:vAlign w:val="center"/>
          </w:tcPr>
          <w:p w14:paraId="0447AACE">
            <w:pPr>
              <w:widowControl/>
              <w:jc w:val="center"/>
              <w:rPr>
                <w:rFonts w:ascii="宋体" w:hAnsi="宋体" w:cs="宋体"/>
                <w:color w:val="auto"/>
                <w:kern w:val="0"/>
                <w:highlight w:val="none"/>
              </w:rPr>
            </w:pPr>
            <w:r>
              <w:rPr>
                <w:rFonts w:hint="eastAsia" w:ascii="宋体" w:hAnsi="宋体" w:cs="宋体"/>
                <w:color w:val="auto"/>
                <w:kern w:val="0"/>
                <w:highlight w:val="none"/>
              </w:rPr>
              <w:t>合计</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43BBA6F7">
            <w:pPr>
              <w:widowControl/>
              <w:jc w:val="center"/>
              <w:rPr>
                <w:rFonts w:ascii="宋体" w:hAnsi="宋体" w:cs="宋体"/>
                <w:color w:val="auto"/>
                <w:kern w:val="0"/>
                <w:highlight w:val="none"/>
              </w:rPr>
            </w:pPr>
            <w:r>
              <w:rPr>
                <w:rFonts w:hint="eastAsia" w:ascii="宋体" w:hAnsi="宋体" w:cs="宋体"/>
                <w:color w:val="auto"/>
                <w:kern w:val="0"/>
                <w:highlight w:val="none"/>
              </w:rPr>
              <w:t>100</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A76B31C">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32223AE8">
            <w:pPr>
              <w:widowControl/>
              <w:jc w:val="center"/>
              <w:rPr>
                <w:rFonts w:ascii="宋体" w:hAnsi="宋体" w:cs="宋体"/>
                <w:color w:val="auto"/>
                <w:kern w:val="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5592BC2">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36FE590">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4B4EB945">
            <w:pPr>
              <w:widowControl/>
              <w:jc w:val="center"/>
              <w:rPr>
                <w:rFonts w:ascii="宋体" w:hAnsi="宋体" w:cs="宋体"/>
                <w:color w:val="auto"/>
                <w:kern w:val="0"/>
                <w:highlight w:val="none"/>
              </w:rPr>
            </w:pPr>
          </w:p>
        </w:tc>
      </w:tr>
    </w:tbl>
    <w:p w14:paraId="0DE5F63B">
      <w:pPr>
        <w:spacing w:line="360" w:lineRule="auto"/>
        <w:rPr>
          <w:rFonts w:ascii="宋体" w:hAnsi="宋体"/>
          <w:color w:val="auto"/>
          <w:sz w:val="24"/>
          <w:highlight w:val="none"/>
        </w:rPr>
      </w:pPr>
    </w:p>
    <w:p w14:paraId="495AEFA9">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br w:type="page"/>
      </w:r>
      <w:bookmarkStart w:id="1243" w:name="_Toc21355"/>
      <w:bookmarkStart w:id="1244" w:name="_Toc12417"/>
      <w:bookmarkStart w:id="1245" w:name="_Toc3723"/>
      <w:bookmarkStart w:id="1246" w:name="_Toc7052"/>
      <w:bookmarkStart w:id="1247" w:name="_Toc6211"/>
      <w:bookmarkStart w:id="1248" w:name="_Toc30201"/>
      <w:bookmarkStart w:id="1249" w:name="_Toc5429"/>
      <w:bookmarkStart w:id="1250" w:name="_Toc28057"/>
      <w:r>
        <w:rPr>
          <w:rFonts w:hint="eastAsia" w:ascii="宋体" w:hAnsi="宋体"/>
          <w:color w:val="auto"/>
          <w:sz w:val="24"/>
          <w:highlight w:val="none"/>
        </w:rPr>
        <w:t>附表4</w:t>
      </w:r>
      <w:bookmarkEnd w:id="1243"/>
      <w:bookmarkEnd w:id="1244"/>
      <w:bookmarkEnd w:id="1245"/>
      <w:bookmarkEnd w:id="1246"/>
      <w:bookmarkEnd w:id="1247"/>
      <w:bookmarkEnd w:id="1248"/>
      <w:bookmarkEnd w:id="1249"/>
      <w:bookmarkEnd w:id="1250"/>
      <w:r>
        <w:rPr>
          <w:rFonts w:hint="eastAsia" w:ascii="宋体" w:hAnsi="宋体"/>
          <w:color w:val="auto"/>
          <w:sz w:val="24"/>
          <w:highlight w:val="none"/>
        </w:rPr>
        <w:t xml:space="preserve"> </w:t>
      </w:r>
    </w:p>
    <w:tbl>
      <w:tblPr>
        <w:tblStyle w:val="41"/>
        <w:tblW w:w="9371" w:type="dxa"/>
        <w:tblInd w:w="93" w:type="dxa"/>
        <w:tblLayout w:type="fixed"/>
        <w:tblCellMar>
          <w:top w:w="0" w:type="dxa"/>
          <w:left w:w="108" w:type="dxa"/>
          <w:bottom w:w="0" w:type="dxa"/>
          <w:right w:w="108" w:type="dxa"/>
        </w:tblCellMar>
      </w:tblPr>
      <w:tblGrid>
        <w:gridCol w:w="582"/>
        <w:gridCol w:w="1134"/>
        <w:gridCol w:w="2694"/>
        <w:gridCol w:w="708"/>
        <w:gridCol w:w="709"/>
        <w:gridCol w:w="709"/>
        <w:gridCol w:w="850"/>
        <w:gridCol w:w="711"/>
        <w:gridCol w:w="1274"/>
      </w:tblGrid>
      <w:tr w14:paraId="3EF47C5F">
        <w:tblPrEx>
          <w:tblCellMar>
            <w:top w:w="0" w:type="dxa"/>
            <w:left w:w="108" w:type="dxa"/>
            <w:bottom w:w="0" w:type="dxa"/>
            <w:right w:w="108" w:type="dxa"/>
          </w:tblCellMar>
        </w:tblPrEx>
        <w:trPr>
          <w:trHeight w:val="522" w:hRule="atLeast"/>
        </w:trPr>
        <w:tc>
          <w:tcPr>
            <w:tcW w:w="9371" w:type="dxa"/>
            <w:gridSpan w:val="9"/>
            <w:tcBorders>
              <w:top w:val="single" w:color="000000" w:sz="4" w:space="0"/>
              <w:left w:val="single" w:color="000000" w:sz="4" w:space="0"/>
              <w:bottom w:val="single" w:color="000000" w:sz="4" w:space="0"/>
              <w:right w:val="single" w:color="000000" w:sz="4" w:space="0"/>
            </w:tcBorders>
            <w:noWrap w:val="0"/>
            <w:vAlign w:val="center"/>
          </w:tcPr>
          <w:p w14:paraId="491C8E56">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 xml:space="preserve">番禺区水务工程施工单位管理人员考核评分表(资料员）   </w:t>
            </w:r>
          </w:p>
        </w:tc>
      </w:tr>
      <w:tr w14:paraId="39EAD025">
        <w:tblPrEx>
          <w:tblCellMar>
            <w:top w:w="0" w:type="dxa"/>
            <w:left w:w="108" w:type="dxa"/>
            <w:bottom w:w="0" w:type="dxa"/>
            <w:right w:w="108" w:type="dxa"/>
          </w:tblCellMar>
        </w:tblPrEx>
        <w:trPr>
          <w:trHeight w:val="402"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14:paraId="6ABC6D5B">
            <w:pPr>
              <w:widowControl/>
              <w:jc w:val="center"/>
              <w:rPr>
                <w:rFonts w:ascii="宋体" w:hAnsi="宋体" w:cs="宋体"/>
                <w:color w:val="auto"/>
                <w:kern w:val="0"/>
                <w:highlight w:val="none"/>
              </w:rPr>
            </w:pPr>
            <w:r>
              <w:rPr>
                <w:rFonts w:hint="eastAsia" w:ascii="宋体" w:hAnsi="宋体" w:cs="宋体"/>
                <w:color w:val="auto"/>
                <w:kern w:val="0"/>
                <w:highlight w:val="none"/>
              </w:rPr>
              <w:t>工程名称</w:t>
            </w:r>
          </w:p>
        </w:tc>
        <w:tc>
          <w:tcPr>
            <w:tcW w:w="4820" w:type="dxa"/>
            <w:gridSpan w:val="4"/>
            <w:tcBorders>
              <w:top w:val="single" w:color="000000" w:sz="4" w:space="0"/>
              <w:left w:val="single" w:color="000000" w:sz="4" w:space="0"/>
              <w:bottom w:val="single" w:color="000000" w:sz="4" w:space="0"/>
              <w:right w:val="single" w:color="000000" w:sz="4" w:space="0"/>
            </w:tcBorders>
            <w:noWrap w:val="0"/>
            <w:vAlign w:val="center"/>
          </w:tcPr>
          <w:p w14:paraId="61E7E0A8">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4B3582D">
            <w:pPr>
              <w:widowControl/>
              <w:jc w:val="center"/>
              <w:rPr>
                <w:rFonts w:hint="eastAsia" w:ascii="宋体" w:hAnsi="宋体" w:cs="宋体"/>
                <w:color w:val="auto"/>
                <w:kern w:val="0"/>
                <w:highlight w:val="none"/>
              </w:rPr>
            </w:pPr>
            <w:r>
              <w:rPr>
                <w:rFonts w:hint="eastAsia" w:ascii="宋体" w:hAnsi="宋体" w:cs="宋体"/>
                <w:color w:val="auto"/>
                <w:kern w:val="0"/>
                <w:highlight w:val="none"/>
              </w:rPr>
              <w:t>评分</w:t>
            </w:r>
          </w:p>
          <w:p w14:paraId="2E0F6318">
            <w:pPr>
              <w:widowControl/>
              <w:jc w:val="center"/>
              <w:rPr>
                <w:rFonts w:ascii="宋体" w:hAnsi="宋体" w:cs="宋体"/>
                <w:color w:val="auto"/>
                <w:kern w:val="0"/>
                <w:highlight w:val="none"/>
              </w:rPr>
            </w:pPr>
            <w:r>
              <w:rPr>
                <w:rFonts w:hint="eastAsia" w:ascii="宋体" w:hAnsi="宋体" w:cs="宋体"/>
                <w:color w:val="auto"/>
                <w:kern w:val="0"/>
                <w:highlight w:val="none"/>
              </w:rPr>
              <w:t>时间</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14:paraId="1D8913ED">
            <w:pPr>
              <w:widowControl/>
              <w:jc w:val="center"/>
              <w:rPr>
                <w:rFonts w:ascii="宋体" w:hAnsi="宋体" w:cs="宋体"/>
                <w:color w:val="auto"/>
                <w:kern w:val="0"/>
                <w:highlight w:val="none"/>
              </w:rPr>
            </w:pPr>
          </w:p>
        </w:tc>
      </w:tr>
      <w:tr w14:paraId="05833E90">
        <w:tblPrEx>
          <w:tblCellMar>
            <w:top w:w="0" w:type="dxa"/>
            <w:left w:w="108" w:type="dxa"/>
            <w:bottom w:w="0" w:type="dxa"/>
            <w:right w:w="108" w:type="dxa"/>
          </w:tblCellMar>
        </w:tblPrEx>
        <w:trPr>
          <w:trHeight w:val="423"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14:paraId="332C30FA">
            <w:pPr>
              <w:widowControl/>
              <w:jc w:val="center"/>
              <w:rPr>
                <w:rFonts w:ascii="宋体" w:hAnsi="宋体" w:cs="宋体"/>
                <w:color w:val="auto"/>
                <w:kern w:val="0"/>
                <w:highlight w:val="none"/>
              </w:rPr>
            </w:pPr>
            <w:r>
              <w:rPr>
                <w:rFonts w:hint="eastAsia" w:ascii="宋体" w:hAnsi="宋体" w:cs="宋体"/>
                <w:color w:val="auto"/>
                <w:kern w:val="0"/>
                <w:highlight w:val="none"/>
              </w:rPr>
              <w:t>建设单位</w:t>
            </w:r>
          </w:p>
        </w:tc>
        <w:tc>
          <w:tcPr>
            <w:tcW w:w="4820" w:type="dxa"/>
            <w:gridSpan w:val="4"/>
            <w:tcBorders>
              <w:top w:val="single" w:color="000000" w:sz="4" w:space="0"/>
              <w:left w:val="single" w:color="000000" w:sz="4" w:space="0"/>
              <w:bottom w:val="single" w:color="000000" w:sz="4" w:space="0"/>
              <w:right w:val="single" w:color="000000" w:sz="4" w:space="0"/>
            </w:tcBorders>
            <w:noWrap w:val="0"/>
            <w:vAlign w:val="center"/>
          </w:tcPr>
          <w:p w14:paraId="1B36B300">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F96FBF8">
            <w:pPr>
              <w:widowControl/>
              <w:jc w:val="center"/>
              <w:rPr>
                <w:rFonts w:ascii="宋体" w:hAnsi="宋体" w:cs="宋体"/>
                <w:color w:val="auto"/>
                <w:kern w:val="0"/>
                <w:highlight w:val="none"/>
              </w:rPr>
            </w:pPr>
            <w:r>
              <w:rPr>
                <w:rFonts w:hint="eastAsia" w:ascii="宋体" w:hAnsi="宋体" w:cs="宋体"/>
                <w:color w:val="auto"/>
                <w:kern w:val="0"/>
                <w:highlight w:val="none"/>
              </w:rPr>
              <w:t>评分人</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14:paraId="05CED8E3">
            <w:pPr>
              <w:widowControl/>
              <w:jc w:val="center"/>
              <w:rPr>
                <w:rFonts w:ascii="宋体" w:hAnsi="宋体" w:cs="宋体"/>
                <w:color w:val="auto"/>
                <w:kern w:val="0"/>
                <w:highlight w:val="none"/>
              </w:rPr>
            </w:pPr>
          </w:p>
        </w:tc>
      </w:tr>
      <w:tr w14:paraId="744FDEAC">
        <w:tblPrEx>
          <w:tblCellMar>
            <w:top w:w="0" w:type="dxa"/>
            <w:left w:w="108" w:type="dxa"/>
            <w:bottom w:w="0" w:type="dxa"/>
            <w:right w:w="108" w:type="dxa"/>
          </w:tblCellMar>
        </w:tblPrEx>
        <w:trPr>
          <w:trHeight w:val="414"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14:paraId="1A8772F9">
            <w:pPr>
              <w:widowControl/>
              <w:jc w:val="center"/>
              <w:rPr>
                <w:rFonts w:ascii="宋体" w:hAnsi="宋体" w:cs="宋体"/>
                <w:color w:val="auto"/>
                <w:kern w:val="0"/>
                <w:highlight w:val="none"/>
              </w:rPr>
            </w:pPr>
            <w:r>
              <w:rPr>
                <w:rFonts w:hint="eastAsia" w:ascii="宋体" w:hAnsi="宋体" w:cs="宋体"/>
                <w:color w:val="auto"/>
                <w:kern w:val="0"/>
                <w:highlight w:val="none"/>
              </w:rPr>
              <w:t>施工单位</w:t>
            </w:r>
          </w:p>
        </w:tc>
        <w:tc>
          <w:tcPr>
            <w:tcW w:w="4820" w:type="dxa"/>
            <w:gridSpan w:val="4"/>
            <w:tcBorders>
              <w:top w:val="single" w:color="000000" w:sz="4" w:space="0"/>
              <w:left w:val="single" w:color="000000" w:sz="4" w:space="0"/>
              <w:bottom w:val="single" w:color="000000" w:sz="4" w:space="0"/>
              <w:right w:val="single" w:color="000000" w:sz="4" w:space="0"/>
            </w:tcBorders>
            <w:noWrap w:val="0"/>
            <w:vAlign w:val="center"/>
          </w:tcPr>
          <w:p w14:paraId="0126D673">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218F237">
            <w:pPr>
              <w:widowControl/>
              <w:jc w:val="center"/>
              <w:rPr>
                <w:rFonts w:ascii="宋体" w:hAnsi="宋体" w:cs="宋体"/>
                <w:color w:val="auto"/>
                <w:kern w:val="0"/>
                <w:highlight w:val="none"/>
              </w:rPr>
            </w:pPr>
            <w:r>
              <w:rPr>
                <w:rFonts w:hint="eastAsia" w:ascii="宋体" w:hAnsi="宋体" w:cs="宋体"/>
                <w:color w:val="auto"/>
                <w:kern w:val="0"/>
                <w:highlight w:val="none"/>
              </w:rPr>
              <w:t>资料员</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14:paraId="4CFC069F">
            <w:pPr>
              <w:widowControl/>
              <w:jc w:val="center"/>
              <w:rPr>
                <w:rFonts w:ascii="宋体" w:hAnsi="宋体" w:cs="宋体"/>
                <w:color w:val="auto"/>
                <w:kern w:val="0"/>
                <w:highlight w:val="none"/>
              </w:rPr>
            </w:pPr>
          </w:p>
        </w:tc>
      </w:tr>
      <w:tr w14:paraId="18ACE36E">
        <w:tblPrEx>
          <w:tblCellMar>
            <w:top w:w="0" w:type="dxa"/>
            <w:left w:w="108" w:type="dxa"/>
            <w:bottom w:w="0" w:type="dxa"/>
            <w:right w:w="108" w:type="dxa"/>
          </w:tblCellMar>
        </w:tblPrEx>
        <w:trPr>
          <w:trHeight w:val="85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234C2F56">
            <w:pPr>
              <w:widowControl/>
              <w:jc w:val="center"/>
              <w:rPr>
                <w:rFonts w:ascii="宋体" w:hAnsi="宋体" w:cs="宋体"/>
                <w:color w:val="auto"/>
                <w:kern w:val="0"/>
                <w:highlight w:val="none"/>
              </w:rPr>
            </w:pPr>
            <w:r>
              <w:rPr>
                <w:rFonts w:hint="eastAsia" w:ascii="宋体" w:hAnsi="宋体" w:cs="宋体"/>
                <w:color w:val="auto"/>
                <w:kern w:val="0"/>
                <w:highlight w:val="none"/>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D6616AC">
            <w:pPr>
              <w:widowControl/>
              <w:jc w:val="center"/>
              <w:rPr>
                <w:rFonts w:ascii="宋体" w:hAnsi="宋体" w:cs="宋体"/>
                <w:color w:val="auto"/>
                <w:kern w:val="0"/>
                <w:highlight w:val="none"/>
              </w:rPr>
            </w:pPr>
            <w:r>
              <w:rPr>
                <w:rFonts w:hint="eastAsia" w:ascii="宋体" w:hAnsi="宋体" w:cs="宋体"/>
                <w:color w:val="auto"/>
                <w:kern w:val="0"/>
                <w:highlight w:val="none"/>
              </w:rPr>
              <w:t>考核事项</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06159BC3">
            <w:pPr>
              <w:widowControl/>
              <w:jc w:val="center"/>
              <w:rPr>
                <w:rFonts w:ascii="宋体" w:hAnsi="宋体" w:cs="宋体"/>
                <w:color w:val="auto"/>
                <w:kern w:val="0"/>
                <w:highlight w:val="none"/>
              </w:rPr>
            </w:pPr>
            <w:r>
              <w:rPr>
                <w:rFonts w:hint="eastAsia" w:ascii="宋体" w:hAnsi="宋体" w:cs="宋体"/>
                <w:color w:val="auto"/>
                <w:kern w:val="0"/>
                <w:highlight w:val="none"/>
              </w:rPr>
              <w:t>考核具体内容</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B02F604">
            <w:pPr>
              <w:widowControl/>
              <w:jc w:val="center"/>
              <w:rPr>
                <w:rFonts w:ascii="宋体" w:hAnsi="宋体" w:cs="宋体"/>
                <w:color w:val="auto"/>
                <w:kern w:val="0"/>
                <w:highlight w:val="none"/>
              </w:rPr>
            </w:pPr>
            <w:r>
              <w:rPr>
                <w:rFonts w:hint="eastAsia" w:ascii="宋体" w:hAnsi="宋体" w:cs="宋体"/>
                <w:color w:val="auto"/>
                <w:kern w:val="0"/>
                <w:highlight w:val="none"/>
              </w:rPr>
              <w:t>配分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C50BB9F">
            <w:pPr>
              <w:widowControl/>
              <w:jc w:val="center"/>
              <w:rPr>
                <w:rFonts w:ascii="宋体" w:hAnsi="宋体" w:cs="宋体"/>
                <w:color w:val="auto"/>
                <w:kern w:val="0"/>
                <w:highlight w:val="none"/>
              </w:rPr>
            </w:pPr>
            <w:r>
              <w:rPr>
                <w:rFonts w:hint="eastAsia"/>
                <w:color w:val="auto"/>
                <w:highlight w:val="none"/>
              </w:rPr>
              <w:t>优秀</w:t>
            </w:r>
            <w:r>
              <w:rPr>
                <w:rFonts w:hint="eastAsia"/>
                <w:color w:val="auto"/>
                <w:highlight w:val="none"/>
              </w:rPr>
              <w:br w:type="textWrapping"/>
            </w:r>
            <w:r>
              <w:rPr>
                <w:rFonts w:hint="eastAsia"/>
                <w:color w:val="auto"/>
                <w:highlight w:val="none"/>
              </w:rPr>
              <w:t>(9-10分)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B427DF8">
            <w:pPr>
              <w:widowControl/>
              <w:jc w:val="center"/>
              <w:rPr>
                <w:rFonts w:ascii="宋体" w:hAnsi="宋体" w:cs="宋体"/>
                <w:color w:val="auto"/>
                <w:kern w:val="0"/>
                <w:highlight w:val="none"/>
              </w:rPr>
            </w:pPr>
            <w:r>
              <w:rPr>
                <w:rFonts w:hint="eastAsia"/>
                <w:color w:val="auto"/>
                <w:highlight w:val="none"/>
              </w:rPr>
              <w:t>良好</w:t>
            </w:r>
            <w:r>
              <w:rPr>
                <w:rFonts w:hint="eastAsia"/>
                <w:color w:val="auto"/>
                <w:highlight w:val="none"/>
              </w:rPr>
              <w:br w:type="textWrapping"/>
            </w:r>
            <w:r>
              <w:rPr>
                <w:rFonts w:hint="eastAsia"/>
                <w:color w:val="auto"/>
                <w:highlight w:val="none"/>
              </w:rPr>
              <w:t>(7-8分)</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2FD2A9F">
            <w:pPr>
              <w:widowControl/>
              <w:jc w:val="center"/>
              <w:rPr>
                <w:rFonts w:ascii="宋体" w:hAnsi="宋体" w:cs="宋体"/>
                <w:color w:val="auto"/>
                <w:kern w:val="0"/>
                <w:highlight w:val="none"/>
              </w:rPr>
            </w:pPr>
            <w:r>
              <w:rPr>
                <w:rFonts w:hint="eastAsia"/>
                <w:color w:val="auto"/>
                <w:highlight w:val="none"/>
              </w:rPr>
              <w:t>一般</w:t>
            </w:r>
            <w:r>
              <w:rPr>
                <w:rFonts w:hint="eastAsia"/>
                <w:color w:val="auto"/>
                <w:highlight w:val="none"/>
              </w:rPr>
              <w:br w:type="textWrapping"/>
            </w:r>
            <w:r>
              <w:rPr>
                <w:rFonts w:hint="eastAsia"/>
                <w:color w:val="auto"/>
                <w:highlight w:val="none"/>
              </w:rPr>
              <w:t>(5-6分)</w:t>
            </w: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1C00798C">
            <w:pPr>
              <w:widowControl/>
              <w:jc w:val="center"/>
              <w:rPr>
                <w:rFonts w:ascii="宋体" w:hAnsi="宋体" w:cs="宋体"/>
                <w:color w:val="auto"/>
                <w:kern w:val="0"/>
                <w:highlight w:val="none"/>
              </w:rPr>
            </w:pPr>
            <w:r>
              <w:rPr>
                <w:rFonts w:hint="eastAsia"/>
                <w:color w:val="auto"/>
                <w:highlight w:val="none"/>
              </w:rPr>
              <w:t>较差</w:t>
            </w:r>
            <w:r>
              <w:rPr>
                <w:rFonts w:hint="eastAsia"/>
                <w:color w:val="auto"/>
                <w:highlight w:val="none"/>
              </w:rPr>
              <w:br w:type="textWrapping"/>
            </w:r>
            <w:r>
              <w:rPr>
                <w:rFonts w:hint="eastAsia"/>
                <w:color w:val="auto"/>
                <w:highlight w:val="none"/>
              </w:rPr>
              <w:t>(0-4分)</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66A81883">
            <w:pPr>
              <w:widowControl/>
              <w:jc w:val="center"/>
              <w:rPr>
                <w:rFonts w:ascii="宋体" w:hAnsi="宋体" w:cs="宋体"/>
                <w:color w:val="auto"/>
                <w:kern w:val="0"/>
                <w:highlight w:val="none"/>
              </w:rPr>
            </w:pPr>
            <w:r>
              <w:rPr>
                <w:rFonts w:hint="eastAsia" w:ascii="宋体" w:hAnsi="宋体" w:cs="宋体"/>
                <w:color w:val="auto"/>
                <w:kern w:val="0"/>
                <w:highlight w:val="none"/>
              </w:rPr>
              <w:t>备注说明</w:t>
            </w:r>
            <w:r>
              <w:rPr>
                <w:rFonts w:hint="eastAsia" w:ascii="宋体" w:hAnsi="宋体" w:cs="宋体"/>
                <w:color w:val="auto"/>
                <w:kern w:val="0"/>
                <w:highlight w:val="none"/>
              </w:rPr>
              <w:br w:type="textWrapping"/>
            </w:r>
            <w:r>
              <w:rPr>
                <w:rFonts w:hint="eastAsia" w:ascii="宋体" w:hAnsi="宋体" w:cs="宋体"/>
                <w:color w:val="auto"/>
                <w:kern w:val="0"/>
                <w:highlight w:val="none"/>
              </w:rPr>
              <w:t>（较差要写清楚原因）</w:t>
            </w:r>
          </w:p>
        </w:tc>
      </w:tr>
      <w:tr w14:paraId="5473B99B">
        <w:tblPrEx>
          <w:tblCellMar>
            <w:top w:w="0" w:type="dxa"/>
            <w:left w:w="108" w:type="dxa"/>
            <w:bottom w:w="0" w:type="dxa"/>
            <w:right w:w="108" w:type="dxa"/>
          </w:tblCellMar>
        </w:tblPrEx>
        <w:trPr>
          <w:trHeight w:val="40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1A5D2267">
            <w:pPr>
              <w:widowControl/>
              <w:jc w:val="center"/>
              <w:rPr>
                <w:rFonts w:ascii="宋体" w:hAnsi="宋体" w:cs="宋体"/>
                <w:color w:val="auto"/>
                <w:kern w:val="0"/>
                <w:highlight w:val="none"/>
              </w:rPr>
            </w:pPr>
            <w:r>
              <w:rPr>
                <w:rFonts w:hint="eastAsia" w:ascii="宋体" w:hAnsi="宋体" w:cs="宋体"/>
                <w:color w:val="auto"/>
                <w:kern w:val="0"/>
                <w:highlight w:val="none"/>
              </w:rPr>
              <w:t>1</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0A984D17">
            <w:pPr>
              <w:widowControl/>
              <w:jc w:val="center"/>
              <w:rPr>
                <w:rFonts w:ascii="宋体" w:hAnsi="宋体" w:cs="宋体"/>
                <w:color w:val="auto"/>
                <w:kern w:val="0"/>
                <w:highlight w:val="none"/>
              </w:rPr>
            </w:pPr>
            <w:r>
              <w:rPr>
                <w:rFonts w:hint="eastAsia"/>
                <w:color w:val="auto"/>
                <w:highlight w:val="none"/>
              </w:rPr>
              <w:t>工作态度与纪律</w:t>
            </w:r>
            <w:r>
              <w:rPr>
                <w:rFonts w:hint="eastAsia"/>
                <w:color w:val="auto"/>
                <w:highlight w:val="none"/>
              </w:rPr>
              <w:br w:type="textWrapping"/>
            </w:r>
            <w:r>
              <w:rPr>
                <w:rFonts w:hint="eastAsia"/>
                <w:color w:val="auto"/>
                <w:highlight w:val="none"/>
              </w:rPr>
              <w:t>（30分）</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4C16E1C3">
            <w:pPr>
              <w:widowControl/>
              <w:jc w:val="center"/>
              <w:rPr>
                <w:rFonts w:ascii="宋体" w:hAnsi="宋体" w:cs="宋体"/>
                <w:color w:val="auto"/>
                <w:kern w:val="0"/>
                <w:highlight w:val="none"/>
              </w:rPr>
            </w:pPr>
            <w:r>
              <w:rPr>
                <w:rFonts w:hint="eastAsia"/>
                <w:color w:val="auto"/>
                <w:sz w:val="22"/>
                <w:szCs w:val="22"/>
                <w:highlight w:val="none"/>
              </w:rPr>
              <w:t>每月驻场工作情况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580C266B">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798EDE4">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71F955F">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B69D363">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473F6506">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3BACCEA4">
            <w:pPr>
              <w:widowControl/>
              <w:jc w:val="center"/>
              <w:rPr>
                <w:rFonts w:ascii="宋体" w:hAnsi="宋体" w:cs="宋体"/>
                <w:color w:val="auto"/>
                <w:kern w:val="0"/>
                <w:highlight w:val="none"/>
              </w:rPr>
            </w:pPr>
          </w:p>
        </w:tc>
      </w:tr>
      <w:tr w14:paraId="1BA88B73">
        <w:tblPrEx>
          <w:tblCellMar>
            <w:top w:w="0" w:type="dxa"/>
            <w:left w:w="108" w:type="dxa"/>
            <w:bottom w:w="0" w:type="dxa"/>
            <w:right w:w="108" w:type="dxa"/>
          </w:tblCellMar>
        </w:tblPrEx>
        <w:trPr>
          <w:trHeight w:val="124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6D1F147A">
            <w:pPr>
              <w:widowControl/>
              <w:jc w:val="center"/>
              <w:rPr>
                <w:rFonts w:hint="eastAsia" w:ascii="宋体" w:hAnsi="宋体" w:cs="宋体"/>
                <w:color w:val="auto"/>
                <w:kern w:val="0"/>
                <w:highlight w:val="none"/>
              </w:rPr>
            </w:pPr>
            <w:r>
              <w:rPr>
                <w:rFonts w:hint="eastAsia" w:ascii="宋体" w:hAnsi="宋体" w:cs="宋体"/>
                <w:color w:val="auto"/>
                <w:kern w:val="0"/>
                <w:highlight w:val="none"/>
              </w:rPr>
              <w:t>2</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016CF1">
            <w:pPr>
              <w:widowControl/>
              <w:jc w:val="center"/>
              <w:rPr>
                <w:rFonts w:ascii="宋体" w:hAnsi="宋体" w:cs="宋体"/>
                <w:color w:val="auto"/>
                <w:kern w:val="0"/>
                <w:highlight w:val="none"/>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2F307F56">
            <w:pPr>
              <w:widowControl/>
              <w:jc w:val="center"/>
              <w:rPr>
                <w:rFonts w:ascii="宋体" w:hAnsi="宋体" w:cs="宋体"/>
                <w:color w:val="auto"/>
                <w:kern w:val="0"/>
                <w:highlight w:val="none"/>
              </w:rPr>
            </w:pPr>
            <w:r>
              <w:rPr>
                <w:rFonts w:hint="eastAsia"/>
                <w:color w:val="auto"/>
                <w:sz w:val="22"/>
                <w:szCs w:val="22"/>
                <w:highlight w:val="none"/>
              </w:rPr>
              <w:t>是否认真贯彻上级部门的各项规定，严格执行资料工作要求，加强资料的日常管理和保护工作</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11CC1028">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420B76E2">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B395768">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04B3702">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1FFBEEC9">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7150D68E">
            <w:pPr>
              <w:widowControl/>
              <w:jc w:val="center"/>
              <w:rPr>
                <w:rFonts w:ascii="宋体" w:hAnsi="宋体" w:cs="宋体"/>
                <w:color w:val="auto"/>
                <w:kern w:val="0"/>
                <w:highlight w:val="none"/>
              </w:rPr>
            </w:pPr>
          </w:p>
        </w:tc>
      </w:tr>
      <w:tr w14:paraId="5CDDB6AA">
        <w:tblPrEx>
          <w:tblCellMar>
            <w:top w:w="0" w:type="dxa"/>
            <w:left w:w="108" w:type="dxa"/>
            <w:bottom w:w="0" w:type="dxa"/>
            <w:right w:w="108" w:type="dxa"/>
          </w:tblCellMar>
        </w:tblPrEx>
        <w:trPr>
          <w:trHeight w:val="968"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303C452E">
            <w:pPr>
              <w:widowControl/>
              <w:jc w:val="center"/>
              <w:rPr>
                <w:rFonts w:ascii="宋体" w:hAnsi="宋体" w:cs="宋体"/>
                <w:color w:val="auto"/>
                <w:kern w:val="0"/>
                <w:highlight w:val="none"/>
              </w:rPr>
            </w:pPr>
            <w:r>
              <w:rPr>
                <w:rFonts w:hint="eastAsia" w:ascii="宋体" w:hAnsi="宋体" w:cs="宋体"/>
                <w:color w:val="auto"/>
                <w:kern w:val="0"/>
                <w:highlight w:val="none"/>
              </w:rPr>
              <w:t>3</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385F14">
            <w:pPr>
              <w:widowControl/>
              <w:jc w:val="left"/>
              <w:rPr>
                <w:rFonts w:ascii="宋体" w:hAnsi="宋体" w:cs="宋体"/>
                <w:color w:val="auto"/>
                <w:kern w:val="0"/>
                <w:highlight w:val="none"/>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19C43197">
            <w:pPr>
              <w:widowControl/>
              <w:jc w:val="center"/>
              <w:rPr>
                <w:rFonts w:ascii="宋体" w:hAnsi="宋体" w:cs="宋体"/>
                <w:color w:val="auto"/>
                <w:kern w:val="0"/>
                <w:highlight w:val="none"/>
              </w:rPr>
            </w:pPr>
            <w:r>
              <w:rPr>
                <w:rFonts w:hint="eastAsia"/>
                <w:color w:val="auto"/>
                <w:sz w:val="22"/>
                <w:szCs w:val="22"/>
                <w:highlight w:val="none"/>
              </w:rPr>
              <w:t>廉政工作情况，资料台账是否出现虚报、瞒报、造假等情况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1312CC19">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D9A2710">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E93E6AF">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DD9C27F">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70050B28">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1D092C95">
            <w:pPr>
              <w:widowControl/>
              <w:jc w:val="center"/>
              <w:rPr>
                <w:rFonts w:ascii="宋体" w:hAnsi="宋体" w:cs="宋体"/>
                <w:color w:val="auto"/>
                <w:kern w:val="0"/>
                <w:highlight w:val="none"/>
              </w:rPr>
            </w:pPr>
          </w:p>
        </w:tc>
      </w:tr>
      <w:tr w14:paraId="6DDEB1EE">
        <w:tblPrEx>
          <w:tblCellMar>
            <w:top w:w="0" w:type="dxa"/>
            <w:left w:w="108" w:type="dxa"/>
            <w:bottom w:w="0" w:type="dxa"/>
            <w:right w:w="108" w:type="dxa"/>
          </w:tblCellMar>
        </w:tblPrEx>
        <w:trPr>
          <w:trHeight w:val="58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5F5E22E5">
            <w:pPr>
              <w:widowControl/>
              <w:jc w:val="center"/>
              <w:rPr>
                <w:rFonts w:ascii="宋体" w:hAnsi="宋体" w:cs="宋体"/>
                <w:color w:val="auto"/>
                <w:kern w:val="0"/>
                <w:highlight w:val="none"/>
              </w:rPr>
            </w:pPr>
            <w:r>
              <w:rPr>
                <w:rFonts w:hint="eastAsia" w:ascii="宋体" w:hAnsi="宋体" w:cs="宋体"/>
                <w:color w:val="auto"/>
                <w:kern w:val="0"/>
                <w:highlight w:val="none"/>
              </w:rPr>
              <w:t>4</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59BC8998">
            <w:pPr>
              <w:widowControl/>
              <w:jc w:val="center"/>
              <w:rPr>
                <w:rFonts w:ascii="宋体" w:hAnsi="宋体" w:cs="宋体"/>
                <w:color w:val="auto"/>
                <w:kern w:val="0"/>
                <w:highlight w:val="none"/>
              </w:rPr>
            </w:pPr>
            <w:r>
              <w:rPr>
                <w:rFonts w:hint="eastAsia"/>
                <w:color w:val="auto"/>
                <w:highlight w:val="none"/>
              </w:rPr>
              <w:t>工作任务完成情况</w:t>
            </w:r>
            <w:r>
              <w:rPr>
                <w:rFonts w:hint="eastAsia"/>
                <w:color w:val="auto"/>
                <w:highlight w:val="none"/>
              </w:rPr>
              <w:br w:type="textWrapping"/>
            </w:r>
            <w:r>
              <w:rPr>
                <w:rFonts w:hint="eastAsia"/>
                <w:color w:val="auto"/>
                <w:highlight w:val="none"/>
              </w:rPr>
              <w:t>（30分）</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6CFBD0CD">
            <w:pPr>
              <w:widowControl/>
              <w:jc w:val="center"/>
              <w:rPr>
                <w:rFonts w:ascii="宋体" w:hAnsi="宋体" w:cs="宋体"/>
                <w:color w:val="auto"/>
                <w:kern w:val="0"/>
                <w:highlight w:val="none"/>
              </w:rPr>
            </w:pPr>
            <w:r>
              <w:rPr>
                <w:rFonts w:hint="eastAsia"/>
                <w:color w:val="auto"/>
                <w:sz w:val="22"/>
                <w:szCs w:val="22"/>
                <w:highlight w:val="none"/>
              </w:rPr>
              <w:t>收集整理各单位收发文件，是否及时传阅上级部门通知。如收到设计变更通知后是否及时有效地传达变更通知</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D41F5A3">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C19D27C">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5AF75CB">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7C2DC11">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4EEDFAA6">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0B5F6839">
            <w:pPr>
              <w:widowControl/>
              <w:jc w:val="center"/>
              <w:rPr>
                <w:rFonts w:ascii="宋体" w:hAnsi="宋体" w:cs="宋体"/>
                <w:color w:val="auto"/>
                <w:kern w:val="0"/>
                <w:highlight w:val="none"/>
              </w:rPr>
            </w:pPr>
          </w:p>
        </w:tc>
      </w:tr>
      <w:tr w14:paraId="3A226F38">
        <w:tblPrEx>
          <w:tblCellMar>
            <w:top w:w="0" w:type="dxa"/>
            <w:left w:w="108" w:type="dxa"/>
            <w:bottom w:w="0" w:type="dxa"/>
            <w:right w:w="108" w:type="dxa"/>
          </w:tblCellMar>
        </w:tblPrEx>
        <w:trPr>
          <w:trHeight w:val="848"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5B5079A9">
            <w:pPr>
              <w:widowControl/>
              <w:jc w:val="center"/>
              <w:rPr>
                <w:rFonts w:ascii="宋体" w:hAnsi="宋体" w:cs="宋体"/>
                <w:color w:val="auto"/>
                <w:kern w:val="0"/>
                <w:highlight w:val="none"/>
              </w:rPr>
            </w:pPr>
            <w:r>
              <w:rPr>
                <w:rFonts w:hint="eastAsia" w:ascii="宋体" w:hAnsi="宋体" w:cs="宋体"/>
                <w:color w:val="auto"/>
                <w:kern w:val="0"/>
                <w:highlight w:val="none"/>
              </w:rPr>
              <w:t>5</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10D687">
            <w:pPr>
              <w:widowControl/>
              <w:jc w:val="left"/>
              <w:rPr>
                <w:rFonts w:ascii="宋体" w:hAnsi="宋体" w:cs="宋体"/>
                <w:color w:val="auto"/>
                <w:kern w:val="0"/>
                <w:highlight w:val="none"/>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142C22E7">
            <w:pPr>
              <w:widowControl/>
              <w:jc w:val="center"/>
              <w:rPr>
                <w:rFonts w:ascii="宋体" w:hAnsi="宋体" w:cs="宋体"/>
                <w:color w:val="auto"/>
                <w:kern w:val="0"/>
                <w:highlight w:val="none"/>
              </w:rPr>
            </w:pPr>
            <w:r>
              <w:rPr>
                <w:rFonts w:hint="eastAsia"/>
                <w:color w:val="auto"/>
                <w:sz w:val="22"/>
                <w:szCs w:val="22"/>
                <w:highlight w:val="none"/>
              </w:rPr>
              <w:t>是否有效及时整理工程资料，工程进度与资料是否同步</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6B543743">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DFA259D">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EE5FDA9">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336ED8A">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1B1861B8">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70FB7D38">
            <w:pPr>
              <w:widowControl/>
              <w:jc w:val="center"/>
              <w:rPr>
                <w:rFonts w:ascii="宋体" w:hAnsi="宋体" w:cs="宋体"/>
                <w:color w:val="auto"/>
                <w:kern w:val="0"/>
                <w:highlight w:val="none"/>
              </w:rPr>
            </w:pPr>
          </w:p>
        </w:tc>
      </w:tr>
      <w:tr w14:paraId="4E5285A0">
        <w:tblPrEx>
          <w:tblCellMar>
            <w:top w:w="0" w:type="dxa"/>
            <w:left w:w="108" w:type="dxa"/>
            <w:bottom w:w="0" w:type="dxa"/>
            <w:right w:w="108" w:type="dxa"/>
          </w:tblCellMar>
        </w:tblPrEx>
        <w:trPr>
          <w:trHeight w:val="856"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79187FE9">
            <w:pPr>
              <w:widowControl/>
              <w:jc w:val="center"/>
              <w:rPr>
                <w:rFonts w:ascii="宋体" w:hAnsi="宋体" w:cs="宋体"/>
                <w:color w:val="auto"/>
                <w:kern w:val="0"/>
                <w:highlight w:val="none"/>
              </w:rPr>
            </w:pPr>
            <w:r>
              <w:rPr>
                <w:rFonts w:hint="eastAsia" w:ascii="宋体" w:hAnsi="宋体" w:cs="宋体"/>
                <w:color w:val="auto"/>
                <w:kern w:val="0"/>
                <w:highlight w:val="none"/>
              </w:rPr>
              <w:t>6</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F3FE71">
            <w:pPr>
              <w:widowControl/>
              <w:jc w:val="left"/>
              <w:rPr>
                <w:rFonts w:ascii="宋体" w:hAnsi="宋体" w:cs="宋体"/>
                <w:color w:val="auto"/>
                <w:kern w:val="0"/>
                <w:highlight w:val="none"/>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5EDF24B4">
            <w:pPr>
              <w:widowControl/>
              <w:jc w:val="center"/>
              <w:rPr>
                <w:rFonts w:ascii="宋体" w:hAnsi="宋体" w:cs="宋体"/>
                <w:color w:val="auto"/>
                <w:kern w:val="0"/>
                <w:highlight w:val="none"/>
              </w:rPr>
            </w:pPr>
            <w:r>
              <w:rPr>
                <w:rFonts w:hint="eastAsia"/>
                <w:color w:val="auto"/>
                <w:sz w:val="22"/>
                <w:szCs w:val="22"/>
                <w:highlight w:val="none"/>
              </w:rPr>
              <w:t>是否根据施工图纸要求编制项目划分、检测计划。材料进场及时报验，抽检合格后再使用</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07986806">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FBA0705">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B1BD7B4">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0D4ACC6">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05E050C4">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6EEBEB58">
            <w:pPr>
              <w:widowControl/>
              <w:jc w:val="center"/>
              <w:rPr>
                <w:rFonts w:ascii="宋体" w:hAnsi="宋体" w:cs="宋体"/>
                <w:color w:val="auto"/>
                <w:kern w:val="0"/>
                <w:highlight w:val="none"/>
              </w:rPr>
            </w:pPr>
          </w:p>
        </w:tc>
      </w:tr>
      <w:tr w14:paraId="67A6241E">
        <w:tblPrEx>
          <w:tblCellMar>
            <w:top w:w="0" w:type="dxa"/>
            <w:left w:w="108" w:type="dxa"/>
            <w:bottom w:w="0" w:type="dxa"/>
            <w:right w:w="108" w:type="dxa"/>
          </w:tblCellMar>
        </w:tblPrEx>
        <w:trPr>
          <w:trHeight w:val="784"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62CAA531">
            <w:pPr>
              <w:widowControl/>
              <w:jc w:val="center"/>
              <w:rPr>
                <w:rFonts w:ascii="宋体" w:hAnsi="宋体" w:cs="宋体"/>
                <w:color w:val="auto"/>
                <w:kern w:val="0"/>
                <w:highlight w:val="none"/>
              </w:rPr>
            </w:pPr>
            <w:r>
              <w:rPr>
                <w:rFonts w:hint="eastAsia" w:ascii="宋体" w:hAnsi="宋体" w:cs="宋体"/>
                <w:color w:val="auto"/>
                <w:kern w:val="0"/>
                <w:highlight w:val="none"/>
              </w:rPr>
              <w:t>7</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571D6553">
            <w:pPr>
              <w:widowControl/>
              <w:jc w:val="center"/>
              <w:rPr>
                <w:rFonts w:ascii="宋体" w:hAnsi="宋体" w:cs="宋体"/>
                <w:color w:val="auto"/>
                <w:kern w:val="0"/>
                <w:highlight w:val="none"/>
              </w:rPr>
            </w:pPr>
            <w:r>
              <w:rPr>
                <w:rFonts w:hint="eastAsia"/>
                <w:color w:val="auto"/>
                <w:highlight w:val="none"/>
              </w:rPr>
              <w:t>专业技术水平</w:t>
            </w:r>
            <w:r>
              <w:rPr>
                <w:rFonts w:hint="eastAsia"/>
                <w:color w:val="auto"/>
                <w:highlight w:val="none"/>
              </w:rPr>
              <w:br w:type="textWrapping"/>
            </w:r>
            <w:r>
              <w:rPr>
                <w:rFonts w:hint="eastAsia"/>
                <w:color w:val="auto"/>
                <w:highlight w:val="none"/>
              </w:rPr>
              <w:t>（20分）</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3A8C3630">
            <w:pPr>
              <w:widowControl/>
              <w:jc w:val="center"/>
              <w:rPr>
                <w:rFonts w:ascii="宋体" w:hAnsi="宋体" w:cs="宋体"/>
                <w:color w:val="auto"/>
                <w:kern w:val="0"/>
                <w:highlight w:val="none"/>
              </w:rPr>
            </w:pPr>
            <w:r>
              <w:rPr>
                <w:rFonts w:hint="eastAsia"/>
                <w:color w:val="auto"/>
                <w:sz w:val="22"/>
                <w:szCs w:val="22"/>
                <w:highlight w:val="none"/>
              </w:rPr>
              <w:t>是否按设计及规范要求对本工程资料及时有效的编写与评定</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028F3B4">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A46D0DC">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41F603E">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DE11E0D">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48CFBEFD">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4CF56441">
            <w:pPr>
              <w:widowControl/>
              <w:jc w:val="center"/>
              <w:rPr>
                <w:rFonts w:ascii="宋体" w:hAnsi="宋体" w:cs="宋体"/>
                <w:color w:val="auto"/>
                <w:kern w:val="0"/>
                <w:highlight w:val="none"/>
              </w:rPr>
            </w:pPr>
          </w:p>
        </w:tc>
      </w:tr>
      <w:tr w14:paraId="2BBA2E82">
        <w:tblPrEx>
          <w:tblCellMar>
            <w:top w:w="0" w:type="dxa"/>
            <w:left w:w="108" w:type="dxa"/>
            <w:bottom w:w="0" w:type="dxa"/>
            <w:right w:w="108" w:type="dxa"/>
          </w:tblCellMar>
        </w:tblPrEx>
        <w:trPr>
          <w:trHeight w:val="1221"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659BF34D">
            <w:pPr>
              <w:widowControl/>
              <w:jc w:val="center"/>
              <w:rPr>
                <w:rFonts w:ascii="宋体" w:hAnsi="宋体" w:cs="宋体"/>
                <w:color w:val="auto"/>
                <w:kern w:val="0"/>
                <w:highlight w:val="none"/>
              </w:rPr>
            </w:pPr>
            <w:r>
              <w:rPr>
                <w:rFonts w:hint="eastAsia" w:ascii="宋体" w:hAnsi="宋体" w:cs="宋体"/>
                <w:color w:val="auto"/>
                <w:kern w:val="0"/>
                <w:highlight w:val="none"/>
              </w:rPr>
              <w:t>8</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727242">
            <w:pPr>
              <w:widowControl/>
              <w:jc w:val="left"/>
              <w:rPr>
                <w:rFonts w:ascii="宋体" w:hAnsi="宋体" w:cs="宋体"/>
                <w:color w:val="auto"/>
                <w:kern w:val="0"/>
                <w:highlight w:val="none"/>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7C7FFC22">
            <w:pPr>
              <w:widowControl/>
              <w:jc w:val="center"/>
              <w:rPr>
                <w:rFonts w:ascii="宋体" w:hAnsi="宋体" w:cs="宋体"/>
                <w:color w:val="auto"/>
                <w:kern w:val="0"/>
                <w:highlight w:val="none"/>
              </w:rPr>
            </w:pPr>
            <w:r>
              <w:rPr>
                <w:rFonts w:hint="eastAsia"/>
                <w:color w:val="auto"/>
                <w:sz w:val="22"/>
                <w:szCs w:val="22"/>
                <w:highlight w:val="none"/>
              </w:rPr>
              <w:t>是否定期检查工程资料，发现问题是否及时整改，采取有效措施，保证资料准确，安全</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1EFC0E6">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483E71D9">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C9E399E">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65AAC7E">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4DC93C4F">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0B237B02">
            <w:pPr>
              <w:widowControl/>
              <w:jc w:val="center"/>
              <w:rPr>
                <w:rFonts w:ascii="宋体" w:hAnsi="宋体" w:cs="宋体"/>
                <w:color w:val="auto"/>
                <w:kern w:val="0"/>
                <w:highlight w:val="none"/>
              </w:rPr>
            </w:pPr>
          </w:p>
        </w:tc>
      </w:tr>
      <w:tr w14:paraId="7947CF41">
        <w:tblPrEx>
          <w:tblCellMar>
            <w:top w:w="0" w:type="dxa"/>
            <w:left w:w="108" w:type="dxa"/>
            <w:bottom w:w="0" w:type="dxa"/>
            <w:right w:w="108" w:type="dxa"/>
          </w:tblCellMar>
        </w:tblPrEx>
        <w:trPr>
          <w:trHeight w:val="564"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57CC7F70">
            <w:pPr>
              <w:widowControl/>
              <w:jc w:val="center"/>
              <w:rPr>
                <w:rFonts w:ascii="宋体" w:hAnsi="宋体" w:cs="宋体"/>
                <w:color w:val="auto"/>
                <w:kern w:val="0"/>
                <w:highlight w:val="none"/>
              </w:rPr>
            </w:pPr>
            <w:r>
              <w:rPr>
                <w:rFonts w:hint="eastAsia" w:ascii="宋体" w:hAnsi="宋体" w:cs="宋体"/>
                <w:color w:val="auto"/>
                <w:kern w:val="0"/>
                <w:highlight w:val="none"/>
              </w:rPr>
              <w:t>9</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4D2453A8">
            <w:pPr>
              <w:widowControl/>
              <w:jc w:val="center"/>
              <w:rPr>
                <w:rFonts w:ascii="宋体" w:hAnsi="宋体" w:cs="宋体"/>
                <w:color w:val="auto"/>
                <w:kern w:val="0"/>
                <w:highlight w:val="none"/>
              </w:rPr>
            </w:pPr>
            <w:r>
              <w:rPr>
                <w:rFonts w:hint="eastAsia"/>
                <w:color w:val="auto"/>
                <w:highlight w:val="none"/>
              </w:rPr>
              <w:t>综合能力</w:t>
            </w:r>
            <w:r>
              <w:rPr>
                <w:rFonts w:hint="eastAsia"/>
                <w:color w:val="auto"/>
                <w:highlight w:val="none"/>
              </w:rPr>
              <w:br w:type="textWrapping"/>
            </w:r>
            <w:r>
              <w:rPr>
                <w:rFonts w:hint="eastAsia"/>
                <w:color w:val="auto"/>
                <w:highlight w:val="none"/>
              </w:rPr>
              <w:t>（20分）</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037FACD0">
            <w:pPr>
              <w:widowControl/>
              <w:jc w:val="center"/>
              <w:rPr>
                <w:rFonts w:ascii="宋体" w:hAnsi="宋体" w:cs="宋体"/>
                <w:color w:val="auto"/>
                <w:kern w:val="0"/>
                <w:highlight w:val="none"/>
              </w:rPr>
            </w:pPr>
            <w:r>
              <w:rPr>
                <w:rFonts w:hint="eastAsia"/>
                <w:color w:val="auto"/>
                <w:sz w:val="22"/>
                <w:szCs w:val="22"/>
                <w:highlight w:val="none"/>
              </w:rPr>
              <w:t>上级领导开出的检查记录单是否及时回复</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11CF95CE">
            <w:pPr>
              <w:widowControl/>
              <w:jc w:val="center"/>
              <w:rPr>
                <w:rFonts w:ascii="宋体" w:hAnsi="宋体" w:cs="宋体"/>
                <w:color w:val="auto"/>
                <w:kern w:val="0"/>
                <w:highlight w:val="none"/>
              </w:rPr>
            </w:pPr>
            <w:r>
              <w:rPr>
                <w:rFonts w:hint="eastAsia"/>
                <w:color w:val="auto"/>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3AF4E6F">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40D9617">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FB20C72">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6F307AD9">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633FB05D">
            <w:pPr>
              <w:widowControl/>
              <w:jc w:val="center"/>
              <w:rPr>
                <w:rFonts w:ascii="宋体" w:hAnsi="宋体" w:cs="宋体"/>
                <w:color w:val="auto"/>
                <w:kern w:val="0"/>
                <w:highlight w:val="none"/>
              </w:rPr>
            </w:pPr>
          </w:p>
        </w:tc>
      </w:tr>
      <w:tr w14:paraId="48CFBB64">
        <w:tblPrEx>
          <w:tblCellMar>
            <w:top w:w="0" w:type="dxa"/>
            <w:left w:w="108" w:type="dxa"/>
            <w:bottom w:w="0" w:type="dxa"/>
            <w:right w:w="108" w:type="dxa"/>
          </w:tblCellMar>
        </w:tblPrEx>
        <w:trPr>
          <w:trHeight w:val="1278"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14:paraId="61414F51">
            <w:pPr>
              <w:widowControl/>
              <w:jc w:val="center"/>
              <w:rPr>
                <w:rFonts w:ascii="宋体" w:hAnsi="宋体" w:cs="宋体"/>
                <w:color w:val="auto"/>
                <w:kern w:val="0"/>
                <w:highlight w:val="none"/>
              </w:rPr>
            </w:pPr>
            <w:r>
              <w:rPr>
                <w:rFonts w:hint="eastAsia" w:ascii="宋体" w:hAnsi="宋体" w:cs="宋体"/>
                <w:color w:val="auto"/>
                <w:kern w:val="0"/>
                <w:highlight w:val="none"/>
              </w:rPr>
              <w:t>10</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F7A4FE">
            <w:pPr>
              <w:widowControl/>
              <w:jc w:val="left"/>
              <w:rPr>
                <w:rFonts w:ascii="宋体" w:hAnsi="宋体" w:cs="宋体"/>
                <w:color w:val="auto"/>
                <w:kern w:val="0"/>
                <w:highlight w:val="none"/>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01236C51">
            <w:pPr>
              <w:widowControl/>
              <w:jc w:val="center"/>
              <w:rPr>
                <w:rFonts w:ascii="宋体" w:hAnsi="宋体" w:cs="宋体"/>
                <w:color w:val="auto"/>
                <w:kern w:val="0"/>
                <w:highlight w:val="none"/>
              </w:rPr>
            </w:pPr>
            <w:r>
              <w:rPr>
                <w:rFonts w:hint="eastAsia"/>
                <w:color w:val="auto"/>
                <w:sz w:val="22"/>
                <w:szCs w:val="22"/>
                <w:highlight w:val="none"/>
              </w:rPr>
              <w:t>是否根据检测计划对需要实体检测的项目及时通知检测单位做好检测。有龄期要求的是否及时送检。</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29FA4F5">
            <w:pPr>
              <w:widowControl/>
              <w:jc w:val="center"/>
              <w:rPr>
                <w:rFonts w:ascii="宋体" w:hAnsi="宋体" w:cs="宋体"/>
                <w:color w:val="auto"/>
                <w:kern w:val="0"/>
                <w:highlight w:val="none"/>
              </w:rPr>
            </w:pPr>
            <w:r>
              <w:rPr>
                <w:rFonts w:hint="eastAsia"/>
                <w:color w:val="auto"/>
                <w:sz w:val="22"/>
                <w:szCs w:val="22"/>
                <w:highlight w:val="none"/>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EC7B631">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04EAC5E">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E8100C5">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095C2887">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7546450F">
            <w:pPr>
              <w:widowControl/>
              <w:jc w:val="center"/>
              <w:rPr>
                <w:rFonts w:ascii="宋体" w:hAnsi="宋体" w:cs="宋体"/>
                <w:color w:val="auto"/>
                <w:kern w:val="0"/>
                <w:highlight w:val="none"/>
              </w:rPr>
            </w:pPr>
          </w:p>
        </w:tc>
      </w:tr>
      <w:tr w14:paraId="62622FBA">
        <w:tblPrEx>
          <w:tblCellMar>
            <w:top w:w="0" w:type="dxa"/>
            <w:left w:w="108" w:type="dxa"/>
            <w:bottom w:w="0" w:type="dxa"/>
            <w:right w:w="108" w:type="dxa"/>
          </w:tblCellMar>
        </w:tblPrEx>
        <w:trPr>
          <w:trHeight w:val="535" w:hRule="atLeast"/>
        </w:trPr>
        <w:tc>
          <w:tcPr>
            <w:tcW w:w="4410" w:type="dxa"/>
            <w:gridSpan w:val="3"/>
            <w:tcBorders>
              <w:top w:val="single" w:color="000000" w:sz="4" w:space="0"/>
              <w:left w:val="single" w:color="000000" w:sz="4" w:space="0"/>
              <w:bottom w:val="single" w:color="000000" w:sz="4" w:space="0"/>
              <w:right w:val="single" w:color="000000" w:sz="4" w:space="0"/>
            </w:tcBorders>
            <w:noWrap w:val="0"/>
            <w:vAlign w:val="center"/>
          </w:tcPr>
          <w:p w14:paraId="7E13BBFF">
            <w:pPr>
              <w:widowControl/>
              <w:jc w:val="center"/>
              <w:rPr>
                <w:rFonts w:ascii="宋体" w:hAnsi="宋体" w:cs="宋体"/>
                <w:color w:val="auto"/>
                <w:kern w:val="0"/>
                <w:highlight w:val="none"/>
              </w:rPr>
            </w:pPr>
            <w:r>
              <w:rPr>
                <w:rFonts w:hint="eastAsia" w:ascii="宋体" w:hAnsi="宋体" w:cs="宋体"/>
                <w:color w:val="auto"/>
                <w:kern w:val="0"/>
                <w:highlight w:val="none"/>
              </w:rPr>
              <w:t>合计</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7FAA7A26">
            <w:pPr>
              <w:widowControl/>
              <w:jc w:val="center"/>
              <w:rPr>
                <w:rFonts w:ascii="宋体" w:hAnsi="宋体" w:cs="宋体"/>
                <w:color w:val="auto"/>
                <w:kern w:val="0"/>
                <w:highlight w:val="none"/>
              </w:rPr>
            </w:pPr>
            <w:r>
              <w:rPr>
                <w:rFonts w:hint="eastAsia" w:ascii="宋体" w:hAnsi="宋体" w:cs="宋体"/>
                <w:color w:val="auto"/>
                <w:kern w:val="0"/>
                <w:highlight w:val="none"/>
              </w:rPr>
              <w:t>100</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AB30940">
            <w:pPr>
              <w:widowControl/>
              <w:jc w:val="center"/>
              <w:rPr>
                <w:rFonts w:ascii="宋体" w:hAnsi="宋体" w:cs="宋体"/>
                <w:color w:val="auto"/>
                <w:kern w:val="0"/>
                <w:highlight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6440D15">
            <w:pPr>
              <w:widowControl/>
              <w:jc w:val="center"/>
              <w:rPr>
                <w:rFonts w:ascii="宋体" w:hAnsi="宋体" w:cs="宋体"/>
                <w:color w:val="auto"/>
                <w:kern w:val="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9E8D3E3">
            <w:pPr>
              <w:widowControl/>
              <w:jc w:val="center"/>
              <w:rPr>
                <w:rFonts w:ascii="宋体" w:hAnsi="宋体" w:cs="宋体"/>
                <w:color w:val="auto"/>
                <w:kern w:val="0"/>
                <w:highlight w:val="none"/>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6236607D">
            <w:pPr>
              <w:widowControl/>
              <w:jc w:val="center"/>
              <w:rPr>
                <w:rFonts w:ascii="宋体" w:hAnsi="宋体" w:cs="宋体"/>
                <w:color w:val="auto"/>
                <w:kern w:val="0"/>
                <w:highlight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150E0CD4">
            <w:pPr>
              <w:widowControl/>
              <w:jc w:val="center"/>
              <w:rPr>
                <w:rFonts w:ascii="宋体" w:hAnsi="宋体" w:cs="宋体"/>
                <w:color w:val="auto"/>
                <w:kern w:val="0"/>
                <w:highlight w:val="none"/>
              </w:rPr>
            </w:pPr>
          </w:p>
        </w:tc>
      </w:tr>
    </w:tbl>
    <w:p w14:paraId="237727A3">
      <w:pPr>
        <w:spacing w:before="240" w:beforeLines="100" w:after="240" w:afterLines="100" w:line="420" w:lineRule="exact"/>
        <w:outlineLvl w:val="1"/>
        <w:rPr>
          <w:rFonts w:ascii="宋体" w:hAnsi="宋体" w:cs="宋体"/>
          <w:b/>
          <w:bCs/>
          <w:color w:val="auto"/>
          <w:kern w:val="0"/>
          <w:sz w:val="22"/>
          <w:szCs w:val="22"/>
          <w:highlight w:val="none"/>
        </w:rPr>
      </w:pPr>
      <w:r>
        <w:rPr>
          <w:rFonts w:ascii="宋体" w:hAnsi="宋体" w:cs="宋体"/>
          <w:b/>
          <w:bCs/>
          <w:color w:val="auto"/>
          <w:kern w:val="0"/>
          <w:sz w:val="22"/>
          <w:szCs w:val="22"/>
          <w:highlight w:val="none"/>
        </w:rPr>
        <w:br w:type="page"/>
      </w:r>
      <w:bookmarkStart w:id="1251" w:name="_Toc1531"/>
      <w:bookmarkStart w:id="1252" w:name="_Toc155166238"/>
      <w:r>
        <w:rPr>
          <w:rFonts w:hint="eastAsia" w:ascii="宋体" w:hAnsi="宋体" w:cs="宋体"/>
          <w:b/>
          <w:bCs/>
          <w:color w:val="auto"/>
          <w:kern w:val="0"/>
          <w:sz w:val="22"/>
          <w:szCs w:val="22"/>
          <w:highlight w:val="none"/>
        </w:rPr>
        <w:t>附件十九：广州市水务工程建设项目从业单位法定代表人授权书</w:t>
      </w:r>
      <w:bookmarkEnd w:id="1251"/>
      <w:bookmarkEnd w:id="1252"/>
    </w:p>
    <w:p w14:paraId="79D6C9D6">
      <w:pPr>
        <w:pStyle w:val="109"/>
        <w:widowControl w:val="0"/>
        <w:spacing w:before="0" w:after="0"/>
        <w:jc w:val="center"/>
        <w:rPr>
          <w:rFonts w:ascii="宋体" w:hAnsi="宋体" w:eastAsia="宋体"/>
          <w:b/>
          <w:bCs/>
          <w:color w:val="auto"/>
          <w:sz w:val="30"/>
          <w:highlight w:val="none"/>
        </w:rPr>
      </w:pPr>
      <w:r>
        <w:rPr>
          <w:rFonts w:hint="eastAsia" w:ascii="宋体" w:hAnsi="宋体" w:eastAsia="宋体"/>
          <w:b/>
          <w:bCs/>
          <w:color w:val="auto"/>
          <w:sz w:val="30"/>
          <w:highlight w:val="none"/>
        </w:rPr>
        <w:t>广州市水务工程建设项目从业单位法定代表人授权书</w:t>
      </w:r>
    </w:p>
    <w:p w14:paraId="7B7E79C7">
      <w:pPr>
        <w:rPr>
          <w:rFonts w:hint="eastAsia"/>
          <w:color w:val="auto"/>
          <w:highlight w:val="none"/>
        </w:rPr>
      </w:pPr>
    </w:p>
    <w:p w14:paraId="0336302E">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兹授权我单位（姓名）担任（工程名称）项目负责人，对该工程项目的(建设、勘察、设计、施工、监理、质量检测)工作实施组织管理，依据国家有关法律法规及标准规范履行职责，并依法对设计使用年限内的工程质量承担相应终身责任。</w:t>
      </w:r>
    </w:p>
    <w:p w14:paraId="3F0BC9DA">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本授权书自授权之日起生效。</w:t>
      </w:r>
    </w:p>
    <w:p w14:paraId="2130A845">
      <w:pPr>
        <w:widowControl/>
        <w:jc w:val="left"/>
        <w:rPr>
          <w:rFonts w:hint="eastAsia" w:ascii="宋体" w:hAnsi="宋体" w:cs="宋体"/>
          <w:b/>
          <w:bCs/>
          <w:color w:val="auto"/>
          <w:kern w:val="0"/>
          <w:sz w:val="22"/>
          <w:szCs w:val="22"/>
          <w:highlight w:val="none"/>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011"/>
        <w:gridCol w:w="2100"/>
        <w:gridCol w:w="2281"/>
      </w:tblGrid>
      <w:tr w14:paraId="3EAC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top"/>
          </w:tcPr>
          <w:p w14:paraId="34E90095">
            <w:pPr>
              <w:spacing w:line="56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被授权人基本情况</w:t>
            </w:r>
          </w:p>
        </w:tc>
      </w:tr>
      <w:tr w14:paraId="443D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noWrap w:val="0"/>
            <w:vAlign w:val="top"/>
          </w:tcPr>
          <w:p w14:paraId="46EF3818">
            <w:pPr>
              <w:spacing w:line="56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姓名</w:t>
            </w:r>
          </w:p>
        </w:tc>
        <w:tc>
          <w:tcPr>
            <w:tcW w:w="2011" w:type="dxa"/>
            <w:tcBorders>
              <w:top w:val="single" w:color="auto" w:sz="4" w:space="0"/>
              <w:left w:val="single" w:color="auto" w:sz="4" w:space="0"/>
              <w:bottom w:val="single" w:color="auto" w:sz="4" w:space="0"/>
              <w:right w:val="single" w:color="auto" w:sz="4" w:space="0"/>
            </w:tcBorders>
            <w:noWrap w:val="0"/>
            <w:vAlign w:val="top"/>
          </w:tcPr>
          <w:p w14:paraId="2009A72D">
            <w:pPr>
              <w:spacing w:line="560" w:lineRule="exact"/>
              <w:ind w:firstLine="480" w:firstLineChars="200"/>
              <w:rPr>
                <w:rFonts w:hint="eastAsia" w:ascii="宋体" w:hAnsi="宋体" w:cs="宋体"/>
                <w:color w:val="auto"/>
                <w:sz w:val="24"/>
                <w:szCs w:val="24"/>
                <w:highlight w:val="none"/>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3E10E110">
            <w:pPr>
              <w:spacing w:line="56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281" w:type="dxa"/>
            <w:tcBorders>
              <w:top w:val="single" w:color="auto" w:sz="4" w:space="0"/>
              <w:left w:val="single" w:color="auto" w:sz="4" w:space="0"/>
              <w:bottom w:val="single" w:color="auto" w:sz="4" w:space="0"/>
              <w:right w:val="single" w:color="auto" w:sz="4" w:space="0"/>
            </w:tcBorders>
            <w:noWrap w:val="0"/>
            <w:vAlign w:val="top"/>
          </w:tcPr>
          <w:p w14:paraId="6D31CA66">
            <w:pPr>
              <w:spacing w:line="560" w:lineRule="exact"/>
              <w:ind w:firstLine="480" w:firstLineChars="200"/>
              <w:rPr>
                <w:rFonts w:hint="eastAsia" w:ascii="宋体" w:hAnsi="宋体" w:cs="宋体"/>
                <w:color w:val="auto"/>
                <w:sz w:val="24"/>
                <w:szCs w:val="24"/>
                <w:highlight w:val="none"/>
              </w:rPr>
            </w:pPr>
          </w:p>
        </w:tc>
      </w:tr>
      <w:tr w14:paraId="1D92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noWrap w:val="0"/>
            <w:vAlign w:val="top"/>
          </w:tcPr>
          <w:p w14:paraId="5A990F69">
            <w:pPr>
              <w:spacing w:line="56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注册执业资格</w:t>
            </w:r>
          </w:p>
        </w:tc>
        <w:tc>
          <w:tcPr>
            <w:tcW w:w="2011" w:type="dxa"/>
            <w:tcBorders>
              <w:top w:val="single" w:color="auto" w:sz="4" w:space="0"/>
              <w:left w:val="single" w:color="auto" w:sz="4" w:space="0"/>
              <w:bottom w:val="single" w:color="auto" w:sz="4" w:space="0"/>
              <w:right w:val="single" w:color="auto" w:sz="4" w:space="0"/>
            </w:tcBorders>
            <w:noWrap w:val="0"/>
            <w:vAlign w:val="top"/>
          </w:tcPr>
          <w:p w14:paraId="26B11838">
            <w:pPr>
              <w:spacing w:line="560" w:lineRule="exact"/>
              <w:ind w:firstLine="480" w:firstLineChars="200"/>
              <w:rPr>
                <w:rFonts w:hint="eastAsia" w:ascii="宋体" w:hAnsi="宋体" w:cs="宋体"/>
                <w:color w:val="auto"/>
                <w:sz w:val="24"/>
                <w:szCs w:val="24"/>
                <w:highlight w:val="none"/>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23C62251">
            <w:pPr>
              <w:spacing w:line="56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注册执业证号</w:t>
            </w:r>
          </w:p>
        </w:tc>
        <w:tc>
          <w:tcPr>
            <w:tcW w:w="2281" w:type="dxa"/>
            <w:tcBorders>
              <w:top w:val="single" w:color="auto" w:sz="4" w:space="0"/>
              <w:left w:val="single" w:color="auto" w:sz="4" w:space="0"/>
              <w:bottom w:val="single" w:color="auto" w:sz="4" w:space="0"/>
              <w:right w:val="single" w:color="auto" w:sz="4" w:space="0"/>
            </w:tcBorders>
            <w:noWrap w:val="0"/>
            <w:vAlign w:val="top"/>
          </w:tcPr>
          <w:p w14:paraId="746F70F7">
            <w:pPr>
              <w:spacing w:line="560" w:lineRule="exact"/>
              <w:ind w:firstLine="480" w:firstLineChars="200"/>
              <w:rPr>
                <w:rFonts w:hint="eastAsia" w:ascii="宋体" w:hAnsi="宋体" w:cs="宋体"/>
                <w:color w:val="auto"/>
                <w:sz w:val="24"/>
                <w:szCs w:val="24"/>
                <w:highlight w:val="none"/>
              </w:rPr>
            </w:pPr>
          </w:p>
        </w:tc>
      </w:tr>
      <w:tr w14:paraId="493C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noWrap w:val="0"/>
            <w:vAlign w:val="top"/>
          </w:tcPr>
          <w:p w14:paraId="450A5B9F">
            <w:pPr>
              <w:spacing w:line="56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职称</w:t>
            </w:r>
          </w:p>
        </w:tc>
        <w:tc>
          <w:tcPr>
            <w:tcW w:w="2011" w:type="dxa"/>
            <w:tcBorders>
              <w:top w:val="single" w:color="auto" w:sz="4" w:space="0"/>
              <w:left w:val="single" w:color="auto" w:sz="4" w:space="0"/>
              <w:bottom w:val="single" w:color="auto" w:sz="4" w:space="0"/>
              <w:right w:val="single" w:color="auto" w:sz="4" w:space="0"/>
            </w:tcBorders>
            <w:noWrap w:val="0"/>
            <w:vAlign w:val="top"/>
          </w:tcPr>
          <w:p w14:paraId="2AB8521E">
            <w:pPr>
              <w:spacing w:line="560" w:lineRule="exact"/>
              <w:ind w:firstLine="480" w:firstLineChars="200"/>
              <w:rPr>
                <w:rFonts w:hint="eastAsia" w:ascii="宋体" w:hAnsi="宋体" w:cs="宋体"/>
                <w:color w:val="auto"/>
                <w:sz w:val="24"/>
                <w:szCs w:val="24"/>
                <w:highlight w:val="none"/>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6F5D7B6A">
            <w:pPr>
              <w:spacing w:line="56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专业</w:t>
            </w:r>
          </w:p>
        </w:tc>
        <w:tc>
          <w:tcPr>
            <w:tcW w:w="2281" w:type="dxa"/>
            <w:tcBorders>
              <w:top w:val="single" w:color="auto" w:sz="4" w:space="0"/>
              <w:left w:val="single" w:color="auto" w:sz="4" w:space="0"/>
              <w:bottom w:val="single" w:color="auto" w:sz="4" w:space="0"/>
              <w:right w:val="single" w:color="auto" w:sz="4" w:space="0"/>
            </w:tcBorders>
            <w:noWrap w:val="0"/>
            <w:vAlign w:val="top"/>
          </w:tcPr>
          <w:p w14:paraId="283ACCC0">
            <w:pPr>
              <w:spacing w:line="560" w:lineRule="exact"/>
              <w:ind w:firstLine="480" w:firstLineChars="200"/>
              <w:rPr>
                <w:rFonts w:hint="eastAsia" w:ascii="宋体" w:hAnsi="宋体" w:cs="宋体"/>
                <w:color w:val="auto"/>
                <w:sz w:val="24"/>
                <w:szCs w:val="24"/>
                <w:highlight w:val="none"/>
              </w:rPr>
            </w:pPr>
          </w:p>
        </w:tc>
      </w:tr>
      <w:tr w14:paraId="1CFF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top"/>
          </w:tcPr>
          <w:p w14:paraId="30F0F1F0">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被授权人签字：</w:t>
            </w:r>
          </w:p>
        </w:tc>
      </w:tr>
    </w:tbl>
    <w:p w14:paraId="62B94DBD">
      <w:pPr>
        <w:widowControl/>
        <w:jc w:val="left"/>
        <w:rPr>
          <w:rFonts w:hint="eastAsia" w:ascii="宋体" w:hAnsi="宋体" w:cs="宋体"/>
          <w:b/>
          <w:bCs/>
          <w:color w:val="auto"/>
          <w:kern w:val="0"/>
          <w:sz w:val="22"/>
          <w:szCs w:val="22"/>
          <w:highlight w:val="none"/>
        </w:rPr>
      </w:pPr>
    </w:p>
    <w:p w14:paraId="6E6EBAAF">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授权单位（盖章）：</w:t>
      </w:r>
    </w:p>
    <w:p w14:paraId="0DA0DDDE">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法定代表人（签字）：</w:t>
      </w:r>
    </w:p>
    <w:p w14:paraId="6A236EB6">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授权日期：   年  月  日</w:t>
      </w:r>
    </w:p>
    <w:p w14:paraId="2D7FDBBE">
      <w:pPr>
        <w:widowControl/>
        <w:jc w:val="left"/>
        <w:rPr>
          <w:rFonts w:hint="eastAsia" w:ascii="宋体" w:hAnsi="宋体" w:cs="宋体"/>
          <w:b/>
          <w:bCs/>
          <w:color w:val="auto"/>
          <w:kern w:val="0"/>
          <w:sz w:val="22"/>
          <w:szCs w:val="22"/>
          <w:highlight w:val="none"/>
        </w:rPr>
      </w:pPr>
    </w:p>
    <w:p w14:paraId="087D86B7">
      <w:pPr>
        <w:spacing w:before="240" w:beforeLines="100" w:after="240" w:afterLines="100" w:line="420" w:lineRule="exact"/>
        <w:outlineLvl w:val="1"/>
        <w:rPr>
          <w:rFonts w:hint="eastAsia" w:ascii="宋体" w:hAnsi="宋体" w:cs="宋体"/>
          <w:b/>
          <w:bCs/>
          <w:color w:val="auto"/>
          <w:kern w:val="0"/>
          <w:sz w:val="22"/>
          <w:szCs w:val="22"/>
          <w:highlight w:val="none"/>
        </w:rPr>
      </w:pPr>
      <w:r>
        <w:rPr>
          <w:rFonts w:ascii="宋体" w:hAnsi="宋体" w:cs="宋体"/>
          <w:b/>
          <w:bCs/>
          <w:color w:val="auto"/>
          <w:sz w:val="22"/>
          <w:szCs w:val="22"/>
          <w:highlight w:val="none"/>
        </w:rPr>
        <w:br w:type="page"/>
      </w:r>
      <w:bookmarkStart w:id="1253" w:name="_Toc155166239"/>
      <w:bookmarkStart w:id="1254" w:name="_Toc29699"/>
      <w:r>
        <w:rPr>
          <w:rFonts w:hint="eastAsia" w:ascii="宋体" w:hAnsi="宋体" w:cs="宋体"/>
          <w:b/>
          <w:bCs/>
          <w:color w:val="auto"/>
          <w:kern w:val="0"/>
          <w:sz w:val="22"/>
          <w:szCs w:val="22"/>
          <w:highlight w:val="none"/>
        </w:rPr>
        <w:t>附件二十：广州市水务工程项目负责人质量终身责任承诺书（施工单位范本）</w:t>
      </w:r>
      <w:bookmarkEnd w:id="1253"/>
      <w:bookmarkEnd w:id="1254"/>
    </w:p>
    <w:p w14:paraId="39CEEC95">
      <w:pPr>
        <w:pStyle w:val="109"/>
        <w:widowControl w:val="0"/>
        <w:spacing w:before="0" w:after="0"/>
        <w:jc w:val="center"/>
        <w:rPr>
          <w:rFonts w:hint="eastAsia" w:ascii="宋体" w:hAnsi="宋体" w:eastAsia="宋体"/>
          <w:b/>
          <w:bCs/>
          <w:color w:val="auto"/>
          <w:sz w:val="30"/>
          <w:highlight w:val="none"/>
        </w:rPr>
      </w:pPr>
      <w:r>
        <w:rPr>
          <w:rFonts w:hint="eastAsia" w:ascii="宋体" w:hAnsi="宋体" w:eastAsia="宋体"/>
          <w:b/>
          <w:bCs/>
          <w:color w:val="auto"/>
          <w:sz w:val="30"/>
          <w:highlight w:val="none"/>
        </w:rPr>
        <w:t>广州市水务工程项目负责人质量终身责任承诺书（施工单位范本）</w:t>
      </w:r>
    </w:p>
    <w:p w14:paraId="1A2F0F34">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本人承诺在（工程名称）建设过程中认真履行下列相应职责，并对施工原因造成的质量问题承担相应终身质量责任。</w:t>
      </w:r>
    </w:p>
    <w:p w14:paraId="6B48C893">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1．不转包或违法分包所承揽的施工业务，严格按照施工图设计文件和施工技术标准及规程规范进行施工，不擅自修改设计文件，不偷工减料。</w:t>
      </w:r>
    </w:p>
    <w:p w14:paraId="62DD6741">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2．组织建立健全质量管理体系，组织成立符合规定并满足施工需要的项目管理机构，配备符合规定和合同要求的管理人员，并确保所有人员到岗履职。</w:t>
      </w:r>
    </w:p>
    <w:p w14:paraId="0C739861">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3．组织质量管理人员学习规程规范、设计文件提出的工艺、工法和技术要求，熟悉相关施工流程和技术，提高质量管理水平。</w:t>
      </w:r>
    </w:p>
    <w:p w14:paraId="1D509A45">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4．按照工程设计要求、技术标准和合同约定，对原材料、中间产品、工程设备等进行检验，未经检验或者检验不合格的，绝不在工程建设中使用；不使用国家明令淘汰、禁止使用的材料、设备、工艺。</w:t>
      </w:r>
    </w:p>
    <w:p w14:paraId="0246370E">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与具备相应资质的质量检测单位签订书面质量检测合同，并将质量检测合同送监理和项目法人单位备案；在施工中按照设计和规范要求对原材料、中间产品和部分实体质量进行检测；送检试样不弄虚作假，不篡改或者伪造质量检测报告，不明示或暗示质量检测机构出具虚假质量检测报告。</w:t>
      </w:r>
    </w:p>
    <w:p w14:paraId="2F1BFDD9">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6．组织现场质量管理人员严格按照“三检制”要求，真实、准确的做好每一道工序的质量检验和质量自评工作，及时填写工序和单元工程质量评定资料，并报监理单位复核。</w:t>
      </w:r>
    </w:p>
    <w:p w14:paraId="7ED0C0F1">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组织人员做好重要隐蔽（关键部位）单元工程的自评工作，并负责收集测量成果、质量检测试验报告、影像资料等基础资料，派人参加联合验收小组并在质量等级签证表上签字；参加法人验收和政府验收，对工程质量等级提出自评意见并签字，主持编制施工管理工作报告并签字，参加竣工验收。</w:t>
      </w:r>
    </w:p>
    <w:p w14:paraId="1FA2BF27">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8．对已验收合格并交付使用的工程按规定承担保修责任，并对因施工单位质量原因造成的损失承担赔偿责任或并对合同约定的保修范围内造成的损失承担赔偿责任。</w:t>
      </w:r>
    </w:p>
    <w:p w14:paraId="3066BFAA">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9．确保工程施工资料收集真实、准确、完整，签章手续齐全，及时整理移交并归档。</w:t>
      </w:r>
    </w:p>
    <w:p w14:paraId="2AC3B0F7">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10．履行其他法律法规和规程规范中规定的职责。</w:t>
      </w:r>
    </w:p>
    <w:p w14:paraId="1D6C53E0">
      <w:pPr>
        <w:spacing w:line="560" w:lineRule="exact"/>
        <w:ind w:firstLine="480" w:firstLineChars="200"/>
        <w:rPr>
          <w:rFonts w:hint="eastAsia" w:ascii="宋体" w:hAnsi="宋体" w:cs="宋体"/>
          <w:color w:val="auto"/>
          <w:sz w:val="24"/>
          <w:szCs w:val="24"/>
          <w:highlight w:val="none"/>
        </w:rPr>
      </w:pPr>
    </w:p>
    <w:p w14:paraId="7EDC467A">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承诺书一式四份，一份在办理质量监督手续时提交质量监督机构；一份在竣工验收时提交竣工验收主持单位，与竣工验收鉴定书等资料一起作为永久档案保存；一份由项目法人作为工程建设永久档案进行归档保存；一份由承诺人自行保存。</w:t>
      </w:r>
    </w:p>
    <w:p w14:paraId="2FB04922">
      <w:pPr>
        <w:widowControl/>
        <w:jc w:val="left"/>
        <w:rPr>
          <w:rFonts w:hint="eastAsia" w:ascii="宋体" w:hAnsi="宋体" w:cs="宋体"/>
          <w:b/>
          <w:bCs/>
          <w:color w:val="auto"/>
          <w:kern w:val="0"/>
          <w:sz w:val="22"/>
          <w:szCs w:val="22"/>
          <w:highlight w:val="none"/>
        </w:rPr>
      </w:pPr>
    </w:p>
    <w:p w14:paraId="35E45C7F">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承诺人（签字）：</w:t>
      </w:r>
    </w:p>
    <w:p w14:paraId="2A68474F">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身份证号：</w:t>
      </w:r>
    </w:p>
    <w:p w14:paraId="615ABE49">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注册执业资格：</w:t>
      </w:r>
    </w:p>
    <w:p w14:paraId="44DE7E2B">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注册执业证号：</w:t>
      </w:r>
    </w:p>
    <w:p w14:paraId="73FAC8AE">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职称及专业：</w:t>
      </w:r>
    </w:p>
    <w:p w14:paraId="3175DC68">
      <w:pPr>
        <w:spacing w:line="5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签字日期：  年  月  日</w:t>
      </w:r>
    </w:p>
    <w:bookmarkEnd w:id="973"/>
    <w:bookmarkEnd w:id="974"/>
    <w:p w14:paraId="48815D8D">
      <w:pPr>
        <w:widowControl/>
        <w:jc w:val="left"/>
        <w:rPr>
          <w:color w:val="auto"/>
          <w:highlight w:val="none"/>
        </w:rPr>
      </w:pPr>
    </w:p>
    <w:sectPr>
      <w:endnotePr>
        <w:numFmt w:val="decimal"/>
      </w:endnotePr>
      <w:pgSz w:w="11906" w:h="16838"/>
      <w:pgMar w:top="1418" w:right="1134" w:bottom="851" w:left="1134" w:header="0" w:footer="23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1" w:usb1="080E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3" w:usb1="00000000" w:usb2="00000000" w:usb3="00000000" w:csb0="00000001" w:csb1="00000000"/>
  </w:font>
  <w:font w:name="方正楷体_GBK">
    <w:altName w:val="微软雅黑"/>
    <w:panose1 w:val="00000000000000000000"/>
    <w:charset w:val="86"/>
    <w:family w:val="auto"/>
    <w:pitch w:val="default"/>
    <w:sig w:usb0="00000000" w:usb1="00000000" w:usb2="0000000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altName w:val="微软雅黑"/>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宋体-18030">
    <w:altName w:val="宋体"/>
    <w:panose1 w:val="00000000000000000000"/>
    <w:charset w:val="86"/>
    <w:family w:val="modern"/>
    <w:pitch w:val="default"/>
    <w:sig w:usb0="00000000" w:usb1="00000000" w:usb2="000A005E" w:usb3="00000000" w:csb0="00040001" w:csb1="00000000"/>
  </w:font>
  <w:font w:name="宋体-PUA">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0FDBC">
    <w:pPr>
      <w:pStyle w:val="28"/>
      <w:jc w:val="center"/>
      <w:rPr>
        <w:rFonts w:cs="Times New Roman"/>
      </w:rPr>
    </w:pPr>
  </w:p>
  <w:p w14:paraId="069FCDB4">
    <w:pPr>
      <w:pStyle w:val="28"/>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46299">
    <w:pPr>
      <w:pStyle w:val="28"/>
      <w:jc w:val="center"/>
      <w:rPr>
        <w:rFonts w:cs="Times New Roman"/>
      </w:rPr>
    </w:pPr>
  </w:p>
  <w:p w14:paraId="115B1BDD">
    <w:pPr>
      <w:pStyle w:val="28"/>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7AC23">
    <w:pPr>
      <w:pStyle w:val="28"/>
      <w:jc w:val="center"/>
      <w:rPr>
        <w:rFonts w:cs="Times New Roman"/>
      </w:rPr>
    </w:pPr>
    <w:r>
      <w:fldChar w:fldCharType="begin"/>
    </w:r>
    <w:r>
      <w:instrText xml:space="preserve"> PAGE   \* MERGEFORMAT </w:instrText>
    </w:r>
    <w:r>
      <w:fldChar w:fldCharType="separate"/>
    </w:r>
    <w:r>
      <w:rPr>
        <w:lang w:val="zh-CN"/>
      </w:rPr>
      <w:t>131</w:t>
    </w:r>
    <w:r>
      <w:fldChar w:fldCharType="end"/>
    </w:r>
  </w:p>
  <w:p w14:paraId="3C593B0A">
    <w:pPr>
      <w:pStyle w:val="28"/>
      <w:rP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87737">
    <w:pPr>
      <w:pStyle w:val="28"/>
      <w:jc w:val="center"/>
      <w:rPr>
        <w:rFonts w:cs="Times New Roman"/>
      </w:rPr>
    </w:pPr>
    <w:r>
      <w:fldChar w:fldCharType="begin"/>
    </w:r>
    <w:r>
      <w:instrText xml:space="preserve"> PAGE   \* MERGEFORMAT </w:instrText>
    </w:r>
    <w:r>
      <w:fldChar w:fldCharType="separate"/>
    </w:r>
    <w:r>
      <w:rPr>
        <w:lang w:val="zh-CN"/>
      </w:rPr>
      <w:t>1</w:t>
    </w:r>
    <w:r>
      <w:fldChar w:fldCharType="end"/>
    </w:r>
  </w:p>
  <w:p w14:paraId="10F7EF38">
    <w:pPr>
      <w:pStyle w:val="28"/>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lvlText w:val=""/>
      <w:lvlJc w:val="left"/>
      <w:pPr>
        <w:tabs>
          <w:tab w:val="left" w:pos="360"/>
        </w:tabs>
        <w:ind w:left="360" w:hanging="360"/>
      </w:pPr>
      <w:rPr>
        <w:rFonts w:hint="default" w:ascii="Wingdings" w:hAnsi="Wingdings" w:cs="Wingdings"/>
      </w:rPr>
    </w:lvl>
  </w:abstractNum>
  <w:abstractNum w:abstractNumId="1">
    <w:nsid w:val="00000006"/>
    <w:multiLevelType w:val="multilevel"/>
    <w:tmpl w:val="00000006"/>
    <w:lvl w:ilvl="0" w:tentative="0">
      <w:start w:val="1"/>
      <w:numFmt w:val="decimal"/>
      <w:lvlText w:val="%1."/>
      <w:lvlJc w:val="left"/>
      <w:pPr>
        <w:tabs>
          <w:tab w:val="left" w:pos="618"/>
        </w:tabs>
        <w:ind w:left="618" w:hanging="420"/>
      </w:pPr>
    </w:lvl>
    <w:lvl w:ilvl="1" w:tentative="0">
      <w:start w:val="1"/>
      <w:numFmt w:val="lowerLetter"/>
      <w:lvlText w:val="%2)"/>
      <w:lvlJc w:val="left"/>
      <w:pPr>
        <w:tabs>
          <w:tab w:val="left" w:pos="1038"/>
        </w:tabs>
        <w:ind w:left="1038" w:hanging="420"/>
      </w:pPr>
    </w:lvl>
    <w:lvl w:ilvl="2" w:tentative="0">
      <w:start w:val="1"/>
      <w:numFmt w:val="lowerRoman"/>
      <w:lvlText w:val="%3."/>
      <w:lvlJc w:val="right"/>
      <w:pPr>
        <w:tabs>
          <w:tab w:val="left" w:pos="1458"/>
        </w:tabs>
        <w:ind w:left="1458" w:hanging="420"/>
      </w:pPr>
    </w:lvl>
    <w:lvl w:ilvl="3" w:tentative="0">
      <w:start w:val="1"/>
      <w:numFmt w:val="decimal"/>
      <w:lvlText w:val="%4."/>
      <w:lvlJc w:val="left"/>
      <w:pPr>
        <w:tabs>
          <w:tab w:val="left" w:pos="1878"/>
        </w:tabs>
        <w:ind w:left="1878" w:hanging="420"/>
      </w:pPr>
    </w:lvl>
    <w:lvl w:ilvl="4" w:tentative="0">
      <w:start w:val="1"/>
      <w:numFmt w:val="lowerLetter"/>
      <w:lvlText w:val="%5)"/>
      <w:lvlJc w:val="left"/>
      <w:pPr>
        <w:tabs>
          <w:tab w:val="left" w:pos="2298"/>
        </w:tabs>
        <w:ind w:left="2298" w:hanging="420"/>
      </w:pPr>
    </w:lvl>
    <w:lvl w:ilvl="5" w:tentative="0">
      <w:start w:val="1"/>
      <w:numFmt w:val="lowerRoman"/>
      <w:lvlText w:val="%6."/>
      <w:lvlJc w:val="right"/>
      <w:pPr>
        <w:tabs>
          <w:tab w:val="left" w:pos="2718"/>
        </w:tabs>
        <w:ind w:left="2718" w:hanging="420"/>
      </w:pPr>
    </w:lvl>
    <w:lvl w:ilvl="6" w:tentative="0">
      <w:start w:val="1"/>
      <w:numFmt w:val="decimal"/>
      <w:lvlText w:val="%7."/>
      <w:lvlJc w:val="left"/>
      <w:pPr>
        <w:tabs>
          <w:tab w:val="left" w:pos="3138"/>
        </w:tabs>
        <w:ind w:left="3138" w:hanging="420"/>
      </w:pPr>
    </w:lvl>
    <w:lvl w:ilvl="7" w:tentative="0">
      <w:start w:val="1"/>
      <w:numFmt w:val="lowerLetter"/>
      <w:lvlText w:val="%8)"/>
      <w:lvlJc w:val="left"/>
      <w:pPr>
        <w:tabs>
          <w:tab w:val="left" w:pos="3558"/>
        </w:tabs>
        <w:ind w:left="3558" w:hanging="420"/>
      </w:pPr>
    </w:lvl>
    <w:lvl w:ilvl="8" w:tentative="0">
      <w:start w:val="1"/>
      <w:numFmt w:val="lowerRoman"/>
      <w:lvlText w:val="%9."/>
      <w:lvlJc w:val="right"/>
      <w:pPr>
        <w:tabs>
          <w:tab w:val="left" w:pos="3978"/>
        </w:tabs>
        <w:ind w:left="3978" w:hanging="420"/>
      </w:pPr>
    </w:lvl>
  </w:abstractNum>
  <w:abstractNum w:abstractNumId="2">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EF61F1C"/>
    <w:multiLevelType w:val="multilevel"/>
    <w:tmpl w:val="0EF61F1C"/>
    <w:lvl w:ilvl="0" w:tentative="0">
      <w:start w:val="1"/>
      <w:numFmt w:val="decimal"/>
      <w:lvlText w:val="（%1）"/>
      <w:lvlJc w:val="left"/>
      <w:pPr>
        <w:tabs>
          <w:tab w:val="left" w:pos="960"/>
        </w:tabs>
        <w:ind w:left="96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4BE837E6"/>
    <w:multiLevelType w:val="multilevel"/>
    <w:tmpl w:val="4BE837E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51880536"/>
    <w:multiLevelType w:val="multilevel"/>
    <w:tmpl w:val="51880536"/>
    <w:lvl w:ilvl="0" w:tentative="0">
      <w:start w:val="1"/>
      <w:numFmt w:val="decimal"/>
      <w:lvlText w:val="（%1）"/>
      <w:lvlJc w:val="left"/>
      <w:pPr>
        <w:tabs>
          <w:tab w:val="left" w:pos="840"/>
        </w:tabs>
        <w:ind w:left="84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5">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D180A00"/>
    <w:multiLevelType w:val="multilevel"/>
    <w:tmpl w:val="6D180A00"/>
    <w:lvl w:ilvl="0" w:tentative="0">
      <w:start w:val="5"/>
      <w:numFmt w:val="decimal"/>
      <w:lvlText w:val="%1"/>
      <w:lvlJc w:val="left"/>
      <w:pPr>
        <w:tabs>
          <w:tab w:val="left" w:pos="840"/>
        </w:tabs>
        <w:ind w:left="84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706D58B7"/>
    <w:multiLevelType w:val="multilevel"/>
    <w:tmpl w:val="706D58B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0">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7EAB2762"/>
    <w:multiLevelType w:val="multilevel"/>
    <w:tmpl w:val="7EAB2762"/>
    <w:lvl w:ilvl="0" w:tentative="0">
      <w:start w:val="3"/>
      <w:numFmt w:val="bullet"/>
      <w:lvlText w:val="□"/>
      <w:lvlJc w:val="left"/>
      <w:pPr>
        <w:ind w:left="541" w:hanging="360"/>
      </w:pPr>
      <w:rPr>
        <w:rFonts w:hint="eastAsia" w:ascii="仿宋" w:hAnsi="仿宋" w:eastAsia="仿宋" w:cs="仿宋"/>
        <w:u w:val="none"/>
      </w:rPr>
    </w:lvl>
    <w:lvl w:ilvl="1" w:tentative="0">
      <w:start w:val="1"/>
      <w:numFmt w:val="bullet"/>
      <w:lvlText w:val=""/>
      <w:lvlJc w:val="left"/>
      <w:pPr>
        <w:ind w:left="1021" w:hanging="420"/>
      </w:pPr>
      <w:rPr>
        <w:rFonts w:hint="default" w:ascii="Wingdings" w:hAnsi="Wingdings"/>
      </w:rPr>
    </w:lvl>
    <w:lvl w:ilvl="2" w:tentative="0">
      <w:start w:val="1"/>
      <w:numFmt w:val="bullet"/>
      <w:lvlText w:val=""/>
      <w:lvlJc w:val="left"/>
      <w:pPr>
        <w:ind w:left="1441" w:hanging="420"/>
      </w:pPr>
      <w:rPr>
        <w:rFonts w:hint="default" w:ascii="Wingdings" w:hAnsi="Wingdings"/>
      </w:rPr>
    </w:lvl>
    <w:lvl w:ilvl="3" w:tentative="0">
      <w:start w:val="1"/>
      <w:numFmt w:val="bullet"/>
      <w:lvlText w:val=""/>
      <w:lvlJc w:val="left"/>
      <w:pPr>
        <w:ind w:left="1861" w:hanging="420"/>
      </w:pPr>
      <w:rPr>
        <w:rFonts w:hint="default" w:ascii="Wingdings" w:hAnsi="Wingdings"/>
      </w:rPr>
    </w:lvl>
    <w:lvl w:ilvl="4" w:tentative="0">
      <w:start w:val="1"/>
      <w:numFmt w:val="bullet"/>
      <w:lvlText w:val=""/>
      <w:lvlJc w:val="left"/>
      <w:pPr>
        <w:ind w:left="2281" w:hanging="420"/>
      </w:pPr>
      <w:rPr>
        <w:rFonts w:hint="default" w:ascii="Wingdings" w:hAnsi="Wingdings"/>
      </w:rPr>
    </w:lvl>
    <w:lvl w:ilvl="5" w:tentative="0">
      <w:start w:val="1"/>
      <w:numFmt w:val="bullet"/>
      <w:lvlText w:val=""/>
      <w:lvlJc w:val="left"/>
      <w:pPr>
        <w:ind w:left="2701" w:hanging="420"/>
      </w:pPr>
      <w:rPr>
        <w:rFonts w:hint="default" w:ascii="Wingdings" w:hAnsi="Wingdings"/>
      </w:rPr>
    </w:lvl>
    <w:lvl w:ilvl="6" w:tentative="0">
      <w:start w:val="1"/>
      <w:numFmt w:val="bullet"/>
      <w:lvlText w:val=""/>
      <w:lvlJc w:val="left"/>
      <w:pPr>
        <w:ind w:left="3121" w:hanging="420"/>
      </w:pPr>
      <w:rPr>
        <w:rFonts w:hint="default" w:ascii="Wingdings" w:hAnsi="Wingdings"/>
      </w:rPr>
    </w:lvl>
    <w:lvl w:ilvl="7" w:tentative="0">
      <w:start w:val="1"/>
      <w:numFmt w:val="bullet"/>
      <w:lvlText w:val=""/>
      <w:lvlJc w:val="left"/>
      <w:pPr>
        <w:ind w:left="3541" w:hanging="420"/>
      </w:pPr>
      <w:rPr>
        <w:rFonts w:hint="default" w:ascii="Wingdings" w:hAnsi="Wingdings"/>
      </w:rPr>
    </w:lvl>
    <w:lvl w:ilvl="8" w:tentative="0">
      <w:start w:val="1"/>
      <w:numFmt w:val="bullet"/>
      <w:lvlText w:val=""/>
      <w:lvlJc w:val="left"/>
      <w:pPr>
        <w:ind w:left="3961" w:hanging="420"/>
      </w:pPr>
      <w:rPr>
        <w:rFonts w:hint="default" w:ascii="Wingdings" w:hAnsi="Wingdings"/>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hyphenationZone w:val="36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mYmZiNjZjMWI0OGM1NjQyMTcwODY0ZmQ0NzdjMzYifQ=="/>
  </w:docVars>
  <w:rsids>
    <w:rsidRoot w:val="008C4325"/>
    <w:rsid w:val="000013B6"/>
    <w:rsid w:val="00004A05"/>
    <w:rsid w:val="00004CBF"/>
    <w:rsid w:val="0000503E"/>
    <w:rsid w:val="000055DE"/>
    <w:rsid w:val="00005A7F"/>
    <w:rsid w:val="00005FD6"/>
    <w:rsid w:val="000076CA"/>
    <w:rsid w:val="00011A06"/>
    <w:rsid w:val="0001388A"/>
    <w:rsid w:val="000143EB"/>
    <w:rsid w:val="000238EE"/>
    <w:rsid w:val="00031FE3"/>
    <w:rsid w:val="000342C9"/>
    <w:rsid w:val="00034916"/>
    <w:rsid w:val="000369ED"/>
    <w:rsid w:val="00037269"/>
    <w:rsid w:val="00041D5C"/>
    <w:rsid w:val="00042E1F"/>
    <w:rsid w:val="00043242"/>
    <w:rsid w:val="00043292"/>
    <w:rsid w:val="000435BA"/>
    <w:rsid w:val="00044DE2"/>
    <w:rsid w:val="00044E36"/>
    <w:rsid w:val="00045847"/>
    <w:rsid w:val="00045CD0"/>
    <w:rsid w:val="00046A37"/>
    <w:rsid w:val="00050049"/>
    <w:rsid w:val="0005122D"/>
    <w:rsid w:val="00051330"/>
    <w:rsid w:val="000513FB"/>
    <w:rsid w:val="00052046"/>
    <w:rsid w:val="000529E7"/>
    <w:rsid w:val="00053590"/>
    <w:rsid w:val="00056002"/>
    <w:rsid w:val="000567B5"/>
    <w:rsid w:val="00056EDA"/>
    <w:rsid w:val="00062043"/>
    <w:rsid w:val="000621B6"/>
    <w:rsid w:val="00064C87"/>
    <w:rsid w:val="00066031"/>
    <w:rsid w:val="000672CD"/>
    <w:rsid w:val="000700E1"/>
    <w:rsid w:val="000746C0"/>
    <w:rsid w:val="000845C1"/>
    <w:rsid w:val="00085143"/>
    <w:rsid w:val="000901B6"/>
    <w:rsid w:val="000913DC"/>
    <w:rsid w:val="00094A88"/>
    <w:rsid w:val="00094C4B"/>
    <w:rsid w:val="000A666E"/>
    <w:rsid w:val="000A6DA0"/>
    <w:rsid w:val="000A7319"/>
    <w:rsid w:val="000B3BBB"/>
    <w:rsid w:val="000B50DF"/>
    <w:rsid w:val="000B7190"/>
    <w:rsid w:val="000B74FE"/>
    <w:rsid w:val="000C50D2"/>
    <w:rsid w:val="000C7F41"/>
    <w:rsid w:val="000D2E73"/>
    <w:rsid w:val="000D3BC5"/>
    <w:rsid w:val="000E08FB"/>
    <w:rsid w:val="000E0C6E"/>
    <w:rsid w:val="000E236F"/>
    <w:rsid w:val="000E5180"/>
    <w:rsid w:val="000E6ECD"/>
    <w:rsid w:val="000F02EE"/>
    <w:rsid w:val="000F0DFF"/>
    <w:rsid w:val="000F13F4"/>
    <w:rsid w:val="000F14BE"/>
    <w:rsid w:val="000F3A00"/>
    <w:rsid w:val="000F7B35"/>
    <w:rsid w:val="00101D72"/>
    <w:rsid w:val="001028F5"/>
    <w:rsid w:val="0011025D"/>
    <w:rsid w:val="001113D2"/>
    <w:rsid w:val="00112571"/>
    <w:rsid w:val="00112690"/>
    <w:rsid w:val="00117144"/>
    <w:rsid w:val="00117A8E"/>
    <w:rsid w:val="00122D14"/>
    <w:rsid w:val="00130F08"/>
    <w:rsid w:val="00132F91"/>
    <w:rsid w:val="00133A6F"/>
    <w:rsid w:val="001343DE"/>
    <w:rsid w:val="00134D46"/>
    <w:rsid w:val="00136A50"/>
    <w:rsid w:val="00140C56"/>
    <w:rsid w:val="00143295"/>
    <w:rsid w:val="00147AAC"/>
    <w:rsid w:val="00147BEC"/>
    <w:rsid w:val="00150BFA"/>
    <w:rsid w:val="00151819"/>
    <w:rsid w:val="001533D1"/>
    <w:rsid w:val="001536AB"/>
    <w:rsid w:val="001607D3"/>
    <w:rsid w:val="00160AD7"/>
    <w:rsid w:val="001628A7"/>
    <w:rsid w:val="00166025"/>
    <w:rsid w:val="001754CD"/>
    <w:rsid w:val="00175D78"/>
    <w:rsid w:val="00176DB5"/>
    <w:rsid w:val="0018020A"/>
    <w:rsid w:val="001816B3"/>
    <w:rsid w:val="00181B1F"/>
    <w:rsid w:val="00183317"/>
    <w:rsid w:val="00183C79"/>
    <w:rsid w:val="00187A89"/>
    <w:rsid w:val="00191FAE"/>
    <w:rsid w:val="0019212E"/>
    <w:rsid w:val="0019297D"/>
    <w:rsid w:val="001939BA"/>
    <w:rsid w:val="00194B95"/>
    <w:rsid w:val="001A17A9"/>
    <w:rsid w:val="001A2F31"/>
    <w:rsid w:val="001A4833"/>
    <w:rsid w:val="001A7E6E"/>
    <w:rsid w:val="001B174B"/>
    <w:rsid w:val="001B1A2C"/>
    <w:rsid w:val="001B1ECC"/>
    <w:rsid w:val="001B6C71"/>
    <w:rsid w:val="001C1262"/>
    <w:rsid w:val="001C1B53"/>
    <w:rsid w:val="001C79F8"/>
    <w:rsid w:val="001D0C1D"/>
    <w:rsid w:val="001D3460"/>
    <w:rsid w:val="001D39BE"/>
    <w:rsid w:val="001D3DED"/>
    <w:rsid w:val="001D4779"/>
    <w:rsid w:val="001D6332"/>
    <w:rsid w:val="001E0F9C"/>
    <w:rsid w:val="001E627E"/>
    <w:rsid w:val="001E62B5"/>
    <w:rsid w:val="001E72BC"/>
    <w:rsid w:val="001F0128"/>
    <w:rsid w:val="001F2FE8"/>
    <w:rsid w:val="001F467B"/>
    <w:rsid w:val="001F6AC5"/>
    <w:rsid w:val="002008FA"/>
    <w:rsid w:val="0020139B"/>
    <w:rsid w:val="00202A2E"/>
    <w:rsid w:val="002033CB"/>
    <w:rsid w:val="00204E2F"/>
    <w:rsid w:val="0021310F"/>
    <w:rsid w:val="0021332D"/>
    <w:rsid w:val="0021641D"/>
    <w:rsid w:val="0022197F"/>
    <w:rsid w:val="00221B87"/>
    <w:rsid w:val="00221DFE"/>
    <w:rsid w:val="00222716"/>
    <w:rsid w:val="002242D7"/>
    <w:rsid w:val="00227C2A"/>
    <w:rsid w:val="00230FA9"/>
    <w:rsid w:val="002313EF"/>
    <w:rsid w:val="0023727F"/>
    <w:rsid w:val="00240136"/>
    <w:rsid w:val="002478AA"/>
    <w:rsid w:val="0025257E"/>
    <w:rsid w:val="0025354C"/>
    <w:rsid w:val="0025531A"/>
    <w:rsid w:val="0025595E"/>
    <w:rsid w:val="00257DDC"/>
    <w:rsid w:val="00265205"/>
    <w:rsid w:val="00265F05"/>
    <w:rsid w:val="002726CD"/>
    <w:rsid w:val="00273D99"/>
    <w:rsid w:val="002740B0"/>
    <w:rsid w:val="002753BE"/>
    <w:rsid w:val="00275E23"/>
    <w:rsid w:val="00276B16"/>
    <w:rsid w:val="00277BE2"/>
    <w:rsid w:val="002800AD"/>
    <w:rsid w:val="00281CDF"/>
    <w:rsid w:val="00283CFF"/>
    <w:rsid w:val="00284729"/>
    <w:rsid w:val="002870F0"/>
    <w:rsid w:val="00287EFD"/>
    <w:rsid w:val="00287F54"/>
    <w:rsid w:val="0029161C"/>
    <w:rsid w:val="00291E19"/>
    <w:rsid w:val="00294EBA"/>
    <w:rsid w:val="002A2DF1"/>
    <w:rsid w:val="002A3481"/>
    <w:rsid w:val="002A437B"/>
    <w:rsid w:val="002A5E08"/>
    <w:rsid w:val="002B26F1"/>
    <w:rsid w:val="002B2964"/>
    <w:rsid w:val="002B37C8"/>
    <w:rsid w:val="002B4CE7"/>
    <w:rsid w:val="002B6694"/>
    <w:rsid w:val="002B6779"/>
    <w:rsid w:val="002B7C68"/>
    <w:rsid w:val="002C04D2"/>
    <w:rsid w:val="002C0C5C"/>
    <w:rsid w:val="002C33F1"/>
    <w:rsid w:val="002D37AE"/>
    <w:rsid w:val="002D530A"/>
    <w:rsid w:val="002E1AE7"/>
    <w:rsid w:val="002E37CC"/>
    <w:rsid w:val="002E3A16"/>
    <w:rsid w:val="002E4DD5"/>
    <w:rsid w:val="002E5A9B"/>
    <w:rsid w:val="002F07EA"/>
    <w:rsid w:val="002F10C0"/>
    <w:rsid w:val="002F1CB3"/>
    <w:rsid w:val="002F27D1"/>
    <w:rsid w:val="002F4E78"/>
    <w:rsid w:val="002F7652"/>
    <w:rsid w:val="00300B41"/>
    <w:rsid w:val="003074FF"/>
    <w:rsid w:val="00314252"/>
    <w:rsid w:val="00315F1D"/>
    <w:rsid w:val="00321BC7"/>
    <w:rsid w:val="00321DFA"/>
    <w:rsid w:val="00321F21"/>
    <w:rsid w:val="0033031E"/>
    <w:rsid w:val="00330F58"/>
    <w:rsid w:val="003312BC"/>
    <w:rsid w:val="00331466"/>
    <w:rsid w:val="00331984"/>
    <w:rsid w:val="00331FB0"/>
    <w:rsid w:val="003325A8"/>
    <w:rsid w:val="00333EAE"/>
    <w:rsid w:val="00334E8C"/>
    <w:rsid w:val="003406AD"/>
    <w:rsid w:val="00340C23"/>
    <w:rsid w:val="00340F8C"/>
    <w:rsid w:val="0034163D"/>
    <w:rsid w:val="00342761"/>
    <w:rsid w:val="00345545"/>
    <w:rsid w:val="00350219"/>
    <w:rsid w:val="00350949"/>
    <w:rsid w:val="0035415F"/>
    <w:rsid w:val="00354F8F"/>
    <w:rsid w:val="003566DE"/>
    <w:rsid w:val="0035728A"/>
    <w:rsid w:val="00363377"/>
    <w:rsid w:val="00364449"/>
    <w:rsid w:val="003648CE"/>
    <w:rsid w:val="00370903"/>
    <w:rsid w:val="00374799"/>
    <w:rsid w:val="00374A23"/>
    <w:rsid w:val="003763B3"/>
    <w:rsid w:val="00376621"/>
    <w:rsid w:val="0038005A"/>
    <w:rsid w:val="00382E5E"/>
    <w:rsid w:val="003857C3"/>
    <w:rsid w:val="00396115"/>
    <w:rsid w:val="003967E0"/>
    <w:rsid w:val="003A1E48"/>
    <w:rsid w:val="003A4F4E"/>
    <w:rsid w:val="003B0E39"/>
    <w:rsid w:val="003B2B85"/>
    <w:rsid w:val="003B7132"/>
    <w:rsid w:val="003B720B"/>
    <w:rsid w:val="003C1D0B"/>
    <w:rsid w:val="003C2BFB"/>
    <w:rsid w:val="003C4030"/>
    <w:rsid w:val="003C4DE3"/>
    <w:rsid w:val="003C63D5"/>
    <w:rsid w:val="003D0337"/>
    <w:rsid w:val="003D3E6B"/>
    <w:rsid w:val="003D3FE5"/>
    <w:rsid w:val="003D47AB"/>
    <w:rsid w:val="003D530F"/>
    <w:rsid w:val="003D5971"/>
    <w:rsid w:val="003D7619"/>
    <w:rsid w:val="003D7B97"/>
    <w:rsid w:val="003E275F"/>
    <w:rsid w:val="003E461E"/>
    <w:rsid w:val="003E6870"/>
    <w:rsid w:val="003F689B"/>
    <w:rsid w:val="0040757B"/>
    <w:rsid w:val="00410064"/>
    <w:rsid w:val="00410D96"/>
    <w:rsid w:val="00412EA7"/>
    <w:rsid w:val="00413507"/>
    <w:rsid w:val="00414741"/>
    <w:rsid w:val="00414D20"/>
    <w:rsid w:val="00420AFE"/>
    <w:rsid w:val="0042272A"/>
    <w:rsid w:val="0042274B"/>
    <w:rsid w:val="004228AA"/>
    <w:rsid w:val="00426CD4"/>
    <w:rsid w:val="00435077"/>
    <w:rsid w:val="00437973"/>
    <w:rsid w:val="00442586"/>
    <w:rsid w:val="00442C88"/>
    <w:rsid w:val="00443D32"/>
    <w:rsid w:val="0044692E"/>
    <w:rsid w:val="00447AC4"/>
    <w:rsid w:val="00451D73"/>
    <w:rsid w:val="00452723"/>
    <w:rsid w:val="00456398"/>
    <w:rsid w:val="00456AB6"/>
    <w:rsid w:val="00460506"/>
    <w:rsid w:val="00462991"/>
    <w:rsid w:val="00465FED"/>
    <w:rsid w:val="00470BD7"/>
    <w:rsid w:val="00471981"/>
    <w:rsid w:val="00476F24"/>
    <w:rsid w:val="00477E4F"/>
    <w:rsid w:val="00484259"/>
    <w:rsid w:val="00485A53"/>
    <w:rsid w:val="00490353"/>
    <w:rsid w:val="004A131B"/>
    <w:rsid w:val="004A547D"/>
    <w:rsid w:val="004A69A1"/>
    <w:rsid w:val="004A7CCF"/>
    <w:rsid w:val="004B362C"/>
    <w:rsid w:val="004B51BA"/>
    <w:rsid w:val="004C218C"/>
    <w:rsid w:val="004C6C87"/>
    <w:rsid w:val="004D1694"/>
    <w:rsid w:val="004D4C9B"/>
    <w:rsid w:val="004E0726"/>
    <w:rsid w:val="004E13E3"/>
    <w:rsid w:val="004E2BA3"/>
    <w:rsid w:val="004E63D6"/>
    <w:rsid w:val="004E647E"/>
    <w:rsid w:val="004E6564"/>
    <w:rsid w:val="004F0F97"/>
    <w:rsid w:val="004F1720"/>
    <w:rsid w:val="004F2F74"/>
    <w:rsid w:val="004F583C"/>
    <w:rsid w:val="004F61D1"/>
    <w:rsid w:val="004F6D9A"/>
    <w:rsid w:val="004F7447"/>
    <w:rsid w:val="004F780F"/>
    <w:rsid w:val="004F7A7E"/>
    <w:rsid w:val="00500A7D"/>
    <w:rsid w:val="00500BB2"/>
    <w:rsid w:val="00501B38"/>
    <w:rsid w:val="00503B13"/>
    <w:rsid w:val="00510AC6"/>
    <w:rsid w:val="00510B56"/>
    <w:rsid w:val="005113F5"/>
    <w:rsid w:val="00512080"/>
    <w:rsid w:val="005162C5"/>
    <w:rsid w:val="0051704B"/>
    <w:rsid w:val="005175DD"/>
    <w:rsid w:val="00521018"/>
    <w:rsid w:val="005234BC"/>
    <w:rsid w:val="005234F6"/>
    <w:rsid w:val="00525BC1"/>
    <w:rsid w:val="00526FB0"/>
    <w:rsid w:val="00535735"/>
    <w:rsid w:val="00535C0D"/>
    <w:rsid w:val="00537B59"/>
    <w:rsid w:val="00545345"/>
    <w:rsid w:val="0054780E"/>
    <w:rsid w:val="005500B2"/>
    <w:rsid w:val="005503D1"/>
    <w:rsid w:val="005509AF"/>
    <w:rsid w:val="00550F98"/>
    <w:rsid w:val="00553935"/>
    <w:rsid w:val="005540D6"/>
    <w:rsid w:val="00560853"/>
    <w:rsid w:val="005617BB"/>
    <w:rsid w:val="00563E67"/>
    <w:rsid w:val="00570F2E"/>
    <w:rsid w:val="005715CB"/>
    <w:rsid w:val="00571E91"/>
    <w:rsid w:val="0057383D"/>
    <w:rsid w:val="00575F60"/>
    <w:rsid w:val="005765FD"/>
    <w:rsid w:val="0057759F"/>
    <w:rsid w:val="00577FA9"/>
    <w:rsid w:val="005825A2"/>
    <w:rsid w:val="00582A8D"/>
    <w:rsid w:val="00584922"/>
    <w:rsid w:val="0058615F"/>
    <w:rsid w:val="00591D6E"/>
    <w:rsid w:val="005923A8"/>
    <w:rsid w:val="005925A4"/>
    <w:rsid w:val="00592DE6"/>
    <w:rsid w:val="00594210"/>
    <w:rsid w:val="005952E2"/>
    <w:rsid w:val="00595A54"/>
    <w:rsid w:val="005A0CFD"/>
    <w:rsid w:val="005A2705"/>
    <w:rsid w:val="005A65ED"/>
    <w:rsid w:val="005A6CE4"/>
    <w:rsid w:val="005A6E11"/>
    <w:rsid w:val="005A7132"/>
    <w:rsid w:val="005A72D2"/>
    <w:rsid w:val="005B1F63"/>
    <w:rsid w:val="005B483E"/>
    <w:rsid w:val="005B590E"/>
    <w:rsid w:val="005C4DD9"/>
    <w:rsid w:val="005C5757"/>
    <w:rsid w:val="005C6B9B"/>
    <w:rsid w:val="005C6C8F"/>
    <w:rsid w:val="005D2501"/>
    <w:rsid w:val="005D4A6D"/>
    <w:rsid w:val="005D5990"/>
    <w:rsid w:val="005E1806"/>
    <w:rsid w:val="005E1DB0"/>
    <w:rsid w:val="005E265E"/>
    <w:rsid w:val="005E661F"/>
    <w:rsid w:val="005E6717"/>
    <w:rsid w:val="005E68DA"/>
    <w:rsid w:val="005F1379"/>
    <w:rsid w:val="005F3D7D"/>
    <w:rsid w:val="005F4919"/>
    <w:rsid w:val="005F50A5"/>
    <w:rsid w:val="006006B5"/>
    <w:rsid w:val="00600A57"/>
    <w:rsid w:val="00600E04"/>
    <w:rsid w:val="006041B4"/>
    <w:rsid w:val="00605E35"/>
    <w:rsid w:val="00610464"/>
    <w:rsid w:val="00610E71"/>
    <w:rsid w:val="00611B11"/>
    <w:rsid w:val="00611F30"/>
    <w:rsid w:val="006139AC"/>
    <w:rsid w:val="006158AE"/>
    <w:rsid w:val="006178C2"/>
    <w:rsid w:val="00621BA1"/>
    <w:rsid w:val="00621C2D"/>
    <w:rsid w:val="0062293C"/>
    <w:rsid w:val="00623DDB"/>
    <w:rsid w:val="0062605F"/>
    <w:rsid w:val="00634FB1"/>
    <w:rsid w:val="00637E7F"/>
    <w:rsid w:val="00640233"/>
    <w:rsid w:val="00641643"/>
    <w:rsid w:val="00642B79"/>
    <w:rsid w:val="00653388"/>
    <w:rsid w:val="0065773E"/>
    <w:rsid w:val="00657CF2"/>
    <w:rsid w:val="00662828"/>
    <w:rsid w:val="00665F44"/>
    <w:rsid w:val="00667391"/>
    <w:rsid w:val="0067221C"/>
    <w:rsid w:val="0067359C"/>
    <w:rsid w:val="00674727"/>
    <w:rsid w:val="00674F41"/>
    <w:rsid w:val="00676332"/>
    <w:rsid w:val="00676D0C"/>
    <w:rsid w:val="006828F0"/>
    <w:rsid w:val="00682962"/>
    <w:rsid w:val="0069398F"/>
    <w:rsid w:val="006957D4"/>
    <w:rsid w:val="006977BE"/>
    <w:rsid w:val="00697B7B"/>
    <w:rsid w:val="006A1860"/>
    <w:rsid w:val="006A24F4"/>
    <w:rsid w:val="006A2604"/>
    <w:rsid w:val="006B04EB"/>
    <w:rsid w:val="006B1401"/>
    <w:rsid w:val="006B358C"/>
    <w:rsid w:val="006B5F75"/>
    <w:rsid w:val="006B67F5"/>
    <w:rsid w:val="006C399C"/>
    <w:rsid w:val="006C435E"/>
    <w:rsid w:val="006C5BE4"/>
    <w:rsid w:val="006D4A47"/>
    <w:rsid w:val="006D5BCB"/>
    <w:rsid w:val="006D7AFA"/>
    <w:rsid w:val="006E598E"/>
    <w:rsid w:val="006F088D"/>
    <w:rsid w:val="006F158B"/>
    <w:rsid w:val="006F2A45"/>
    <w:rsid w:val="006F2F10"/>
    <w:rsid w:val="006F314A"/>
    <w:rsid w:val="006F6F59"/>
    <w:rsid w:val="0070698D"/>
    <w:rsid w:val="00712182"/>
    <w:rsid w:val="0071224C"/>
    <w:rsid w:val="00725104"/>
    <w:rsid w:val="0072582C"/>
    <w:rsid w:val="0072681D"/>
    <w:rsid w:val="007350C4"/>
    <w:rsid w:val="0074124E"/>
    <w:rsid w:val="00742A04"/>
    <w:rsid w:val="007449A9"/>
    <w:rsid w:val="007506BB"/>
    <w:rsid w:val="00753397"/>
    <w:rsid w:val="00755760"/>
    <w:rsid w:val="00756397"/>
    <w:rsid w:val="00756DAB"/>
    <w:rsid w:val="00761084"/>
    <w:rsid w:val="007613F0"/>
    <w:rsid w:val="00762670"/>
    <w:rsid w:val="00762B16"/>
    <w:rsid w:val="0076650E"/>
    <w:rsid w:val="00770EB0"/>
    <w:rsid w:val="00772920"/>
    <w:rsid w:val="00776109"/>
    <w:rsid w:val="007802BA"/>
    <w:rsid w:val="00780510"/>
    <w:rsid w:val="0078102F"/>
    <w:rsid w:val="00781AA6"/>
    <w:rsid w:val="007826F8"/>
    <w:rsid w:val="00782B15"/>
    <w:rsid w:val="007833E5"/>
    <w:rsid w:val="00790E92"/>
    <w:rsid w:val="00792E7E"/>
    <w:rsid w:val="007930B0"/>
    <w:rsid w:val="007947AC"/>
    <w:rsid w:val="00795A5B"/>
    <w:rsid w:val="007A041B"/>
    <w:rsid w:val="007A2AE4"/>
    <w:rsid w:val="007A4882"/>
    <w:rsid w:val="007B20CF"/>
    <w:rsid w:val="007B37A6"/>
    <w:rsid w:val="007B7B54"/>
    <w:rsid w:val="007C2EE9"/>
    <w:rsid w:val="007C4725"/>
    <w:rsid w:val="007C4A64"/>
    <w:rsid w:val="007C777C"/>
    <w:rsid w:val="007D0937"/>
    <w:rsid w:val="007D0B18"/>
    <w:rsid w:val="007D142A"/>
    <w:rsid w:val="007D31E0"/>
    <w:rsid w:val="007D4978"/>
    <w:rsid w:val="007E010C"/>
    <w:rsid w:val="007E04C8"/>
    <w:rsid w:val="007E36AF"/>
    <w:rsid w:val="007E6509"/>
    <w:rsid w:val="007F0A55"/>
    <w:rsid w:val="007F145C"/>
    <w:rsid w:val="007F154F"/>
    <w:rsid w:val="007F1971"/>
    <w:rsid w:val="007F210D"/>
    <w:rsid w:val="007F26E2"/>
    <w:rsid w:val="007F59D2"/>
    <w:rsid w:val="007F797A"/>
    <w:rsid w:val="007F7D90"/>
    <w:rsid w:val="008064E9"/>
    <w:rsid w:val="008065BF"/>
    <w:rsid w:val="00807BEA"/>
    <w:rsid w:val="00810D5C"/>
    <w:rsid w:val="008114B0"/>
    <w:rsid w:val="008119F9"/>
    <w:rsid w:val="00812D6C"/>
    <w:rsid w:val="008167B3"/>
    <w:rsid w:val="0082189B"/>
    <w:rsid w:val="00823093"/>
    <w:rsid w:val="00823C23"/>
    <w:rsid w:val="00823E82"/>
    <w:rsid w:val="00824468"/>
    <w:rsid w:val="00824858"/>
    <w:rsid w:val="00825791"/>
    <w:rsid w:val="008300C0"/>
    <w:rsid w:val="00830191"/>
    <w:rsid w:val="008311BA"/>
    <w:rsid w:val="00832CA1"/>
    <w:rsid w:val="00833652"/>
    <w:rsid w:val="008346A9"/>
    <w:rsid w:val="00834B05"/>
    <w:rsid w:val="00837D48"/>
    <w:rsid w:val="0084188C"/>
    <w:rsid w:val="0084331D"/>
    <w:rsid w:val="008442AB"/>
    <w:rsid w:val="00845085"/>
    <w:rsid w:val="008453D9"/>
    <w:rsid w:val="00846BE2"/>
    <w:rsid w:val="00847E8D"/>
    <w:rsid w:val="00850580"/>
    <w:rsid w:val="00854756"/>
    <w:rsid w:val="008577C4"/>
    <w:rsid w:val="008619D8"/>
    <w:rsid w:val="00862774"/>
    <w:rsid w:val="00863856"/>
    <w:rsid w:val="00865F2D"/>
    <w:rsid w:val="00873818"/>
    <w:rsid w:val="00873D88"/>
    <w:rsid w:val="00874A0D"/>
    <w:rsid w:val="00874D91"/>
    <w:rsid w:val="00877E39"/>
    <w:rsid w:val="00880BC7"/>
    <w:rsid w:val="008816E6"/>
    <w:rsid w:val="00881A57"/>
    <w:rsid w:val="00881AE6"/>
    <w:rsid w:val="00882C6E"/>
    <w:rsid w:val="00882E81"/>
    <w:rsid w:val="00884AEB"/>
    <w:rsid w:val="00886522"/>
    <w:rsid w:val="0088754D"/>
    <w:rsid w:val="008A2FBA"/>
    <w:rsid w:val="008A4B1D"/>
    <w:rsid w:val="008A5866"/>
    <w:rsid w:val="008A5FC7"/>
    <w:rsid w:val="008B01DF"/>
    <w:rsid w:val="008C114A"/>
    <w:rsid w:val="008C1788"/>
    <w:rsid w:val="008C4325"/>
    <w:rsid w:val="008C520A"/>
    <w:rsid w:val="008D242F"/>
    <w:rsid w:val="008D51A5"/>
    <w:rsid w:val="008D621E"/>
    <w:rsid w:val="008D7222"/>
    <w:rsid w:val="008E1CAA"/>
    <w:rsid w:val="008E1D06"/>
    <w:rsid w:val="008E7B1E"/>
    <w:rsid w:val="008E7D73"/>
    <w:rsid w:val="008F2A01"/>
    <w:rsid w:val="008F2A3F"/>
    <w:rsid w:val="008F385A"/>
    <w:rsid w:val="008F7119"/>
    <w:rsid w:val="00900966"/>
    <w:rsid w:val="00903106"/>
    <w:rsid w:val="00903CB9"/>
    <w:rsid w:val="00903EB8"/>
    <w:rsid w:val="00912E77"/>
    <w:rsid w:val="0092230A"/>
    <w:rsid w:val="00923960"/>
    <w:rsid w:val="00924167"/>
    <w:rsid w:val="009243AD"/>
    <w:rsid w:val="009275F3"/>
    <w:rsid w:val="00931834"/>
    <w:rsid w:val="009320F1"/>
    <w:rsid w:val="0093280C"/>
    <w:rsid w:val="00932FC4"/>
    <w:rsid w:val="009418A1"/>
    <w:rsid w:val="00943BDF"/>
    <w:rsid w:val="00943F9C"/>
    <w:rsid w:val="00945355"/>
    <w:rsid w:val="0094625D"/>
    <w:rsid w:val="00946C0E"/>
    <w:rsid w:val="0095179C"/>
    <w:rsid w:val="00951D25"/>
    <w:rsid w:val="00952569"/>
    <w:rsid w:val="00952E06"/>
    <w:rsid w:val="00954603"/>
    <w:rsid w:val="00954FFE"/>
    <w:rsid w:val="00955192"/>
    <w:rsid w:val="00955D95"/>
    <w:rsid w:val="00961348"/>
    <w:rsid w:val="00961973"/>
    <w:rsid w:val="009621FF"/>
    <w:rsid w:val="0096688D"/>
    <w:rsid w:val="0096701D"/>
    <w:rsid w:val="00971CB3"/>
    <w:rsid w:val="00975DB7"/>
    <w:rsid w:val="009778BD"/>
    <w:rsid w:val="0098180D"/>
    <w:rsid w:val="009839B7"/>
    <w:rsid w:val="00992D8D"/>
    <w:rsid w:val="009932D0"/>
    <w:rsid w:val="009964B3"/>
    <w:rsid w:val="00996747"/>
    <w:rsid w:val="00996E39"/>
    <w:rsid w:val="009A62BB"/>
    <w:rsid w:val="009A6504"/>
    <w:rsid w:val="009A741B"/>
    <w:rsid w:val="009A7908"/>
    <w:rsid w:val="009B4931"/>
    <w:rsid w:val="009B4A8B"/>
    <w:rsid w:val="009B6CBD"/>
    <w:rsid w:val="009B6EBA"/>
    <w:rsid w:val="009C5DC3"/>
    <w:rsid w:val="009C6428"/>
    <w:rsid w:val="009C6A51"/>
    <w:rsid w:val="009D5399"/>
    <w:rsid w:val="009D70FE"/>
    <w:rsid w:val="009E07E5"/>
    <w:rsid w:val="009E0A85"/>
    <w:rsid w:val="009E385A"/>
    <w:rsid w:val="009E4132"/>
    <w:rsid w:val="009E7725"/>
    <w:rsid w:val="009F02BE"/>
    <w:rsid w:val="009F4BF0"/>
    <w:rsid w:val="009F7844"/>
    <w:rsid w:val="00A01090"/>
    <w:rsid w:val="00A01381"/>
    <w:rsid w:val="00A038F1"/>
    <w:rsid w:val="00A04966"/>
    <w:rsid w:val="00A05B57"/>
    <w:rsid w:val="00A1016F"/>
    <w:rsid w:val="00A10705"/>
    <w:rsid w:val="00A12155"/>
    <w:rsid w:val="00A161BB"/>
    <w:rsid w:val="00A1621A"/>
    <w:rsid w:val="00A2035C"/>
    <w:rsid w:val="00A23289"/>
    <w:rsid w:val="00A2513D"/>
    <w:rsid w:val="00A25E13"/>
    <w:rsid w:val="00A2713C"/>
    <w:rsid w:val="00A30CD3"/>
    <w:rsid w:val="00A37581"/>
    <w:rsid w:val="00A37886"/>
    <w:rsid w:val="00A410C9"/>
    <w:rsid w:val="00A42DE3"/>
    <w:rsid w:val="00A440B1"/>
    <w:rsid w:val="00A50847"/>
    <w:rsid w:val="00A50E06"/>
    <w:rsid w:val="00A513B3"/>
    <w:rsid w:val="00A53DDD"/>
    <w:rsid w:val="00A54E27"/>
    <w:rsid w:val="00A56761"/>
    <w:rsid w:val="00A57759"/>
    <w:rsid w:val="00A60E0F"/>
    <w:rsid w:val="00A64539"/>
    <w:rsid w:val="00A73E7E"/>
    <w:rsid w:val="00A74262"/>
    <w:rsid w:val="00A746C1"/>
    <w:rsid w:val="00A7476A"/>
    <w:rsid w:val="00A75C48"/>
    <w:rsid w:val="00A7734A"/>
    <w:rsid w:val="00A77844"/>
    <w:rsid w:val="00A8201C"/>
    <w:rsid w:val="00A83532"/>
    <w:rsid w:val="00A90A4F"/>
    <w:rsid w:val="00A91DF9"/>
    <w:rsid w:val="00A937DE"/>
    <w:rsid w:val="00A93948"/>
    <w:rsid w:val="00A94731"/>
    <w:rsid w:val="00A97783"/>
    <w:rsid w:val="00AA16EB"/>
    <w:rsid w:val="00AA26C2"/>
    <w:rsid w:val="00AA363A"/>
    <w:rsid w:val="00AB097D"/>
    <w:rsid w:val="00AB36FA"/>
    <w:rsid w:val="00AB6F5F"/>
    <w:rsid w:val="00AC2330"/>
    <w:rsid w:val="00AC23DC"/>
    <w:rsid w:val="00AC2E15"/>
    <w:rsid w:val="00AC32E0"/>
    <w:rsid w:val="00AC381F"/>
    <w:rsid w:val="00AC7D27"/>
    <w:rsid w:val="00AD0DBA"/>
    <w:rsid w:val="00AD3064"/>
    <w:rsid w:val="00AD52A8"/>
    <w:rsid w:val="00AD54CE"/>
    <w:rsid w:val="00AE33D9"/>
    <w:rsid w:val="00AE5C17"/>
    <w:rsid w:val="00AE72BF"/>
    <w:rsid w:val="00AF17EB"/>
    <w:rsid w:val="00AF1B7C"/>
    <w:rsid w:val="00AF1FF5"/>
    <w:rsid w:val="00AF5A20"/>
    <w:rsid w:val="00AF66F0"/>
    <w:rsid w:val="00B000FF"/>
    <w:rsid w:val="00B021F0"/>
    <w:rsid w:val="00B06B18"/>
    <w:rsid w:val="00B152E0"/>
    <w:rsid w:val="00B1662E"/>
    <w:rsid w:val="00B172B4"/>
    <w:rsid w:val="00B228BB"/>
    <w:rsid w:val="00B23EEA"/>
    <w:rsid w:val="00B32917"/>
    <w:rsid w:val="00B3490C"/>
    <w:rsid w:val="00B36CD0"/>
    <w:rsid w:val="00B37ED9"/>
    <w:rsid w:val="00B407A6"/>
    <w:rsid w:val="00B42F9F"/>
    <w:rsid w:val="00B46546"/>
    <w:rsid w:val="00B467FE"/>
    <w:rsid w:val="00B47D8E"/>
    <w:rsid w:val="00B50444"/>
    <w:rsid w:val="00B50E5E"/>
    <w:rsid w:val="00B52BE6"/>
    <w:rsid w:val="00B60B9A"/>
    <w:rsid w:val="00B61D59"/>
    <w:rsid w:val="00B65533"/>
    <w:rsid w:val="00B73A0A"/>
    <w:rsid w:val="00B748E2"/>
    <w:rsid w:val="00B75D82"/>
    <w:rsid w:val="00B7683A"/>
    <w:rsid w:val="00B76C2C"/>
    <w:rsid w:val="00B8007F"/>
    <w:rsid w:val="00B8095A"/>
    <w:rsid w:val="00B851B6"/>
    <w:rsid w:val="00B86992"/>
    <w:rsid w:val="00B86D44"/>
    <w:rsid w:val="00B87B50"/>
    <w:rsid w:val="00B93738"/>
    <w:rsid w:val="00B95660"/>
    <w:rsid w:val="00B95BB5"/>
    <w:rsid w:val="00BA38BC"/>
    <w:rsid w:val="00BA4E0C"/>
    <w:rsid w:val="00BA63F9"/>
    <w:rsid w:val="00BB3F53"/>
    <w:rsid w:val="00BC009B"/>
    <w:rsid w:val="00BC2248"/>
    <w:rsid w:val="00BC4349"/>
    <w:rsid w:val="00BD2E5C"/>
    <w:rsid w:val="00BD4720"/>
    <w:rsid w:val="00BD7F14"/>
    <w:rsid w:val="00BE1385"/>
    <w:rsid w:val="00BE1BF1"/>
    <w:rsid w:val="00BE48CA"/>
    <w:rsid w:val="00BE66B7"/>
    <w:rsid w:val="00BE6757"/>
    <w:rsid w:val="00BE7F1C"/>
    <w:rsid w:val="00BF674A"/>
    <w:rsid w:val="00BF68F3"/>
    <w:rsid w:val="00C0146C"/>
    <w:rsid w:val="00C02220"/>
    <w:rsid w:val="00C0362D"/>
    <w:rsid w:val="00C061DC"/>
    <w:rsid w:val="00C06FE5"/>
    <w:rsid w:val="00C116C9"/>
    <w:rsid w:val="00C11D31"/>
    <w:rsid w:val="00C126C8"/>
    <w:rsid w:val="00C12929"/>
    <w:rsid w:val="00C13DB7"/>
    <w:rsid w:val="00C14DE6"/>
    <w:rsid w:val="00C237ED"/>
    <w:rsid w:val="00C23B9D"/>
    <w:rsid w:val="00C32990"/>
    <w:rsid w:val="00C32AD7"/>
    <w:rsid w:val="00C35867"/>
    <w:rsid w:val="00C36D93"/>
    <w:rsid w:val="00C413D4"/>
    <w:rsid w:val="00C41F89"/>
    <w:rsid w:val="00C43E8B"/>
    <w:rsid w:val="00C45467"/>
    <w:rsid w:val="00C472ED"/>
    <w:rsid w:val="00C47C7D"/>
    <w:rsid w:val="00C517C4"/>
    <w:rsid w:val="00C53072"/>
    <w:rsid w:val="00C55830"/>
    <w:rsid w:val="00C55C49"/>
    <w:rsid w:val="00C55FCE"/>
    <w:rsid w:val="00C57613"/>
    <w:rsid w:val="00C57923"/>
    <w:rsid w:val="00C618A2"/>
    <w:rsid w:val="00C64FBA"/>
    <w:rsid w:val="00C71FAB"/>
    <w:rsid w:val="00C731C1"/>
    <w:rsid w:val="00C73BB7"/>
    <w:rsid w:val="00C74033"/>
    <w:rsid w:val="00C74FAC"/>
    <w:rsid w:val="00C82704"/>
    <w:rsid w:val="00C829ED"/>
    <w:rsid w:val="00C85B0C"/>
    <w:rsid w:val="00C86C30"/>
    <w:rsid w:val="00C87643"/>
    <w:rsid w:val="00C92ACF"/>
    <w:rsid w:val="00C9559D"/>
    <w:rsid w:val="00C97F56"/>
    <w:rsid w:val="00CA13D3"/>
    <w:rsid w:val="00CA73F2"/>
    <w:rsid w:val="00CB023A"/>
    <w:rsid w:val="00CB0BD5"/>
    <w:rsid w:val="00CB2B51"/>
    <w:rsid w:val="00CC1B99"/>
    <w:rsid w:val="00CC50CE"/>
    <w:rsid w:val="00CC5876"/>
    <w:rsid w:val="00CC693E"/>
    <w:rsid w:val="00CC69CC"/>
    <w:rsid w:val="00CD1B8E"/>
    <w:rsid w:val="00CD3850"/>
    <w:rsid w:val="00CD4507"/>
    <w:rsid w:val="00CD5E47"/>
    <w:rsid w:val="00CD6861"/>
    <w:rsid w:val="00CE0DD1"/>
    <w:rsid w:val="00CE19AB"/>
    <w:rsid w:val="00CE2D61"/>
    <w:rsid w:val="00CF3987"/>
    <w:rsid w:val="00CF3D38"/>
    <w:rsid w:val="00CF5806"/>
    <w:rsid w:val="00D006E8"/>
    <w:rsid w:val="00D010A0"/>
    <w:rsid w:val="00D041C9"/>
    <w:rsid w:val="00D05B80"/>
    <w:rsid w:val="00D11500"/>
    <w:rsid w:val="00D17418"/>
    <w:rsid w:val="00D175A2"/>
    <w:rsid w:val="00D20332"/>
    <w:rsid w:val="00D21AE1"/>
    <w:rsid w:val="00D27940"/>
    <w:rsid w:val="00D3039D"/>
    <w:rsid w:val="00D34F86"/>
    <w:rsid w:val="00D36BC4"/>
    <w:rsid w:val="00D40FAA"/>
    <w:rsid w:val="00D4357B"/>
    <w:rsid w:val="00D43FD2"/>
    <w:rsid w:val="00D45769"/>
    <w:rsid w:val="00D46C5B"/>
    <w:rsid w:val="00D50820"/>
    <w:rsid w:val="00D51F40"/>
    <w:rsid w:val="00D547E2"/>
    <w:rsid w:val="00D550AE"/>
    <w:rsid w:val="00D55D77"/>
    <w:rsid w:val="00D573C8"/>
    <w:rsid w:val="00D6060F"/>
    <w:rsid w:val="00D60FB7"/>
    <w:rsid w:val="00D62235"/>
    <w:rsid w:val="00D63DCB"/>
    <w:rsid w:val="00D701CB"/>
    <w:rsid w:val="00D715C5"/>
    <w:rsid w:val="00D81624"/>
    <w:rsid w:val="00D81ADB"/>
    <w:rsid w:val="00D82027"/>
    <w:rsid w:val="00D82462"/>
    <w:rsid w:val="00D836F8"/>
    <w:rsid w:val="00D84ABD"/>
    <w:rsid w:val="00D85041"/>
    <w:rsid w:val="00D878B5"/>
    <w:rsid w:val="00D92067"/>
    <w:rsid w:val="00D92D71"/>
    <w:rsid w:val="00D96D78"/>
    <w:rsid w:val="00DA626F"/>
    <w:rsid w:val="00DA7139"/>
    <w:rsid w:val="00DA74A0"/>
    <w:rsid w:val="00DB21E9"/>
    <w:rsid w:val="00DB335C"/>
    <w:rsid w:val="00DB5016"/>
    <w:rsid w:val="00DB6BB8"/>
    <w:rsid w:val="00DB7D47"/>
    <w:rsid w:val="00DC4C25"/>
    <w:rsid w:val="00DC5DF0"/>
    <w:rsid w:val="00DC5FB4"/>
    <w:rsid w:val="00DC69E9"/>
    <w:rsid w:val="00DC7B20"/>
    <w:rsid w:val="00DC7F75"/>
    <w:rsid w:val="00DD1CF0"/>
    <w:rsid w:val="00DD6919"/>
    <w:rsid w:val="00DD6EDB"/>
    <w:rsid w:val="00DD7B4E"/>
    <w:rsid w:val="00DE1013"/>
    <w:rsid w:val="00DE11BF"/>
    <w:rsid w:val="00DE5B9D"/>
    <w:rsid w:val="00DE5F2A"/>
    <w:rsid w:val="00DE6321"/>
    <w:rsid w:val="00DF137F"/>
    <w:rsid w:val="00DF20D0"/>
    <w:rsid w:val="00DF75E7"/>
    <w:rsid w:val="00E02865"/>
    <w:rsid w:val="00E0335B"/>
    <w:rsid w:val="00E04E9D"/>
    <w:rsid w:val="00E10831"/>
    <w:rsid w:val="00E11015"/>
    <w:rsid w:val="00E12431"/>
    <w:rsid w:val="00E14617"/>
    <w:rsid w:val="00E14EF2"/>
    <w:rsid w:val="00E15218"/>
    <w:rsid w:val="00E16C74"/>
    <w:rsid w:val="00E1782B"/>
    <w:rsid w:val="00E21D1B"/>
    <w:rsid w:val="00E22786"/>
    <w:rsid w:val="00E27E0A"/>
    <w:rsid w:val="00E3009E"/>
    <w:rsid w:val="00E31446"/>
    <w:rsid w:val="00E32B80"/>
    <w:rsid w:val="00E33F6E"/>
    <w:rsid w:val="00E41C1E"/>
    <w:rsid w:val="00E41EFA"/>
    <w:rsid w:val="00E42460"/>
    <w:rsid w:val="00E4748C"/>
    <w:rsid w:val="00E4777D"/>
    <w:rsid w:val="00E47CEF"/>
    <w:rsid w:val="00E5286E"/>
    <w:rsid w:val="00E549E3"/>
    <w:rsid w:val="00E558BA"/>
    <w:rsid w:val="00E61F63"/>
    <w:rsid w:val="00E62AD5"/>
    <w:rsid w:val="00E77007"/>
    <w:rsid w:val="00E8254A"/>
    <w:rsid w:val="00E84C4C"/>
    <w:rsid w:val="00E86001"/>
    <w:rsid w:val="00E86D3D"/>
    <w:rsid w:val="00E95317"/>
    <w:rsid w:val="00E96A04"/>
    <w:rsid w:val="00E96FC2"/>
    <w:rsid w:val="00E97A15"/>
    <w:rsid w:val="00EA47CE"/>
    <w:rsid w:val="00EA7137"/>
    <w:rsid w:val="00EB000C"/>
    <w:rsid w:val="00EB080C"/>
    <w:rsid w:val="00EB2408"/>
    <w:rsid w:val="00EB26E8"/>
    <w:rsid w:val="00EB45EB"/>
    <w:rsid w:val="00EB71F4"/>
    <w:rsid w:val="00EC0803"/>
    <w:rsid w:val="00EC155B"/>
    <w:rsid w:val="00EC78CA"/>
    <w:rsid w:val="00ED2603"/>
    <w:rsid w:val="00ED4C5C"/>
    <w:rsid w:val="00ED6542"/>
    <w:rsid w:val="00EE0D1A"/>
    <w:rsid w:val="00EE11AF"/>
    <w:rsid w:val="00EF1247"/>
    <w:rsid w:val="00F001CD"/>
    <w:rsid w:val="00F016A9"/>
    <w:rsid w:val="00F03BCA"/>
    <w:rsid w:val="00F05E49"/>
    <w:rsid w:val="00F1003D"/>
    <w:rsid w:val="00F1030A"/>
    <w:rsid w:val="00F13ED4"/>
    <w:rsid w:val="00F14228"/>
    <w:rsid w:val="00F1495E"/>
    <w:rsid w:val="00F152EB"/>
    <w:rsid w:val="00F15459"/>
    <w:rsid w:val="00F15977"/>
    <w:rsid w:val="00F223CC"/>
    <w:rsid w:val="00F23487"/>
    <w:rsid w:val="00F250AE"/>
    <w:rsid w:val="00F319E4"/>
    <w:rsid w:val="00F33083"/>
    <w:rsid w:val="00F3662F"/>
    <w:rsid w:val="00F36E84"/>
    <w:rsid w:val="00F41F7A"/>
    <w:rsid w:val="00F446EF"/>
    <w:rsid w:val="00F44B13"/>
    <w:rsid w:val="00F45417"/>
    <w:rsid w:val="00F473E3"/>
    <w:rsid w:val="00F47DB7"/>
    <w:rsid w:val="00F504DB"/>
    <w:rsid w:val="00F524BA"/>
    <w:rsid w:val="00F528E6"/>
    <w:rsid w:val="00F529F3"/>
    <w:rsid w:val="00F56545"/>
    <w:rsid w:val="00F56F5E"/>
    <w:rsid w:val="00F574A6"/>
    <w:rsid w:val="00F60A49"/>
    <w:rsid w:val="00F60EC1"/>
    <w:rsid w:val="00F614ED"/>
    <w:rsid w:val="00F61885"/>
    <w:rsid w:val="00F62044"/>
    <w:rsid w:val="00F63FF4"/>
    <w:rsid w:val="00F652CF"/>
    <w:rsid w:val="00F652F8"/>
    <w:rsid w:val="00F674F0"/>
    <w:rsid w:val="00F766C1"/>
    <w:rsid w:val="00F8250E"/>
    <w:rsid w:val="00F84100"/>
    <w:rsid w:val="00F84A6B"/>
    <w:rsid w:val="00F94282"/>
    <w:rsid w:val="00F96377"/>
    <w:rsid w:val="00FA1E64"/>
    <w:rsid w:val="00FA400D"/>
    <w:rsid w:val="00FA4701"/>
    <w:rsid w:val="00FA6920"/>
    <w:rsid w:val="00FB030F"/>
    <w:rsid w:val="00FB21A6"/>
    <w:rsid w:val="00FB4337"/>
    <w:rsid w:val="00FC394E"/>
    <w:rsid w:val="00FC4E7C"/>
    <w:rsid w:val="00FC53CD"/>
    <w:rsid w:val="00FC5D3B"/>
    <w:rsid w:val="00FE0EC2"/>
    <w:rsid w:val="00FE3505"/>
    <w:rsid w:val="00FE5B22"/>
    <w:rsid w:val="00FE60AE"/>
    <w:rsid w:val="00FE61CC"/>
    <w:rsid w:val="00FE70DB"/>
    <w:rsid w:val="00FE7826"/>
    <w:rsid w:val="00FE7BC3"/>
    <w:rsid w:val="00FF2032"/>
    <w:rsid w:val="00FF2913"/>
    <w:rsid w:val="00FF3CFD"/>
    <w:rsid w:val="00FF56A7"/>
    <w:rsid w:val="00FF738E"/>
    <w:rsid w:val="0827161C"/>
    <w:rsid w:val="087E3147"/>
    <w:rsid w:val="089E60B8"/>
    <w:rsid w:val="0BC50BB9"/>
    <w:rsid w:val="0C0040D8"/>
    <w:rsid w:val="0EF90124"/>
    <w:rsid w:val="10463379"/>
    <w:rsid w:val="1AC65B72"/>
    <w:rsid w:val="1C7432DF"/>
    <w:rsid w:val="1DCE2187"/>
    <w:rsid w:val="1ECF3017"/>
    <w:rsid w:val="212B7FBF"/>
    <w:rsid w:val="24AF4381"/>
    <w:rsid w:val="27930A77"/>
    <w:rsid w:val="27F76723"/>
    <w:rsid w:val="28440B60"/>
    <w:rsid w:val="2D382F2F"/>
    <w:rsid w:val="2D5A54BD"/>
    <w:rsid w:val="2F9C6646"/>
    <w:rsid w:val="3B455DE4"/>
    <w:rsid w:val="40B41A41"/>
    <w:rsid w:val="420D372A"/>
    <w:rsid w:val="42573C43"/>
    <w:rsid w:val="43FA637E"/>
    <w:rsid w:val="44193EFE"/>
    <w:rsid w:val="45F74018"/>
    <w:rsid w:val="480E7D29"/>
    <w:rsid w:val="4B5976EB"/>
    <w:rsid w:val="4BE736C7"/>
    <w:rsid w:val="5544595F"/>
    <w:rsid w:val="576E72A1"/>
    <w:rsid w:val="59273F43"/>
    <w:rsid w:val="5D1006F0"/>
    <w:rsid w:val="60196049"/>
    <w:rsid w:val="665C5503"/>
    <w:rsid w:val="6ECB4322"/>
    <w:rsid w:val="7187659B"/>
    <w:rsid w:val="739D7AB9"/>
    <w:rsid w:val="7981492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Calibri"/>
      <w:kern w:val="2"/>
      <w:sz w:val="21"/>
      <w:szCs w:val="21"/>
      <w:lang w:val="en-US" w:eastAsia="zh-CN" w:bidi="ar-SA"/>
    </w:rPr>
  </w:style>
  <w:style w:type="paragraph" w:styleId="2">
    <w:name w:val="heading 1"/>
    <w:basedOn w:val="1"/>
    <w:next w:val="1"/>
    <w:link w:val="48"/>
    <w:qFormat/>
    <w:uiPriority w:val="99"/>
    <w:pPr>
      <w:keepNext/>
      <w:keepLines/>
      <w:widowControl/>
      <w:tabs>
        <w:tab w:val="left" w:pos="432"/>
      </w:tabs>
      <w:spacing w:before="340" w:after="330"/>
      <w:ind w:left="432" w:hanging="432"/>
      <w:jc w:val="left"/>
      <w:outlineLvl w:val="0"/>
    </w:pPr>
    <w:rPr>
      <w:rFonts w:ascii="宋体" w:hAnsi="Times New Roman" w:cs="宋体"/>
      <w:kern w:val="0"/>
      <w:sz w:val="28"/>
      <w:szCs w:val="28"/>
    </w:rPr>
  </w:style>
  <w:style w:type="paragraph" w:styleId="3">
    <w:name w:val="heading 2"/>
    <w:basedOn w:val="1"/>
    <w:next w:val="1"/>
    <w:link w:val="49"/>
    <w:qFormat/>
    <w:uiPriority w:val="99"/>
    <w:pPr>
      <w:numPr>
        <w:ilvl w:val="1"/>
        <w:numId w:val="1"/>
      </w:numPr>
      <w:tabs>
        <w:tab w:val="left" w:pos="360"/>
        <w:tab w:val="left" w:pos="576"/>
      </w:tabs>
      <w:spacing w:before="260"/>
      <w:jc w:val="left"/>
      <w:outlineLvl w:val="1"/>
    </w:pPr>
    <w:rPr>
      <w:rFonts w:ascii="宋体" w:hAnsi="Arial" w:cs="宋体"/>
      <w:kern w:val="0"/>
      <w:sz w:val="28"/>
      <w:szCs w:val="28"/>
    </w:rPr>
  </w:style>
  <w:style w:type="paragraph" w:styleId="4">
    <w:name w:val="heading 3"/>
    <w:basedOn w:val="1"/>
    <w:next w:val="1"/>
    <w:link w:val="50"/>
    <w:qFormat/>
    <w:uiPriority w:val="0"/>
    <w:pPr>
      <w:keepNext/>
      <w:keepLines/>
      <w:widowControl/>
      <w:tabs>
        <w:tab w:val="left" w:pos="1287"/>
      </w:tabs>
      <w:spacing w:before="260" w:after="260" w:line="415" w:lineRule="auto"/>
      <w:jc w:val="left"/>
      <w:outlineLvl w:val="2"/>
    </w:pPr>
    <w:rPr>
      <w:rFonts w:ascii="Times New Roman" w:hAnsi="Times New Roman" w:cs="Times New Roman"/>
      <w:b/>
      <w:bCs/>
      <w:kern w:val="0"/>
      <w:sz w:val="32"/>
      <w:szCs w:val="32"/>
    </w:rPr>
  </w:style>
  <w:style w:type="paragraph" w:styleId="5">
    <w:name w:val="heading 4"/>
    <w:basedOn w:val="1"/>
    <w:next w:val="1"/>
    <w:link w:val="51"/>
    <w:qFormat/>
    <w:uiPriority w:val="99"/>
    <w:pPr>
      <w:keepNext/>
      <w:keepLines/>
      <w:widowControl/>
      <w:numPr>
        <w:ilvl w:val="3"/>
        <w:numId w:val="1"/>
      </w:numPr>
      <w:tabs>
        <w:tab w:val="left" w:pos="360"/>
        <w:tab w:val="left" w:pos="864"/>
      </w:tabs>
      <w:spacing w:before="280" w:after="290" w:line="374" w:lineRule="auto"/>
      <w:ind w:left="864" w:hanging="864"/>
      <w:jc w:val="left"/>
      <w:outlineLvl w:val="3"/>
    </w:pPr>
    <w:rPr>
      <w:rFonts w:ascii="Arial" w:hAnsi="Arial" w:eastAsia="黑体" w:cs="Arial"/>
      <w:b/>
      <w:bCs/>
      <w:kern w:val="0"/>
      <w:sz w:val="28"/>
      <w:szCs w:val="28"/>
    </w:rPr>
  </w:style>
  <w:style w:type="paragraph" w:styleId="6">
    <w:name w:val="heading 5"/>
    <w:basedOn w:val="1"/>
    <w:next w:val="1"/>
    <w:link w:val="52"/>
    <w:qFormat/>
    <w:uiPriority w:val="99"/>
    <w:pPr>
      <w:keepNext/>
      <w:keepLines/>
      <w:widowControl/>
      <w:numPr>
        <w:ilvl w:val="4"/>
        <w:numId w:val="1"/>
      </w:numPr>
      <w:tabs>
        <w:tab w:val="left" w:pos="360"/>
        <w:tab w:val="left" w:pos="1008"/>
      </w:tabs>
      <w:spacing w:before="280" w:after="290" w:line="374" w:lineRule="auto"/>
      <w:ind w:left="1008" w:hanging="1008"/>
      <w:jc w:val="left"/>
      <w:outlineLvl w:val="4"/>
    </w:pPr>
    <w:rPr>
      <w:rFonts w:ascii="Times New Roman" w:hAnsi="Times New Roman" w:cs="Times New Roman"/>
      <w:b/>
      <w:bCs/>
      <w:kern w:val="0"/>
      <w:sz w:val="28"/>
      <w:szCs w:val="28"/>
    </w:rPr>
  </w:style>
  <w:style w:type="paragraph" w:styleId="7">
    <w:name w:val="heading 6"/>
    <w:basedOn w:val="1"/>
    <w:next w:val="1"/>
    <w:link w:val="53"/>
    <w:qFormat/>
    <w:uiPriority w:val="99"/>
    <w:pPr>
      <w:keepNext/>
      <w:keepLines/>
      <w:widowControl/>
      <w:numPr>
        <w:ilvl w:val="5"/>
        <w:numId w:val="1"/>
      </w:numPr>
      <w:tabs>
        <w:tab w:val="left" w:pos="360"/>
        <w:tab w:val="left" w:pos="1152"/>
      </w:tabs>
      <w:spacing w:before="240" w:after="64" w:line="319" w:lineRule="auto"/>
      <w:ind w:left="1152" w:hanging="1152"/>
      <w:jc w:val="left"/>
      <w:outlineLvl w:val="5"/>
    </w:pPr>
    <w:rPr>
      <w:rFonts w:ascii="Arial" w:hAnsi="Arial" w:eastAsia="黑体" w:cs="Arial"/>
      <w:b/>
      <w:bCs/>
      <w:kern w:val="0"/>
      <w:sz w:val="24"/>
      <w:szCs w:val="24"/>
    </w:rPr>
  </w:style>
  <w:style w:type="paragraph" w:styleId="8">
    <w:name w:val="heading 7"/>
    <w:basedOn w:val="1"/>
    <w:next w:val="1"/>
    <w:link w:val="54"/>
    <w:qFormat/>
    <w:uiPriority w:val="99"/>
    <w:pPr>
      <w:keepNext/>
      <w:keepLines/>
      <w:widowControl/>
      <w:numPr>
        <w:ilvl w:val="6"/>
        <w:numId w:val="1"/>
      </w:numPr>
      <w:tabs>
        <w:tab w:val="left" w:pos="360"/>
        <w:tab w:val="left" w:pos="1296"/>
      </w:tabs>
      <w:spacing w:before="240" w:after="64" w:line="319" w:lineRule="auto"/>
      <w:ind w:left="1296" w:hanging="1296"/>
      <w:jc w:val="left"/>
      <w:outlineLvl w:val="6"/>
    </w:pPr>
    <w:rPr>
      <w:rFonts w:ascii="Times New Roman" w:hAnsi="Times New Roman" w:cs="Times New Roman"/>
      <w:b/>
      <w:bCs/>
      <w:kern w:val="0"/>
      <w:sz w:val="24"/>
      <w:szCs w:val="24"/>
    </w:rPr>
  </w:style>
  <w:style w:type="paragraph" w:styleId="9">
    <w:name w:val="heading 8"/>
    <w:basedOn w:val="1"/>
    <w:next w:val="1"/>
    <w:link w:val="55"/>
    <w:qFormat/>
    <w:uiPriority w:val="99"/>
    <w:pPr>
      <w:keepNext/>
      <w:keepLines/>
      <w:widowControl/>
      <w:numPr>
        <w:ilvl w:val="7"/>
        <w:numId w:val="1"/>
      </w:numPr>
      <w:tabs>
        <w:tab w:val="left" w:pos="360"/>
        <w:tab w:val="left" w:pos="1440"/>
      </w:tabs>
      <w:spacing w:before="240" w:after="64" w:line="319" w:lineRule="auto"/>
      <w:ind w:left="1440" w:hanging="1440"/>
      <w:jc w:val="left"/>
      <w:outlineLvl w:val="7"/>
    </w:pPr>
    <w:rPr>
      <w:rFonts w:ascii="Arial" w:hAnsi="Arial" w:eastAsia="黑体" w:cs="Arial"/>
      <w:kern w:val="0"/>
      <w:sz w:val="24"/>
      <w:szCs w:val="24"/>
    </w:rPr>
  </w:style>
  <w:style w:type="paragraph" w:styleId="10">
    <w:name w:val="heading 9"/>
    <w:basedOn w:val="1"/>
    <w:next w:val="1"/>
    <w:link w:val="56"/>
    <w:qFormat/>
    <w:uiPriority w:val="99"/>
    <w:pPr>
      <w:keepNext/>
      <w:keepLines/>
      <w:widowControl/>
      <w:numPr>
        <w:ilvl w:val="8"/>
        <w:numId w:val="1"/>
      </w:numPr>
      <w:tabs>
        <w:tab w:val="left" w:pos="360"/>
        <w:tab w:val="left" w:pos="1584"/>
      </w:tabs>
      <w:spacing w:before="240" w:after="64" w:line="319" w:lineRule="auto"/>
      <w:ind w:left="1584" w:hanging="1584"/>
      <w:jc w:val="left"/>
      <w:outlineLvl w:val="8"/>
    </w:pPr>
    <w:rPr>
      <w:rFonts w:ascii="Arial" w:hAnsi="Arial" w:eastAsia="黑体" w:cs="Arial"/>
      <w:kern w:val="0"/>
    </w:rPr>
  </w:style>
  <w:style w:type="character" w:default="1" w:styleId="43">
    <w:name w:val="Default Paragraph Font"/>
    <w:unhideWhenUsed/>
    <w:qFormat/>
    <w:uiPriority w:val="1"/>
  </w:style>
  <w:style w:type="table" w:default="1" w:styleId="41">
    <w:name w:val="Normal Table"/>
    <w:unhideWhenUsed/>
    <w:qFormat/>
    <w:uiPriority w:val="99"/>
    <w:tblPr>
      <w:tblStyle w:val="41"/>
      <w:tblCellMar>
        <w:top w:w="0" w:type="dxa"/>
        <w:left w:w="108" w:type="dxa"/>
        <w:bottom w:w="0" w:type="dxa"/>
        <w:right w:w="108" w:type="dxa"/>
      </w:tblCellMar>
    </w:tblPr>
  </w:style>
  <w:style w:type="paragraph" w:styleId="11">
    <w:name w:val="toc 7"/>
    <w:basedOn w:val="1"/>
    <w:next w:val="1"/>
    <w:qFormat/>
    <w:uiPriority w:val="39"/>
    <w:pPr>
      <w:ind w:left="1260"/>
      <w:jc w:val="left"/>
    </w:pPr>
    <w:rPr>
      <w:sz w:val="18"/>
      <w:szCs w:val="18"/>
    </w:rPr>
  </w:style>
  <w:style w:type="paragraph" w:styleId="12">
    <w:name w:val="Normal Indent"/>
    <w:basedOn w:val="1"/>
    <w:next w:val="1"/>
    <w:semiHidden/>
    <w:qFormat/>
    <w:uiPriority w:val="99"/>
    <w:pPr>
      <w:ind w:firstLine="420"/>
    </w:pPr>
    <w:rPr>
      <w:rFonts w:ascii="Times New Roman" w:hAnsi="Times New Roman" w:cs="Times New Roman"/>
    </w:rPr>
  </w:style>
  <w:style w:type="paragraph" w:styleId="13">
    <w:name w:val="List Bullet"/>
    <w:basedOn w:val="1"/>
    <w:next w:val="1"/>
    <w:semiHidden/>
    <w:qFormat/>
    <w:uiPriority w:val="99"/>
    <w:pPr>
      <w:tabs>
        <w:tab w:val="left" w:pos="360"/>
      </w:tabs>
      <w:ind w:left="360" w:hanging="360" w:hangingChars="200"/>
    </w:pPr>
    <w:rPr>
      <w:rFonts w:ascii="Times New Roman" w:hAnsi="Times New Roman" w:cs="Times New Roman"/>
    </w:rPr>
  </w:style>
  <w:style w:type="paragraph" w:styleId="14">
    <w:name w:val="Document Map"/>
    <w:basedOn w:val="1"/>
    <w:next w:val="1"/>
    <w:link w:val="57"/>
    <w:semiHidden/>
    <w:qFormat/>
    <w:uiPriority w:val="99"/>
    <w:pPr>
      <w:shd w:val="clear" w:color="auto" w:fill="000080"/>
    </w:pPr>
    <w:rPr>
      <w:rFonts w:ascii="Times New Roman" w:hAnsi="Times New Roman" w:cs="Times New Roman"/>
    </w:rPr>
  </w:style>
  <w:style w:type="paragraph" w:styleId="15">
    <w:name w:val="annotation text"/>
    <w:basedOn w:val="1"/>
    <w:next w:val="1"/>
    <w:link w:val="58"/>
    <w:qFormat/>
    <w:uiPriority w:val="0"/>
    <w:pPr>
      <w:jc w:val="left"/>
    </w:pPr>
    <w:rPr>
      <w:rFonts w:ascii="Times New Roman" w:hAnsi="Times New Roman" w:cs="Times New Roman"/>
    </w:rPr>
  </w:style>
  <w:style w:type="paragraph" w:styleId="16">
    <w:name w:val="Body Text 3"/>
    <w:basedOn w:val="1"/>
    <w:next w:val="1"/>
    <w:link w:val="59"/>
    <w:qFormat/>
    <w:uiPriority w:val="99"/>
    <w:pPr>
      <w:spacing w:after="120"/>
    </w:pPr>
    <w:rPr>
      <w:rFonts w:ascii="Times New Roman" w:hAnsi="Times New Roman" w:cs="Times New Roman"/>
      <w:sz w:val="16"/>
      <w:szCs w:val="16"/>
    </w:rPr>
  </w:style>
  <w:style w:type="paragraph" w:styleId="17">
    <w:name w:val="Body Text"/>
    <w:basedOn w:val="1"/>
    <w:next w:val="1"/>
    <w:link w:val="60"/>
    <w:semiHidden/>
    <w:qFormat/>
    <w:uiPriority w:val="99"/>
    <w:pPr>
      <w:spacing w:after="120"/>
    </w:pPr>
    <w:rPr>
      <w:rFonts w:ascii="Times New Roman" w:hAnsi="Times New Roman" w:cs="Times New Roman"/>
    </w:rPr>
  </w:style>
  <w:style w:type="paragraph" w:styleId="18">
    <w:name w:val="Body Text Indent"/>
    <w:basedOn w:val="1"/>
    <w:next w:val="1"/>
    <w:link w:val="61"/>
    <w:qFormat/>
    <w:uiPriority w:val="99"/>
    <w:pPr>
      <w:ind w:firstLine="630"/>
    </w:pPr>
    <w:rPr>
      <w:rFonts w:ascii="宋体" w:hAnsi="Times New Roman" w:cs="宋体"/>
      <w:sz w:val="32"/>
      <w:szCs w:val="32"/>
    </w:rPr>
  </w:style>
  <w:style w:type="paragraph" w:styleId="19">
    <w:name w:val="List Bullet 2"/>
    <w:basedOn w:val="13"/>
    <w:next w:val="1"/>
    <w:semiHidden/>
    <w:qFormat/>
    <w:uiPriority w:val="99"/>
    <w:pPr>
      <w:widowControl/>
      <w:tabs>
        <w:tab w:val="left" w:pos="432"/>
        <w:tab w:val="clear" w:pos="360"/>
      </w:tabs>
      <w:spacing w:after="220" w:line="220" w:lineRule="atLeast"/>
      <w:ind w:left="2160" w:right="720" w:hanging="432" w:firstLineChars="0"/>
      <w:jc w:val="left"/>
    </w:pPr>
    <w:rPr>
      <w:kern w:val="0"/>
    </w:rPr>
  </w:style>
  <w:style w:type="paragraph" w:styleId="20">
    <w:name w:val="toc 5"/>
    <w:basedOn w:val="1"/>
    <w:next w:val="1"/>
    <w:qFormat/>
    <w:uiPriority w:val="39"/>
    <w:pPr>
      <w:ind w:left="840"/>
      <w:jc w:val="left"/>
    </w:pPr>
    <w:rPr>
      <w:sz w:val="18"/>
      <w:szCs w:val="18"/>
    </w:rPr>
  </w:style>
  <w:style w:type="paragraph" w:styleId="21">
    <w:name w:val="toc 3"/>
    <w:basedOn w:val="1"/>
    <w:next w:val="1"/>
    <w:qFormat/>
    <w:uiPriority w:val="39"/>
    <w:pPr>
      <w:ind w:left="420"/>
      <w:jc w:val="left"/>
    </w:pPr>
    <w:rPr>
      <w:i/>
      <w:iCs/>
      <w:sz w:val="20"/>
      <w:szCs w:val="20"/>
    </w:rPr>
  </w:style>
  <w:style w:type="paragraph" w:styleId="22">
    <w:name w:val="Plain Text"/>
    <w:basedOn w:val="1"/>
    <w:next w:val="1"/>
    <w:link w:val="62"/>
    <w:qFormat/>
    <w:uiPriority w:val="0"/>
    <w:rPr>
      <w:rFonts w:ascii="宋体" w:hAnsi="Courier New" w:cs="宋体"/>
    </w:rPr>
  </w:style>
  <w:style w:type="paragraph" w:styleId="23">
    <w:name w:val="toc 8"/>
    <w:basedOn w:val="1"/>
    <w:next w:val="1"/>
    <w:qFormat/>
    <w:uiPriority w:val="39"/>
    <w:pPr>
      <w:ind w:left="1470"/>
      <w:jc w:val="left"/>
    </w:pPr>
    <w:rPr>
      <w:sz w:val="18"/>
      <w:szCs w:val="18"/>
    </w:rPr>
  </w:style>
  <w:style w:type="paragraph" w:styleId="24">
    <w:name w:val="Date"/>
    <w:basedOn w:val="1"/>
    <w:next w:val="1"/>
    <w:link w:val="63"/>
    <w:semiHidden/>
    <w:qFormat/>
    <w:uiPriority w:val="99"/>
    <w:pPr>
      <w:ind w:left="100" w:leftChars="2500"/>
    </w:pPr>
    <w:rPr>
      <w:rFonts w:ascii="仿宋_GB2312" w:hAnsi="Times New Roman" w:eastAsia="仿宋_GB2312" w:cs="仿宋_GB2312"/>
      <w:b/>
      <w:bCs/>
      <w:sz w:val="28"/>
      <w:szCs w:val="28"/>
    </w:rPr>
  </w:style>
  <w:style w:type="paragraph" w:styleId="25">
    <w:name w:val="Body Text Indent 2"/>
    <w:basedOn w:val="1"/>
    <w:next w:val="1"/>
    <w:link w:val="64"/>
    <w:semiHidden/>
    <w:qFormat/>
    <w:uiPriority w:val="99"/>
    <w:pPr>
      <w:tabs>
        <w:tab w:val="left" w:pos="4970"/>
      </w:tabs>
      <w:spacing w:line="360" w:lineRule="auto"/>
      <w:ind w:firstLine="480" w:firstLineChars="200"/>
    </w:pPr>
    <w:rPr>
      <w:rFonts w:ascii="Times New Roman" w:hAnsi="Times New Roman" w:cs="Times New Roman"/>
      <w:sz w:val="24"/>
      <w:szCs w:val="24"/>
    </w:rPr>
  </w:style>
  <w:style w:type="paragraph" w:styleId="26">
    <w:name w:val="endnote text"/>
    <w:basedOn w:val="1"/>
    <w:link w:val="65"/>
    <w:qFormat/>
    <w:uiPriority w:val="0"/>
    <w:pPr>
      <w:snapToGrid w:val="0"/>
      <w:jc w:val="left"/>
    </w:pPr>
    <w:rPr>
      <w:rFonts w:ascii="宋体" w:hAnsi="宋体" w:cs="Times New Roman"/>
      <w:szCs w:val="22"/>
    </w:rPr>
  </w:style>
  <w:style w:type="paragraph" w:styleId="27">
    <w:name w:val="Balloon Text"/>
    <w:basedOn w:val="1"/>
    <w:next w:val="1"/>
    <w:link w:val="66"/>
    <w:semiHidden/>
    <w:qFormat/>
    <w:uiPriority w:val="99"/>
    <w:rPr>
      <w:rFonts w:ascii="Times New Roman" w:hAnsi="Times New Roman" w:cs="Times New Roman"/>
      <w:sz w:val="18"/>
      <w:szCs w:val="18"/>
    </w:rPr>
  </w:style>
  <w:style w:type="paragraph" w:styleId="28">
    <w:name w:val="footer"/>
    <w:basedOn w:val="1"/>
    <w:link w:val="67"/>
    <w:qFormat/>
    <w:uiPriority w:val="99"/>
    <w:pPr>
      <w:tabs>
        <w:tab w:val="center" w:pos="4153"/>
        <w:tab w:val="right" w:pos="8306"/>
      </w:tabs>
      <w:snapToGrid w:val="0"/>
      <w:jc w:val="left"/>
    </w:pPr>
    <w:rPr>
      <w:sz w:val="18"/>
      <w:szCs w:val="18"/>
    </w:rPr>
  </w:style>
  <w:style w:type="paragraph" w:styleId="29">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spacing w:before="120" w:after="120"/>
      <w:jc w:val="left"/>
    </w:pPr>
    <w:rPr>
      <w:b/>
      <w:bCs/>
      <w:caps/>
      <w:sz w:val="20"/>
      <w:szCs w:val="20"/>
    </w:rPr>
  </w:style>
  <w:style w:type="paragraph" w:styleId="31">
    <w:name w:val="toc 4"/>
    <w:basedOn w:val="1"/>
    <w:next w:val="1"/>
    <w:qFormat/>
    <w:uiPriority w:val="39"/>
    <w:pPr>
      <w:ind w:left="630"/>
      <w:jc w:val="left"/>
    </w:pPr>
    <w:rPr>
      <w:sz w:val="18"/>
      <w:szCs w:val="18"/>
    </w:rPr>
  </w:style>
  <w:style w:type="paragraph" w:styleId="32">
    <w:name w:val="Subtitle"/>
    <w:basedOn w:val="1"/>
    <w:next w:val="1"/>
    <w:link w:val="69"/>
    <w:qFormat/>
    <w:uiPriority w:val="99"/>
    <w:pPr>
      <w:widowControl/>
      <w:spacing w:before="240" w:after="60" w:line="312" w:lineRule="auto"/>
      <w:jc w:val="center"/>
      <w:outlineLvl w:val="1"/>
    </w:pPr>
    <w:rPr>
      <w:rFonts w:ascii="Calibri Light" w:hAnsi="Calibri Light" w:cs="Calibri Light"/>
      <w:b/>
      <w:bCs/>
      <w:kern w:val="28"/>
      <w:sz w:val="32"/>
      <w:szCs w:val="32"/>
    </w:rPr>
  </w:style>
  <w:style w:type="paragraph" w:styleId="33">
    <w:name w:val="toc 6"/>
    <w:basedOn w:val="1"/>
    <w:next w:val="1"/>
    <w:qFormat/>
    <w:uiPriority w:val="39"/>
    <w:pPr>
      <w:ind w:left="1050"/>
      <w:jc w:val="left"/>
    </w:pPr>
    <w:rPr>
      <w:sz w:val="18"/>
      <w:szCs w:val="18"/>
    </w:rPr>
  </w:style>
  <w:style w:type="paragraph" w:styleId="34">
    <w:name w:val="Body Text Indent 3"/>
    <w:basedOn w:val="1"/>
    <w:next w:val="1"/>
    <w:link w:val="70"/>
    <w:semiHidden/>
    <w:qFormat/>
    <w:uiPriority w:val="99"/>
    <w:pPr>
      <w:spacing w:line="360" w:lineRule="auto"/>
      <w:ind w:left="1978" w:leftChars="942"/>
    </w:pPr>
    <w:rPr>
      <w:rFonts w:ascii="Times New Roman" w:hAnsi="宋体" w:cs="Times New Roman"/>
      <w:sz w:val="24"/>
      <w:szCs w:val="24"/>
    </w:rPr>
  </w:style>
  <w:style w:type="paragraph" w:styleId="35">
    <w:name w:val="toc 2"/>
    <w:basedOn w:val="1"/>
    <w:next w:val="1"/>
    <w:qFormat/>
    <w:uiPriority w:val="39"/>
    <w:pPr>
      <w:ind w:left="210"/>
      <w:jc w:val="left"/>
    </w:pPr>
    <w:rPr>
      <w:smallCaps/>
      <w:sz w:val="20"/>
      <w:szCs w:val="20"/>
    </w:rPr>
  </w:style>
  <w:style w:type="paragraph" w:styleId="36">
    <w:name w:val="toc 9"/>
    <w:basedOn w:val="1"/>
    <w:next w:val="1"/>
    <w:qFormat/>
    <w:uiPriority w:val="39"/>
    <w:pPr>
      <w:ind w:left="1680"/>
      <w:jc w:val="left"/>
    </w:pPr>
    <w:rPr>
      <w:sz w:val="18"/>
      <w:szCs w:val="18"/>
    </w:rPr>
  </w:style>
  <w:style w:type="paragraph" w:styleId="37">
    <w:name w:val="Body Text 2"/>
    <w:basedOn w:val="1"/>
    <w:next w:val="1"/>
    <w:link w:val="71"/>
    <w:semiHidden/>
    <w:qFormat/>
    <w:uiPriority w:val="99"/>
    <w:rPr>
      <w:rFonts w:ascii="Times New Roman" w:hAnsi="Times New Roman" w:eastAsia="楷体_GB2312" w:cs="Times New Roman"/>
      <w:b/>
      <w:bCs/>
    </w:rPr>
  </w:style>
  <w:style w:type="paragraph" w:styleId="38">
    <w:name w:val="Normal (Web)"/>
    <w:basedOn w:val="1"/>
    <w:next w:val="1"/>
    <w:qFormat/>
    <w:uiPriority w:val="0"/>
    <w:pPr>
      <w:widowControl/>
      <w:spacing w:before="100" w:beforeAutospacing="1" w:after="100" w:afterAutospacing="1"/>
      <w:jc w:val="left"/>
    </w:pPr>
    <w:rPr>
      <w:rFonts w:ascii="宋体" w:hAnsi="宋体" w:cs="宋体"/>
      <w:kern w:val="0"/>
      <w:sz w:val="24"/>
      <w:szCs w:val="24"/>
    </w:rPr>
  </w:style>
  <w:style w:type="paragraph" w:styleId="39">
    <w:name w:val="Title"/>
    <w:basedOn w:val="1"/>
    <w:next w:val="1"/>
    <w:link w:val="72"/>
    <w:qFormat/>
    <w:uiPriority w:val="99"/>
    <w:pPr>
      <w:widowControl/>
      <w:spacing w:before="60" w:after="60"/>
      <w:jc w:val="center"/>
      <w:outlineLvl w:val="0"/>
    </w:pPr>
    <w:rPr>
      <w:rFonts w:ascii="Cambria" w:hAnsi="Cambria" w:cs="Cambria"/>
      <w:b/>
      <w:bCs/>
      <w:kern w:val="0"/>
      <w:sz w:val="32"/>
      <w:szCs w:val="32"/>
    </w:rPr>
  </w:style>
  <w:style w:type="paragraph" w:styleId="40">
    <w:name w:val="annotation subject"/>
    <w:basedOn w:val="15"/>
    <w:next w:val="15"/>
    <w:link w:val="73"/>
    <w:semiHidden/>
    <w:qFormat/>
    <w:uiPriority w:val="99"/>
    <w:rPr>
      <w:b/>
      <w:bCs/>
    </w:rPr>
  </w:style>
  <w:style w:type="table" w:styleId="42">
    <w:name w:val="Table Grid"/>
    <w:basedOn w:val="41"/>
    <w:qFormat/>
    <w:uiPriority w:val="99"/>
    <w:rPr>
      <w:rFonts w:ascii="Times New Roman" w:hAnsi="Times New Roman"/>
    </w:rPr>
    <w:tblPr>
      <w:tblStyle w:val="4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page number"/>
    <w:semiHidden/>
    <w:qFormat/>
    <w:uiPriority w:val="99"/>
    <w:rPr>
      <w:rFonts w:ascii="Times New Roman" w:hAnsi="Times New Roman" w:cs="Times New Roman"/>
    </w:rPr>
  </w:style>
  <w:style w:type="character" w:styleId="45">
    <w:name w:val="FollowedHyperlink"/>
    <w:semiHidden/>
    <w:qFormat/>
    <w:uiPriority w:val="99"/>
    <w:rPr>
      <w:color w:val="800080"/>
      <w:u w:val="single"/>
    </w:rPr>
  </w:style>
  <w:style w:type="character" w:styleId="46">
    <w:name w:val="Hyperlink"/>
    <w:qFormat/>
    <w:uiPriority w:val="99"/>
    <w:rPr>
      <w:color w:val="0000FF"/>
      <w:u w:val="single"/>
    </w:rPr>
  </w:style>
  <w:style w:type="character" w:styleId="47">
    <w:name w:val="annotation reference"/>
    <w:qFormat/>
    <w:uiPriority w:val="0"/>
    <w:rPr>
      <w:rFonts w:ascii="Times New Roman" w:hAnsi="Times New Roman" w:cs="Times New Roman"/>
      <w:sz w:val="21"/>
      <w:szCs w:val="21"/>
    </w:rPr>
  </w:style>
  <w:style w:type="character" w:customStyle="1" w:styleId="48">
    <w:name w:val="标题 1 字符"/>
    <w:link w:val="2"/>
    <w:qFormat/>
    <w:locked/>
    <w:uiPriority w:val="99"/>
    <w:rPr>
      <w:rFonts w:ascii="宋体" w:hAnsi="Times New Roman" w:cs="宋体"/>
      <w:sz w:val="28"/>
      <w:szCs w:val="28"/>
    </w:rPr>
  </w:style>
  <w:style w:type="character" w:customStyle="1" w:styleId="49">
    <w:name w:val="标题 2 字符"/>
    <w:link w:val="3"/>
    <w:qFormat/>
    <w:locked/>
    <w:uiPriority w:val="99"/>
    <w:rPr>
      <w:rFonts w:ascii="宋体" w:hAnsi="Arial" w:eastAsia="宋体" w:cs="宋体"/>
      <w:sz w:val="32"/>
      <w:szCs w:val="32"/>
      <w:lang w:val="en-US" w:eastAsia="zh-CN"/>
    </w:rPr>
  </w:style>
  <w:style w:type="character" w:customStyle="1" w:styleId="50">
    <w:name w:val="标题 3 字符"/>
    <w:link w:val="4"/>
    <w:semiHidden/>
    <w:qFormat/>
    <w:locked/>
    <w:uiPriority w:val="99"/>
    <w:rPr>
      <w:rFonts w:eastAsia="宋体"/>
      <w:b/>
      <w:bCs/>
      <w:sz w:val="32"/>
      <w:szCs w:val="32"/>
      <w:lang w:val="en-US" w:eastAsia="zh-CN"/>
    </w:rPr>
  </w:style>
  <w:style w:type="character" w:customStyle="1" w:styleId="51">
    <w:name w:val="标题 4 字符"/>
    <w:link w:val="5"/>
    <w:semiHidden/>
    <w:qFormat/>
    <w:locked/>
    <w:uiPriority w:val="99"/>
    <w:rPr>
      <w:rFonts w:ascii="Arial" w:hAnsi="Arial" w:eastAsia="黑体" w:cs="Arial"/>
      <w:b/>
      <w:bCs/>
      <w:sz w:val="28"/>
      <w:szCs w:val="28"/>
      <w:lang w:val="en-US" w:eastAsia="zh-CN"/>
    </w:rPr>
  </w:style>
  <w:style w:type="character" w:customStyle="1" w:styleId="52">
    <w:name w:val="标题 5 字符"/>
    <w:link w:val="6"/>
    <w:semiHidden/>
    <w:qFormat/>
    <w:locked/>
    <w:uiPriority w:val="99"/>
    <w:rPr>
      <w:rFonts w:eastAsia="宋体"/>
      <w:b/>
      <w:bCs/>
      <w:sz w:val="28"/>
      <w:szCs w:val="28"/>
      <w:lang w:val="en-US" w:eastAsia="zh-CN"/>
    </w:rPr>
  </w:style>
  <w:style w:type="character" w:customStyle="1" w:styleId="53">
    <w:name w:val="标题 6 字符"/>
    <w:link w:val="7"/>
    <w:semiHidden/>
    <w:qFormat/>
    <w:locked/>
    <w:uiPriority w:val="99"/>
    <w:rPr>
      <w:rFonts w:ascii="Arial" w:hAnsi="Arial" w:eastAsia="黑体" w:cs="Arial"/>
      <w:b/>
      <w:bCs/>
      <w:sz w:val="24"/>
      <w:szCs w:val="24"/>
      <w:lang w:val="en-US" w:eastAsia="zh-CN"/>
    </w:rPr>
  </w:style>
  <w:style w:type="character" w:customStyle="1" w:styleId="54">
    <w:name w:val="标题 7 字符"/>
    <w:link w:val="8"/>
    <w:semiHidden/>
    <w:qFormat/>
    <w:locked/>
    <w:uiPriority w:val="99"/>
    <w:rPr>
      <w:rFonts w:eastAsia="宋体"/>
      <w:b/>
      <w:bCs/>
      <w:sz w:val="24"/>
      <w:szCs w:val="24"/>
      <w:lang w:val="en-US" w:eastAsia="zh-CN"/>
    </w:rPr>
  </w:style>
  <w:style w:type="character" w:customStyle="1" w:styleId="55">
    <w:name w:val="标题 8 字符"/>
    <w:link w:val="9"/>
    <w:semiHidden/>
    <w:qFormat/>
    <w:locked/>
    <w:uiPriority w:val="99"/>
    <w:rPr>
      <w:rFonts w:ascii="Arial" w:hAnsi="Arial" w:eastAsia="黑体" w:cs="Arial"/>
      <w:sz w:val="24"/>
      <w:szCs w:val="24"/>
      <w:lang w:val="en-US" w:eastAsia="zh-CN"/>
    </w:rPr>
  </w:style>
  <w:style w:type="character" w:customStyle="1" w:styleId="56">
    <w:name w:val="标题 9 字符"/>
    <w:link w:val="10"/>
    <w:semiHidden/>
    <w:qFormat/>
    <w:locked/>
    <w:uiPriority w:val="99"/>
    <w:rPr>
      <w:rFonts w:ascii="Arial" w:hAnsi="Arial" w:eastAsia="黑体" w:cs="Arial"/>
      <w:sz w:val="21"/>
      <w:szCs w:val="21"/>
      <w:lang w:val="en-US" w:eastAsia="zh-CN"/>
    </w:rPr>
  </w:style>
  <w:style w:type="character" w:customStyle="1" w:styleId="57">
    <w:name w:val="文档结构图 字符"/>
    <w:link w:val="14"/>
    <w:semiHidden/>
    <w:qFormat/>
    <w:locked/>
    <w:uiPriority w:val="99"/>
    <w:rPr>
      <w:rFonts w:ascii="Times New Roman" w:hAnsi="Times New Roman" w:eastAsia="宋体" w:cs="Times New Roman"/>
      <w:sz w:val="24"/>
      <w:szCs w:val="24"/>
      <w:shd w:val="clear" w:color="auto" w:fill="000080"/>
    </w:rPr>
  </w:style>
  <w:style w:type="character" w:customStyle="1" w:styleId="58">
    <w:name w:val="批注文字 字符"/>
    <w:link w:val="15"/>
    <w:qFormat/>
    <w:locked/>
    <w:uiPriority w:val="0"/>
    <w:rPr>
      <w:rFonts w:ascii="Times New Roman" w:hAnsi="Times New Roman" w:eastAsia="宋体" w:cs="Times New Roman"/>
      <w:sz w:val="24"/>
      <w:szCs w:val="24"/>
    </w:rPr>
  </w:style>
  <w:style w:type="character" w:customStyle="1" w:styleId="59">
    <w:name w:val="正文文本 3 字符"/>
    <w:link w:val="16"/>
    <w:qFormat/>
    <w:locked/>
    <w:uiPriority w:val="99"/>
    <w:rPr>
      <w:rFonts w:ascii="Times New Roman" w:hAnsi="Times New Roman" w:eastAsia="宋体" w:cs="Times New Roman"/>
      <w:sz w:val="16"/>
      <w:szCs w:val="16"/>
    </w:rPr>
  </w:style>
  <w:style w:type="character" w:customStyle="1" w:styleId="60">
    <w:name w:val="正文文本 字符"/>
    <w:link w:val="17"/>
    <w:semiHidden/>
    <w:qFormat/>
    <w:locked/>
    <w:uiPriority w:val="99"/>
    <w:rPr>
      <w:rFonts w:ascii="Times New Roman" w:hAnsi="Times New Roman" w:eastAsia="宋体" w:cs="Times New Roman"/>
      <w:sz w:val="24"/>
      <w:szCs w:val="24"/>
    </w:rPr>
  </w:style>
  <w:style w:type="character" w:customStyle="1" w:styleId="61">
    <w:name w:val="正文文本缩进 字符"/>
    <w:link w:val="18"/>
    <w:qFormat/>
    <w:locked/>
    <w:uiPriority w:val="99"/>
    <w:rPr>
      <w:rFonts w:ascii="宋体" w:hAnsi="Times New Roman" w:eastAsia="宋体" w:cs="宋体"/>
      <w:sz w:val="20"/>
      <w:szCs w:val="20"/>
    </w:rPr>
  </w:style>
  <w:style w:type="character" w:customStyle="1" w:styleId="62">
    <w:name w:val="纯文本 字符"/>
    <w:link w:val="22"/>
    <w:qFormat/>
    <w:locked/>
    <w:uiPriority w:val="0"/>
    <w:rPr>
      <w:rFonts w:ascii="宋体" w:hAnsi="Courier New" w:eastAsia="宋体" w:cs="宋体"/>
      <w:sz w:val="20"/>
      <w:szCs w:val="20"/>
    </w:rPr>
  </w:style>
  <w:style w:type="character" w:customStyle="1" w:styleId="63">
    <w:name w:val="日期 字符"/>
    <w:link w:val="24"/>
    <w:semiHidden/>
    <w:qFormat/>
    <w:locked/>
    <w:uiPriority w:val="99"/>
    <w:rPr>
      <w:rFonts w:ascii="仿宋_GB2312" w:hAnsi="Times New Roman" w:eastAsia="仿宋_GB2312" w:cs="仿宋_GB2312"/>
      <w:b/>
      <w:bCs/>
      <w:sz w:val="24"/>
      <w:szCs w:val="24"/>
    </w:rPr>
  </w:style>
  <w:style w:type="character" w:customStyle="1" w:styleId="64">
    <w:name w:val="正文文本缩进 2 字符"/>
    <w:link w:val="25"/>
    <w:semiHidden/>
    <w:qFormat/>
    <w:locked/>
    <w:uiPriority w:val="99"/>
    <w:rPr>
      <w:rFonts w:ascii="Times New Roman" w:hAnsi="Times New Roman" w:eastAsia="宋体" w:cs="Times New Roman"/>
      <w:sz w:val="24"/>
      <w:szCs w:val="24"/>
    </w:rPr>
  </w:style>
  <w:style w:type="character" w:customStyle="1" w:styleId="65">
    <w:name w:val="尾注文本 字符"/>
    <w:link w:val="26"/>
    <w:uiPriority w:val="0"/>
    <w:rPr>
      <w:rFonts w:ascii="宋体" w:hAnsi="宋体"/>
      <w:kern w:val="2"/>
      <w:sz w:val="21"/>
      <w:szCs w:val="22"/>
    </w:rPr>
  </w:style>
  <w:style w:type="character" w:customStyle="1" w:styleId="66">
    <w:name w:val="批注框文本 字符"/>
    <w:link w:val="27"/>
    <w:semiHidden/>
    <w:qFormat/>
    <w:locked/>
    <w:uiPriority w:val="99"/>
    <w:rPr>
      <w:rFonts w:ascii="Times New Roman" w:hAnsi="Times New Roman" w:eastAsia="宋体" w:cs="Times New Roman"/>
      <w:sz w:val="18"/>
      <w:szCs w:val="18"/>
    </w:rPr>
  </w:style>
  <w:style w:type="character" w:customStyle="1" w:styleId="67">
    <w:name w:val="页脚 字符"/>
    <w:link w:val="28"/>
    <w:qFormat/>
    <w:locked/>
    <w:uiPriority w:val="99"/>
    <w:rPr>
      <w:sz w:val="18"/>
      <w:szCs w:val="18"/>
    </w:rPr>
  </w:style>
  <w:style w:type="character" w:customStyle="1" w:styleId="68">
    <w:name w:val="页眉 字符"/>
    <w:link w:val="29"/>
    <w:qFormat/>
    <w:locked/>
    <w:uiPriority w:val="99"/>
    <w:rPr>
      <w:sz w:val="18"/>
      <w:szCs w:val="18"/>
    </w:rPr>
  </w:style>
  <w:style w:type="character" w:customStyle="1" w:styleId="69">
    <w:name w:val="副标题 字符"/>
    <w:link w:val="32"/>
    <w:qFormat/>
    <w:locked/>
    <w:uiPriority w:val="99"/>
    <w:rPr>
      <w:rFonts w:ascii="Calibri Light" w:hAnsi="Calibri Light" w:eastAsia="宋体" w:cs="Calibri Light"/>
      <w:b/>
      <w:bCs/>
      <w:kern w:val="28"/>
      <w:sz w:val="20"/>
      <w:szCs w:val="20"/>
    </w:rPr>
  </w:style>
  <w:style w:type="character" w:customStyle="1" w:styleId="70">
    <w:name w:val="正文文本缩进 3 字符"/>
    <w:link w:val="34"/>
    <w:semiHidden/>
    <w:qFormat/>
    <w:locked/>
    <w:uiPriority w:val="99"/>
    <w:rPr>
      <w:rFonts w:ascii="Times New Roman" w:hAnsi="宋体" w:eastAsia="宋体" w:cs="Times New Roman"/>
      <w:sz w:val="24"/>
      <w:szCs w:val="24"/>
    </w:rPr>
  </w:style>
  <w:style w:type="character" w:customStyle="1" w:styleId="71">
    <w:name w:val="正文文本 2 字符"/>
    <w:link w:val="37"/>
    <w:semiHidden/>
    <w:qFormat/>
    <w:locked/>
    <w:uiPriority w:val="99"/>
    <w:rPr>
      <w:rFonts w:ascii="Times New Roman" w:hAnsi="Times New Roman" w:eastAsia="楷体_GB2312" w:cs="Times New Roman"/>
      <w:b/>
      <w:bCs/>
      <w:sz w:val="24"/>
      <w:szCs w:val="24"/>
    </w:rPr>
  </w:style>
  <w:style w:type="character" w:customStyle="1" w:styleId="72">
    <w:name w:val="标题 字符"/>
    <w:link w:val="39"/>
    <w:qFormat/>
    <w:locked/>
    <w:uiPriority w:val="99"/>
    <w:rPr>
      <w:rFonts w:ascii="Cambria" w:hAnsi="Cambria" w:eastAsia="宋体" w:cs="Cambria"/>
      <w:b/>
      <w:bCs/>
      <w:kern w:val="0"/>
      <w:sz w:val="20"/>
      <w:szCs w:val="20"/>
    </w:rPr>
  </w:style>
  <w:style w:type="character" w:customStyle="1" w:styleId="73">
    <w:name w:val="批注主题 字符"/>
    <w:link w:val="40"/>
    <w:semiHidden/>
    <w:qFormat/>
    <w:locked/>
    <w:uiPriority w:val="99"/>
    <w:rPr>
      <w:rFonts w:ascii="Times New Roman" w:hAnsi="Times New Roman" w:eastAsia="宋体" w:cs="Times New Roman"/>
      <w:b/>
      <w:bCs/>
      <w:sz w:val="24"/>
      <w:szCs w:val="24"/>
    </w:rPr>
  </w:style>
  <w:style w:type="paragraph" w:customStyle="1" w:styleId="74">
    <w:name w:val="TOC 标题1"/>
    <w:basedOn w:val="2"/>
    <w:next w:val="1"/>
    <w:qFormat/>
    <w:uiPriority w:val="99"/>
    <w:pPr>
      <w:spacing w:before="480" w:after="0" w:line="276" w:lineRule="auto"/>
      <w:ind w:left="0" w:firstLine="0"/>
      <w:outlineLvl w:val="9"/>
    </w:pPr>
    <w:rPr>
      <w:rFonts w:ascii="Cambria" w:hAnsi="Cambria" w:cs="Cambria"/>
      <w:b/>
      <w:bCs/>
      <w:color w:val="365F91"/>
    </w:rPr>
  </w:style>
  <w:style w:type="paragraph" w:customStyle="1" w:styleId="75">
    <w:name w:val="xl26"/>
    <w:basedOn w:val="1"/>
    <w:next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6">
    <w:name w:val="font0"/>
    <w:basedOn w:val="1"/>
    <w:next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77">
    <w:name w:val="Intense Quote Char"/>
    <w:link w:val="78"/>
    <w:qFormat/>
    <w:locked/>
    <w:uiPriority w:val="99"/>
    <w:rPr>
      <w:b/>
      <w:bCs/>
      <w:i/>
      <w:iCs/>
      <w:color w:val="4F81BD"/>
      <w:sz w:val="22"/>
      <w:szCs w:val="22"/>
    </w:rPr>
  </w:style>
  <w:style w:type="paragraph" w:customStyle="1" w:styleId="78">
    <w:name w:val="明显引用1"/>
    <w:basedOn w:val="1"/>
    <w:next w:val="1"/>
    <w:link w:val="77"/>
    <w:qFormat/>
    <w:uiPriority w:val="99"/>
    <w:pPr>
      <w:pBdr>
        <w:bottom w:val="single" w:color="4F81BD" w:sz="4" w:space="4"/>
      </w:pBdr>
      <w:spacing w:before="200" w:after="280"/>
      <w:ind w:left="936" w:right="936"/>
    </w:pPr>
    <w:rPr>
      <w:rFonts w:cs="Times New Roman"/>
      <w:b/>
      <w:bCs/>
      <w:i/>
      <w:iCs/>
      <w:color w:val="4F81BD"/>
      <w:kern w:val="0"/>
      <w:sz w:val="22"/>
      <w:szCs w:val="22"/>
    </w:rPr>
  </w:style>
  <w:style w:type="paragraph" w:customStyle="1" w:styleId="79">
    <w:name w:val="Default"/>
    <w:next w:val="1"/>
    <w:qFormat/>
    <w:uiPriority w:val="99"/>
    <w:pPr>
      <w:widowControl w:val="0"/>
      <w:autoSpaceDE w:val="0"/>
      <w:autoSpaceDN w:val="0"/>
      <w:adjustRightInd w:val="0"/>
    </w:pPr>
    <w:rPr>
      <w:rFonts w:ascii="Times New Roman" w:hAnsi="Times New Roman"/>
      <w:color w:val="000000"/>
      <w:sz w:val="24"/>
      <w:szCs w:val="24"/>
      <w:lang w:val="en-US" w:eastAsia="zh-CN" w:bidi="ar-SA"/>
    </w:rPr>
  </w:style>
  <w:style w:type="paragraph" w:customStyle="1" w:styleId="80">
    <w:name w:val="文一"/>
    <w:basedOn w:val="1"/>
    <w:next w:val="1"/>
    <w:link w:val="81"/>
    <w:qFormat/>
    <w:uiPriority w:val="0"/>
    <w:pPr>
      <w:topLinePunct/>
      <w:adjustRightInd w:val="0"/>
      <w:snapToGrid w:val="0"/>
      <w:spacing w:line="360" w:lineRule="auto"/>
      <w:ind w:firstLine="200" w:firstLineChars="200"/>
    </w:pPr>
    <w:rPr>
      <w:rFonts w:ascii="Times New Roman" w:hAnsi="Times New Roman" w:cs="Times New Roman"/>
      <w:spacing w:val="4"/>
      <w:kern w:val="0"/>
      <w:sz w:val="24"/>
      <w:szCs w:val="24"/>
    </w:rPr>
  </w:style>
  <w:style w:type="character" w:customStyle="1" w:styleId="81">
    <w:name w:val="文一 Char Char"/>
    <w:link w:val="80"/>
    <w:qFormat/>
    <w:uiPriority w:val="0"/>
    <w:rPr>
      <w:rFonts w:ascii="Times New Roman" w:hAnsi="Times New Roman"/>
      <w:spacing w:val="4"/>
      <w:sz w:val="24"/>
      <w:szCs w:val="24"/>
    </w:rPr>
  </w:style>
  <w:style w:type="paragraph" w:customStyle="1" w:styleId="82">
    <w:name w:val="Char"/>
    <w:basedOn w:val="1"/>
    <w:next w:val="1"/>
    <w:qFormat/>
    <w:uiPriority w:val="99"/>
    <w:rPr>
      <w:rFonts w:ascii="Times New Roman" w:hAnsi="Times New Roman" w:cs="Times New Roman"/>
    </w:rPr>
  </w:style>
  <w:style w:type="paragraph" w:customStyle="1" w:styleId="83">
    <w:name w:val="Normal_0"/>
    <w:next w:val="1"/>
    <w:qFormat/>
    <w:uiPriority w:val="99"/>
    <w:pPr>
      <w:spacing w:before="120" w:after="240"/>
      <w:jc w:val="both"/>
    </w:pPr>
    <w:rPr>
      <w:rFonts w:cs="Calibri"/>
      <w:sz w:val="22"/>
      <w:szCs w:val="22"/>
      <w:lang w:val="ru-RU" w:eastAsia="en-US" w:bidi="ar-SA"/>
    </w:rPr>
  </w:style>
  <w:style w:type="paragraph" w:customStyle="1" w:styleId="84">
    <w:name w:val="zhang"/>
    <w:basedOn w:val="1"/>
    <w:next w:val="1"/>
    <w:qFormat/>
    <w:uiPriority w:val="99"/>
    <w:pPr>
      <w:widowControl/>
      <w:spacing w:before="100" w:beforeAutospacing="1" w:after="100" w:afterAutospacing="1"/>
      <w:jc w:val="left"/>
    </w:pPr>
    <w:rPr>
      <w:rFonts w:ascii="宋体" w:hAnsi="宋体" w:cs="宋体"/>
      <w:b/>
      <w:bCs/>
      <w:smallCaps/>
      <w:color w:val="000000"/>
      <w:kern w:val="0"/>
      <w:sz w:val="20"/>
      <w:szCs w:val="20"/>
    </w:rPr>
  </w:style>
  <w:style w:type="character" w:customStyle="1" w:styleId="85">
    <w:name w:val="p0 Char Char"/>
    <w:link w:val="86"/>
    <w:qFormat/>
    <w:locked/>
    <w:uiPriority w:val="99"/>
    <w:rPr>
      <w:rFonts w:ascii="Times New Roman" w:hAnsi="Times New Roman" w:eastAsia="宋体" w:cs="Times New Roman"/>
      <w:kern w:val="0"/>
      <w:sz w:val="21"/>
      <w:szCs w:val="21"/>
    </w:rPr>
  </w:style>
  <w:style w:type="paragraph" w:customStyle="1" w:styleId="86">
    <w:name w:val="p0"/>
    <w:basedOn w:val="1"/>
    <w:next w:val="1"/>
    <w:link w:val="85"/>
    <w:qFormat/>
    <w:uiPriority w:val="99"/>
    <w:pPr>
      <w:widowControl/>
    </w:pPr>
    <w:rPr>
      <w:rFonts w:ascii="Times New Roman" w:hAnsi="Times New Roman" w:cs="Times New Roman"/>
      <w:kern w:val="0"/>
    </w:rPr>
  </w:style>
  <w:style w:type="paragraph" w:customStyle="1" w:styleId="87">
    <w:name w:val="Char Char Char Char Char Char Char"/>
    <w:basedOn w:val="1"/>
    <w:next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88">
    <w:name w:val="CM31"/>
    <w:basedOn w:val="79"/>
    <w:next w:val="79"/>
    <w:qFormat/>
    <w:uiPriority w:val="99"/>
    <w:pPr>
      <w:spacing w:line="426" w:lineRule="atLeast"/>
    </w:pPr>
    <w:rPr>
      <w:color w:val="auto"/>
    </w:rPr>
  </w:style>
  <w:style w:type="paragraph" w:customStyle="1" w:styleId="89">
    <w:name w:val="CM35"/>
    <w:basedOn w:val="79"/>
    <w:next w:val="79"/>
    <w:qFormat/>
    <w:uiPriority w:val="99"/>
    <w:rPr>
      <w:color w:val="auto"/>
    </w:rPr>
  </w:style>
  <w:style w:type="paragraph" w:customStyle="1" w:styleId="90">
    <w:name w:val="CM25"/>
    <w:basedOn w:val="79"/>
    <w:next w:val="79"/>
    <w:qFormat/>
    <w:uiPriority w:val="99"/>
    <w:pPr>
      <w:spacing w:line="426" w:lineRule="atLeast"/>
    </w:pPr>
    <w:rPr>
      <w:color w:val="auto"/>
    </w:rPr>
  </w:style>
  <w:style w:type="paragraph" w:customStyle="1" w:styleId="91">
    <w:name w:val="CM5"/>
    <w:basedOn w:val="79"/>
    <w:next w:val="79"/>
    <w:qFormat/>
    <w:uiPriority w:val="99"/>
    <w:pPr>
      <w:spacing w:line="428" w:lineRule="atLeast"/>
    </w:pPr>
    <w:rPr>
      <w:color w:val="auto"/>
    </w:rPr>
  </w:style>
  <w:style w:type="paragraph" w:customStyle="1" w:styleId="92">
    <w:name w:val="CM6"/>
    <w:basedOn w:val="79"/>
    <w:next w:val="79"/>
    <w:qFormat/>
    <w:uiPriority w:val="99"/>
    <w:pPr>
      <w:spacing w:line="428" w:lineRule="atLeast"/>
    </w:pPr>
    <w:rPr>
      <w:color w:val="auto"/>
    </w:rPr>
  </w:style>
  <w:style w:type="paragraph" w:customStyle="1" w:styleId="93">
    <w:name w:val="CM39"/>
    <w:basedOn w:val="79"/>
    <w:next w:val="79"/>
    <w:qFormat/>
    <w:uiPriority w:val="99"/>
    <w:rPr>
      <w:color w:val="auto"/>
    </w:rPr>
  </w:style>
  <w:style w:type="paragraph" w:customStyle="1" w:styleId="94">
    <w:name w:val="_Style 4"/>
    <w:basedOn w:val="2"/>
    <w:next w:val="1"/>
    <w:qFormat/>
    <w:uiPriority w:val="99"/>
    <w:pPr>
      <w:widowControl w:val="0"/>
      <w:spacing w:line="576" w:lineRule="auto"/>
      <w:ind w:left="0" w:firstLine="0"/>
      <w:jc w:val="both"/>
      <w:outlineLvl w:val="9"/>
    </w:pPr>
    <w:rPr>
      <w:rFonts w:ascii="Calibri" w:hAnsi="Calibri" w:cs="Calibri"/>
      <w:b/>
      <w:bCs/>
      <w:kern w:val="44"/>
      <w:sz w:val="44"/>
      <w:szCs w:val="44"/>
    </w:rPr>
  </w:style>
  <w:style w:type="character" w:customStyle="1" w:styleId="95">
    <w:name w:val="Char Char10"/>
    <w:qFormat/>
    <w:uiPriority w:val="99"/>
    <w:rPr>
      <w:rFonts w:ascii="宋体" w:hAnsi="Courier New" w:eastAsia="宋体" w:cs="宋体"/>
      <w:kern w:val="2"/>
      <w:sz w:val="24"/>
      <w:szCs w:val="24"/>
      <w:lang w:val="en-US" w:eastAsia="zh-CN"/>
    </w:rPr>
  </w:style>
  <w:style w:type="character" w:customStyle="1" w:styleId="96">
    <w:name w:val="textcontents1"/>
    <w:qFormat/>
    <w:uiPriority w:val="99"/>
    <w:rPr>
      <w:color w:val="000000"/>
      <w:sz w:val="22"/>
      <w:szCs w:val="22"/>
    </w:rPr>
  </w:style>
  <w:style w:type="character" w:customStyle="1" w:styleId="97">
    <w:name w:val="apple-style-span"/>
    <w:qFormat/>
    <w:uiPriority w:val="0"/>
  </w:style>
  <w:style w:type="character" w:customStyle="1" w:styleId="98">
    <w:name w:val="textcontents"/>
    <w:qFormat/>
    <w:uiPriority w:val="99"/>
  </w:style>
  <w:style w:type="character" w:customStyle="1" w:styleId="99">
    <w:name w:val="Char Char3"/>
    <w:qFormat/>
    <w:uiPriority w:val="99"/>
    <w:rPr>
      <w:rFonts w:ascii="宋体" w:hAnsi="宋体" w:eastAsia="宋体" w:cs="宋体"/>
      <w:sz w:val="18"/>
      <w:szCs w:val="18"/>
      <w:lang w:val="en-US" w:eastAsia="zh-CN"/>
    </w:rPr>
  </w:style>
  <w:style w:type="character" w:customStyle="1" w:styleId="100">
    <w:name w:val="15"/>
    <w:qFormat/>
    <w:uiPriority w:val="99"/>
    <w:rPr>
      <w:rFonts w:ascii="Times New Roman" w:hAnsi="Times New Roman" w:cs="Times New Roman"/>
      <w:color w:val="auto"/>
      <w:u w:val="none"/>
    </w:rPr>
  </w:style>
  <w:style w:type="paragraph" w:customStyle="1" w:styleId="101">
    <w:name w:val="列出段落1"/>
    <w:basedOn w:val="1"/>
    <w:qFormat/>
    <w:uiPriority w:val="99"/>
    <w:pPr>
      <w:ind w:firstLine="420" w:firstLineChars="200"/>
    </w:pPr>
  </w:style>
  <w:style w:type="paragraph" w:customStyle="1" w:styleId="102">
    <w:name w:val="x_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03">
    <w:name w:val="Revision"/>
    <w:semiHidden/>
    <w:qFormat/>
    <w:uiPriority w:val="99"/>
    <w:rPr>
      <w:rFonts w:cs="Calibri"/>
      <w:kern w:val="2"/>
      <w:sz w:val="21"/>
      <w:szCs w:val="21"/>
      <w:lang w:val="en-US" w:eastAsia="zh-CN" w:bidi="ar-SA"/>
    </w:rPr>
  </w:style>
  <w:style w:type="paragraph" w:styleId="104">
    <w:name w:val="List Paragraph"/>
    <w:basedOn w:val="1"/>
    <w:qFormat/>
    <w:uiPriority w:val="99"/>
    <w:pPr>
      <w:ind w:firstLine="420" w:firstLineChars="200"/>
    </w:pPr>
  </w:style>
  <w:style w:type="character" w:customStyle="1" w:styleId="105">
    <w:name w:val="ggnr1"/>
    <w:qFormat/>
    <w:uiPriority w:val="0"/>
    <w:rPr>
      <w:sz w:val="26"/>
      <w:szCs w:val="26"/>
    </w:rPr>
  </w:style>
  <w:style w:type="paragraph" w:customStyle="1" w:styleId="106">
    <w:name w:val="样式 标题 3 + (中文) 黑体 小四 非加粗 段前: 7.8 磅 段后: 0 磅 行距: 固定值 20 磅"/>
    <w:basedOn w:val="4"/>
    <w:qFormat/>
    <w:uiPriority w:val="0"/>
    <w:pPr>
      <w:widowControl w:val="0"/>
      <w:numPr>
        <w:ilvl w:val="0"/>
        <w:numId w:val="0"/>
      </w:numPr>
      <w:tabs>
        <w:tab w:val="left" w:pos="360"/>
        <w:tab w:val="clear" w:pos="1287"/>
      </w:tabs>
      <w:spacing w:before="0" w:after="0" w:line="400" w:lineRule="exact"/>
      <w:jc w:val="both"/>
    </w:pPr>
    <w:rPr>
      <w:rFonts w:eastAsia="黑体" w:cs="宋体"/>
      <w:b w:val="0"/>
      <w:bCs w:val="0"/>
      <w:kern w:val="2"/>
      <w:sz w:val="24"/>
      <w:szCs w:val="20"/>
    </w:rPr>
  </w:style>
  <w:style w:type="paragraph" w:customStyle="1" w:styleId="107">
    <w:name w:val="Blockquote"/>
    <w:basedOn w:val="1"/>
    <w:qFormat/>
    <w:uiPriority w:val="0"/>
    <w:pPr>
      <w:autoSpaceDE w:val="0"/>
      <w:autoSpaceDN w:val="0"/>
      <w:adjustRightInd w:val="0"/>
      <w:spacing w:before="100" w:after="100"/>
      <w:ind w:left="360" w:right="360"/>
      <w:jc w:val="left"/>
    </w:pPr>
    <w:rPr>
      <w:rFonts w:ascii="Times New Roman" w:hAnsi="Times New Roman" w:cs="Times New Roman"/>
      <w:kern w:val="0"/>
      <w:sz w:val="24"/>
      <w:szCs w:val="20"/>
    </w:rPr>
  </w:style>
  <w:style w:type="paragraph" w:customStyle="1" w:styleId="108">
    <w:name w:val="表头"/>
    <w:basedOn w:val="1"/>
    <w:qFormat/>
    <w:uiPriority w:val="0"/>
    <w:pPr>
      <w:spacing w:line="360" w:lineRule="auto"/>
      <w:jc w:val="center"/>
    </w:pPr>
    <w:rPr>
      <w:rFonts w:ascii="黑体" w:hAnsi="Times New Roman" w:eastAsia="黑体" w:cs="Times New Roman"/>
      <w:kern w:val="0"/>
      <w:sz w:val="24"/>
      <w:szCs w:val="20"/>
    </w:rPr>
  </w:style>
  <w:style w:type="paragraph" w:customStyle="1" w:styleId="109">
    <w:name w:val="普通 (Web)"/>
    <w:basedOn w:val="1"/>
    <w:qFormat/>
    <w:uiPriority w:val="0"/>
    <w:pPr>
      <w:widowControl/>
      <w:spacing w:before="100" w:after="100"/>
      <w:jc w:val="left"/>
    </w:pPr>
    <w:rPr>
      <w:rFonts w:ascii="Arial Unicode MS" w:hAnsi="Arial Unicode MS" w:eastAsia="Arial Unicode MS" w:cs="Times New Roman"/>
      <w:kern w:val="0"/>
      <w:sz w:val="24"/>
      <w:szCs w:val="20"/>
    </w:rPr>
  </w:style>
  <w:style w:type="paragraph" w:styleId="110">
    <w:name w:val=""/>
    <w:unhideWhenUsed/>
    <w:uiPriority w:val="99"/>
    <w:rPr>
      <w:rFonts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217</Pages>
  <Words>135190</Words>
  <Characters>139891</Characters>
  <Lines>1484</Lines>
  <Paragraphs>417</Paragraphs>
  <TotalTime>321</TotalTime>
  <ScaleCrop>false</ScaleCrop>
  <LinksUpToDate>false</LinksUpToDate>
  <CharactersWithSpaces>195042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2023-12-15T01:43:00Z</dcterms:created>
  <dc:creator>aa</dc:creator>
  <cp:lastModifiedBy> </cp:lastModifiedBy>
  <cp:lastPrinted>2024-01-09T03:58:04Z</cp:lastPrinted>
  <dcterms:modified xsi:type="dcterms:W3CDTF">2024-07-29T05:46:37Z</dcterms:modified>
  <dc:title>SF-2019-0204</dc:title>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93071EAC99D2428CAAC49F2BB603A60A_13</vt:lpwstr>
  </property>
</Properties>
</file>