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CD45CE">
      <w:pPr>
        <w:jc w:val="center"/>
        <w:rPr>
          <w:rFonts w:ascii="宋体" w:hAnsi="宋体" w:eastAsia="宋体"/>
          <w:b/>
          <w:bCs/>
          <w:sz w:val="28"/>
          <w:szCs w:val="24"/>
        </w:rPr>
      </w:pPr>
      <w:r>
        <w:rPr>
          <w:rFonts w:hint="eastAsia" w:ascii="宋体" w:hAnsi="宋体" w:eastAsia="宋体"/>
          <w:b/>
          <w:kern w:val="32"/>
          <w:sz w:val="28"/>
          <w:szCs w:val="24"/>
          <w:u w:val="none"/>
        </w:rPr>
        <w:t>增城经济技术开发区仙村园区（南区）土方平整工程项目建设过程中产生的砂石土资源</w:t>
      </w:r>
      <w:r>
        <w:rPr>
          <w:rFonts w:hint="eastAsia" w:ascii="宋体" w:hAnsi="宋体" w:eastAsia="宋体"/>
          <w:b/>
          <w:kern w:val="32"/>
          <w:sz w:val="28"/>
          <w:szCs w:val="24"/>
        </w:rPr>
        <w:t>竞买</w:t>
      </w:r>
      <w:r>
        <w:rPr>
          <w:rFonts w:ascii="宋体" w:hAnsi="宋体" w:eastAsia="宋体"/>
          <w:b/>
          <w:kern w:val="32"/>
          <w:sz w:val="28"/>
          <w:szCs w:val="24"/>
        </w:rPr>
        <w:t>须知</w:t>
      </w:r>
    </w:p>
    <w:p w14:paraId="7D489A01">
      <w:pPr>
        <w:rPr>
          <w:rFonts w:ascii="宋体" w:hAnsi="宋体" w:eastAsia="宋体"/>
          <w:sz w:val="24"/>
          <w:szCs w:val="24"/>
        </w:rPr>
      </w:pPr>
    </w:p>
    <w:p w14:paraId="476BFA23">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一、</w:t>
      </w:r>
      <w:r>
        <w:rPr>
          <w:rFonts w:hint="eastAsia" w:ascii="宋体" w:hAnsi="宋体" w:eastAsia="宋体"/>
          <w:sz w:val="24"/>
          <w:szCs w:val="24"/>
          <w:lang w:eastAsia="zh-CN"/>
        </w:rPr>
        <w:t>增城经济技术开发区仙村园区（南区）土方平整工程项目建设过程中产生的砂石土资源</w:t>
      </w:r>
      <w:r>
        <w:rPr>
          <w:rFonts w:hint="eastAsia" w:ascii="宋体" w:hAnsi="宋体" w:eastAsia="宋体"/>
          <w:sz w:val="24"/>
          <w:szCs w:val="24"/>
        </w:rPr>
        <w:t>网上拍卖，是指广州交易集团有限公司（广州公共资源交易中心）（以下简称交易中心）接受广州市增城区</w:t>
      </w:r>
      <w:r>
        <w:rPr>
          <w:rFonts w:hint="eastAsia" w:ascii="宋体" w:hAnsi="宋体" w:eastAsia="宋体"/>
          <w:sz w:val="24"/>
          <w:szCs w:val="24"/>
          <w:lang w:eastAsia="zh-CN"/>
        </w:rPr>
        <w:t>仙村</w:t>
      </w:r>
      <w:r>
        <w:rPr>
          <w:rFonts w:hint="eastAsia" w:ascii="宋体" w:hAnsi="宋体" w:eastAsia="宋体"/>
          <w:sz w:val="24"/>
          <w:szCs w:val="24"/>
        </w:rPr>
        <w:t>镇人民政府（以下简称委托方）委托，在互联网和规定场所发布</w:t>
      </w:r>
      <w:r>
        <w:rPr>
          <w:rFonts w:hint="eastAsia" w:ascii="宋体" w:hAnsi="宋体" w:eastAsia="宋体"/>
          <w:sz w:val="24"/>
          <w:szCs w:val="24"/>
          <w:lang w:eastAsia="zh-CN"/>
        </w:rPr>
        <w:t>砂石土</w:t>
      </w:r>
      <w:r>
        <w:rPr>
          <w:rFonts w:hint="eastAsia" w:ascii="宋体" w:hAnsi="宋体" w:eastAsia="宋体"/>
          <w:sz w:val="24"/>
          <w:szCs w:val="24"/>
        </w:rPr>
        <w:t>矿产资源网上拍卖公告，通过广州交易集团有限公司（广州公共资源交易中心）土地矿业权网上交易系统（以下简称交易系统）接受竞买申请，组织竞买人参与网上拍卖，确认竞买资格，最终确定竞得人的活动。</w:t>
      </w:r>
    </w:p>
    <w:p w14:paraId="15CD49FB">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二</w:t>
      </w:r>
      <w:r>
        <w:rPr>
          <w:rFonts w:ascii="宋体" w:hAnsi="宋体" w:eastAsia="宋体"/>
          <w:sz w:val="24"/>
          <w:szCs w:val="24"/>
        </w:rPr>
        <w:t>、</w:t>
      </w:r>
      <w:r>
        <w:rPr>
          <w:rFonts w:hint="eastAsia" w:ascii="宋体" w:hAnsi="宋体" w:eastAsia="宋体"/>
          <w:sz w:val="24"/>
          <w:szCs w:val="24"/>
        </w:rPr>
        <w:t>本次拍卖</w:t>
      </w:r>
      <w:r>
        <w:rPr>
          <w:rFonts w:ascii="宋体" w:hAnsi="宋体" w:eastAsia="宋体"/>
          <w:sz w:val="24"/>
          <w:szCs w:val="24"/>
        </w:rPr>
        <w:t>遵循公开、公平、公正和诚实信用原则。</w:t>
      </w:r>
      <w:bookmarkStart w:id="0" w:name="_GoBack"/>
      <w:bookmarkEnd w:id="0"/>
    </w:p>
    <w:p w14:paraId="317246B2">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三、竞买人资格要求，以网上交易公告为准。</w:t>
      </w:r>
    </w:p>
    <w:p w14:paraId="3427A41E">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四、提交竞买申请之前，竞买人应当详细阅读</w:t>
      </w:r>
      <w:r>
        <w:rPr>
          <w:rFonts w:hint="eastAsia" w:ascii="宋体" w:hAnsi="宋体" w:eastAsia="宋体"/>
          <w:bCs/>
          <w:sz w:val="24"/>
          <w:szCs w:val="24"/>
          <w:lang w:eastAsia="zh-CN"/>
        </w:rPr>
        <w:t>砂石土</w:t>
      </w:r>
      <w:r>
        <w:rPr>
          <w:rFonts w:hint="eastAsia" w:ascii="宋体" w:hAnsi="宋体" w:eastAsia="宋体"/>
          <w:bCs/>
          <w:sz w:val="24"/>
          <w:szCs w:val="24"/>
        </w:rPr>
        <w:t>矿产资源</w:t>
      </w:r>
      <w:r>
        <w:rPr>
          <w:rFonts w:ascii="宋体" w:hAnsi="宋体" w:eastAsia="宋体"/>
          <w:bCs/>
          <w:sz w:val="24"/>
          <w:szCs w:val="24"/>
        </w:rPr>
        <w:t>网上</w:t>
      </w:r>
      <w:r>
        <w:rPr>
          <w:rFonts w:hint="eastAsia" w:ascii="宋体" w:hAnsi="宋体" w:eastAsia="宋体"/>
          <w:bCs/>
          <w:sz w:val="24"/>
          <w:szCs w:val="24"/>
        </w:rPr>
        <w:t>拍卖</w:t>
      </w:r>
      <w:r>
        <w:rPr>
          <w:rFonts w:ascii="宋体" w:hAnsi="宋体" w:eastAsia="宋体"/>
          <w:bCs/>
          <w:sz w:val="24"/>
          <w:szCs w:val="24"/>
        </w:rPr>
        <w:t>公告</w:t>
      </w:r>
      <w:r>
        <w:rPr>
          <w:rFonts w:hint="eastAsia" w:ascii="宋体" w:hAnsi="宋体" w:eastAsia="宋体"/>
          <w:sz w:val="24"/>
          <w:szCs w:val="24"/>
        </w:rPr>
        <w:t>等文件，必要时，应当自行实地看样，电话咨询（咨询电话：020-28866000）或前往现场咨询。竞买申请书一经提交，即视为竞买人对拍卖的</w:t>
      </w:r>
      <w:r>
        <w:rPr>
          <w:rFonts w:hint="eastAsia" w:ascii="宋体" w:hAnsi="宋体" w:eastAsia="宋体"/>
          <w:sz w:val="24"/>
          <w:szCs w:val="24"/>
          <w:lang w:eastAsia="zh-CN"/>
        </w:rPr>
        <w:t>砂石土</w:t>
      </w:r>
      <w:r>
        <w:rPr>
          <w:rFonts w:hint="eastAsia" w:ascii="宋体" w:hAnsi="宋体" w:eastAsia="宋体"/>
          <w:sz w:val="24"/>
          <w:szCs w:val="24"/>
        </w:rPr>
        <w:t>矿产资源现状、数量、</w:t>
      </w:r>
      <w:r>
        <w:rPr>
          <w:rFonts w:hint="eastAsia" w:ascii="宋体" w:hAnsi="宋体" w:eastAsia="宋体"/>
          <w:kern w:val="32"/>
          <w:sz w:val="24"/>
          <w:szCs w:val="24"/>
        </w:rPr>
        <w:t>有关风险、影响因素，以及</w:t>
      </w:r>
      <w:r>
        <w:rPr>
          <w:rFonts w:hint="eastAsia" w:ascii="宋体" w:hAnsi="宋体" w:eastAsia="宋体"/>
          <w:sz w:val="24"/>
          <w:szCs w:val="24"/>
        </w:rPr>
        <w:t>网上拍卖公告、评估报告、相关拍卖资料等已充分了解并无异议，由此产生的一切风险及后果由竞买人自行承担，</w:t>
      </w:r>
      <w:r>
        <w:rPr>
          <w:rFonts w:hint="eastAsia" w:ascii="宋体" w:hAnsi="宋体" w:eastAsia="宋体"/>
          <w:kern w:val="32"/>
          <w:sz w:val="24"/>
          <w:szCs w:val="24"/>
        </w:rPr>
        <w:t>委托方对此不承担责任。</w:t>
      </w:r>
    </w:p>
    <w:p w14:paraId="108919EE">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五、委托方认为需要对拍卖公告作出修改、补充时，将于网上交易申请截止日前在交易中心门户网站发布补充公告，不作另行通知，若因竞买人未自行及时关注交易中心门户网站发布的补充公告，由此产生的一切风险及后果由竞买人自行承担，委托方不对此承担责任。</w:t>
      </w:r>
    </w:p>
    <w:p w14:paraId="4248122E">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六、参与网上拍卖出让活动前，竞买人应前往交易中心二楼窗口办理CA数字证书及电子签章。竞买人办理的CA数字证书须与交易系统进行绑定，才能登录交易系统参与网上拍卖活动。办理资料及流程详见交易中心网门户网站（http://www.gzggzy.cn）服务指南/办事指引/CA及电子签章。</w:t>
      </w:r>
    </w:p>
    <w:p w14:paraId="00BFF51F">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七、网上拍卖申请程序</w:t>
      </w:r>
    </w:p>
    <w:p w14:paraId="5CDDB994">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（一）竞买人凭CA数字证书登录交易中心土地（矿业）权交易平台的企业库系统（http://www.gzggzy.cn/cms/index.html）办理企业信息登记入库；办理资料及流程详见交易中心网门户网站（</w:t>
      </w:r>
      <w:r>
        <w:fldChar w:fldCharType="begin"/>
      </w:r>
      <w:r>
        <w:instrText xml:space="preserve"> HYPERLINK "http://www.gzggzy.cn" </w:instrText>
      </w:r>
      <w:r>
        <w:fldChar w:fldCharType="separate"/>
      </w:r>
      <w:r>
        <w:rPr>
          <w:rStyle w:val="13"/>
          <w:rFonts w:hint="eastAsia" w:ascii="宋体" w:hAnsi="宋体" w:eastAsia="宋体"/>
          <w:color w:val="auto"/>
          <w:sz w:val="24"/>
          <w:szCs w:val="24"/>
        </w:rPr>
        <w:t>http://www.gzggzy.cn</w:t>
      </w:r>
      <w:r>
        <w:rPr>
          <w:rStyle w:val="13"/>
          <w:rFonts w:hint="eastAsia" w:ascii="宋体" w:hAnsi="宋体" w:eastAsia="宋体"/>
          <w:color w:val="auto"/>
          <w:sz w:val="24"/>
          <w:szCs w:val="24"/>
        </w:rPr>
        <w:fldChar w:fldCharType="end"/>
      </w:r>
      <w:r>
        <w:rPr>
          <w:rFonts w:hint="eastAsia" w:ascii="宋体" w:hAnsi="宋体" w:eastAsia="宋体"/>
          <w:sz w:val="24"/>
          <w:szCs w:val="24"/>
        </w:rPr>
        <w:t>）服务指南/办事指引/企业信息登记/自然资源类栏目《土地使用权及矿业（其他自然资源）权类企业信息登记办事指引》。</w:t>
      </w:r>
    </w:p>
    <w:p w14:paraId="239A33CB">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（二）企业库信息提交入库十分钟后，竞买人即可通过交易系统进行网上申请，并按照公告要求填报和上传相关申请资料；</w:t>
      </w:r>
    </w:p>
    <w:p w14:paraId="747EE8A5">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（三）竞买人应在公告约定截止时间前通过交易系统选择其中一间银行及相应币种（限人民币），并按照随机分配的银行子账号，按时足额缴纳保证金，交易系统以此子账号作为识别竞买人身份的依据；</w:t>
      </w:r>
    </w:p>
    <w:p w14:paraId="4BA500F2">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（四）竞买人登录交易系统在“保证金管理”栏目查询保证金缴纳状态，确认到账后，方可进入后续报价、竞价环节。</w:t>
      </w:r>
    </w:p>
    <w:p w14:paraId="588E15E0">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八、竞买人应在公告规定的申请截止日期前，通过交易系统提交网上申请，因未按公告要求导致上传资料不全或逾期提交的，将无法取得竞买或竞得资格。申请文件包括但不限于下列文件：</w:t>
      </w:r>
    </w:p>
    <w:p w14:paraId="0C183EDB">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1.竞买申请书；</w:t>
      </w:r>
    </w:p>
    <w:p w14:paraId="33648EB4">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2.营业执照副本；</w:t>
      </w:r>
    </w:p>
    <w:p w14:paraId="64C5B57E">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3.法定代表人证明及法人代表身份证复印件；</w:t>
      </w:r>
    </w:p>
    <w:p w14:paraId="7E87CDFF">
      <w:pPr>
        <w:shd w:val="clear" w:color="auto" w:fill="FFFFFF"/>
        <w:spacing w:line="360" w:lineRule="auto"/>
        <w:ind w:firstLine="480" w:firstLineChars="200"/>
        <w:rPr>
          <w:rFonts w:hint="eastAsia" w:ascii="宋体" w:hAnsi="宋体" w:eastAsia="宋体"/>
          <w:sz w:val="24"/>
          <w:szCs w:val="24"/>
        </w:rPr>
      </w:pPr>
      <w:r>
        <w:rPr>
          <w:rFonts w:hint="eastAsia" w:ascii="宋体" w:hAnsi="宋体" w:eastAsia="宋体"/>
          <w:sz w:val="24"/>
          <w:szCs w:val="24"/>
        </w:rPr>
        <w:t>4.授权委托书及代理人身份证复印件。</w:t>
      </w:r>
    </w:p>
    <w:p w14:paraId="2F55FAE2">
      <w:pPr>
        <w:shd w:val="clear" w:color="auto" w:fill="FFFFFF"/>
        <w:spacing w:line="360" w:lineRule="auto"/>
        <w:ind w:firstLine="480" w:firstLineChars="200"/>
        <w:rPr>
          <w:rFonts w:hint="eastAsia" w:ascii="宋体" w:hAnsi="宋体" w:eastAsia="宋体"/>
          <w:sz w:val="24"/>
          <w:szCs w:val="24"/>
        </w:rPr>
      </w:pPr>
      <w:r>
        <w:rPr>
          <w:rFonts w:hint="eastAsia" w:ascii="宋体" w:hAnsi="宋体" w:eastAsia="宋体"/>
          <w:sz w:val="24"/>
          <w:szCs w:val="24"/>
        </w:rPr>
        <w:t>5.竞买人必须为中华人民共和国境内注册登记的营利法人、非营利法人中的事业单位法人、个人独资企业、合伙企业或个体工商户，个人不得参与竞拍。</w:t>
      </w:r>
    </w:p>
    <w:p w14:paraId="404695EC">
      <w:pPr>
        <w:shd w:val="clear" w:color="auto" w:fill="FFFFFF"/>
        <w:spacing w:line="360" w:lineRule="auto"/>
        <w:ind w:firstLine="480" w:firstLineChars="200"/>
        <w:rPr>
          <w:rFonts w:hint="eastAsia" w:ascii="宋体" w:hAnsi="宋体" w:eastAsia="宋体"/>
          <w:sz w:val="24"/>
          <w:szCs w:val="24"/>
        </w:rPr>
      </w:pPr>
      <w:r>
        <w:rPr>
          <w:rFonts w:hint="eastAsia" w:ascii="宋体" w:hAnsi="宋体" w:eastAsia="宋体"/>
          <w:sz w:val="24"/>
          <w:szCs w:val="24"/>
        </w:rPr>
        <w:t>6.竞买人未被列入“信用中国”失信联合惩戒对象或失信黑名单。</w:t>
      </w:r>
    </w:p>
    <w:p w14:paraId="2F15B8B2">
      <w:pPr>
        <w:shd w:val="clear" w:color="auto" w:fill="FFFFFF"/>
        <w:spacing w:line="360" w:lineRule="auto"/>
        <w:ind w:firstLine="480" w:firstLineChars="200"/>
        <w:rPr>
          <w:rFonts w:hint="eastAsia" w:ascii="宋体" w:hAnsi="宋体" w:eastAsia="宋体"/>
          <w:sz w:val="24"/>
          <w:szCs w:val="24"/>
          <w:highlight w:val="none"/>
        </w:rPr>
      </w:pPr>
      <w:r>
        <w:rPr>
          <w:rFonts w:hint="eastAsia" w:ascii="宋体" w:hAnsi="宋体" w:eastAsia="宋体"/>
          <w:sz w:val="24"/>
          <w:szCs w:val="24"/>
        </w:rPr>
        <w:t>7.本次网上拍卖接受单独竞买，同时接受联合体竞买，但联合体双方需约定相</w:t>
      </w:r>
      <w:r>
        <w:rPr>
          <w:rFonts w:hint="eastAsia" w:ascii="宋体" w:hAnsi="宋体" w:eastAsia="宋体"/>
          <w:sz w:val="24"/>
          <w:szCs w:val="24"/>
          <w:highlight w:val="none"/>
        </w:rPr>
        <w:t>关的责任，本资格和要求由联合体任意一方或者双方组合补充后具备即可。</w:t>
      </w:r>
    </w:p>
    <w:p w14:paraId="0C7167BF">
      <w:pPr>
        <w:shd w:val="clear" w:color="auto" w:fill="FFFFFF"/>
        <w:spacing w:line="360" w:lineRule="auto"/>
        <w:ind w:firstLine="480" w:firstLineChars="200"/>
        <w:rPr>
          <w:rFonts w:hint="eastAsia" w:ascii="宋体" w:hAnsi="宋体" w:eastAsia="宋体"/>
          <w:sz w:val="24"/>
          <w:szCs w:val="24"/>
          <w:highlight w:val="none"/>
          <w:shd w:val="clear" w:color="FFFFFF" w:fill="D9D9D9"/>
        </w:rPr>
      </w:pPr>
      <w:r>
        <w:rPr>
          <w:rFonts w:hint="eastAsia" w:ascii="宋体" w:hAnsi="宋体" w:eastAsia="宋体"/>
          <w:sz w:val="24"/>
          <w:szCs w:val="24"/>
        </w:rPr>
        <w:t>10.竞买人拟参与本次多批次拍卖标的，应当</w:t>
      </w:r>
      <w:r>
        <w:rPr>
          <w:rFonts w:hint="eastAsia" w:ascii="宋体" w:hAnsi="宋体" w:eastAsia="宋体"/>
          <w:sz w:val="24"/>
          <w:szCs w:val="24"/>
          <w:highlight w:val="none"/>
        </w:rPr>
        <w:t>按照本公告、</w:t>
      </w:r>
      <w:r>
        <w:rPr>
          <w:rFonts w:hint="eastAsia" w:ascii="宋体" w:hAnsi="宋体" w:eastAsia="宋体"/>
          <w:sz w:val="24"/>
          <w:szCs w:val="24"/>
          <w:highlight w:val="none"/>
          <w:lang w:val="en-US" w:eastAsia="zh-CN"/>
        </w:rPr>
        <w:t>竞买</w:t>
      </w:r>
      <w:r>
        <w:rPr>
          <w:rFonts w:hint="eastAsia" w:ascii="宋体" w:hAnsi="宋体" w:eastAsia="宋体"/>
          <w:sz w:val="24"/>
          <w:szCs w:val="24"/>
          <w:highlight w:val="none"/>
        </w:rPr>
        <w:t>须知等相关文件，按照拟参与的批次提交参与拍卖申请并缴交保证金，保证金暂定人民币</w:t>
      </w:r>
      <w:ins w:id="0" w:author="Judy" w:date="2024-07-25T14:47:27Z">
        <w:r>
          <w:rPr>
            <w:rFonts w:hint="eastAsia" w:ascii="宋体" w:hAnsi="宋体" w:eastAsia="宋体"/>
            <w:color w:val="FF0000"/>
            <w:sz w:val="24"/>
            <w:szCs w:val="24"/>
            <w:highlight w:val="none"/>
            <w:lang w:val="en-US" w:eastAsia="zh-CN"/>
          </w:rPr>
          <w:t>100</w:t>
        </w:r>
      </w:ins>
      <w:r>
        <w:rPr>
          <w:rFonts w:hint="eastAsia" w:ascii="宋体" w:hAnsi="宋体" w:eastAsia="宋体"/>
          <w:sz w:val="24"/>
          <w:szCs w:val="24"/>
          <w:highlight w:val="none"/>
        </w:rPr>
        <w:t>万元整。如竞买人为联合体参加的，由任意一方出具保证金均可。</w:t>
      </w:r>
    </w:p>
    <w:p w14:paraId="322A0798">
      <w:pPr>
        <w:shd w:val="clear" w:color="auto" w:fill="FFFFFF"/>
        <w:spacing w:line="360" w:lineRule="auto"/>
        <w:ind w:firstLine="480" w:firstLineChars="200"/>
        <w:rPr>
          <w:rFonts w:hint="eastAsia" w:ascii="宋体" w:hAnsi="宋体" w:eastAsia="宋体"/>
          <w:sz w:val="24"/>
          <w:szCs w:val="24"/>
        </w:rPr>
      </w:pPr>
      <w:r>
        <w:rPr>
          <w:rFonts w:hint="eastAsia" w:ascii="宋体" w:hAnsi="宋体" w:eastAsia="宋体"/>
          <w:sz w:val="24"/>
          <w:szCs w:val="24"/>
        </w:rPr>
        <w:t>11.如为联合体竞买的，提供联合竞买协议原件。</w:t>
      </w:r>
    </w:p>
    <w:p w14:paraId="0ED86FCB">
      <w:pPr>
        <w:shd w:val="clear" w:color="auto" w:fill="FFFFFF"/>
        <w:spacing w:line="360" w:lineRule="auto"/>
        <w:ind w:firstLine="480" w:firstLineChars="200"/>
        <w:rPr>
          <w:rFonts w:eastAsia="宋体"/>
          <w:color w:val="FF0000"/>
          <w:highlight w:val="none"/>
        </w:rPr>
      </w:pPr>
      <w:r>
        <w:rPr>
          <w:rFonts w:hint="eastAsia" w:ascii="宋体" w:hAnsi="宋体" w:eastAsia="宋体"/>
          <w:sz w:val="24"/>
          <w:szCs w:val="24"/>
          <w:highlight w:val="none"/>
          <w:lang w:val="en-US" w:eastAsia="zh-CN"/>
        </w:rPr>
        <w:t>12.</w:t>
      </w:r>
      <w:r>
        <w:rPr>
          <w:rFonts w:hint="eastAsia" w:ascii="宋体" w:hAnsi="宋体" w:eastAsia="宋体"/>
          <w:color w:val="FF0000"/>
          <w:sz w:val="24"/>
          <w:szCs w:val="24"/>
          <w:highlight w:val="none"/>
        </w:rPr>
        <w:t>竞买人需在工程施工红线外自行解决加工场地进行砂</w:t>
      </w:r>
      <w:r>
        <w:rPr>
          <w:rFonts w:hint="eastAsia" w:ascii="宋体" w:hAnsi="宋体" w:eastAsia="宋体"/>
          <w:color w:val="FF0000"/>
          <w:sz w:val="24"/>
          <w:szCs w:val="24"/>
          <w:highlight w:val="none"/>
          <w:lang w:val="en-US" w:eastAsia="zh-CN"/>
        </w:rPr>
        <w:t>石</w:t>
      </w:r>
      <w:r>
        <w:rPr>
          <w:rFonts w:hint="eastAsia" w:ascii="宋体" w:hAnsi="宋体" w:eastAsia="宋体"/>
          <w:color w:val="FF0000"/>
          <w:sz w:val="24"/>
          <w:szCs w:val="24"/>
          <w:highlight w:val="none"/>
        </w:rPr>
        <w:t>土余渣加工，且加工场地需具备合法手续，如建筑废弃物处置证等，并将标的物外运至该加工场地进行加工。</w:t>
      </w:r>
    </w:p>
    <w:p w14:paraId="758A02C1">
      <w:pPr>
        <w:pStyle w:val="8"/>
        <w:topLinePunct/>
        <w:ind w:firstLine="480" w:firstLineChars="200"/>
        <w:textAlignment w:val="center"/>
        <w:rPr>
          <w:rFonts w:ascii="宋体" w:hAnsi="宋体" w:eastAsia="宋体"/>
          <w:szCs w:val="24"/>
        </w:rPr>
      </w:pPr>
      <w:r>
        <w:rPr>
          <w:rFonts w:hint="eastAsia" w:ascii="宋体" w:hAnsi="宋体" w:eastAsia="宋体"/>
          <w:szCs w:val="24"/>
        </w:rPr>
        <w:t>九、网上交易的报价规则</w:t>
      </w:r>
    </w:p>
    <w:p w14:paraId="0A8B27CC">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（一）竞买人通过交易系统进行报价；</w:t>
      </w:r>
    </w:p>
    <w:p w14:paraId="16504210">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（二）同一竞买人可连续、多次报价；</w:t>
      </w:r>
    </w:p>
    <w:p w14:paraId="18F08EEE">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（三）初次报价不得低于起始价；</w:t>
      </w:r>
    </w:p>
    <w:p w14:paraId="7D620E67">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（四）报价应以增价方式进行，每次增价幅度不得小于公告规定增价幅度；</w:t>
      </w:r>
    </w:p>
    <w:p w14:paraId="2A125B5E">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（五）符合相关条件的报价，交易系统予以接受，并即时公布；</w:t>
      </w:r>
    </w:p>
    <w:p w14:paraId="56CC6079">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（六）交易系统自动提醒竞买人谨慎报价，报价一经提交并经系统记录即视为有效报价，不得撤回。</w:t>
      </w:r>
    </w:p>
    <w:p w14:paraId="384FEAD8">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十、竞买申请截止时，根据下列条件判断是否成交，或者转入网上限时竞价程序： </w:t>
      </w:r>
    </w:p>
    <w:p w14:paraId="00774D83">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（一）竞买申请截止时，无竞买人成功申请的，交易系统显示拍卖不成交；</w:t>
      </w:r>
    </w:p>
    <w:p w14:paraId="5F302056">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（二）竞买申请截止时，有一个或者一个以上的竞买人成功申请的，交易系统自动进入网上限时竞价程序。</w:t>
      </w:r>
    </w:p>
    <w:p w14:paraId="7CD2A117">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十一、</w:t>
      </w:r>
      <w:r>
        <w:rPr>
          <w:rFonts w:hint="eastAsia" w:ascii="宋体" w:hAnsi="宋体" w:eastAsia="宋体"/>
          <w:color w:val="FF0000"/>
          <w:sz w:val="24"/>
          <w:szCs w:val="24"/>
        </w:rPr>
        <w:t>网上限时竞价程序。交易系统以5分钟倒计时为竞价时限，如在5分钟倒计时内有新的报价，交易系统即从接受新报价之时起再倒计时5分钟，竞买人可参与新一轮的报价。任何一次5分钟倒计时内无人报价，则在该次5分钟倒计时结束，交易系统自动关闭报价通道，并自动确认成交结果。</w:t>
      </w:r>
    </w:p>
    <w:p w14:paraId="6629DE5B">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十二、网上限时竞价结束，交易系统按下列规则确定是否成交，并在相关信息栏中显示交易结果：</w:t>
      </w:r>
    </w:p>
    <w:p w14:paraId="79F7A426">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（一）网上限时竞价中，有竞买人进行报价，最高报价为最终报价，该竞买人为最终报价人，最终报价人待资格审核通过后确定为竞得人；</w:t>
      </w:r>
    </w:p>
    <w:p w14:paraId="28DD43AB">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（二）网上限时竞价中无人报价的，交易系统显示拍卖不成交。</w:t>
      </w:r>
    </w:p>
    <w:p w14:paraId="5BA991DD">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十三、竞买人未按时缴纳竞买保证金，造成竞买保证金在规定时间内未到账的，所造成的一切损失和法律后果由竞买人自行承担。</w:t>
      </w:r>
    </w:p>
    <w:p w14:paraId="07351AE0">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十四、竞买人在交易系统实施的所有行为，均由交易系统服务器自动记录，视为竞买人真实或经合法授权的行为，该行为所引起的法律责任由竞买人承担。</w:t>
      </w:r>
    </w:p>
    <w:p w14:paraId="78CE418F">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十五、竞买人在2</w:t>
      </w:r>
      <w:r>
        <w:rPr>
          <w:rFonts w:ascii="宋体" w:hAnsi="宋体" w:eastAsia="宋体"/>
          <w:sz w:val="24"/>
          <w:szCs w:val="24"/>
        </w:rPr>
        <w:t>4</w:t>
      </w:r>
      <w:r>
        <w:rPr>
          <w:rFonts w:hint="eastAsia" w:ascii="宋体" w:hAnsi="宋体" w:eastAsia="宋体"/>
          <w:sz w:val="24"/>
          <w:szCs w:val="24"/>
        </w:rPr>
        <w:t>小时内连续六次输错密码，交易系统将自动锁定竞买人相关权限。CA证书锁定后需要解锁的，竞买人应向电子商务认证机构提供相关证明申请办理解锁。</w:t>
      </w:r>
    </w:p>
    <w:p w14:paraId="1FD9FA73">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竞买人应当妥善保管数字证书和密码。因竞买人电脑操作系统被侵入或其他自身原因导致数字证书遗失或密码泄漏等造成的损失，由竞买人自行承担。</w:t>
      </w:r>
    </w:p>
    <w:p w14:paraId="76843C09">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十六、竞买人在参与网上公开交易活动前，应当及时检查所使用的计算机系统，若竞买人计算机系统遭遇网络安全事故（包括黑客攻击、病毒入侵等）、网络堵塞和系统硬件故障等导致不能正常登录交易系统进行竞买申请、网上报价、限时竞价的，后果由竞买人自行承担。</w:t>
      </w:r>
    </w:p>
    <w:p w14:paraId="55E597F5">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十七、有下列情形之一的，应暂停、中止或终止网上交易活动：</w:t>
      </w:r>
    </w:p>
    <w:p w14:paraId="20FC6F68">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（一）交易系统受到网络恶意入侵的；</w:t>
      </w:r>
    </w:p>
    <w:p w14:paraId="73F7044D">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（二）因交易系统遭受破坏或发生电力、网络故障等不可抗力的非交易中心因素，导致交易系统不能正常运行的；</w:t>
      </w:r>
    </w:p>
    <w:p w14:paraId="75A5809C">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（三）委托方根据有关规定要求暂停、中止或终止网上交易活动的；</w:t>
      </w:r>
    </w:p>
    <w:p w14:paraId="7D1CBAFF">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（四）司法机关要求暂停、中止或终止网上交易活动的；</w:t>
      </w:r>
    </w:p>
    <w:p w14:paraId="1EADCE8C">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（五）涉及网上交易标的纠纷，不能及时解决的；</w:t>
      </w:r>
    </w:p>
    <w:p w14:paraId="3F1FFFDC">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（六）委托方、交易中心认为应当暂停、中止或终止网上交易活动的其他情形。</w:t>
      </w:r>
    </w:p>
    <w:p w14:paraId="6E4813DC">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十八、出现本须知第十七条第（一）项规定情形的，交易中心暂停网上交易活动后，应将情况及时上报委托方，待问题排查、清除后恢复交易；</w:t>
      </w:r>
    </w:p>
    <w:p w14:paraId="5E2999D5">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出现本须知第十七条第（二）项至第（四）项规定情形的，交易中心应发函告知委托方；</w:t>
      </w:r>
    </w:p>
    <w:p w14:paraId="11CDBF52">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出现本须知第十七条第（五、六）项规定情形的，交易中心应报委托方审核。在委托方做出暂停、中止或终止网上交易活动的决定后，由交易中心通过原公告渠道发布暂停、中止或终止公告，并关闭交易系统竞价通道。</w:t>
      </w:r>
    </w:p>
    <w:p w14:paraId="3734C7EF">
      <w:pPr>
        <w:numPr>
          <w:ilvl w:val="0"/>
          <w:numId w:val="1"/>
        </w:numPr>
        <w:shd w:val="clear" w:color="auto" w:fill="FFFFFF"/>
        <w:spacing w:line="360" w:lineRule="auto"/>
        <w:ind w:firstLine="480" w:firstLineChars="200"/>
        <w:rPr>
          <w:rFonts w:asciiTheme="majorEastAsia" w:hAnsiTheme="majorEastAsia" w:eastAsiaTheme="majorEastAsia" w:cstheme="majorEastAsia"/>
          <w:sz w:val="24"/>
          <w:szCs w:val="24"/>
          <w:shd w:val="clear" w:color="auto" w:fill="FFFFFF"/>
        </w:rPr>
      </w:pPr>
      <w:r>
        <w:rPr>
          <w:rFonts w:hint="eastAsia" w:asciiTheme="majorEastAsia" w:hAnsiTheme="majorEastAsia" w:eastAsiaTheme="majorEastAsia" w:cstheme="majorEastAsia"/>
          <w:sz w:val="24"/>
          <w:szCs w:val="24"/>
          <w:shd w:val="clear" w:color="auto" w:fill="FFFFFF"/>
        </w:rPr>
        <w:t>网上拍卖活动结束后，未竞得人缴纳的保证金及利息由交易中心5个工作日内予以退还，利息按银行的同期活期利率计算。</w:t>
      </w:r>
    </w:p>
    <w:p w14:paraId="7CB45CBD">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二十、竞得人应于资格确认后2个工作日内与交易中心签订《成交确认书》，</w:t>
      </w:r>
      <w:r>
        <w:rPr>
          <w:rFonts w:ascii="宋体" w:hAnsi="宋体" w:eastAsia="宋体"/>
          <w:sz w:val="24"/>
          <w:szCs w:val="24"/>
        </w:rPr>
        <w:t>并在签订《成交确认书》后2个工作日内</w:t>
      </w:r>
      <w:r>
        <w:rPr>
          <w:rFonts w:hint="eastAsia" w:asciiTheme="majorEastAsia" w:hAnsiTheme="majorEastAsia" w:eastAsiaTheme="majorEastAsia" w:cstheme="majorEastAsia"/>
          <w:sz w:val="24"/>
          <w:szCs w:val="24"/>
          <w:shd w:val="clear" w:color="auto" w:fill="FFFFFF"/>
        </w:rPr>
        <w:t>竞得人携企业营业执照及相关处理</w:t>
      </w:r>
      <w:r>
        <w:rPr>
          <w:rFonts w:hint="eastAsia" w:asciiTheme="majorEastAsia" w:hAnsiTheme="majorEastAsia" w:eastAsiaTheme="majorEastAsia" w:cstheme="majorEastAsia"/>
          <w:sz w:val="24"/>
          <w:szCs w:val="24"/>
          <w:shd w:val="clear" w:color="auto" w:fill="FFFFFF"/>
          <w:lang w:eastAsia="zh-CN"/>
        </w:rPr>
        <w:t>砂石土</w:t>
      </w:r>
      <w:r>
        <w:rPr>
          <w:rFonts w:hint="eastAsia" w:asciiTheme="majorEastAsia" w:hAnsiTheme="majorEastAsia" w:eastAsiaTheme="majorEastAsia" w:cstheme="majorEastAsia"/>
          <w:sz w:val="24"/>
          <w:szCs w:val="24"/>
          <w:shd w:val="clear" w:color="auto" w:fill="FFFFFF"/>
        </w:rPr>
        <w:t>矿产资源所需的相关证明</w:t>
      </w:r>
      <w:r>
        <w:rPr>
          <w:rFonts w:hint="eastAsia" w:asciiTheme="majorEastAsia" w:hAnsiTheme="majorEastAsia" w:eastAsiaTheme="majorEastAsia" w:cstheme="majorEastAsia"/>
          <w:sz w:val="24"/>
          <w:szCs w:val="24"/>
          <w:shd w:val="clear" w:color="auto" w:fill="FFFFFF"/>
          <w:lang w:eastAsia="zh-CN"/>
        </w:rPr>
        <w:t>材料到</w:t>
      </w:r>
      <w:r>
        <w:rPr>
          <w:rFonts w:hint="eastAsia" w:ascii="宋体" w:hAnsi="宋体" w:eastAsia="宋体"/>
          <w:sz w:val="24"/>
          <w:szCs w:val="24"/>
          <w:lang w:eastAsia="zh-CN"/>
        </w:rPr>
        <w:t>仙村</w:t>
      </w:r>
      <w:r>
        <w:rPr>
          <w:rFonts w:hint="eastAsia" w:ascii="宋体" w:hAnsi="宋体" w:eastAsia="宋体"/>
          <w:sz w:val="24"/>
          <w:szCs w:val="24"/>
        </w:rPr>
        <w:t>镇签订《</w:t>
      </w:r>
      <w:r>
        <w:rPr>
          <w:rFonts w:hint="eastAsia" w:ascii="宋体" w:hAnsi="宋体" w:eastAsia="宋体"/>
          <w:sz w:val="24"/>
          <w:szCs w:val="24"/>
          <w:lang w:eastAsia="zh-CN"/>
        </w:rPr>
        <w:t>砂石土</w:t>
      </w:r>
      <w:r>
        <w:rPr>
          <w:rFonts w:hint="eastAsia" w:ascii="宋体" w:hAnsi="宋体" w:eastAsia="宋体"/>
          <w:sz w:val="24"/>
          <w:szCs w:val="24"/>
        </w:rPr>
        <w:t>矿产资源</w:t>
      </w:r>
      <w:r>
        <w:rPr>
          <w:rFonts w:hint="eastAsia" w:ascii="宋体" w:hAnsi="宋体" w:eastAsia="宋体"/>
          <w:sz w:val="24"/>
          <w:szCs w:val="24"/>
          <w:lang w:val="en-US" w:eastAsia="zh-CN"/>
        </w:rPr>
        <w:t>出让</w:t>
      </w:r>
      <w:r>
        <w:rPr>
          <w:rFonts w:hint="eastAsia" w:ascii="宋体" w:hAnsi="宋体" w:eastAsia="宋体"/>
          <w:sz w:val="24"/>
          <w:szCs w:val="24"/>
        </w:rPr>
        <w:t>合同》。在签订</w:t>
      </w:r>
      <w:r>
        <w:rPr>
          <w:rFonts w:hint="eastAsia" w:ascii="宋体" w:hAnsi="宋体" w:eastAsia="宋体"/>
          <w:sz w:val="24"/>
          <w:szCs w:val="24"/>
          <w:lang w:val="en-US" w:eastAsia="zh-CN"/>
        </w:rPr>
        <w:t>出让</w:t>
      </w:r>
      <w:r>
        <w:rPr>
          <w:rFonts w:hint="eastAsia" w:ascii="宋体" w:hAnsi="宋体" w:eastAsia="宋体"/>
          <w:sz w:val="24"/>
          <w:szCs w:val="24"/>
        </w:rPr>
        <w:t>合同之日起3个工作日内，足额支付成交价款，并办理领取登记手续。</w:t>
      </w:r>
    </w:p>
    <w:p w14:paraId="01BB9F83">
      <w:pPr>
        <w:pStyle w:val="8"/>
        <w:widowControl/>
        <w:shd w:val="clear" w:color="auto" w:fill="FFFFFF"/>
        <w:spacing w:line="360" w:lineRule="auto"/>
        <w:ind w:firstLine="480" w:firstLineChars="200"/>
        <w:textAlignment w:val="baseline"/>
        <w:rPr>
          <w:rFonts w:hint="eastAsia" w:ascii="宋体" w:hAnsi="宋体" w:eastAsia="宋体" w:cs="宋体"/>
          <w:szCs w:val="24"/>
          <w:highlight w:val="none"/>
        </w:rPr>
      </w:pPr>
      <w:r>
        <w:rPr>
          <w:rFonts w:hint="eastAsia" w:ascii="宋体" w:hAnsi="宋体" w:eastAsia="宋体"/>
          <w:szCs w:val="24"/>
        </w:rPr>
        <w:t>（一）本工程建设项目现场共有</w:t>
      </w:r>
      <w:r>
        <w:rPr>
          <w:rFonts w:hint="eastAsia" w:ascii="宋体" w:hAnsi="宋体" w:eastAsia="宋体"/>
          <w:szCs w:val="24"/>
          <w:lang w:val="en-US" w:eastAsia="zh-CN"/>
        </w:rPr>
        <w:t>1</w:t>
      </w:r>
      <w:r>
        <w:rPr>
          <w:rFonts w:hint="eastAsia" w:ascii="宋体" w:hAnsi="宋体" w:eastAsia="宋体"/>
          <w:szCs w:val="24"/>
        </w:rPr>
        <w:t>个堆放场地在</w:t>
      </w:r>
      <w:r>
        <w:rPr>
          <w:rFonts w:hint="eastAsia" w:ascii="宋体" w:hAnsi="宋体" w:eastAsia="宋体"/>
          <w:szCs w:val="24"/>
          <w:lang w:val="en-US" w:eastAsia="zh-CN"/>
        </w:rPr>
        <w:t>仙村园区南区（源海一号旁）</w:t>
      </w:r>
      <w:r>
        <w:rPr>
          <w:rFonts w:hint="eastAsia" w:ascii="宋体" w:hAnsi="宋体" w:eastAsia="宋体"/>
          <w:szCs w:val="24"/>
        </w:rPr>
        <w:t>旁，其中堆场实测面积为</w:t>
      </w:r>
      <w:r>
        <w:rPr>
          <w:rFonts w:hint="eastAsia" w:ascii="宋体" w:hAnsi="宋体" w:eastAsia="宋体"/>
          <w:szCs w:val="24"/>
          <w:lang w:val="en-US" w:eastAsia="zh-CN"/>
        </w:rPr>
        <w:t>xx</w:t>
      </w:r>
      <w:r>
        <w:rPr>
          <w:rFonts w:hint="eastAsia" w:ascii="宋体" w:hAnsi="宋体" w:eastAsia="宋体"/>
          <w:szCs w:val="24"/>
        </w:rPr>
        <w:t>平方米初步估算堆放场内砂土总方量约为</w:t>
      </w:r>
      <w:r>
        <w:rPr>
          <w:rFonts w:hint="eastAsia" w:ascii="宋体" w:hAnsi="宋体" w:eastAsia="宋体"/>
          <w:szCs w:val="24"/>
          <w:lang w:val="en-US" w:eastAsia="zh-CN"/>
        </w:rPr>
        <w:t>xx</w:t>
      </w:r>
      <w:r>
        <w:rPr>
          <w:rFonts w:hint="eastAsia" w:ascii="宋体" w:hAnsi="宋体" w:eastAsia="宋体"/>
          <w:szCs w:val="24"/>
        </w:rPr>
        <w:t>万立方米。具体砂</w:t>
      </w:r>
      <w:r>
        <w:rPr>
          <w:rFonts w:hint="eastAsia" w:ascii="宋体" w:hAnsi="宋体" w:eastAsia="宋体"/>
          <w:szCs w:val="24"/>
          <w:lang w:val="en-US" w:eastAsia="zh-CN"/>
        </w:rPr>
        <w:t>石</w:t>
      </w:r>
      <w:r>
        <w:rPr>
          <w:rFonts w:hint="eastAsia" w:ascii="宋体" w:hAnsi="宋体" w:eastAsia="宋体"/>
          <w:szCs w:val="24"/>
        </w:rPr>
        <w:t>土总量以实际测量和评估为</w:t>
      </w:r>
      <w:r>
        <w:rPr>
          <w:rFonts w:hint="eastAsia" w:ascii="宋体" w:hAnsi="宋体" w:eastAsia="宋体"/>
          <w:szCs w:val="24"/>
          <w:highlight w:val="none"/>
        </w:rPr>
        <w:t>准。</w:t>
      </w:r>
      <w:r>
        <w:rPr>
          <w:rFonts w:hint="eastAsia" w:ascii="宋体" w:hAnsi="宋体" w:eastAsia="宋体" w:cs="宋体"/>
          <w:szCs w:val="24"/>
          <w:highlight w:val="none"/>
        </w:rPr>
        <w:t>（备注：由于该标的物的特殊性，</w:t>
      </w:r>
      <w:r>
        <w:rPr>
          <w:rFonts w:hint="eastAsia" w:ascii="宋体" w:hAnsi="宋体" w:eastAsia="宋体" w:cs="宋体"/>
          <w:highlight w:val="none"/>
          <w:shd w:val="clear" w:color="auto" w:fill="FFFFFF"/>
        </w:rPr>
        <w:t>实际数量</w:t>
      </w:r>
      <w:r>
        <w:rPr>
          <w:rFonts w:hint="eastAsia" w:ascii="宋体" w:hAnsi="宋体" w:eastAsia="宋体" w:cs="宋体"/>
          <w:highlight w:val="none"/>
          <w:shd w:val="clear" w:color="auto" w:fill="FFFFFF"/>
          <w:lang w:val="en-US" w:eastAsia="zh-CN"/>
        </w:rPr>
        <w:t>和质量</w:t>
      </w:r>
      <w:r>
        <w:rPr>
          <w:rFonts w:hint="eastAsia" w:ascii="宋体" w:hAnsi="宋体" w:eastAsia="宋体" w:cs="宋体"/>
          <w:highlight w:val="none"/>
          <w:shd w:val="clear" w:color="auto" w:fill="FFFFFF"/>
        </w:rPr>
        <w:t>随着存放条件及各种不可预见的因素变化而变化，竞买人拍得</w:t>
      </w:r>
      <w:r>
        <w:rPr>
          <w:rFonts w:hint="eastAsia" w:ascii="宋体" w:hAnsi="宋体" w:eastAsia="宋体" w:cs="宋体"/>
          <w:highlight w:val="none"/>
          <w:shd w:val="clear" w:color="auto" w:fill="FFFFFF"/>
          <w:lang w:val="en-US" w:eastAsia="zh-CN"/>
        </w:rPr>
        <w:t>的</w:t>
      </w:r>
      <w:r>
        <w:rPr>
          <w:rFonts w:hint="eastAsia" w:ascii="宋体" w:hAnsi="宋体" w:eastAsia="宋体" w:cs="宋体"/>
          <w:highlight w:val="none"/>
          <w:shd w:val="clear" w:color="auto" w:fill="FFFFFF"/>
          <w:lang w:eastAsia="zh-CN"/>
        </w:rPr>
        <w:t>砂石土</w:t>
      </w:r>
      <w:r>
        <w:rPr>
          <w:rFonts w:hint="eastAsia" w:ascii="宋体" w:hAnsi="宋体" w:eastAsia="宋体" w:cs="宋体"/>
          <w:highlight w:val="none"/>
          <w:shd w:val="clear" w:color="auto" w:fill="FFFFFF"/>
        </w:rPr>
        <w:t>数量</w:t>
      </w:r>
      <w:r>
        <w:rPr>
          <w:rFonts w:hint="eastAsia" w:ascii="宋体" w:hAnsi="宋体" w:eastAsia="宋体" w:cs="宋体"/>
          <w:highlight w:val="none"/>
          <w:shd w:val="clear" w:color="auto" w:fill="FFFFFF"/>
          <w:lang w:val="en-US" w:eastAsia="zh-CN"/>
        </w:rPr>
        <w:t>和质量</w:t>
      </w:r>
      <w:r>
        <w:rPr>
          <w:rFonts w:hint="eastAsia" w:ascii="宋体" w:hAnsi="宋体" w:eastAsia="宋体" w:cs="宋体"/>
          <w:highlight w:val="none"/>
          <w:shd w:val="clear" w:color="auto" w:fill="FFFFFF"/>
        </w:rPr>
        <w:t>以存放地</w:t>
      </w:r>
      <w:r>
        <w:rPr>
          <w:rFonts w:hint="eastAsia" w:ascii="宋体" w:hAnsi="宋体" w:eastAsia="宋体" w:cs="宋体"/>
          <w:color w:val="auto"/>
          <w:highlight w:val="none"/>
          <w:shd w:val="clear" w:color="auto" w:fill="FFFFFF"/>
        </w:rPr>
        <w:t>实物现状</w:t>
      </w:r>
      <w:r>
        <w:rPr>
          <w:rFonts w:hint="eastAsia" w:ascii="宋体" w:hAnsi="宋体" w:eastAsia="宋体" w:cs="宋体"/>
          <w:highlight w:val="none"/>
          <w:shd w:val="clear" w:color="auto" w:fill="FFFFFF"/>
        </w:rPr>
        <w:t>为准。</w:t>
      </w:r>
      <w:r>
        <w:rPr>
          <w:rFonts w:hint="eastAsia" w:ascii="宋体" w:hAnsi="宋体" w:eastAsia="宋体" w:cs="宋体"/>
          <w:szCs w:val="24"/>
          <w:highlight w:val="none"/>
        </w:rPr>
        <w:t>）</w:t>
      </w:r>
    </w:p>
    <w:p w14:paraId="1D49F75F">
      <w:pPr>
        <w:pStyle w:val="8"/>
        <w:widowControl/>
        <w:shd w:val="clear" w:color="auto" w:fill="FFFFFF"/>
        <w:spacing w:line="360" w:lineRule="auto"/>
        <w:ind w:firstLine="480" w:firstLineChars="200"/>
        <w:textAlignment w:val="baseline"/>
        <w:rPr>
          <w:rFonts w:hint="eastAsia"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highlight w:val="none"/>
          <w:shd w:val="clear" w:color="auto" w:fill="FFFFFF"/>
        </w:rPr>
        <w:t>（二）本次网上拍卖标的物在处于一个在建工地内，且施工周边环境、关系复杂，为不影响在建项目施工，竞得人采集时间必须与“增城经济技术开发区仙村园区（南区）土方平整工程－主体、水保、环评部分施工”施工总承包项目施工内容保持同步，故本项目的采集时间限制在“</w:t>
      </w:r>
      <w:r>
        <w:rPr>
          <w:rFonts w:hint="eastAsia" w:asciiTheme="majorEastAsia" w:hAnsiTheme="majorEastAsia" w:eastAsiaTheme="majorEastAsia" w:cstheme="majorEastAsia"/>
          <w:highlight w:val="none"/>
          <w:shd w:val="clear" w:color="auto" w:fill="FFFFFF"/>
          <w:lang w:val="en-US" w:eastAsia="zh-CN"/>
        </w:rPr>
        <w:t>2024年x月x日</w:t>
      </w:r>
      <w:r>
        <w:rPr>
          <w:rFonts w:hint="eastAsia" w:asciiTheme="majorEastAsia" w:hAnsiTheme="majorEastAsia" w:eastAsiaTheme="majorEastAsia" w:cstheme="majorEastAsia"/>
          <w:shd w:val="clear" w:color="auto" w:fill="FFFFFF"/>
        </w:rPr>
        <w:t>”为截止日期</w:t>
      </w:r>
      <w:r>
        <w:rPr>
          <w:rFonts w:hint="eastAsia" w:asciiTheme="majorEastAsia" w:hAnsiTheme="majorEastAsia" w:eastAsiaTheme="majorEastAsia" w:cstheme="majorEastAsia"/>
          <w:color w:val="FF0000"/>
          <w:shd w:val="clear" w:color="auto" w:fill="FFFFFF"/>
          <w:lang w:eastAsia="zh-CN"/>
        </w:rPr>
        <w:t>（</w:t>
      </w:r>
      <w:r>
        <w:rPr>
          <w:rFonts w:hint="eastAsia" w:asciiTheme="majorEastAsia" w:hAnsiTheme="majorEastAsia" w:eastAsiaTheme="majorEastAsia" w:cstheme="majorEastAsia"/>
          <w:color w:val="FF0000"/>
          <w:shd w:val="clear" w:color="auto" w:fill="FFFFFF"/>
          <w:lang w:val="en-US" w:eastAsia="zh-CN"/>
        </w:rPr>
        <w:t>竞拍后45天</w:t>
      </w:r>
      <w:r>
        <w:rPr>
          <w:rFonts w:hint="eastAsia" w:asciiTheme="majorEastAsia" w:hAnsiTheme="majorEastAsia" w:eastAsiaTheme="majorEastAsia" w:cstheme="majorEastAsia"/>
          <w:color w:val="FF0000"/>
          <w:shd w:val="clear" w:color="auto" w:fill="FFFFFF"/>
          <w:lang w:eastAsia="zh-CN"/>
        </w:rPr>
        <w:t>）</w:t>
      </w:r>
      <w:r>
        <w:rPr>
          <w:rFonts w:hint="eastAsia" w:asciiTheme="majorEastAsia" w:hAnsiTheme="majorEastAsia" w:eastAsiaTheme="majorEastAsia" w:cstheme="majorEastAsia"/>
          <w:shd w:val="clear" w:color="auto" w:fill="FFFFFF"/>
        </w:rPr>
        <w:t>。截止日期不能处理完毕的，由处置单位收回，重新处置。竞得人需有对该时间风险有充分的考虑。</w:t>
      </w:r>
    </w:p>
    <w:p w14:paraId="163FCC5A">
      <w:pPr>
        <w:pStyle w:val="8"/>
        <w:widowControl/>
        <w:shd w:val="clear" w:color="auto" w:fill="FFFFFF"/>
        <w:spacing w:line="360" w:lineRule="auto"/>
        <w:ind w:firstLine="480" w:firstLineChars="200"/>
        <w:textAlignment w:val="baseline"/>
        <w:rPr>
          <w:rFonts w:hint="eastAsia"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（三）本次网上拍卖标的物在采集过程中</w:t>
      </w:r>
      <w:r>
        <w:rPr>
          <w:rFonts w:hint="eastAsia" w:asciiTheme="majorEastAsia" w:hAnsiTheme="majorEastAsia" w:eastAsiaTheme="majorEastAsia" w:cstheme="majorEastAsia"/>
          <w:shd w:val="clear" w:color="auto" w:fill="FFFFFF"/>
          <w:lang w:val="en-US" w:eastAsia="zh-CN"/>
        </w:rPr>
        <w:t>如果有</w:t>
      </w:r>
      <w:r>
        <w:rPr>
          <w:rFonts w:hint="eastAsia" w:asciiTheme="majorEastAsia" w:hAnsiTheme="majorEastAsia" w:eastAsiaTheme="majorEastAsia" w:cstheme="majorEastAsia"/>
          <w:shd w:val="clear" w:color="auto" w:fill="FFFFFF"/>
        </w:rPr>
        <w:t>产生</w:t>
      </w:r>
      <w:r>
        <w:rPr>
          <w:rFonts w:hint="eastAsia" w:asciiTheme="majorEastAsia" w:hAnsiTheme="majorEastAsia" w:eastAsiaTheme="majorEastAsia" w:cstheme="majorEastAsia"/>
          <w:shd w:val="clear" w:color="auto" w:fill="FFFFFF"/>
          <w:lang w:val="en-US" w:eastAsia="zh-CN"/>
        </w:rPr>
        <w:t>的</w:t>
      </w:r>
      <w:r>
        <w:rPr>
          <w:rFonts w:hint="eastAsia" w:asciiTheme="majorEastAsia" w:hAnsiTheme="majorEastAsia" w:eastAsiaTheme="majorEastAsia" w:cstheme="majorEastAsia"/>
          <w:shd w:val="clear" w:color="auto" w:fill="FFFFFF"/>
        </w:rPr>
        <w:t>渣土、泥尾等</w:t>
      </w:r>
      <w:r>
        <w:rPr>
          <w:rFonts w:hint="eastAsia" w:asciiTheme="majorEastAsia" w:hAnsiTheme="majorEastAsia" w:eastAsiaTheme="majorEastAsia" w:cstheme="majorEastAsia"/>
          <w:shd w:val="clear" w:color="auto" w:fill="FFFFFF"/>
          <w:lang w:eastAsia="zh-CN"/>
        </w:rPr>
        <w:t>，</w:t>
      </w:r>
      <w:r>
        <w:rPr>
          <w:rFonts w:hint="eastAsia" w:asciiTheme="majorEastAsia" w:hAnsiTheme="majorEastAsia" w:eastAsiaTheme="majorEastAsia" w:cstheme="majorEastAsia"/>
          <w:shd w:val="clear" w:color="auto" w:fill="FFFFFF"/>
        </w:rPr>
        <w:t>必须外运处理，需按建筑物余泥渣土处理办法执行，按规定办理相关余泥外运手续。</w:t>
      </w:r>
    </w:p>
    <w:p w14:paraId="005442BE">
      <w:pPr>
        <w:pStyle w:val="8"/>
        <w:widowControl/>
        <w:shd w:val="clear" w:color="auto" w:fill="FFFFFF"/>
        <w:spacing w:line="360" w:lineRule="auto"/>
        <w:ind w:firstLine="480" w:firstLineChars="200"/>
        <w:textAlignment w:val="baseline"/>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（四）竞得人在进场后，需自行负责与本工程施工总承包方协调相关交叉作业等事宜，挖取和运输等工作不得影响在建项目的实施进度，竞得人需充分考虑该协调风险。</w:t>
      </w:r>
    </w:p>
    <w:p w14:paraId="0CDCDD65">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二十一、</w:t>
      </w:r>
      <w:r>
        <w:rPr>
          <w:rFonts w:hint="eastAsia" w:ascii="宋体" w:hAnsi="宋体" w:eastAsia="宋体"/>
          <w:sz w:val="24"/>
          <w:szCs w:val="24"/>
          <w:lang w:eastAsia="zh-CN"/>
        </w:rPr>
        <w:t>砂石土</w:t>
      </w:r>
      <w:r>
        <w:rPr>
          <w:rFonts w:hint="eastAsia" w:ascii="宋体" w:hAnsi="宋体" w:eastAsia="宋体"/>
          <w:sz w:val="24"/>
          <w:szCs w:val="24"/>
        </w:rPr>
        <w:t>矿产资源</w:t>
      </w:r>
      <w:r>
        <w:rPr>
          <w:rFonts w:hint="eastAsia" w:ascii="宋体" w:hAnsi="宋体" w:eastAsia="宋体"/>
          <w:sz w:val="24"/>
          <w:szCs w:val="24"/>
          <w:lang w:val="en-US" w:eastAsia="zh-CN"/>
        </w:rPr>
        <w:t>出让</w:t>
      </w:r>
      <w:r>
        <w:rPr>
          <w:rFonts w:hint="eastAsia" w:ascii="宋体" w:hAnsi="宋体" w:eastAsia="宋体"/>
          <w:sz w:val="24"/>
          <w:szCs w:val="24"/>
        </w:rPr>
        <w:t>合同</w:t>
      </w:r>
      <w:r>
        <w:rPr>
          <w:rFonts w:ascii="宋体" w:hAnsi="宋体" w:eastAsia="宋体"/>
          <w:sz w:val="24"/>
          <w:szCs w:val="24"/>
        </w:rPr>
        <w:t>生效后</w:t>
      </w:r>
      <w:r>
        <w:rPr>
          <w:rFonts w:hint="eastAsia" w:ascii="宋体" w:hAnsi="宋体" w:eastAsia="宋体"/>
          <w:sz w:val="24"/>
          <w:szCs w:val="24"/>
        </w:rPr>
        <w:t>，竞得人必须</w:t>
      </w:r>
      <w:r>
        <w:rPr>
          <w:rFonts w:hint="eastAsia" w:ascii="宋体" w:hAnsi="宋体" w:eastAsia="宋体"/>
          <w:sz w:val="24"/>
          <w:szCs w:val="24"/>
          <w:lang w:eastAsia="zh-Hans"/>
        </w:rPr>
        <w:t>按照</w:t>
      </w:r>
      <w:r>
        <w:rPr>
          <w:rFonts w:hint="eastAsia" w:ascii="宋体" w:hAnsi="宋体" w:eastAsia="宋体"/>
          <w:sz w:val="24"/>
          <w:szCs w:val="24"/>
        </w:rPr>
        <w:t>合同约定足额支付成交价款。</w:t>
      </w:r>
    </w:p>
    <w:p w14:paraId="2A9985D3">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二十二、竞得人缴纳的保证金及利息，在竞得人签订</w:t>
      </w:r>
      <w:r>
        <w:rPr>
          <w:rFonts w:hint="eastAsia" w:ascii="宋体" w:hAnsi="宋体" w:eastAsia="宋体"/>
          <w:sz w:val="24"/>
          <w:szCs w:val="24"/>
          <w:lang w:eastAsia="zh-CN"/>
        </w:rPr>
        <w:t>砂石土</w:t>
      </w:r>
      <w:r>
        <w:rPr>
          <w:rFonts w:hint="eastAsia" w:ascii="宋体" w:hAnsi="宋体" w:eastAsia="宋体"/>
          <w:sz w:val="24"/>
          <w:szCs w:val="24"/>
        </w:rPr>
        <w:t>矿产资源</w:t>
      </w:r>
      <w:r>
        <w:rPr>
          <w:rFonts w:hint="eastAsia" w:ascii="宋体" w:hAnsi="宋体" w:eastAsia="宋体"/>
          <w:sz w:val="24"/>
          <w:szCs w:val="24"/>
          <w:lang w:val="en-US" w:eastAsia="zh-CN"/>
        </w:rPr>
        <w:t>出让</w:t>
      </w:r>
      <w:r>
        <w:rPr>
          <w:rFonts w:hint="eastAsia" w:ascii="宋体" w:hAnsi="宋体" w:eastAsia="宋体"/>
          <w:sz w:val="24"/>
          <w:szCs w:val="24"/>
        </w:rPr>
        <w:t>合同、</w:t>
      </w:r>
      <w:r>
        <w:rPr>
          <w:rFonts w:hint="eastAsia" w:ascii="宋体" w:hAnsi="宋体" w:eastAsia="宋体"/>
          <w:sz w:val="24"/>
          <w:szCs w:val="24"/>
          <w:lang w:eastAsia="zh-Hans"/>
        </w:rPr>
        <w:t>足额支付成交价款并按期处理完毕全部</w:t>
      </w:r>
      <w:r>
        <w:rPr>
          <w:rFonts w:hint="eastAsia" w:ascii="宋体" w:hAnsi="宋体" w:eastAsia="宋体"/>
          <w:sz w:val="24"/>
          <w:szCs w:val="24"/>
          <w:lang w:eastAsia="zh-CN"/>
        </w:rPr>
        <w:t>砂石土</w:t>
      </w:r>
      <w:r>
        <w:rPr>
          <w:rFonts w:hint="eastAsia" w:ascii="宋体" w:hAnsi="宋体" w:eastAsia="宋体"/>
          <w:sz w:val="24"/>
          <w:szCs w:val="24"/>
        </w:rPr>
        <w:t>矿产资源后</w:t>
      </w:r>
      <w:r>
        <w:rPr>
          <w:rFonts w:ascii="宋体" w:hAnsi="宋体" w:eastAsia="宋体"/>
          <w:sz w:val="24"/>
          <w:szCs w:val="24"/>
          <w:lang w:eastAsia="zh-Hans"/>
        </w:rPr>
        <w:t>5</w:t>
      </w:r>
      <w:r>
        <w:rPr>
          <w:rFonts w:hint="eastAsia" w:ascii="宋体" w:hAnsi="宋体" w:eastAsia="宋体"/>
          <w:sz w:val="24"/>
          <w:szCs w:val="24"/>
        </w:rPr>
        <w:t>个工作日内退还，</w:t>
      </w:r>
      <w:r>
        <w:rPr>
          <w:rFonts w:hint="eastAsia" w:ascii="宋体" w:hAnsi="宋体" w:eastAsia="宋体"/>
          <w:kern w:val="32"/>
          <w:sz w:val="24"/>
          <w:szCs w:val="24"/>
        </w:rPr>
        <w:t>利息按银行的同期活期利率计算</w:t>
      </w:r>
      <w:r>
        <w:rPr>
          <w:rFonts w:hint="eastAsia" w:ascii="宋体" w:hAnsi="宋体" w:eastAsia="宋体"/>
          <w:sz w:val="24"/>
          <w:szCs w:val="24"/>
        </w:rPr>
        <w:t>。</w:t>
      </w:r>
    </w:p>
    <w:p w14:paraId="3FB20011">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二十三、竞得人有下列行为之一的，视为违约，委托方可取消其竞得人资格，竞买保证金不予退还：</w:t>
      </w:r>
    </w:p>
    <w:p w14:paraId="404CE2AE">
      <w:pPr>
        <w:shd w:val="clear" w:color="auto" w:fill="FFFFFF"/>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竞得人逾期或拒绝签订《成交确认书》的；</w:t>
      </w:r>
    </w:p>
    <w:p w14:paraId="6FB8C165">
      <w:pPr>
        <w:shd w:val="clear" w:color="auto" w:fill="FFFFFF"/>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竞得人逾期或拒绝签订</w:t>
      </w:r>
      <w:r>
        <w:rPr>
          <w:rFonts w:hint="eastAsia" w:ascii="宋体" w:hAnsi="宋体" w:eastAsia="宋体"/>
          <w:sz w:val="24"/>
          <w:szCs w:val="24"/>
          <w:lang w:eastAsia="zh-CN"/>
        </w:rPr>
        <w:t>砂石土</w:t>
      </w:r>
      <w:r>
        <w:rPr>
          <w:rFonts w:hint="eastAsia" w:ascii="宋体" w:hAnsi="宋体" w:eastAsia="宋体"/>
          <w:sz w:val="24"/>
          <w:szCs w:val="24"/>
        </w:rPr>
        <w:t>矿产资源</w:t>
      </w:r>
      <w:r>
        <w:rPr>
          <w:rFonts w:hint="eastAsia" w:ascii="宋体" w:hAnsi="宋体" w:eastAsia="宋体"/>
          <w:sz w:val="24"/>
          <w:szCs w:val="24"/>
          <w:lang w:val="en-US" w:eastAsia="zh-CN"/>
        </w:rPr>
        <w:t>出让</w:t>
      </w:r>
      <w:r>
        <w:rPr>
          <w:rFonts w:hint="eastAsia" w:ascii="宋体" w:hAnsi="宋体" w:eastAsia="宋体"/>
          <w:sz w:val="24"/>
          <w:szCs w:val="24"/>
        </w:rPr>
        <w:t>合同的；</w:t>
      </w:r>
    </w:p>
    <w:p w14:paraId="57F32E12">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3.竞得人逾期或拒绝</w:t>
      </w:r>
      <w:r>
        <w:rPr>
          <w:rFonts w:hint="eastAsia" w:ascii="宋体" w:hAnsi="宋体" w:eastAsia="宋体"/>
          <w:sz w:val="24"/>
          <w:szCs w:val="24"/>
          <w:lang w:eastAsia="zh-Hans"/>
        </w:rPr>
        <w:t>处理完毕</w:t>
      </w:r>
      <w:r>
        <w:rPr>
          <w:rFonts w:hint="eastAsia" w:ascii="宋体" w:hAnsi="宋体" w:eastAsia="宋体"/>
          <w:sz w:val="24"/>
          <w:szCs w:val="24"/>
          <w:lang w:eastAsia="zh-CN"/>
        </w:rPr>
        <w:t>砂石土</w:t>
      </w:r>
      <w:r>
        <w:rPr>
          <w:rFonts w:hint="eastAsia" w:ascii="宋体" w:hAnsi="宋体" w:eastAsia="宋体"/>
          <w:sz w:val="24"/>
          <w:szCs w:val="24"/>
          <w:lang w:eastAsia="zh-Hans"/>
        </w:rPr>
        <w:t>矿产资源的</w:t>
      </w:r>
      <w:r>
        <w:rPr>
          <w:rFonts w:hint="eastAsia" w:ascii="宋体" w:hAnsi="宋体" w:eastAsia="宋体"/>
          <w:sz w:val="24"/>
          <w:szCs w:val="24"/>
        </w:rPr>
        <w:t>；</w:t>
      </w:r>
    </w:p>
    <w:p w14:paraId="7C495632">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4.因竞得人提供的信息不真实、不准确、不完整等原因造成拍卖成交的；</w:t>
      </w:r>
    </w:p>
    <w:p w14:paraId="679F5E5A">
      <w:pPr>
        <w:shd w:val="clear" w:color="auto" w:fill="FFFFFF"/>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rPr>
        <w:t>5.竞买人提供虚假文件材料、隐瞒重要事实的</w:t>
      </w:r>
      <w:r>
        <w:rPr>
          <w:rFonts w:hint="eastAsia" w:ascii="宋体" w:hAnsi="宋体" w:eastAsia="宋体"/>
          <w:sz w:val="24"/>
          <w:szCs w:val="24"/>
          <w:lang w:eastAsia="zh-CN"/>
        </w:rPr>
        <w:t>；</w:t>
      </w:r>
    </w:p>
    <w:p w14:paraId="40A5D569">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6.竞得人转包（转让）中标的</w:t>
      </w:r>
      <w:r>
        <w:rPr>
          <w:rFonts w:hint="eastAsia" w:ascii="宋体" w:hAnsi="宋体" w:eastAsia="宋体"/>
          <w:sz w:val="24"/>
          <w:szCs w:val="24"/>
          <w:lang w:eastAsia="zh-CN"/>
        </w:rPr>
        <w:t>砂石土</w:t>
      </w:r>
      <w:r>
        <w:rPr>
          <w:rFonts w:hint="eastAsia" w:ascii="宋体" w:hAnsi="宋体" w:eastAsia="宋体"/>
          <w:sz w:val="24"/>
          <w:szCs w:val="24"/>
        </w:rPr>
        <w:t>矿产资源的；</w:t>
      </w:r>
    </w:p>
    <w:p w14:paraId="1D6924DE">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7.竞得人超范围挖取</w:t>
      </w:r>
      <w:r>
        <w:rPr>
          <w:rFonts w:hint="eastAsia" w:ascii="宋体" w:hAnsi="宋体" w:eastAsia="宋体"/>
          <w:sz w:val="24"/>
          <w:szCs w:val="24"/>
          <w:lang w:eastAsia="zh-CN"/>
        </w:rPr>
        <w:t>砂石土</w:t>
      </w:r>
      <w:r>
        <w:rPr>
          <w:rFonts w:hint="eastAsia" w:ascii="宋体" w:hAnsi="宋体" w:eastAsia="宋体"/>
          <w:sz w:val="24"/>
          <w:szCs w:val="24"/>
        </w:rPr>
        <w:t>矿产资源的；</w:t>
      </w:r>
    </w:p>
    <w:p w14:paraId="7E2FBA72">
      <w:pPr>
        <w:shd w:val="clear" w:color="auto" w:fill="FFFFFF"/>
        <w:spacing w:line="360" w:lineRule="auto"/>
        <w:ind w:firstLine="480" w:firstLineChars="200"/>
        <w:rPr>
          <w:rFonts w:ascii="宋体" w:hAnsi="宋体" w:eastAsia="宋体"/>
          <w:sz w:val="24"/>
          <w:szCs w:val="24"/>
        </w:rPr>
      </w:pPr>
      <w:r>
        <w:rPr>
          <w:rFonts w:hint="eastAsia" w:ascii="宋体" w:hAnsi="宋体" w:eastAsia="宋体"/>
          <w:sz w:val="24"/>
          <w:szCs w:val="24"/>
        </w:rPr>
        <w:t>8.竞得人不按处置方案违规处置的；</w:t>
      </w:r>
    </w:p>
    <w:p w14:paraId="3F74E118">
      <w:pPr>
        <w:shd w:val="clear" w:color="auto" w:fill="FFFFFF"/>
        <w:spacing w:line="360" w:lineRule="auto"/>
        <w:ind w:firstLine="480" w:firstLineChars="200"/>
      </w:pPr>
      <w:r>
        <w:rPr>
          <w:rFonts w:hint="eastAsia" w:ascii="宋体" w:hAnsi="宋体" w:eastAsia="宋体"/>
          <w:sz w:val="24"/>
          <w:szCs w:val="24"/>
        </w:rPr>
        <w:t>9.构成违约责任的其他行为。</w:t>
      </w:r>
    </w:p>
    <w:p w14:paraId="445F5B11">
      <w:pPr>
        <w:shd w:val="clear" w:color="auto" w:fill="FFFFFF"/>
        <w:spacing w:line="360" w:lineRule="auto"/>
        <w:ind w:firstLine="480" w:firstLineChars="200"/>
        <w:rPr>
          <w:rFonts w:ascii="宋体" w:hAnsi="宋体" w:eastAsia="宋体"/>
          <w:sz w:val="24"/>
          <w:szCs w:val="24"/>
        </w:rPr>
      </w:pPr>
    </w:p>
    <w:sectPr>
      <w:footerReference r:id="rId3" w:type="default"/>
      <w:pgSz w:w="11906" w:h="16838"/>
      <w:pgMar w:top="2097" w:right="1587" w:bottom="1587"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9962072"/>
    </w:sdtPr>
    <w:sdtContent>
      <w:p w14:paraId="09D1868A">
        <w:pPr>
          <w:pStyle w:val="6"/>
          <w:jc w:val="center"/>
        </w:pPr>
        <w:r>
          <w:fldChar w:fldCharType="begin"/>
        </w:r>
        <w:r>
          <w:instrText xml:space="preserve">PAGE   \* MERGEFORMAT</w:instrText>
        </w:r>
        <w:r>
          <w:fldChar w:fldCharType="separate"/>
        </w:r>
        <w:r>
          <w:rPr>
            <w:lang w:val="zh-CN"/>
          </w:rPr>
          <w:t>-</w:t>
        </w:r>
        <w:r>
          <w:t xml:space="preserve"> 6 -</w:t>
        </w:r>
        <w:r>
          <w:fldChar w:fldCharType="end"/>
        </w:r>
      </w:p>
    </w:sdtContent>
  </w:sdt>
  <w:p w14:paraId="282D512E">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93AFA4"/>
    <w:multiLevelType w:val="singleLevel"/>
    <w:tmpl w:val="3793AFA4"/>
    <w:lvl w:ilvl="0" w:tentative="0">
      <w:start w:val="19"/>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udy">
    <w15:presenceInfo w15:providerId="WPS Office" w15:userId="22268803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2N2Q1MzQ0NmExZDEzNzMyZGVjMjJkZjA2MWM5NmMifQ=="/>
    <w:docVar w:name="KSO_WPS_MARK_KEY" w:val="e5ef8977-4498-482e-9c14-72b77d4ce43f"/>
  </w:docVars>
  <w:rsids>
    <w:rsidRoot w:val="004F6211"/>
    <w:rsid w:val="0002170C"/>
    <w:rsid w:val="00062195"/>
    <w:rsid w:val="000661F7"/>
    <w:rsid w:val="000679E6"/>
    <w:rsid w:val="00074942"/>
    <w:rsid w:val="000A6410"/>
    <w:rsid w:val="000C4E4F"/>
    <w:rsid w:val="000D27E6"/>
    <w:rsid w:val="000E76DD"/>
    <w:rsid w:val="00105CC4"/>
    <w:rsid w:val="00106FD6"/>
    <w:rsid w:val="00117890"/>
    <w:rsid w:val="00133E5A"/>
    <w:rsid w:val="0013408F"/>
    <w:rsid w:val="001363F6"/>
    <w:rsid w:val="00153DAB"/>
    <w:rsid w:val="00154743"/>
    <w:rsid w:val="00155BB9"/>
    <w:rsid w:val="00164B4C"/>
    <w:rsid w:val="00167A3E"/>
    <w:rsid w:val="00187C50"/>
    <w:rsid w:val="00194819"/>
    <w:rsid w:val="001A5315"/>
    <w:rsid w:val="001C0318"/>
    <w:rsid w:val="001C3BC9"/>
    <w:rsid w:val="001C56E8"/>
    <w:rsid w:val="001D034A"/>
    <w:rsid w:val="001F5D74"/>
    <w:rsid w:val="00201C57"/>
    <w:rsid w:val="002216FB"/>
    <w:rsid w:val="0023453F"/>
    <w:rsid w:val="002615E4"/>
    <w:rsid w:val="00267A2B"/>
    <w:rsid w:val="00274574"/>
    <w:rsid w:val="00276332"/>
    <w:rsid w:val="00292148"/>
    <w:rsid w:val="002A33E1"/>
    <w:rsid w:val="002B60D5"/>
    <w:rsid w:val="002C1694"/>
    <w:rsid w:val="002E67DF"/>
    <w:rsid w:val="002F31DE"/>
    <w:rsid w:val="002F3D15"/>
    <w:rsid w:val="003057FE"/>
    <w:rsid w:val="003079D6"/>
    <w:rsid w:val="00314275"/>
    <w:rsid w:val="00343788"/>
    <w:rsid w:val="00357671"/>
    <w:rsid w:val="00357D65"/>
    <w:rsid w:val="00360E75"/>
    <w:rsid w:val="00374855"/>
    <w:rsid w:val="00382B6A"/>
    <w:rsid w:val="00391475"/>
    <w:rsid w:val="003A30BA"/>
    <w:rsid w:val="003C1A02"/>
    <w:rsid w:val="003C6D88"/>
    <w:rsid w:val="003D4F98"/>
    <w:rsid w:val="003D7573"/>
    <w:rsid w:val="00407D83"/>
    <w:rsid w:val="0041577A"/>
    <w:rsid w:val="00415F2C"/>
    <w:rsid w:val="00427E89"/>
    <w:rsid w:val="00431CC0"/>
    <w:rsid w:val="004541CE"/>
    <w:rsid w:val="0045706E"/>
    <w:rsid w:val="00461B6D"/>
    <w:rsid w:val="00461D4A"/>
    <w:rsid w:val="0047176F"/>
    <w:rsid w:val="00471D75"/>
    <w:rsid w:val="00485E24"/>
    <w:rsid w:val="0048674E"/>
    <w:rsid w:val="004A19BA"/>
    <w:rsid w:val="004B6204"/>
    <w:rsid w:val="004C0E0B"/>
    <w:rsid w:val="004F6211"/>
    <w:rsid w:val="00530C15"/>
    <w:rsid w:val="00532FED"/>
    <w:rsid w:val="00551E6F"/>
    <w:rsid w:val="00564B6C"/>
    <w:rsid w:val="00566AA1"/>
    <w:rsid w:val="005722AC"/>
    <w:rsid w:val="005724DD"/>
    <w:rsid w:val="00572D0E"/>
    <w:rsid w:val="00577F3E"/>
    <w:rsid w:val="00582F07"/>
    <w:rsid w:val="00593A5D"/>
    <w:rsid w:val="005B5805"/>
    <w:rsid w:val="005B75A7"/>
    <w:rsid w:val="005F0456"/>
    <w:rsid w:val="006002AE"/>
    <w:rsid w:val="00623CBF"/>
    <w:rsid w:val="00631B18"/>
    <w:rsid w:val="006352CB"/>
    <w:rsid w:val="00645B14"/>
    <w:rsid w:val="00665A32"/>
    <w:rsid w:val="0066731E"/>
    <w:rsid w:val="006763E5"/>
    <w:rsid w:val="00677462"/>
    <w:rsid w:val="00693507"/>
    <w:rsid w:val="00695905"/>
    <w:rsid w:val="006A6F93"/>
    <w:rsid w:val="006B78EE"/>
    <w:rsid w:val="006E10B2"/>
    <w:rsid w:val="006F5B59"/>
    <w:rsid w:val="006F7654"/>
    <w:rsid w:val="00701E26"/>
    <w:rsid w:val="00731BD6"/>
    <w:rsid w:val="007409AD"/>
    <w:rsid w:val="007500BE"/>
    <w:rsid w:val="0075321C"/>
    <w:rsid w:val="00797D51"/>
    <w:rsid w:val="007A5E7D"/>
    <w:rsid w:val="007A742D"/>
    <w:rsid w:val="007B6D1C"/>
    <w:rsid w:val="007B7385"/>
    <w:rsid w:val="007D654C"/>
    <w:rsid w:val="007D681F"/>
    <w:rsid w:val="0081443C"/>
    <w:rsid w:val="00817B25"/>
    <w:rsid w:val="0087162E"/>
    <w:rsid w:val="00876E5F"/>
    <w:rsid w:val="008B67EF"/>
    <w:rsid w:val="008E5951"/>
    <w:rsid w:val="008E6C3E"/>
    <w:rsid w:val="008F4A9B"/>
    <w:rsid w:val="00900293"/>
    <w:rsid w:val="00905582"/>
    <w:rsid w:val="0092014D"/>
    <w:rsid w:val="00924B8B"/>
    <w:rsid w:val="00925045"/>
    <w:rsid w:val="00927762"/>
    <w:rsid w:val="0097021D"/>
    <w:rsid w:val="00977B34"/>
    <w:rsid w:val="00985C44"/>
    <w:rsid w:val="00987CCC"/>
    <w:rsid w:val="009A5BC0"/>
    <w:rsid w:val="009A6F92"/>
    <w:rsid w:val="009B03E9"/>
    <w:rsid w:val="009C34D2"/>
    <w:rsid w:val="009C4A3E"/>
    <w:rsid w:val="009C4A5F"/>
    <w:rsid w:val="009D60A2"/>
    <w:rsid w:val="009E2359"/>
    <w:rsid w:val="009E3B2B"/>
    <w:rsid w:val="009E4D5F"/>
    <w:rsid w:val="009F2E35"/>
    <w:rsid w:val="00A100EF"/>
    <w:rsid w:val="00A129F2"/>
    <w:rsid w:val="00A140F6"/>
    <w:rsid w:val="00A16461"/>
    <w:rsid w:val="00A320DF"/>
    <w:rsid w:val="00A66DA2"/>
    <w:rsid w:val="00A7214C"/>
    <w:rsid w:val="00A72FB5"/>
    <w:rsid w:val="00A7750F"/>
    <w:rsid w:val="00A90FCD"/>
    <w:rsid w:val="00A931C1"/>
    <w:rsid w:val="00AA0A73"/>
    <w:rsid w:val="00AB2DC0"/>
    <w:rsid w:val="00AB53D3"/>
    <w:rsid w:val="00AB7C2D"/>
    <w:rsid w:val="00AC7FF9"/>
    <w:rsid w:val="00AD0F9E"/>
    <w:rsid w:val="00AD691C"/>
    <w:rsid w:val="00AF1E1C"/>
    <w:rsid w:val="00AF36AD"/>
    <w:rsid w:val="00AF433D"/>
    <w:rsid w:val="00B1265C"/>
    <w:rsid w:val="00B21A33"/>
    <w:rsid w:val="00B24B32"/>
    <w:rsid w:val="00B27D9C"/>
    <w:rsid w:val="00B45861"/>
    <w:rsid w:val="00B47D0A"/>
    <w:rsid w:val="00B6508D"/>
    <w:rsid w:val="00B66BE2"/>
    <w:rsid w:val="00B86708"/>
    <w:rsid w:val="00B92B56"/>
    <w:rsid w:val="00B955AE"/>
    <w:rsid w:val="00BC4191"/>
    <w:rsid w:val="00BE317F"/>
    <w:rsid w:val="00BF5D00"/>
    <w:rsid w:val="00C12689"/>
    <w:rsid w:val="00C16185"/>
    <w:rsid w:val="00C45616"/>
    <w:rsid w:val="00C60CFE"/>
    <w:rsid w:val="00C6692C"/>
    <w:rsid w:val="00C71F79"/>
    <w:rsid w:val="00C909D8"/>
    <w:rsid w:val="00C940D1"/>
    <w:rsid w:val="00C941C7"/>
    <w:rsid w:val="00C9657A"/>
    <w:rsid w:val="00CA3A3E"/>
    <w:rsid w:val="00CB64DE"/>
    <w:rsid w:val="00CC647E"/>
    <w:rsid w:val="00CD5F2F"/>
    <w:rsid w:val="00CF6494"/>
    <w:rsid w:val="00D17D68"/>
    <w:rsid w:val="00D21395"/>
    <w:rsid w:val="00D50D50"/>
    <w:rsid w:val="00D54963"/>
    <w:rsid w:val="00D613CA"/>
    <w:rsid w:val="00D70C3D"/>
    <w:rsid w:val="00D75D31"/>
    <w:rsid w:val="00D860DB"/>
    <w:rsid w:val="00D944DF"/>
    <w:rsid w:val="00DD0043"/>
    <w:rsid w:val="00DD5B47"/>
    <w:rsid w:val="00DE4A7A"/>
    <w:rsid w:val="00DF273D"/>
    <w:rsid w:val="00DF57BF"/>
    <w:rsid w:val="00E00546"/>
    <w:rsid w:val="00E119A5"/>
    <w:rsid w:val="00E144CB"/>
    <w:rsid w:val="00E42D21"/>
    <w:rsid w:val="00E458B2"/>
    <w:rsid w:val="00E61E9E"/>
    <w:rsid w:val="00E718DD"/>
    <w:rsid w:val="00E7385F"/>
    <w:rsid w:val="00E76995"/>
    <w:rsid w:val="00E904A6"/>
    <w:rsid w:val="00E97473"/>
    <w:rsid w:val="00EA0668"/>
    <w:rsid w:val="00ED2821"/>
    <w:rsid w:val="00EE1462"/>
    <w:rsid w:val="00EE1C63"/>
    <w:rsid w:val="00EF4C60"/>
    <w:rsid w:val="00F06A4A"/>
    <w:rsid w:val="00F201BF"/>
    <w:rsid w:val="00F20867"/>
    <w:rsid w:val="00F219BA"/>
    <w:rsid w:val="00F25066"/>
    <w:rsid w:val="00F3085D"/>
    <w:rsid w:val="00F36D42"/>
    <w:rsid w:val="00F544A3"/>
    <w:rsid w:val="00F76145"/>
    <w:rsid w:val="00F95A5B"/>
    <w:rsid w:val="00FD0DCF"/>
    <w:rsid w:val="00FE2685"/>
    <w:rsid w:val="00FE4F8E"/>
    <w:rsid w:val="01635052"/>
    <w:rsid w:val="01AF0E8E"/>
    <w:rsid w:val="0237028C"/>
    <w:rsid w:val="04B223B8"/>
    <w:rsid w:val="051F3B2F"/>
    <w:rsid w:val="05D4091E"/>
    <w:rsid w:val="064536A2"/>
    <w:rsid w:val="06B34AD0"/>
    <w:rsid w:val="078D2442"/>
    <w:rsid w:val="07FB56BA"/>
    <w:rsid w:val="09FA0E74"/>
    <w:rsid w:val="0B5A6644"/>
    <w:rsid w:val="0B637951"/>
    <w:rsid w:val="0B93484D"/>
    <w:rsid w:val="0C181ECC"/>
    <w:rsid w:val="0C2946EA"/>
    <w:rsid w:val="0D0F361F"/>
    <w:rsid w:val="0DD362D8"/>
    <w:rsid w:val="10192B03"/>
    <w:rsid w:val="108A1EC8"/>
    <w:rsid w:val="10CD22A4"/>
    <w:rsid w:val="11503C0C"/>
    <w:rsid w:val="11F346D0"/>
    <w:rsid w:val="12280B6E"/>
    <w:rsid w:val="141C7108"/>
    <w:rsid w:val="187E58BC"/>
    <w:rsid w:val="18DC5277"/>
    <w:rsid w:val="1A8F770C"/>
    <w:rsid w:val="1AD21DBA"/>
    <w:rsid w:val="1B1063D8"/>
    <w:rsid w:val="1B713881"/>
    <w:rsid w:val="1D6141EB"/>
    <w:rsid w:val="1D770D8A"/>
    <w:rsid w:val="1EAD2CE3"/>
    <w:rsid w:val="1FEF78BE"/>
    <w:rsid w:val="20341C0E"/>
    <w:rsid w:val="20473607"/>
    <w:rsid w:val="2270017D"/>
    <w:rsid w:val="229E2534"/>
    <w:rsid w:val="24C4278D"/>
    <w:rsid w:val="273E5D3E"/>
    <w:rsid w:val="29B82A95"/>
    <w:rsid w:val="2A43092E"/>
    <w:rsid w:val="2ABA1EB6"/>
    <w:rsid w:val="2B7550A0"/>
    <w:rsid w:val="2BC64C6D"/>
    <w:rsid w:val="2C4436A1"/>
    <w:rsid w:val="2DCB10B0"/>
    <w:rsid w:val="307D5C30"/>
    <w:rsid w:val="30BD6B69"/>
    <w:rsid w:val="338E23C5"/>
    <w:rsid w:val="33C32726"/>
    <w:rsid w:val="34350C37"/>
    <w:rsid w:val="355359DB"/>
    <w:rsid w:val="375351AC"/>
    <w:rsid w:val="39331C92"/>
    <w:rsid w:val="3AF33D54"/>
    <w:rsid w:val="3D316BD2"/>
    <w:rsid w:val="3E043BE7"/>
    <w:rsid w:val="3E59135C"/>
    <w:rsid w:val="3F9E515E"/>
    <w:rsid w:val="400B1B99"/>
    <w:rsid w:val="40265C96"/>
    <w:rsid w:val="41DA582B"/>
    <w:rsid w:val="4208751B"/>
    <w:rsid w:val="43373F32"/>
    <w:rsid w:val="44D05DBF"/>
    <w:rsid w:val="454121AE"/>
    <w:rsid w:val="45A651B1"/>
    <w:rsid w:val="45A87FE1"/>
    <w:rsid w:val="48ED4377"/>
    <w:rsid w:val="492B1BEA"/>
    <w:rsid w:val="4AA96836"/>
    <w:rsid w:val="4BCD01A5"/>
    <w:rsid w:val="4C6E207F"/>
    <w:rsid w:val="4CD11242"/>
    <w:rsid w:val="4D827B3A"/>
    <w:rsid w:val="503F121B"/>
    <w:rsid w:val="51A717B5"/>
    <w:rsid w:val="520212A0"/>
    <w:rsid w:val="563B6BD0"/>
    <w:rsid w:val="563C4689"/>
    <w:rsid w:val="565412B2"/>
    <w:rsid w:val="573F1A3E"/>
    <w:rsid w:val="57C51504"/>
    <w:rsid w:val="57CA1F7E"/>
    <w:rsid w:val="581A7D50"/>
    <w:rsid w:val="59C53C55"/>
    <w:rsid w:val="5B154313"/>
    <w:rsid w:val="5CB1489E"/>
    <w:rsid w:val="5D9E7A1A"/>
    <w:rsid w:val="5F0261B6"/>
    <w:rsid w:val="609437E2"/>
    <w:rsid w:val="60AA14C5"/>
    <w:rsid w:val="6116554E"/>
    <w:rsid w:val="6184354C"/>
    <w:rsid w:val="620B0C18"/>
    <w:rsid w:val="624163EE"/>
    <w:rsid w:val="62AD0F9A"/>
    <w:rsid w:val="64834092"/>
    <w:rsid w:val="659D2A1F"/>
    <w:rsid w:val="66B10EF0"/>
    <w:rsid w:val="67335160"/>
    <w:rsid w:val="675C4B50"/>
    <w:rsid w:val="678621B0"/>
    <w:rsid w:val="684D4B6C"/>
    <w:rsid w:val="686103AD"/>
    <w:rsid w:val="68AD782B"/>
    <w:rsid w:val="68EA0C4F"/>
    <w:rsid w:val="69D46307"/>
    <w:rsid w:val="6A7D5A9F"/>
    <w:rsid w:val="6ACA565B"/>
    <w:rsid w:val="6B1004CF"/>
    <w:rsid w:val="6C597D53"/>
    <w:rsid w:val="7048198B"/>
    <w:rsid w:val="71791CDC"/>
    <w:rsid w:val="72644FFF"/>
    <w:rsid w:val="744D5ADF"/>
    <w:rsid w:val="753E657A"/>
    <w:rsid w:val="7790403B"/>
    <w:rsid w:val="79E86F11"/>
    <w:rsid w:val="7BB36982"/>
    <w:rsid w:val="7BC75146"/>
    <w:rsid w:val="7C1E4D05"/>
    <w:rsid w:val="7DA24F81"/>
    <w:rsid w:val="7E171744"/>
    <w:rsid w:val="7E9A0429"/>
    <w:rsid w:val="CBFF5F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paragraph" w:styleId="3">
    <w:name w:val="heading 3"/>
    <w:basedOn w:val="1"/>
    <w:next w:val="1"/>
    <w:link w:val="17"/>
    <w:qFormat/>
    <w:uiPriority w:val="0"/>
    <w:pPr>
      <w:keepNext/>
      <w:keepLines/>
      <w:adjustRightInd w:val="0"/>
      <w:spacing w:before="260" w:after="260" w:line="416" w:lineRule="atLeast"/>
      <w:ind w:firstLine="664" w:firstLineChars="200"/>
      <w:outlineLvl w:val="2"/>
    </w:pPr>
    <w:rPr>
      <w:rFonts w:ascii="仿宋_GB2312" w:eastAsia="方正仿宋简体"/>
      <w:b/>
      <w:bCs/>
      <w:kern w:val="0"/>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4">
    <w:name w:val="annotation text"/>
    <w:basedOn w:val="1"/>
    <w:link w:val="23"/>
    <w:unhideWhenUsed/>
    <w:qFormat/>
    <w:uiPriority w:val="99"/>
    <w:pPr>
      <w:jc w:val="left"/>
    </w:pPr>
  </w:style>
  <w:style w:type="paragraph" w:styleId="5">
    <w:name w:val="Balloon Text"/>
    <w:basedOn w:val="1"/>
    <w:link w:val="18"/>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sz w:val="24"/>
    </w:rPr>
  </w:style>
  <w:style w:type="paragraph" w:styleId="9">
    <w:name w:val="annotation subject"/>
    <w:basedOn w:val="4"/>
    <w:next w:val="4"/>
    <w:link w:val="24"/>
    <w:unhideWhenUsed/>
    <w:qFormat/>
    <w:uiPriority w:val="99"/>
    <w:rPr>
      <w:b/>
      <w:bCs/>
    </w:rPr>
  </w:style>
  <w:style w:type="character" w:styleId="12">
    <w:name w:val="FollowedHyperlink"/>
    <w:basedOn w:val="11"/>
    <w:unhideWhenUsed/>
    <w:qFormat/>
    <w:uiPriority w:val="99"/>
    <w:rPr>
      <w:color w:val="000000"/>
      <w:u w:val="none"/>
    </w:rPr>
  </w:style>
  <w:style w:type="character" w:styleId="13">
    <w:name w:val="Hyperlink"/>
    <w:basedOn w:val="11"/>
    <w:unhideWhenUsed/>
    <w:qFormat/>
    <w:uiPriority w:val="99"/>
    <w:rPr>
      <w:color w:val="000000"/>
      <w:u w:val="none"/>
    </w:rPr>
  </w:style>
  <w:style w:type="character" w:styleId="14">
    <w:name w:val="annotation reference"/>
    <w:basedOn w:val="11"/>
    <w:unhideWhenUsed/>
    <w:qFormat/>
    <w:uiPriority w:val="99"/>
    <w:rPr>
      <w:sz w:val="21"/>
      <w:szCs w:val="21"/>
    </w:rPr>
  </w:style>
  <w:style w:type="character" w:customStyle="1" w:styleId="15">
    <w:name w:val="页眉 Char"/>
    <w:basedOn w:val="11"/>
    <w:link w:val="7"/>
    <w:semiHidden/>
    <w:qFormat/>
    <w:uiPriority w:val="99"/>
    <w:rPr>
      <w:sz w:val="18"/>
      <w:szCs w:val="18"/>
    </w:rPr>
  </w:style>
  <w:style w:type="character" w:customStyle="1" w:styleId="16">
    <w:name w:val="页脚 Char"/>
    <w:basedOn w:val="11"/>
    <w:link w:val="6"/>
    <w:qFormat/>
    <w:uiPriority w:val="99"/>
    <w:rPr>
      <w:sz w:val="18"/>
      <w:szCs w:val="18"/>
    </w:rPr>
  </w:style>
  <w:style w:type="character" w:customStyle="1" w:styleId="17">
    <w:name w:val="标题 3 Char"/>
    <w:basedOn w:val="11"/>
    <w:link w:val="3"/>
    <w:qFormat/>
    <w:uiPriority w:val="0"/>
    <w:rPr>
      <w:rFonts w:ascii="仿宋_GB2312" w:hAnsi="Calibri" w:eastAsia="方正仿宋简体" w:cs="Times New Roman"/>
      <w:b/>
      <w:bCs/>
      <w:kern w:val="0"/>
      <w:sz w:val="32"/>
      <w:szCs w:val="32"/>
    </w:rPr>
  </w:style>
  <w:style w:type="character" w:customStyle="1" w:styleId="18">
    <w:name w:val="批注框文本 Char"/>
    <w:basedOn w:val="11"/>
    <w:link w:val="5"/>
    <w:semiHidden/>
    <w:qFormat/>
    <w:uiPriority w:val="99"/>
    <w:rPr>
      <w:rFonts w:ascii="Calibri" w:hAnsi="Calibri" w:eastAsia="仿宋_GB2312" w:cs="Times New Roman"/>
      <w:kern w:val="2"/>
      <w:sz w:val="18"/>
      <w:szCs w:val="18"/>
    </w:rPr>
  </w:style>
  <w:style w:type="character" w:customStyle="1" w:styleId="19">
    <w:name w:val="times"/>
    <w:basedOn w:val="11"/>
    <w:qFormat/>
    <w:uiPriority w:val="0"/>
    <w:rPr>
      <w:color w:val="3399FF"/>
      <w:bdr w:val="single" w:color="D1EDF8" w:sz="6" w:space="0"/>
      <w:shd w:val="clear" w:color="auto" w:fill="EAF9FF"/>
    </w:rPr>
  </w:style>
  <w:style w:type="character" w:customStyle="1" w:styleId="20">
    <w:name w:val="times1"/>
    <w:basedOn w:val="11"/>
    <w:qFormat/>
    <w:uiPriority w:val="0"/>
    <w:rPr>
      <w:color w:val="CDCDCD"/>
      <w:bdr w:val="single" w:color="CDCDCD" w:sz="6" w:space="0"/>
      <w:shd w:val="clear" w:color="auto" w:fill="EFEFEF"/>
    </w:rPr>
  </w:style>
  <w:style w:type="character" w:customStyle="1" w:styleId="21">
    <w:name w:val="hover42"/>
    <w:basedOn w:val="11"/>
    <w:qFormat/>
    <w:uiPriority w:val="0"/>
  </w:style>
  <w:style w:type="character" w:customStyle="1" w:styleId="22">
    <w:name w:val="hover41"/>
    <w:basedOn w:val="11"/>
    <w:qFormat/>
    <w:uiPriority w:val="0"/>
  </w:style>
  <w:style w:type="character" w:customStyle="1" w:styleId="23">
    <w:name w:val="批注文字 Char"/>
    <w:basedOn w:val="11"/>
    <w:link w:val="4"/>
    <w:semiHidden/>
    <w:qFormat/>
    <w:uiPriority w:val="99"/>
    <w:rPr>
      <w:rFonts w:ascii="Calibri" w:hAnsi="Calibri" w:eastAsia="仿宋_GB2312"/>
      <w:kern w:val="2"/>
      <w:sz w:val="32"/>
      <w:szCs w:val="32"/>
    </w:rPr>
  </w:style>
  <w:style w:type="character" w:customStyle="1" w:styleId="24">
    <w:name w:val="批注主题 Char"/>
    <w:basedOn w:val="23"/>
    <w:link w:val="9"/>
    <w:semiHidden/>
    <w:qFormat/>
    <w:uiPriority w:val="99"/>
    <w:rPr>
      <w:rFonts w:ascii="Calibri" w:hAnsi="Calibri" w:eastAsia="仿宋_GB2312"/>
      <w:b/>
      <w:bCs/>
      <w:kern w:val="2"/>
      <w:sz w:val="32"/>
      <w:szCs w:val="32"/>
    </w:rPr>
  </w:style>
  <w:style w:type="paragraph" w:customStyle="1" w:styleId="25">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6</Pages>
  <Words>3902</Words>
  <Characters>4021</Characters>
  <Lines>30</Lines>
  <Paragraphs>8</Paragraphs>
  <TotalTime>102</TotalTime>
  <ScaleCrop>false</ScaleCrop>
  <LinksUpToDate>false</LinksUpToDate>
  <CharactersWithSpaces>4022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2020-12-07T11:45:00Z</dcterms:created>
  <dc:creator>石丹</dc:creator>
  <cp:lastModifiedBy>Judy</cp:lastModifiedBy>
  <cp:lastPrinted>2024-06-18T03:30:00Z</cp:lastPrinted>
  <dcterms:modified xsi:type="dcterms:W3CDTF">2024-07-25T06:48:14Z</dcterms:modified>
  <dc:title>广东省海砂开采海域使用权及采矿权网上挂牌出让竞买须知</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5B6E953362534B17B6872D7555027495_13</vt:lpwstr>
  </property>
</Properties>
</file>