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560"/>
        </w:tabs>
        <w:spacing w:line="520" w:lineRule="exact"/>
        <w:ind w:right="818" w:firstLine="240" w:firstLineChars="100"/>
        <w:rPr>
          <w:rFonts w:ascii="宋体"/>
          <w:b/>
          <w:bCs/>
          <w:color w:val="auto"/>
          <w:sz w:val="36"/>
          <w:szCs w:val="36"/>
        </w:rPr>
      </w:pPr>
      <w:bookmarkStart w:id="0" w:name="_Toc22961"/>
      <w:bookmarkStart w:id="1" w:name="_Toc11705"/>
      <w:bookmarkStart w:id="2" w:name="_Toc2515"/>
      <w:bookmarkStart w:id="3" w:name="_Toc17179"/>
      <w:r>
        <w:rPr>
          <w:rFonts w:hint="eastAsia" w:ascii="宋体"/>
          <w:b/>
          <w:bCs/>
          <w:color w:val="auto"/>
          <w:sz w:val="24"/>
        </w:rPr>
        <w:t>版本编码：</w:t>
      </w:r>
      <w:r>
        <w:rPr>
          <w:rFonts w:hint="eastAsia" w:ascii="宋体" w:hAnsi="宋体" w:cs="宋体"/>
          <w:b/>
          <w:bCs/>
          <w:color w:val="auto"/>
          <w:sz w:val="24"/>
        </w:rPr>
        <w:t>湛施招2021-002（纸质招投标版）</w:t>
      </w:r>
    </w:p>
    <w:p>
      <w:pPr>
        <w:pStyle w:val="2"/>
        <w:rPr>
          <w:rFonts w:hint="default"/>
          <w:color w:val="auto"/>
        </w:rPr>
      </w:pPr>
    </w:p>
    <w:p>
      <w:pPr>
        <w:spacing w:line="900" w:lineRule="exact"/>
        <w:ind w:right="816" w:firstLine="540"/>
        <w:jc w:val="center"/>
        <w:rPr>
          <w:rFonts w:hint="eastAsia" w:ascii="宋体" w:hAnsi="宋体" w:eastAsia="宋体"/>
          <w:b/>
          <w:bCs/>
          <w:color w:val="auto"/>
          <w:sz w:val="46"/>
          <w:szCs w:val="52"/>
          <w:lang w:eastAsia="zh-CN"/>
        </w:rPr>
      </w:pPr>
      <w:r>
        <w:rPr>
          <w:rFonts w:hint="eastAsia"/>
          <w:b/>
          <w:bCs/>
          <w:color w:val="auto"/>
          <w:sz w:val="52"/>
          <w:u w:val="single"/>
          <w:lang w:eastAsia="zh-CN"/>
        </w:rPr>
        <w:t>遂溪县洋青镇城乡融合综合改造项目（</w:t>
      </w:r>
      <w:r>
        <w:rPr>
          <w:rFonts w:hint="eastAsia"/>
          <w:b/>
          <w:bCs/>
          <w:color w:val="auto"/>
          <w:sz w:val="52"/>
          <w:u w:val="single"/>
          <w:lang w:val="en-US" w:eastAsia="zh-CN"/>
        </w:rPr>
        <w:t>一期</w:t>
      </w:r>
      <w:r>
        <w:rPr>
          <w:rFonts w:hint="eastAsia"/>
          <w:b/>
          <w:bCs/>
          <w:color w:val="auto"/>
          <w:sz w:val="52"/>
          <w:u w:val="single"/>
          <w:lang w:eastAsia="zh-CN"/>
        </w:rPr>
        <w:t>）</w:t>
      </w:r>
    </w:p>
    <w:p>
      <w:pPr>
        <w:ind w:left="1470" w:right="1764" w:hanging="210"/>
        <w:jc w:val="center"/>
        <w:rPr>
          <w:rFonts w:ascii="宋体"/>
          <w:b/>
          <w:color w:val="auto"/>
          <w:sz w:val="44"/>
          <w:szCs w:val="44"/>
        </w:rPr>
      </w:pPr>
    </w:p>
    <w:p>
      <w:pPr>
        <w:jc w:val="center"/>
        <w:rPr>
          <w:rFonts w:ascii="宋体"/>
          <w:b/>
          <w:color w:val="auto"/>
          <w:sz w:val="44"/>
          <w:szCs w:val="44"/>
        </w:rPr>
      </w:pPr>
    </w:p>
    <w:p>
      <w:pPr>
        <w:jc w:val="center"/>
        <w:rPr>
          <w:rFonts w:ascii="宋体"/>
          <w:b/>
          <w:color w:val="auto"/>
          <w:sz w:val="84"/>
          <w:szCs w:val="84"/>
        </w:rPr>
      </w:pPr>
      <w:r>
        <w:rPr>
          <w:rFonts w:hint="eastAsia" w:ascii="宋体"/>
          <w:b/>
          <w:color w:val="auto"/>
          <w:sz w:val="84"/>
          <w:szCs w:val="84"/>
        </w:rPr>
        <w:t>施工招标文件</w:t>
      </w:r>
    </w:p>
    <w:p>
      <w:pPr>
        <w:ind w:right="1763"/>
        <w:rPr>
          <w:rFonts w:ascii="宋体"/>
          <w:b/>
          <w:color w:val="auto"/>
          <w:sz w:val="44"/>
          <w:szCs w:val="44"/>
        </w:rPr>
      </w:pPr>
      <w:r>
        <w:rPr>
          <w:rFonts w:hint="eastAsia" w:ascii="宋体"/>
          <w:b/>
          <w:color w:val="auto"/>
          <w:sz w:val="44"/>
          <w:szCs w:val="44"/>
        </w:rPr>
        <w:t xml:space="preserve">               （公开招标）</w:t>
      </w:r>
    </w:p>
    <w:p>
      <w:pPr>
        <w:ind w:right="1763"/>
        <w:rPr>
          <w:rFonts w:ascii="宋体"/>
          <w:b/>
          <w:color w:val="auto"/>
          <w:sz w:val="44"/>
          <w:szCs w:val="44"/>
        </w:rPr>
      </w:pPr>
    </w:p>
    <w:p>
      <w:pPr>
        <w:ind w:right="1763"/>
        <w:rPr>
          <w:rFonts w:ascii="宋体"/>
          <w:b/>
          <w:color w:val="auto"/>
          <w:sz w:val="44"/>
          <w:szCs w:val="44"/>
        </w:rPr>
      </w:pPr>
    </w:p>
    <w:p>
      <w:pPr>
        <w:ind w:right="1763"/>
        <w:rPr>
          <w:rFonts w:ascii="宋体"/>
          <w:b/>
          <w:color w:val="auto"/>
          <w:sz w:val="44"/>
          <w:szCs w:val="44"/>
        </w:rPr>
      </w:pPr>
    </w:p>
    <w:p>
      <w:pPr>
        <w:pStyle w:val="8"/>
        <w:spacing w:line="240" w:lineRule="auto"/>
        <w:ind w:firstLine="1059" w:firstLineChars="331"/>
        <w:rPr>
          <w:rFonts w:hint="eastAsia" w:hAnsi="Times New Roman" w:eastAsia="宋体"/>
          <w:b/>
          <w:color w:val="auto"/>
          <w:sz w:val="32"/>
          <w:szCs w:val="32"/>
          <w:lang w:eastAsia="zh-CN"/>
        </w:rPr>
      </w:pPr>
      <w:r>
        <w:rPr>
          <w:rFonts w:hint="eastAsia" w:hAnsi="Times New Roman"/>
          <w:b/>
          <w:color w:val="auto"/>
          <w:sz w:val="32"/>
          <w:szCs w:val="32"/>
        </w:rPr>
        <w:t>招标人（公章）：</w:t>
      </w:r>
      <w:r>
        <w:rPr>
          <w:rFonts w:hint="eastAsia" w:hAnsi="Times New Roman"/>
          <w:b/>
          <w:color w:val="auto"/>
          <w:sz w:val="32"/>
          <w:szCs w:val="32"/>
          <w:u w:val="single"/>
          <w:lang w:eastAsia="zh-CN"/>
        </w:rPr>
        <w:t>遂溪县洋青镇人民政府</w:t>
      </w:r>
    </w:p>
    <w:p>
      <w:pPr>
        <w:pStyle w:val="8"/>
        <w:spacing w:line="240" w:lineRule="auto"/>
        <w:ind w:firstLine="1059" w:firstLineChars="331"/>
        <w:rPr>
          <w:rFonts w:hAnsi="Times New Roman"/>
          <w:b/>
          <w:color w:val="auto"/>
          <w:sz w:val="32"/>
          <w:szCs w:val="32"/>
        </w:rPr>
      </w:pPr>
    </w:p>
    <w:p>
      <w:pPr>
        <w:pStyle w:val="8"/>
        <w:spacing w:line="240" w:lineRule="auto"/>
        <w:ind w:firstLine="1059" w:firstLineChars="331"/>
        <w:rPr>
          <w:rFonts w:hAnsi="Times New Roman"/>
          <w:b/>
          <w:color w:val="auto"/>
          <w:sz w:val="32"/>
          <w:szCs w:val="32"/>
        </w:rPr>
      </w:pPr>
    </w:p>
    <w:p>
      <w:pPr>
        <w:pStyle w:val="8"/>
        <w:spacing w:line="240" w:lineRule="auto"/>
        <w:ind w:firstLine="1059" w:firstLineChars="331"/>
        <w:rPr>
          <w:rFonts w:hAnsi="Times New Roman"/>
          <w:b/>
          <w:color w:val="auto"/>
          <w:sz w:val="32"/>
          <w:szCs w:val="32"/>
        </w:rPr>
      </w:pPr>
      <w:r>
        <w:rPr>
          <w:rFonts w:hint="eastAsia" w:hAnsi="Times New Roman"/>
          <w:b/>
          <w:color w:val="auto"/>
          <w:sz w:val="32"/>
          <w:szCs w:val="32"/>
        </w:rPr>
        <w:t>招标代理机构（公章）：</w:t>
      </w:r>
      <w:r>
        <w:rPr>
          <w:rFonts w:hint="eastAsia" w:hAnsi="Times New Roman"/>
          <w:b/>
          <w:color w:val="auto"/>
          <w:sz w:val="32"/>
          <w:szCs w:val="32"/>
          <w:u w:val="single"/>
        </w:rPr>
        <w:t>方大国际工程咨询股份有限公司</w:t>
      </w:r>
    </w:p>
    <w:p>
      <w:pPr>
        <w:pStyle w:val="8"/>
        <w:spacing w:line="240" w:lineRule="auto"/>
        <w:ind w:firstLine="960" w:firstLineChars="300"/>
        <w:rPr>
          <w:color w:val="auto"/>
          <w:sz w:val="32"/>
          <w:szCs w:val="32"/>
        </w:rPr>
      </w:pPr>
    </w:p>
    <w:p>
      <w:pPr>
        <w:tabs>
          <w:tab w:val="left" w:pos="1260"/>
          <w:tab w:val="left" w:pos="8119"/>
          <w:tab w:val="left" w:pos="8460"/>
        </w:tabs>
        <w:ind w:right="1561"/>
        <w:rPr>
          <w:rFonts w:ascii="宋体"/>
          <w:color w:val="auto"/>
          <w:sz w:val="32"/>
          <w:szCs w:val="32"/>
        </w:rPr>
      </w:pPr>
    </w:p>
    <w:p>
      <w:pPr>
        <w:ind w:right="1764" w:firstLine="1920" w:firstLineChars="600"/>
        <w:rPr>
          <w:rFonts w:ascii="宋体"/>
          <w:b/>
          <w:color w:val="auto"/>
          <w:sz w:val="32"/>
          <w:szCs w:val="32"/>
        </w:rPr>
      </w:pPr>
      <w:r>
        <w:rPr>
          <w:rFonts w:hint="eastAsia" w:ascii="宋体"/>
          <w:b/>
          <w:color w:val="auto"/>
          <w:sz w:val="32"/>
          <w:szCs w:val="32"/>
        </w:rPr>
        <w:t>编制时间：</w:t>
      </w:r>
      <w:r>
        <w:rPr>
          <w:rFonts w:hint="eastAsia" w:ascii="宋体"/>
          <w:b/>
          <w:color w:val="auto"/>
          <w:sz w:val="32"/>
          <w:szCs w:val="32"/>
          <w:u w:val="single"/>
        </w:rPr>
        <w:t>2022</w:t>
      </w:r>
      <w:r>
        <w:rPr>
          <w:rFonts w:hint="eastAsia" w:ascii="宋体"/>
          <w:b/>
          <w:color w:val="auto"/>
          <w:sz w:val="32"/>
          <w:szCs w:val="32"/>
        </w:rPr>
        <w:t>年</w:t>
      </w:r>
      <w:r>
        <w:rPr>
          <w:rFonts w:hint="eastAsia" w:ascii="宋体"/>
          <w:b/>
          <w:color w:val="auto"/>
          <w:sz w:val="32"/>
          <w:szCs w:val="32"/>
          <w:u w:val="single"/>
        </w:rPr>
        <w:t xml:space="preserve"> </w:t>
      </w:r>
      <w:r>
        <w:rPr>
          <w:rFonts w:hint="eastAsia" w:ascii="宋体"/>
          <w:b/>
          <w:color w:val="auto"/>
          <w:sz w:val="32"/>
          <w:szCs w:val="32"/>
          <w:u w:val="single"/>
          <w:lang w:val="en-US" w:eastAsia="zh-CN"/>
        </w:rPr>
        <w:t>4</w:t>
      </w:r>
      <w:r>
        <w:rPr>
          <w:rFonts w:hint="eastAsia" w:ascii="宋体"/>
          <w:b/>
          <w:color w:val="auto"/>
          <w:sz w:val="32"/>
          <w:szCs w:val="32"/>
        </w:rPr>
        <w:t>月</w:t>
      </w:r>
    </w:p>
    <w:p>
      <w:pPr>
        <w:tabs>
          <w:tab w:val="left" w:pos="1260"/>
          <w:tab w:val="left" w:pos="7920"/>
          <w:tab w:val="left" w:pos="8100"/>
        </w:tabs>
        <w:ind w:right="1718" w:firstLine="1668" w:firstLineChars="596"/>
        <w:rPr>
          <w:rFonts w:ascii="宋体"/>
          <w:color w:val="auto"/>
          <w:sz w:val="28"/>
          <w:szCs w:val="28"/>
        </w:rPr>
      </w:pPr>
    </w:p>
    <w:p>
      <w:pPr>
        <w:spacing w:line="520" w:lineRule="exact"/>
        <w:rPr>
          <w:rFonts w:ascii="宋体"/>
          <w:b/>
          <w:bCs/>
          <w:color w:val="auto"/>
          <w:sz w:val="44"/>
          <w:szCs w:val="44"/>
        </w:rPr>
      </w:pPr>
    </w:p>
    <w:p>
      <w:pPr>
        <w:pStyle w:val="2"/>
        <w:rPr>
          <w:rFonts w:hint="default"/>
          <w:b w:val="0"/>
          <w:bCs w:val="0"/>
          <w:color w:val="auto"/>
          <w:sz w:val="44"/>
          <w:szCs w:val="44"/>
        </w:rPr>
      </w:pPr>
    </w:p>
    <w:p>
      <w:pPr>
        <w:rPr>
          <w:color w:val="auto"/>
        </w:rPr>
        <w:sectPr>
          <w:footerReference r:id="rId4" w:type="first"/>
          <w:footerReference r:id="rId3" w:type="default"/>
          <w:pgSz w:w="11907" w:h="16840"/>
          <w:pgMar w:top="1418" w:right="851" w:bottom="1418" w:left="851" w:header="851" w:footer="992" w:gutter="567"/>
          <w:cols w:space="720" w:num="1"/>
          <w:docGrid w:type="linesAndChars" w:linePitch="312" w:charSpace="0"/>
        </w:sectPr>
      </w:pPr>
    </w:p>
    <w:p>
      <w:pPr>
        <w:pStyle w:val="10"/>
        <w:spacing w:line="52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关于招标文件示范文本的使用说明</w:t>
      </w:r>
    </w:p>
    <w:p>
      <w:pPr>
        <w:pStyle w:val="10"/>
        <w:spacing w:line="520" w:lineRule="exact"/>
        <w:rPr>
          <w:color w:val="auto"/>
          <w:sz w:val="44"/>
          <w:szCs w:val="44"/>
        </w:rPr>
      </w:pPr>
    </w:p>
    <w:p>
      <w:pPr>
        <w:pStyle w:val="8"/>
        <w:wordWrap w:val="0"/>
        <w:spacing w:line="520" w:lineRule="exact"/>
        <w:ind w:firstLine="560" w:firstLineChars="200"/>
        <w:jc w:val="both"/>
        <w:rPr>
          <w:rFonts w:hAnsi="Times New Roman"/>
          <w:color w:val="auto"/>
          <w:sz w:val="28"/>
          <w:szCs w:val="28"/>
        </w:rPr>
      </w:pPr>
      <w:r>
        <w:rPr>
          <w:rFonts w:hint="eastAsia" w:hAnsi="Times New Roman"/>
          <w:color w:val="auto"/>
          <w:sz w:val="28"/>
          <w:szCs w:val="28"/>
        </w:rPr>
        <w:t>1.本范本适用于湛江市不使用电子招投标的依法必须公开招标项目，试行评定分离的项目也可参考本范本编制招标文。招标人或招标代理机构可在“湛江市住房和城乡建设局政府信息公开平台：https://www.zhanjiang.gov.cn/zjj/gkmlpt/index进行查看或下载。</w:t>
      </w:r>
    </w:p>
    <w:p>
      <w:pPr>
        <w:pStyle w:val="10"/>
        <w:spacing w:line="520" w:lineRule="exact"/>
        <w:ind w:firstLine="560" w:firstLineChars="200"/>
        <w:rPr>
          <w:rFonts w:ascii="华文行楷" w:hAnsi="华文行楷" w:eastAsia="华文行楷" w:cs="华文行楷"/>
          <w:color w:val="auto"/>
          <w:sz w:val="28"/>
          <w:szCs w:val="28"/>
        </w:rPr>
      </w:pPr>
      <w:r>
        <w:rPr>
          <w:rFonts w:hint="eastAsia"/>
          <w:color w:val="auto"/>
          <w:sz w:val="28"/>
          <w:szCs w:val="28"/>
        </w:rPr>
        <w:t>2.招标人在使用本范本时，招标文件中的空格必须按实填写，招标人可根据需要补充填写内容。所有增加或修改部分内容、空白栏目的填写必须采用</w:t>
      </w:r>
      <w:r>
        <w:rPr>
          <w:rFonts w:hint="eastAsia" w:ascii="华文行楷" w:hAnsi="华文行楷" w:eastAsia="华文行楷" w:cs="华文行楷"/>
          <w:color w:val="auto"/>
          <w:sz w:val="28"/>
          <w:szCs w:val="28"/>
        </w:rPr>
        <w:t>四号华文行楷字体。</w:t>
      </w:r>
    </w:p>
    <w:p>
      <w:pPr>
        <w:pStyle w:val="10"/>
        <w:spacing w:line="520" w:lineRule="exact"/>
        <w:ind w:firstLine="560" w:firstLineChars="200"/>
        <w:rPr>
          <w:b/>
          <w:bCs/>
          <w:color w:val="auto"/>
          <w:sz w:val="28"/>
          <w:szCs w:val="28"/>
        </w:rPr>
      </w:pPr>
      <w:r>
        <w:rPr>
          <w:rFonts w:hint="eastAsia"/>
          <w:b/>
          <w:bCs/>
          <w:color w:val="auto"/>
          <w:sz w:val="28"/>
          <w:szCs w:val="28"/>
        </w:rPr>
        <w:t>3.“□”为选择项，选择的内容（项）保留，不选的请删除。</w:t>
      </w:r>
    </w:p>
    <w:p>
      <w:pPr>
        <w:pStyle w:val="10"/>
        <w:spacing w:line="520" w:lineRule="exact"/>
        <w:ind w:firstLine="560" w:firstLineChars="200"/>
        <w:rPr>
          <w:color w:val="auto"/>
          <w:sz w:val="28"/>
          <w:szCs w:val="28"/>
        </w:rPr>
      </w:pPr>
      <w:r>
        <w:rPr>
          <w:rFonts w:hint="eastAsia"/>
          <w:color w:val="auto"/>
          <w:sz w:val="28"/>
          <w:szCs w:val="28"/>
        </w:rPr>
        <w:t>4.招标文件采用“第x页 共x页”的页码格式，并且在“目录”中标明对应的页码。</w:t>
      </w:r>
    </w:p>
    <w:p>
      <w:pPr>
        <w:pStyle w:val="10"/>
        <w:spacing w:line="520" w:lineRule="exact"/>
        <w:ind w:firstLine="560" w:firstLineChars="200"/>
        <w:rPr>
          <w:color w:val="auto"/>
          <w:sz w:val="28"/>
          <w:szCs w:val="28"/>
        </w:rPr>
      </w:pPr>
      <w:r>
        <w:rPr>
          <w:rFonts w:hint="eastAsia"/>
          <w:color w:val="auto"/>
          <w:sz w:val="28"/>
          <w:szCs w:val="28"/>
        </w:rPr>
        <w:t>5.严格按照《中华人民共和国招标投标法》《中华人民共和国招标投标法实施条例》《广东省实施＜中华人民共和国招标投标法＞办法》和湛江市建设工程招标投标程序进行，实行招标人负责制。</w:t>
      </w:r>
    </w:p>
    <w:p>
      <w:pPr>
        <w:pStyle w:val="10"/>
        <w:spacing w:line="520" w:lineRule="exact"/>
        <w:ind w:firstLine="560" w:firstLineChars="200"/>
        <w:rPr>
          <w:color w:val="auto"/>
          <w:sz w:val="28"/>
          <w:szCs w:val="28"/>
        </w:rPr>
      </w:pPr>
      <w:r>
        <w:rPr>
          <w:rFonts w:hint="eastAsia"/>
          <w:color w:val="auto"/>
          <w:sz w:val="28"/>
          <w:szCs w:val="28"/>
        </w:rPr>
        <w:t>6.招标文件进行备案时，必须同时加盖招标人和招标代理机构公章（首页和骑缝）。</w:t>
      </w:r>
    </w:p>
    <w:p>
      <w:pPr>
        <w:pStyle w:val="8"/>
        <w:wordWrap w:val="0"/>
        <w:spacing w:line="520" w:lineRule="exact"/>
        <w:ind w:firstLine="560" w:firstLineChars="200"/>
        <w:rPr>
          <w:color w:val="auto"/>
          <w:sz w:val="28"/>
          <w:szCs w:val="28"/>
        </w:rPr>
      </w:pPr>
      <w:r>
        <w:rPr>
          <w:rFonts w:hint="eastAsia"/>
          <w:color w:val="auto"/>
          <w:sz w:val="28"/>
          <w:szCs w:val="28"/>
        </w:rPr>
        <w:t>7.</w:t>
      </w:r>
      <w:r>
        <w:rPr>
          <w:rFonts w:hint="eastAsia" w:hAnsi="Times New Roman"/>
          <w:color w:val="auto"/>
          <w:sz w:val="28"/>
          <w:szCs w:val="28"/>
        </w:rPr>
        <w:t>本参考范本中关于“</w:t>
      </w:r>
      <w:r>
        <w:rPr>
          <w:rFonts w:hint="eastAsia" w:cs="宋体"/>
          <w:iCs/>
          <w:color w:val="auto"/>
          <w:sz w:val="28"/>
          <w:szCs w:val="28"/>
        </w:rPr>
        <w:t>广东省招标投标监管网</w:t>
      </w:r>
      <w:r>
        <w:rPr>
          <w:rFonts w:hint="eastAsia" w:hAnsi="Times New Roman"/>
          <w:color w:val="auto"/>
          <w:sz w:val="28"/>
          <w:szCs w:val="28"/>
        </w:rPr>
        <w:t>”</w:t>
      </w:r>
      <w:r>
        <w:rPr>
          <w:rFonts w:hint="eastAsia" w:cs="宋体"/>
          <w:iCs/>
          <w:color w:val="auto"/>
          <w:sz w:val="28"/>
          <w:szCs w:val="28"/>
        </w:rPr>
        <w:t>的地址全部默认为：http://zbtb.gd.gov.cn</w:t>
      </w:r>
      <w:r>
        <w:rPr>
          <w:rFonts w:hint="eastAsia" w:hAnsi="Times New Roman"/>
          <w:color w:val="auto"/>
          <w:sz w:val="28"/>
          <w:szCs w:val="28"/>
        </w:rPr>
        <w:t>。</w:t>
      </w:r>
    </w:p>
    <w:p>
      <w:pPr>
        <w:pStyle w:val="10"/>
        <w:spacing w:line="520" w:lineRule="exact"/>
        <w:ind w:firstLine="560" w:firstLineChars="200"/>
        <w:rPr>
          <w:b/>
          <w:bCs/>
          <w:color w:val="auto"/>
          <w:sz w:val="28"/>
          <w:szCs w:val="28"/>
        </w:rPr>
      </w:pPr>
      <w:r>
        <w:rPr>
          <w:rFonts w:hint="eastAsia"/>
          <w:b/>
          <w:bCs/>
          <w:color w:val="auto"/>
          <w:sz w:val="28"/>
          <w:szCs w:val="28"/>
        </w:rPr>
        <w:t>注：房屋建筑工程、市政公用工程项目招标参照本范本，若国家法律、法规、规章及上级有关文件另有规定的，从其规定。</w:t>
      </w:r>
    </w:p>
    <w:p>
      <w:pPr>
        <w:pStyle w:val="10"/>
        <w:spacing w:line="520" w:lineRule="exact"/>
        <w:ind w:firstLine="480"/>
        <w:rPr>
          <w:color w:val="auto"/>
          <w:sz w:val="28"/>
          <w:szCs w:val="28"/>
        </w:rPr>
      </w:pPr>
    </w:p>
    <w:p>
      <w:pPr>
        <w:spacing w:line="520" w:lineRule="exact"/>
        <w:jc w:val="center"/>
        <w:rPr>
          <w:rFonts w:ascii="方正小标宋简体" w:hAnsi="方正小标宋简体" w:eastAsia="方正小标宋简体" w:cs="方正小标宋简体"/>
          <w:b/>
          <w:bCs/>
          <w:color w:val="auto"/>
          <w:sz w:val="44"/>
          <w:szCs w:val="44"/>
        </w:rPr>
      </w:pPr>
    </w:p>
    <w:p>
      <w:pPr>
        <w:pStyle w:val="2"/>
        <w:rPr>
          <w:rFonts w:hint="default"/>
          <w:color w:val="auto"/>
        </w:rPr>
      </w:pPr>
    </w:p>
    <w:p>
      <w:pPr>
        <w:spacing w:beforeLines="80" w:afterLines="80" w:line="520" w:lineRule="exact"/>
        <w:jc w:val="center"/>
        <w:rPr>
          <w:rFonts w:ascii="方正小标宋简体" w:hAnsi="方正小标宋简体" w:eastAsia="方正小标宋简体" w:cs="方正小标宋简体"/>
          <w:b/>
          <w:bCs/>
          <w:color w:val="auto"/>
          <w:sz w:val="44"/>
          <w:szCs w:val="44"/>
        </w:rPr>
      </w:pPr>
    </w:p>
    <w:p>
      <w:pPr>
        <w:spacing w:beforeLines="80" w:afterLines="80" w:line="52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目 　  录</w:t>
      </w:r>
    </w:p>
    <w:p>
      <w:pPr>
        <w:pStyle w:val="15"/>
        <w:tabs>
          <w:tab w:val="right" w:leader="dot" w:pos="9638"/>
        </w:tabs>
        <w:spacing w:line="440" w:lineRule="exact"/>
        <w:rPr>
          <w:rFonts w:ascii="宋体" w:hAnsi="宋体" w:cs="宋体"/>
          <w:b/>
          <w:bCs/>
          <w:color w:val="auto"/>
          <w:sz w:val="28"/>
          <w:szCs w:val="28"/>
        </w:rPr>
      </w:pPr>
      <w:r>
        <w:rPr>
          <w:b/>
          <w:bCs/>
          <w:color w:val="auto"/>
          <w:sz w:val="44"/>
          <w:szCs w:val="44"/>
        </w:rPr>
        <w:fldChar w:fldCharType="begin"/>
      </w:r>
      <w:r>
        <w:rPr>
          <w:b/>
          <w:bCs/>
          <w:color w:val="auto"/>
          <w:sz w:val="44"/>
          <w:szCs w:val="44"/>
        </w:rPr>
        <w:instrText xml:space="preserve">TOC \o "1-2" \h \u </w:instrText>
      </w:r>
      <w:r>
        <w:rPr>
          <w:b/>
          <w:bCs/>
          <w:color w:val="auto"/>
          <w:sz w:val="44"/>
          <w:szCs w:val="44"/>
        </w:rPr>
        <w:fldChar w:fldCharType="separate"/>
      </w:r>
      <w:r>
        <w:rPr>
          <w:color w:val="auto"/>
        </w:rPr>
        <w:fldChar w:fldCharType="begin"/>
      </w:r>
      <w:r>
        <w:rPr>
          <w:color w:val="auto"/>
        </w:rPr>
        <w:instrText xml:space="preserve"> HYPERLINK \l "_Toc30644" </w:instrText>
      </w:r>
      <w:r>
        <w:rPr>
          <w:color w:val="auto"/>
        </w:rPr>
        <w:fldChar w:fldCharType="separate"/>
      </w:r>
      <w:r>
        <w:rPr>
          <w:rFonts w:hint="eastAsia" w:ascii="宋体" w:hAnsi="宋体" w:cs="宋体"/>
          <w:b/>
          <w:bCs/>
          <w:color w:val="auto"/>
          <w:sz w:val="28"/>
          <w:szCs w:val="28"/>
        </w:rPr>
        <w:t>第一部分  招标公告................................................</w:t>
      </w:r>
      <w:r>
        <w:rPr>
          <w:rFonts w:hint="eastAsia" w:ascii="宋体" w:hAnsi="宋体" w:cs="宋体"/>
          <w:b/>
          <w:bCs/>
          <w:color w:val="auto"/>
          <w:sz w:val="28"/>
          <w:szCs w:val="28"/>
          <w:lang w:val="en-US" w:eastAsia="zh-CN"/>
        </w:rPr>
        <w:t>3</w:t>
      </w:r>
      <w:r>
        <w:rPr>
          <w:rFonts w:hint="eastAsia" w:ascii="宋体" w:hAnsi="宋体" w:cs="宋体"/>
          <w:b/>
          <w:bCs/>
          <w:color w:val="auto"/>
          <w:sz w:val="28"/>
          <w:szCs w:val="28"/>
        </w:rPr>
        <w:fldChar w:fldCharType="end"/>
      </w:r>
    </w:p>
    <w:p>
      <w:pPr>
        <w:pStyle w:val="15"/>
        <w:tabs>
          <w:tab w:val="right" w:leader="dot" w:pos="9638"/>
        </w:tabs>
        <w:spacing w:line="440" w:lineRule="exact"/>
        <w:rPr>
          <w:rFonts w:ascii="宋体" w:hAnsi="宋体" w:cs="宋体"/>
          <w:color w:val="auto"/>
          <w:sz w:val="28"/>
          <w:szCs w:val="28"/>
        </w:rPr>
      </w:pPr>
      <w:r>
        <w:rPr>
          <w:color w:val="auto"/>
        </w:rPr>
        <w:fldChar w:fldCharType="begin"/>
      </w:r>
      <w:r>
        <w:rPr>
          <w:color w:val="auto"/>
        </w:rPr>
        <w:instrText xml:space="preserve"> HYPERLINK \l "_Toc30644" </w:instrText>
      </w:r>
      <w:r>
        <w:rPr>
          <w:color w:val="auto"/>
        </w:rPr>
        <w:fldChar w:fldCharType="separate"/>
      </w:r>
      <w:r>
        <w:rPr>
          <w:rFonts w:hint="eastAsia" w:ascii="宋体" w:hAnsi="宋体" w:cs="宋体"/>
          <w:b/>
          <w:bCs/>
          <w:color w:val="auto"/>
          <w:sz w:val="28"/>
          <w:szCs w:val="28"/>
        </w:rPr>
        <w:t>第二部分  投标须知</w:t>
      </w:r>
      <w:r>
        <w:rPr>
          <w:rFonts w:hint="eastAsia" w:ascii="宋体" w:hAnsi="宋体" w:cs="宋体"/>
          <w:b/>
          <w:bCs/>
          <w:color w:val="auto"/>
          <w:sz w:val="28"/>
          <w:szCs w:val="28"/>
        </w:rPr>
        <w:tab/>
      </w:r>
      <w:r>
        <w:rPr>
          <w:rFonts w:hint="eastAsia" w:ascii="宋体" w:hAnsi="宋体" w:cs="宋体"/>
          <w:b/>
          <w:bCs/>
          <w:color w:val="auto"/>
          <w:sz w:val="28"/>
          <w:szCs w:val="28"/>
          <w:lang w:val="en-US" w:eastAsia="zh-CN"/>
        </w:rPr>
        <w:t>7</w:t>
      </w:r>
      <w:r>
        <w:rPr>
          <w:rFonts w:hint="eastAsia" w:ascii="宋体" w:hAnsi="宋体" w:cs="宋体"/>
          <w:b/>
          <w:bCs/>
          <w:color w:val="auto"/>
          <w:sz w:val="28"/>
          <w:szCs w:val="28"/>
        </w:rPr>
        <w:fldChar w:fldCharType="end"/>
      </w:r>
    </w:p>
    <w:p>
      <w:pPr>
        <w:pStyle w:val="17"/>
        <w:tabs>
          <w:tab w:val="right" w:leader="dot" w:pos="9638"/>
        </w:tabs>
        <w:spacing w:line="440" w:lineRule="exact"/>
        <w:ind w:left="420"/>
        <w:rPr>
          <w:rFonts w:ascii="宋体" w:hAnsi="宋体" w:cs="宋体"/>
          <w:color w:val="auto"/>
          <w:sz w:val="28"/>
          <w:szCs w:val="28"/>
        </w:rPr>
      </w:pPr>
      <w:r>
        <w:rPr>
          <w:color w:val="auto"/>
        </w:rPr>
        <w:fldChar w:fldCharType="begin"/>
      </w:r>
      <w:r>
        <w:rPr>
          <w:color w:val="auto"/>
        </w:rPr>
        <w:instrText xml:space="preserve"> HYPERLINK \l "_Toc13897" </w:instrText>
      </w:r>
      <w:r>
        <w:rPr>
          <w:color w:val="auto"/>
        </w:rPr>
        <w:fldChar w:fldCharType="separate"/>
      </w:r>
      <w:r>
        <w:rPr>
          <w:rFonts w:hint="eastAsia" w:ascii="宋体" w:hAnsi="宋体" w:cs="宋体"/>
          <w:color w:val="auto"/>
          <w:sz w:val="28"/>
          <w:szCs w:val="28"/>
        </w:rPr>
        <w:t>1.总  则</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_Toc13897 \h </w:instrText>
      </w:r>
      <w:r>
        <w:rPr>
          <w:rFonts w:hint="eastAsia" w:ascii="宋体" w:hAnsi="宋体" w:cs="宋体"/>
          <w:color w:val="auto"/>
          <w:sz w:val="28"/>
          <w:szCs w:val="28"/>
        </w:rPr>
        <w:fldChar w:fldCharType="separate"/>
      </w:r>
      <w:r>
        <w:rPr>
          <w:rFonts w:hint="eastAsia" w:ascii="宋体" w:hAnsi="宋体" w:cs="宋体"/>
          <w:color w:val="auto"/>
          <w:sz w:val="28"/>
          <w:szCs w:val="28"/>
        </w:rPr>
        <w:t>7</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7"/>
        <w:tabs>
          <w:tab w:val="right" w:leader="dot" w:pos="9638"/>
        </w:tabs>
        <w:spacing w:line="440" w:lineRule="exact"/>
        <w:ind w:left="420"/>
        <w:rPr>
          <w:rFonts w:ascii="宋体" w:hAnsi="宋体" w:cs="宋体"/>
          <w:color w:val="auto"/>
          <w:sz w:val="28"/>
          <w:szCs w:val="28"/>
        </w:rPr>
      </w:pPr>
      <w:r>
        <w:rPr>
          <w:color w:val="auto"/>
        </w:rPr>
        <w:fldChar w:fldCharType="begin"/>
      </w:r>
      <w:r>
        <w:rPr>
          <w:color w:val="auto"/>
        </w:rPr>
        <w:instrText xml:space="preserve"> HYPERLINK \l "_Toc21918" </w:instrText>
      </w:r>
      <w:r>
        <w:rPr>
          <w:color w:val="auto"/>
        </w:rPr>
        <w:fldChar w:fldCharType="separate"/>
      </w:r>
      <w:r>
        <w:rPr>
          <w:rFonts w:hint="eastAsia" w:ascii="宋体" w:hAnsi="宋体" w:cs="宋体"/>
          <w:color w:val="auto"/>
          <w:sz w:val="28"/>
          <w:szCs w:val="28"/>
        </w:rPr>
        <w:t>2.招标工程综合说明</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_Toc21918 \h </w:instrText>
      </w:r>
      <w:r>
        <w:rPr>
          <w:rFonts w:hint="eastAsia" w:ascii="宋体" w:hAnsi="宋体" w:cs="宋体"/>
          <w:color w:val="auto"/>
          <w:sz w:val="28"/>
          <w:szCs w:val="28"/>
        </w:rPr>
        <w:fldChar w:fldCharType="separate"/>
      </w:r>
      <w:r>
        <w:rPr>
          <w:rFonts w:hint="eastAsia" w:ascii="宋体" w:hAnsi="宋体" w:cs="宋体"/>
          <w:color w:val="auto"/>
          <w:sz w:val="28"/>
          <w:szCs w:val="28"/>
        </w:rPr>
        <w:t>8</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7"/>
        <w:tabs>
          <w:tab w:val="right" w:leader="dot" w:pos="9638"/>
        </w:tabs>
        <w:spacing w:line="440" w:lineRule="exact"/>
        <w:ind w:left="420"/>
        <w:rPr>
          <w:rFonts w:ascii="宋体" w:hAnsi="宋体" w:cs="宋体"/>
          <w:color w:val="auto"/>
          <w:sz w:val="28"/>
          <w:szCs w:val="28"/>
        </w:rPr>
      </w:pPr>
      <w:r>
        <w:rPr>
          <w:color w:val="auto"/>
        </w:rPr>
        <w:fldChar w:fldCharType="begin"/>
      </w:r>
      <w:r>
        <w:rPr>
          <w:color w:val="auto"/>
        </w:rPr>
        <w:instrText xml:space="preserve"> HYPERLINK \l "_Toc2577" </w:instrText>
      </w:r>
      <w:r>
        <w:rPr>
          <w:color w:val="auto"/>
        </w:rPr>
        <w:fldChar w:fldCharType="separate"/>
      </w:r>
      <w:r>
        <w:rPr>
          <w:rFonts w:hint="eastAsia" w:ascii="宋体" w:hAnsi="宋体" w:cs="宋体"/>
          <w:color w:val="auto"/>
          <w:sz w:val="28"/>
          <w:szCs w:val="28"/>
        </w:rPr>
        <w:t>3.结算原则及付款方式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_Toc2577 \h </w:instrText>
      </w:r>
      <w:r>
        <w:rPr>
          <w:rFonts w:hint="eastAsia" w:ascii="宋体" w:hAnsi="宋体" w:cs="宋体"/>
          <w:color w:val="auto"/>
          <w:sz w:val="28"/>
          <w:szCs w:val="28"/>
        </w:rPr>
        <w:fldChar w:fldCharType="separate"/>
      </w:r>
      <w:r>
        <w:rPr>
          <w:rFonts w:hint="eastAsia" w:ascii="宋体" w:hAnsi="宋体" w:cs="宋体"/>
          <w:color w:val="auto"/>
          <w:sz w:val="28"/>
          <w:szCs w:val="28"/>
        </w:rPr>
        <w:t>14</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7"/>
        <w:tabs>
          <w:tab w:val="right" w:leader="dot" w:pos="9638"/>
        </w:tabs>
        <w:spacing w:line="440" w:lineRule="exact"/>
        <w:ind w:left="420"/>
        <w:rPr>
          <w:rFonts w:ascii="宋体" w:hAnsi="宋体" w:cs="宋体"/>
          <w:color w:val="auto"/>
          <w:sz w:val="28"/>
          <w:szCs w:val="28"/>
        </w:rPr>
      </w:pPr>
      <w:r>
        <w:rPr>
          <w:color w:val="auto"/>
        </w:rPr>
        <w:fldChar w:fldCharType="begin"/>
      </w:r>
      <w:r>
        <w:rPr>
          <w:color w:val="auto"/>
        </w:rPr>
        <w:instrText xml:space="preserve"> HYPERLINK \l "_Toc2647" </w:instrText>
      </w:r>
      <w:r>
        <w:rPr>
          <w:color w:val="auto"/>
        </w:rPr>
        <w:fldChar w:fldCharType="separate"/>
      </w:r>
      <w:r>
        <w:rPr>
          <w:rFonts w:hint="eastAsia" w:ascii="宋体" w:hAnsi="宋体" w:cs="宋体"/>
          <w:color w:val="auto"/>
          <w:sz w:val="28"/>
          <w:szCs w:val="28"/>
        </w:rPr>
        <w:t>4.招标文件的内容和效力</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_Toc2647 \h </w:instrText>
      </w:r>
      <w:r>
        <w:rPr>
          <w:rFonts w:hint="eastAsia" w:ascii="宋体" w:hAnsi="宋体" w:cs="宋体"/>
          <w:color w:val="auto"/>
          <w:sz w:val="28"/>
          <w:szCs w:val="28"/>
        </w:rPr>
        <w:fldChar w:fldCharType="separate"/>
      </w:r>
      <w:r>
        <w:rPr>
          <w:rFonts w:hint="eastAsia" w:ascii="宋体" w:hAnsi="宋体" w:cs="宋体"/>
          <w:color w:val="auto"/>
          <w:sz w:val="28"/>
          <w:szCs w:val="28"/>
        </w:rPr>
        <w:t>18</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7"/>
        <w:tabs>
          <w:tab w:val="right" w:leader="dot" w:pos="9638"/>
        </w:tabs>
        <w:spacing w:line="440" w:lineRule="exact"/>
        <w:ind w:left="420"/>
        <w:rPr>
          <w:rFonts w:ascii="宋体" w:hAnsi="宋体" w:cs="宋体"/>
          <w:color w:val="auto"/>
          <w:sz w:val="28"/>
          <w:szCs w:val="28"/>
        </w:rPr>
      </w:pPr>
      <w:r>
        <w:rPr>
          <w:color w:val="auto"/>
        </w:rPr>
        <w:fldChar w:fldCharType="begin"/>
      </w:r>
      <w:r>
        <w:rPr>
          <w:color w:val="auto"/>
        </w:rPr>
        <w:instrText xml:space="preserve"> HYPERLINK \l "_Toc29145" </w:instrText>
      </w:r>
      <w:r>
        <w:rPr>
          <w:color w:val="auto"/>
        </w:rPr>
        <w:fldChar w:fldCharType="separate"/>
      </w:r>
      <w:r>
        <w:rPr>
          <w:rFonts w:hint="eastAsia" w:ascii="宋体" w:hAnsi="宋体" w:cs="宋体"/>
          <w:color w:val="auto"/>
          <w:sz w:val="28"/>
          <w:szCs w:val="28"/>
        </w:rPr>
        <w:t>5.投标文件的编制要求</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_Toc29145 \h </w:instrText>
      </w:r>
      <w:r>
        <w:rPr>
          <w:rFonts w:hint="eastAsia" w:ascii="宋体" w:hAnsi="宋体" w:cs="宋体"/>
          <w:color w:val="auto"/>
          <w:sz w:val="28"/>
          <w:szCs w:val="28"/>
        </w:rPr>
        <w:fldChar w:fldCharType="separate"/>
      </w:r>
      <w:r>
        <w:rPr>
          <w:rFonts w:hint="eastAsia" w:ascii="宋体" w:hAnsi="宋体" w:cs="宋体"/>
          <w:color w:val="auto"/>
          <w:sz w:val="28"/>
          <w:szCs w:val="28"/>
        </w:rPr>
        <w:t>19</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7"/>
        <w:tabs>
          <w:tab w:val="right" w:leader="dot" w:pos="9638"/>
        </w:tabs>
        <w:spacing w:line="440" w:lineRule="exact"/>
        <w:ind w:left="420"/>
        <w:rPr>
          <w:rFonts w:ascii="宋体" w:hAnsi="宋体" w:cs="宋体"/>
          <w:color w:val="auto"/>
          <w:sz w:val="28"/>
          <w:szCs w:val="28"/>
        </w:rPr>
      </w:pPr>
      <w:r>
        <w:rPr>
          <w:color w:val="auto"/>
        </w:rPr>
        <w:fldChar w:fldCharType="begin"/>
      </w:r>
      <w:r>
        <w:rPr>
          <w:color w:val="auto"/>
        </w:rPr>
        <w:instrText xml:space="preserve"> HYPERLINK \l "_Toc32453" </w:instrText>
      </w:r>
      <w:r>
        <w:rPr>
          <w:color w:val="auto"/>
        </w:rPr>
        <w:fldChar w:fldCharType="separate"/>
      </w:r>
      <w:r>
        <w:rPr>
          <w:rFonts w:hint="eastAsia" w:ascii="宋体" w:hAnsi="宋体" w:cs="宋体"/>
          <w:color w:val="auto"/>
          <w:sz w:val="28"/>
          <w:szCs w:val="28"/>
        </w:rPr>
        <w:t>6.纸质投标文件的装订、密封与标志</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_Toc32453 \h </w:instrText>
      </w:r>
      <w:r>
        <w:rPr>
          <w:rFonts w:hint="eastAsia" w:ascii="宋体" w:hAnsi="宋体" w:cs="宋体"/>
          <w:color w:val="auto"/>
          <w:sz w:val="28"/>
          <w:szCs w:val="28"/>
        </w:rPr>
        <w:fldChar w:fldCharType="separate"/>
      </w:r>
      <w:r>
        <w:rPr>
          <w:rFonts w:hint="eastAsia" w:ascii="宋体" w:hAnsi="宋体" w:cs="宋体"/>
          <w:color w:val="auto"/>
          <w:sz w:val="28"/>
          <w:szCs w:val="28"/>
        </w:rPr>
        <w:t>25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7"/>
        <w:tabs>
          <w:tab w:val="right" w:leader="dot" w:pos="9638"/>
        </w:tabs>
        <w:spacing w:line="440" w:lineRule="exact"/>
        <w:ind w:left="420"/>
        <w:rPr>
          <w:rFonts w:ascii="宋体" w:hAnsi="宋体" w:cs="宋体"/>
          <w:color w:val="auto"/>
          <w:sz w:val="28"/>
          <w:szCs w:val="28"/>
        </w:rPr>
      </w:pPr>
      <w:r>
        <w:rPr>
          <w:color w:val="auto"/>
        </w:rPr>
        <w:fldChar w:fldCharType="begin"/>
      </w:r>
      <w:r>
        <w:rPr>
          <w:color w:val="auto"/>
        </w:rPr>
        <w:instrText xml:space="preserve"> HYPERLINK \l "_Toc22618" </w:instrText>
      </w:r>
      <w:r>
        <w:rPr>
          <w:color w:val="auto"/>
        </w:rPr>
        <w:fldChar w:fldCharType="separate"/>
      </w:r>
      <w:r>
        <w:rPr>
          <w:rFonts w:hint="eastAsia" w:ascii="宋体" w:hAnsi="宋体" w:cs="宋体"/>
          <w:color w:val="auto"/>
          <w:sz w:val="28"/>
          <w:szCs w:val="28"/>
        </w:rPr>
        <w:t>7.开标</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_Toc22618 \h </w:instrText>
      </w:r>
      <w:r>
        <w:rPr>
          <w:rFonts w:hint="eastAsia" w:ascii="宋体" w:hAnsi="宋体" w:cs="宋体"/>
          <w:color w:val="auto"/>
          <w:sz w:val="28"/>
          <w:szCs w:val="28"/>
        </w:rPr>
        <w:fldChar w:fldCharType="separate"/>
      </w:r>
      <w:r>
        <w:rPr>
          <w:rFonts w:hint="eastAsia" w:ascii="宋体" w:hAnsi="宋体" w:cs="宋体"/>
          <w:color w:val="auto"/>
          <w:sz w:val="28"/>
          <w:szCs w:val="28"/>
        </w:rPr>
        <w:t>26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7"/>
        <w:tabs>
          <w:tab w:val="right" w:leader="dot" w:pos="9638"/>
        </w:tabs>
        <w:spacing w:line="440" w:lineRule="exact"/>
        <w:ind w:left="420"/>
        <w:rPr>
          <w:rFonts w:ascii="宋体" w:hAnsi="宋体" w:cs="宋体"/>
          <w:color w:val="auto"/>
          <w:sz w:val="28"/>
          <w:szCs w:val="28"/>
        </w:rPr>
      </w:pPr>
      <w:r>
        <w:rPr>
          <w:color w:val="auto"/>
        </w:rPr>
        <w:fldChar w:fldCharType="begin"/>
      </w:r>
      <w:r>
        <w:rPr>
          <w:color w:val="auto"/>
        </w:rPr>
        <w:instrText xml:space="preserve"> HYPERLINK \l "_Toc10884" </w:instrText>
      </w:r>
      <w:r>
        <w:rPr>
          <w:color w:val="auto"/>
        </w:rPr>
        <w:fldChar w:fldCharType="separate"/>
      </w:r>
      <w:r>
        <w:rPr>
          <w:rFonts w:hint="eastAsia" w:ascii="宋体" w:hAnsi="宋体" w:cs="宋体"/>
          <w:color w:val="auto"/>
          <w:sz w:val="28"/>
          <w:szCs w:val="28"/>
        </w:rPr>
        <w:t>8.评标与定标办法和原则</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_Toc10884 \h </w:instrText>
      </w:r>
      <w:r>
        <w:rPr>
          <w:rFonts w:hint="eastAsia" w:ascii="宋体" w:hAnsi="宋体" w:cs="宋体"/>
          <w:color w:val="auto"/>
          <w:sz w:val="28"/>
          <w:szCs w:val="28"/>
        </w:rPr>
        <w:fldChar w:fldCharType="separate"/>
      </w:r>
      <w:r>
        <w:rPr>
          <w:rFonts w:hint="eastAsia" w:ascii="宋体" w:hAnsi="宋体" w:cs="宋体"/>
          <w:color w:val="auto"/>
          <w:sz w:val="28"/>
          <w:szCs w:val="28"/>
        </w:rPr>
        <w:t>28</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7"/>
        <w:tabs>
          <w:tab w:val="right" w:leader="dot" w:pos="9638"/>
        </w:tabs>
        <w:spacing w:line="440" w:lineRule="exact"/>
        <w:ind w:left="420"/>
        <w:rPr>
          <w:rFonts w:ascii="宋体" w:hAnsi="宋体" w:cs="宋体"/>
          <w:color w:val="auto"/>
          <w:sz w:val="28"/>
          <w:szCs w:val="28"/>
        </w:rPr>
      </w:pPr>
      <w:r>
        <w:rPr>
          <w:color w:val="auto"/>
        </w:rPr>
        <w:fldChar w:fldCharType="begin"/>
      </w:r>
      <w:r>
        <w:rPr>
          <w:color w:val="auto"/>
        </w:rPr>
        <w:instrText xml:space="preserve"> HYPERLINK \l "_Toc14198" </w:instrText>
      </w:r>
      <w:r>
        <w:rPr>
          <w:color w:val="auto"/>
        </w:rPr>
        <w:fldChar w:fldCharType="separate"/>
      </w:r>
      <w:r>
        <w:rPr>
          <w:rFonts w:hint="eastAsia" w:ascii="宋体" w:hAnsi="宋体" w:cs="宋体"/>
          <w:color w:val="auto"/>
          <w:sz w:val="28"/>
          <w:szCs w:val="28"/>
        </w:rPr>
        <w:t>9.确定中标单位</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_Toc14198 \h </w:instrText>
      </w:r>
      <w:r>
        <w:rPr>
          <w:rFonts w:hint="eastAsia" w:ascii="宋体" w:hAnsi="宋体" w:cs="宋体"/>
          <w:color w:val="auto"/>
          <w:sz w:val="28"/>
          <w:szCs w:val="28"/>
        </w:rPr>
        <w:fldChar w:fldCharType="separate"/>
      </w:r>
      <w:r>
        <w:rPr>
          <w:rFonts w:hint="eastAsia" w:ascii="宋体" w:hAnsi="宋体" w:cs="宋体"/>
          <w:color w:val="auto"/>
          <w:sz w:val="28"/>
          <w:szCs w:val="28"/>
        </w:rPr>
        <w:t>33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5"/>
        <w:tabs>
          <w:tab w:val="right" w:leader="dot" w:pos="9638"/>
        </w:tabs>
        <w:spacing w:line="440" w:lineRule="exact"/>
        <w:rPr>
          <w:rFonts w:ascii="宋体" w:hAnsi="宋体" w:cs="宋体"/>
          <w:color w:val="auto"/>
          <w:sz w:val="28"/>
          <w:szCs w:val="28"/>
        </w:rPr>
      </w:pPr>
      <w:r>
        <w:rPr>
          <w:color w:val="auto"/>
        </w:rPr>
        <w:fldChar w:fldCharType="begin"/>
      </w:r>
      <w:r>
        <w:rPr>
          <w:color w:val="auto"/>
        </w:rPr>
        <w:instrText xml:space="preserve"> HYPERLINK \l "_Toc26046" </w:instrText>
      </w:r>
      <w:r>
        <w:rPr>
          <w:color w:val="auto"/>
        </w:rPr>
        <w:fldChar w:fldCharType="separate"/>
      </w:r>
      <w:r>
        <w:rPr>
          <w:rFonts w:hint="eastAsia" w:ascii="宋体" w:hAnsi="宋体" w:cs="宋体"/>
          <w:b/>
          <w:bCs/>
          <w:color w:val="auto"/>
          <w:sz w:val="28"/>
          <w:szCs w:val="28"/>
        </w:rPr>
        <w:t>第三部分  投标格式</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_Toc26046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35</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15"/>
        <w:tabs>
          <w:tab w:val="right" w:leader="dot" w:pos="9638"/>
        </w:tabs>
        <w:spacing w:line="440" w:lineRule="exact"/>
        <w:ind w:firstLine="420" w:firstLineChars="200"/>
        <w:rPr>
          <w:rFonts w:ascii="宋体" w:hAnsi="宋体" w:cs="宋体"/>
          <w:color w:val="auto"/>
          <w:sz w:val="28"/>
          <w:szCs w:val="28"/>
        </w:rPr>
      </w:pPr>
      <w:r>
        <w:rPr>
          <w:color w:val="auto"/>
        </w:rPr>
        <w:fldChar w:fldCharType="begin"/>
      </w:r>
      <w:r>
        <w:rPr>
          <w:color w:val="auto"/>
        </w:rPr>
        <w:instrText xml:space="preserve"> HYPERLINK \l "_Toc32063" </w:instrText>
      </w:r>
      <w:r>
        <w:rPr>
          <w:color w:val="auto"/>
        </w:rPr>
        <w:fldChar w:fldCharType="separate"/>
      </w:r>
      <w:r>
        <w:rPr>
          <w:rFonts w:hint="eastAsia" w:ascii="宋体" w:hAnsi="宋体" w:cs="宋体"/>
          <w:color w:val="auto"/>
          <w:sz w:val="28"/>
          <w:szCs w:val="28"/>
        </w:rPr>
        <w:t>投标格式一</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_Toc32063 \h </w:instrText>
      </w:r>
      <w:r>
        <w:rPr>
          <w:rFonts w:hint="eastAsia" w:ascii="宋体" w:hAnsi="宋体" w:cs="宋体"/>
          <w:color w:val="auto"/>
          <w:sz w:val="28"/>
          <w:szCs w:val="28"/>
        </w:rPr>
        <w:fldChar w:fldCharType="separate"/>
      </w:r>
      <w:r>
        <w:rPr>
          <w:rFonts w:hint="eastAsia" w:ascii="宋体" w:hAnsi="宋体" w:cs="宋体"/>
          <w:color w:val="auto"/>
          <w:sz w:val="28"/>
          <w:szCs w:val="28"/>
        </w:rPr>
        <w:t>35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5"/>
        <w:tabs>
          <w:tab w:val="right" w:leader="dot" w:pos="9638"/>
        </w:tabs>
        <w:spacing w:line="440" w:lineRule="exact"/>
        <w:ind w:firstLine="420" w:firstLineChars="200"/>
        <w:rPr>
          <w:rFonts w:ascii="宋体" w:hAnsi="宋体" w:cs="宋体"/>
          <w:color w:val="auto"/>
          <w:sz w:val="28"/>
          <w:szCs w:val="28"/>
        </w:rPr>
      </w:pPr>
      <w:r>
        <w:rPr>
          <w:color w:val="auto"/>
        </w:rPr>
        <w:fldChar w:fldCharType="begin"/>
      </w:r>
      <w:r>
        <w:rPr>
          <w:color w:val="auto"/>
        </w:rPr>
        <w:instrText xml:space="preserve"> HYPERLINK \l "_Toc10911" </w:instrText>
      </w:r>
      <w:r>
        <w:rPr>
          <w:color w:val="auto"/>
        </w:rPr>
        <w:fldChar w:fldCharType="separate"/>
      </w:r>
      <w:r>
        <w:rPr>
          <w:rFonts w:hint="eastAsia" w:ascii="宋体" w:hAnsi="宋体" w:cs="宋体"/>
          <w:color w:val="auto"/>
          <w:sz w:val="28"/>
          <w:szCs w:val="28"/>
        </w:rPr>
        <w:t>投标格式二</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_Toc10911 \h </w:instrText>
      </w:r>
      <w:r>
        <w:rPr>
          <w:rFonts w:hint="eastAsia" w:ascii="宋体" w:hAnsi="宋体" w:cs="宋体"/>
          <w:color w:val="auto"/>
          <w:sz w:val="28"/>
          <w:szCs w:val="28"/>
        </w:rPr>
        <w:fldChar w:fldCharType="separate"/>
      </w:r>
      <w:r>
        <w:rPr>
          <w:rFonts w:hint="eastAsia" w:ascii="宋体" w:hAnsi="宋体" w:cs="宋体"/>
          <w:color w:val="auto"/>
          <w:sz w:val="28"/>
          <w:szCs w:val="28"/>
        </w:rPr>
        <w:t>36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7"/>
        <w:tabs>
          <w:tab w:val="right" w:leader="dot" w:pos="9638"/>
        </w:tabs>
        <w:spacing w:line="440" w:lineRule="exact"/>
        <w:ind w:left="0" w:leftChars="0" w:firstLine="420" w:firstLineChars="200"/>
        <w:rPr>
          <w:rFonts w:hint="eastAsia" w:ascii="宋体" w:hAnsi="宋体" w:cs="宋体"/>
          <w:color w:val="auto"/>
          <w:sz w:val="28"/>
          <w:szCs w:val="28"/>
        </w:rPr>
      </w:pPr>
      <w:r>
        <w:rPr>
          <w:color w:val="auto"/>
        </w:rPr>
        <w:fldChar w:fldCharType="begin"/>
      </w:r>
      <w:r>
        <w:rPr>
          <w:color w:val="auto"/>
        </w:rPr>
        <w:instrText xml:space="preserve"> HYPERLINK \l "_Toc30216" </w:instrText>
      </w:r>
      <w:r>
        <w:rPr>
          <w:color w:val="auto"/>
        </w:rPr>
        <w:fldChar w:fldCharType="separate"/>
      </w:r>
      <w:r>
        <w:rPr>
          <w:rFonts w:hint="eastAsia" w:ascii="宋体" w:hAnsi="宋体" w:cs="宋体"/>
          <w:color w:val="auto"/>
          <w:sz w:val="28"/>
          <w:szCs w:val="28"/>
        </w:rPr>
        <w:t>投标格式三</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_Toc30216 \h </w:instrText>
      </w:r>
      <w:r>
        <w:rPr>
          <w:rFonts w:hint="eastAsia" w:ascii="宋体" w:hAnsi="宋体" w:cs="宋体"/>
          <w:color w:val="auto"/>
          <w:sz w:val="28"/>
          <w:szCs w:val="28"/>
        </w:rPr>
        <w:fldChar w:fldCharType="separate"/>
      </w:r>
      <w:r>
        <w:rPr>
          <w:rFonts w:hint="eastAsia" w:ascii="宋体" w:hAnsi="宋体" w:cs="宋体"/>
          <w:color w:val="auto"/>
          <w:sz w:val="28"/>
          <w:szCs w:val="28"/>
        </w:rPr>
        <w:t>37</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7"/>
        <w:tabs>
          <w:tab w:val="right" w:leader="dot" w:pos="9638"/>
        </w:tabs>
        <w:spacing w:line="440" w:lineRule="exact"/>
        <w:rPr>
          <w:rFonts w:hint="eastAsia" w:ascii="宋体" w:hAnsi="宋体" w:eastAsia="宋体" w:cs="宋体"/>
          <w:color w:val="auto"/>
          <w:sz w:val="28"/>
          <w:szCs w:val="28"/>
          <w:lang w:eastAsia="zh-CN"/>
        </w:rPr>
      </w:pPr>
      <w:r>
        <w:rPr>
          <w:rFonts w:hint="eastAsia" w:ascii="宋体" w:hAnsi="宋体" w:cs="宋体"/>
          <w:color w:val="auto"/>
          <w:sz w:val="28"/>
          <w:szCs w:val="28"/>
        </w:rPr>
        <w:t>投标格式</w:t>
      </w:r>
      <w:r>
        <w:rPr>
          <w:rFonts w:hint="eastAsia" w:ascii="宋体" w:hAnsi="宋体" w:cs="宋体"/>
          <w:color w:val="auto"/>
          <w:sz w:val="28"/>
          <w:szCs w:val="28"/>
          <w:lang w:eastAsia="zh-CN"/>
        </w:rPr>
        <w:t>四</w:t>
      </w:r>
      <w:r>
        <w:rPr>
          <w:rFonts w:hint="eastAsia" w:ascii="宋体" w:hAnsi="宋体" w:cs="宋体"/>
          <w:color w:val="auto"/>
          <w:sz w:val="28"/>
          <w:szCs w:val="28"/>
        </w:rPr>
        <w:tab/>
      </w:r>
      <w:r>
        <w:rPr>
          <w:rFonts w:hint="eastAsia" w:ascii="宋体" w:hAnsi="宋体" w:cs="宋体"/>
          <w:color w:val="auto"/>
          <w:sz w:val="28"/>
          <w:szCs w:val="28"/>
        </w:rPr>
        <w:t>3</w:t>
      </w:r>
      <w:r>
        <w:rPr>
          <w:rFonts w:hint="eastAsia" w:ascii="宋体" w:hAnsi="宋体" w:cs="宋体"/>
          <w:color w:val="auto"/>
          <w:sz w:val="28"/>
          <w:szCs w:val="28"/>
          <w:lang w:val="en-US" w:eastAsia="zh-CN"/>
        </w:rPr>
        <w:t>8</w:t>
      </w:r>
    </w:p>
    <w:p>
      <w:pPr>
        <w:pStyle w:val="15"/>
        <w:tabs>
          <w:tab w:val="right" w:leader="dot" w:pos="9638"/>
        </w:tabs>
        <w:spacing w:line="440" w:lineRule="exact"/>
        <w:ind w:firstLine="420" w:firstLineChars="200"/>
        <w:rPr>
          <w:rFonts w:hint="eastAsia" w:ascii="宋体" w:hAnsi="宋体" w:cs="宋体"/>
          <w:color w:val="auto"/>
          <w:sz w:val="28"/>
          <w:szCs w:val="28"/>
        </w:rPr>
      </w:pPr>
      <w:r>
        <w:rPr>
          <w:color w:val="auto"/>
        </w:rPr>
        <w:fldChar w:fldCharType="begin"/>
      </w:r>
      <w:r>
        <w:rPr>
          <w:color w:val="auto"/>
        </w:rPr>
        <w:instrText xml:space="preserve"> HYPERLINK \l "_Toc19359" </w:instrText>
      </w:r>
      <w:r>
        <w:rPr>
          <w:color w:val="auto"/>
        </w:rPr>
        <w:fldChar w:fldCharType="separate"/>
      </w:r>
      <w:r>
        <w:rPr>
          <w:rFonts w:hint="eastAsia" w:ascii="宋体" w:hAnsi="宋体" w:cs="宋体"/>
          <w:bCs/>
          <w:color w:val="auto"/>
          <w:sz w:val="28"/>
          <w:szCs w:val="28"/>
        </w:rPr>
        <w:t>投标格式五</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_Toc19359 \h </w:instrText>
      </w:r>
      <w:r>
        <w:rPr>
          <w:rFonts w:hint="eastAsia" w:ascii="宋体" w:hAnsi="宋体" w:cs="宋体"/>
          <w:color w:val="auto"/>
          <w:sz w:val="28"/>
          <w:szCs w:val="28"/>
        </w:rPr>
        <w:fldChar w:fldCharType="separate"/>
      </w:r>
      <w:r>
        <w:rPr>
          <w:rFonts w:hint="eastAsia" w:ascii="宋体" w:hAnsi="宋体" w:cs="宋体"/>
          <w:color w:val="auto"/>
          <w:sz w:val="28"/>
          <w:szCs w:val="28"/>
        </w:rPr>
        <w:t>39</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7"/>
        <w:tabs>
          <w:tab w:val="right" w:leader="dot" w:pos="9638"/>
        </w:tabs>
        <w:spacing w:line="44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"_Toc19359" </w:instrText>
      </w:r>
      <w:r>
        <w:rPr>
          <w:rFonts w:hint="eastAsia" w:ascii="宋体" w:hAnsi="宋体" w:cs="宋体"/>
          <w:color w:val="auto"/>
          <w:sz w:val="28"/>
          <w:szCs w:val="28"/>
        </w:rPr>
        <w:fldChar w:fldCharType="separate"/>
      </w:r>
      <w:r>
        <w:rPr>
          <w:rFonts w:hint="eastAsia" w:ascii="宋体" w:hAnsi="宋体" w:cs="宋体"/>
          <w:color w:val="auto"/>
          <w:sz w:val="28"/>
          <w:szCs w:val="28"/>
        </w:rPr>
        <w:t>投标格式</w:t>
      </w:r>
      <w:r>
        <w:rPr>
          <w:rFonts w:hint="eastAsia" w:ascii="宋体" w:hAnsi="宋体" w:cs="宋体"/>
          <w:color w:val="auto"/>
          <w:sz w:val="28"/>
          <w:szCs w:val="28"/>
          <w:lang w:eastAsia="zh-CN"/>
        </w:rPr>
        <w:t>六</w:t>
      </w:r>
      <w:r>
        <w:rPr>
          <w:rFonts w:hint="eastAsia" w:ascii="宋体" w:hAnsi="宋体" w:cs="宋体"/>
          <w:color w:val="auto"/>
          <w:sz w:val="28"/>
          <w:szCs w:val="28"/>
        </w:rPr>
        <w:tab/>
      </w:r>
      <w:r>
        <w:rPr>
          <w:rFonts w:hint="eastAsia" w:ascii="宋体" w:hAnsi="宋体" w:cs="宋体"/>
          <w:color w:val="auto"/>
          <w:sz w:val="28"/>
          <w:szCs w:val="28"/>
          <w:lang w:val="en-US" w:eastAsia="zh-CN"/>
        </w:rPr>
        <w:t>4</w:t>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0</w:t>
      </w:r>
    </w:p>
    <w:p>
      <w:pPr>
        <w:pStyle w:val="15"/>
        <w:tabs>
          <w:tab w:val="right" w:leader="dot" w:pos="9638"/>
        </w:tabs>
        <w:spacing w:line="440" w:lineRule="exact"/>
        <w:ind w:firstLine="420" w:firstLineChars="200"/>
        <w:rPr>
          <w:rFonts w:ascii="宋体" w:hAnsi="宋体" w:cs="宋体"/>
          <w:color w:val="auto"/>
          <w:sz w:val="28"/>
          <w:szCs w:val="28"/>
        </w:rPr>
      </w:pPr>
      <w:r>
        <w:rPr>
          <w:color w:val="auto"/>
        </w:rPr>
        <w:fldChar w:fldCharType="begin"/>
      </w:r>
      <w:r>
        <w:rPr>
          <w:color w:val="auto"/>
        </w:rPr>
        <w:instrText xml:space="preserve"> HYPERLINK \l "_Toc19475" </w:instrText>
      </w:r>
      <w:r>
        <w:rPr>
          <w:color w:val="auto"/>
        </w:rPr>
        <w:fldChar w:fldCharType="separate"/>
      </w:r>
      <w:r>
        <w:rPr>
          <w:rFonts w:hint="eastAsia" w:ascii="宋体" w:hAnsi="宋体" w:cs="宋体"/>
          <w:color w:val="auto"/>
          <w:sz w:val="28"/>
          <w:szCs w:val="28"/>
        </w:rPr>
        <w:t>投标格式七</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_Toc19475 \h </w:instrText>
      </w:r>
      <w:r>
        <w:rPr>
          <w:rFonts w:hint="eastAsia" w:ascii="宋体" w:hAnsi="宋体" w:cs="宋体"/>
          <w:color w:val="auto"/>
          <w:sz w:val="28"/>
          <w:szCs w:val="28"/>
        </w:rPr>
        <w:fldChar w:fldCharType="separate"/>
      </w:r>
      <w:r>
        <w:rPr>
          <w:rFonts w:hint="eastAsia" w:ascii="宋体" w:hAnsi="宋体" w:cs="宋体"/>
          <w:color w:val="auto"/>
          <w:sz w:val="28"/>
          <w:szCs w:val="28"/>
        </w:rPr>
        <w:t>41</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5"/>
        <w:tabs>
          <w:tab w:val="right" w:leader="dot" w:pos="9638"/>
        </w:tabs>
        <w:spacing w:line="440" w:lineRule="exact"/>
        <w:ind w:firstLine="420" w:firstLineChars="200"/>
        <w:rPr>
          <w:rFonts w:ascii="宋体" w:hAnsi="宋体" w:cs="宋体"/>
          <w:color w:val="auto"/>
          <w:sz w:val="28"/>
          <w:szCs w:val="28"/>
        </w:rPr>
      </w:pPr>
      <w:r>
        <w:rPr>
          <w:color w:val="auto"/>
        </w:rPr>
        <w:fldChar w:fldCharType="begin"/>
      </w:r>
      <w:r>
        <w:rPr>
          <w:color w:val="auto"/>
        </w:rPr>
        <w:instrText xml:space="preserve"> HYPERLINK \l "_Toc3326" </w:instrText>
      </w:r>
      <w:r>
        <w:rPr>
          <w:color w:val="auto"/>
        </w:rPr>
        <w:fldChar w:fldCharType="separate"/>
      </w:r>
      <w:r>
        <w:rPr>
          <w:rFonts w:hint="eastAsia" w:ascii="宋体" w:hAnsi="宋体" w:cs="宋体"/>
          <w:color w:val="auto"/>
          <w:sz w:val="28"/>
          <w:szCs w:val="28"/>
        </w:rPr>
        <w:t>附件1：投标文件（正本）封面</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_Toc3326 \h </w:instrText>
      </w:r>
      <w:r>
        <w:rPr>
          <w:rFonts w:hint="eastAsia" w:ascii="宋体" w:hAnsi="宋体" w:cs="宋体"/>
          <w:color w:val="auto"/>
          <w:sz w:val="28"/>
          <w:szCs w:val="28"/>
        </w:rPr>
        <w:fldChar w:fldCharType="separate"/>
      </w:r>
      <w:r>
        <w:rPr>
          <w:rFonts w:hint="eastAsia" w:ascii="宋体" w:hAnsi="宋体" w:cs="宋体"/>
          <w:color w:val="auto"/>
          <w:sz w:val="28"/>
          <w:szCs w:val="28"/>
        </w:rPr>
        <w:t>43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5"/>
        <w:tabs>
          <w:tab w:val="right" w:leader="dot" w:pos="9638"/>
        </w:tabs>
        <w:spacing w:line="440" w:lineRule="exact"/>
        <w:ind w:firstLine="420" w:firstLineChars="200"/>
        <w:rPr>
          <w:rFonts w:ascii="宋体" w:hAnsi="宋体" w:cs="宋体"/>
          <w:color w:val="auto"/>
          <w:sz w:val="28"/>
          <w:szCs w:val="28"/>
        </w:rPr>
      </w:pPr>
      <w:r>
        <w:rPr>
          <w:color w:val="auto"/>
        </w:rPr>
        <w:fldChar w:fldCharType="begin"/>
      </w:r>
      <w:r>
        <w:rPr>
          <w:color w:val="auto"/>
        </w:rPr>
        <w:instrText xml:space="preserve"> HYPERLINK \l "_Toc29082" </w:instrText>
      </w:r>
      <w:r>
        <w:rPr>
          <w:color w:val="auto"/>
        </w:rPr>
        <w:fldChar w:fldCharType="separate"/>
      </w:r>
      <w:r>
        <w:rPr>
          <w:rFonts w:hint="eastAsia" w:ascii="宋体" w:hAnsi="宋体" w:cs="宋体"/>
          <w:color w:val="auto"/>
          <w:sz w:val="28"/>
          <w:szCs w:val="28"/>
        </w:rPr>
        <w:t>附件2：投标文件（副本）封面</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_Toc29082 \h </w:instrText>
      </w:r>
      <w:r>
        <w:rPr>
          <w:rFonts w:hint="eastAsia" w:ascii="宋体" w:hAnsi="宋体" w:cs="宋体"/>
          <w:color w:val="auto"/>
          <w:sz w:val="28"/>
          <w:szCs w:val="28"/>
        </w:rPr>
        <w:fldChar w:fldCharType="separate"/>
      </w:r>
      <w:r>
        <w:rPr>
          <w:rFonts w:hint="eastAsia" w:ascii="宋体" w:hAnsi="宋体" w:cs="宋体"/>
          <w:color w:val="auto"/>
          <w:sz w:val="28"/>
          <w:szCs w:val="28"/>
        </w:rPr>
        <w:t>44</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5"/>
        <w:tabs>
          <w:tab w:val="right" w:leader="dot" w:pos="9638"/>
        </w:tabs>
        <w:spacing w:line="440" w:lineRule="exact"/>
        <w:rPr>
          <w:rFonts w:ascii="宋体" w:hAnsi="宋体" w:cs="宋体"/>
          <w:b/>
          <w:bCs/>
          <w:color w:val="auto"/>
        </w:rPr>
      </w:pPr>
      <w:r>
        <w:rPr>
          <w:color w:val="auto"/>
        </w:rPr>
        <w:fldChar w:fldCharType="begin"/>
      </w:r>
      <w:r>
        <w:rPr>
          <w:color w:val="auto"/>
        </w:rPr>
        <w:instrText xml:space="preserve"> HYPERLINK \l "_Toc17179" </w:instrText>
      </w:r>
      <w:r>
        <w:rPr>
          <w:color w:val="auto"/>
        </w:rPr>
        <w:fldChar w:fldCharType="separate"/>
      </w:r>
      <w:r>
        <w:rPr>
          <w:rFonts w:hint="eastAsia" w:ascii="宋体" w:hAnsi="宋体" w:cs="宋体"/>
          <w:b/>
          <w:bCs/>
          <w:color w:val="auto"/>
          <w:sz w:val="28"/>
          <w:szCs w:val="28"/>
        </w:rPr>
        <w:t>第四部分  施工合同</w:t>
      </w:r>
      <w:r>
        <w:rPr>
          <w:rFonts w:hint="eastAsia" w:ascii="宋体" w:hAnsi="宋体" w:cs="宋体"/>
          <w:b/>
          <w:bCs/>
          <w:color w:val="auto"/>
          <w:sz w:val="28"/>
          <w:szCs w:val="28"/>
        </w:rPr>
        <w:tab/>
      </w:r>
      <w:r>
        <w:rPr>
          <w:rFonts w:hint="eastAsia" w:ascii="宋体" w:hAnsi="宋体" w:cs="宋体"/>
          <w:b/>
          <w:bCs/>
          <w:color w:val="auto"/>
          <w:sz w:val="28"/>
          <w:szCs w:val="28"/>
        </w:rPr>
        <w:t>4</w:t>
      </w:r>
      <w:r>
        <w:rPr>
          <w:rFonts w:hint="eastAsia" w:ascii="宋体" w:hAnsi="宋体" w:cs="宋体"/>
          <w:b/>
          <w:bCs/>
          <w:color w:val="auto"/>
          <w:sz w:val="28"/>
          <w:szCs w:val="28"/>
          <w:lang w:val="en-US" w:eastAsia="zh-CN"/>
        </w:rPr>
        <w:t>5</w:t>
      </w:r>
      <w:r>
        <w:rPr>
          <w:rFonts w:hint="eastAsia" w:ascii="宋体" w:hAnsi="宋体" w:cs="宋体"/>
          <w:b/>
          <w:bCs/>
          <w:color w:val="auto"/>
          <w:sz w:val="28"/>
          <w:szCs w:val="28"/>
        </w:rPr>
        <w:fldChar w:fldCharType="end"/>
      </w:r>
    </w:p>
    <w:p>
      <w:pPr>
        <w:rPr>
          <w:color w:val="auto"/>
        </w:rPr>
      </w:pPr>
    </w:p>
    <w:p>
      <w:pPr>
        <w:spacing w:line="360" w:lineRule="auto"/>
        <w:rPr>
          <w:b/>
          <w:bCs/>
          <w:color w:val="auto"/>
          <w:sz w:val="44"/>
          <w:szCs w:val="44"/>
        </w:rPr>
        <w:sectPr>
          <w:footerReference r:id="rId5" w:type="default"/>
          <w:pgSz w:w="11907" w:h="16840"/>
          <w:pgMar w:top="1418" w:right="851" w:bottom="1418" w:left="851" w:header="851" w:footer="992" w:gutter="567"/>
          <w:pgNumType w:start="1"/>
          <w:cols w:space="720" w:num="1"/>
          <w:docGrid w:type="linesAndChars" w:linePitch="312" w:charSpace="0"/>
        </w:sectPr>
      </w:pPr>
      <w:r>
        <w:rPr>
          <w:bCs/>
          <w:color w:val="auto"/>
          <w:szCs w:val="44"/>
        </w:rPr>
        <w:fldChar w:fldCharType="end"/>
      </w:r>
    </w:p>
    <w:p>
      <w:pPr>
        <w:pStyle w:val="2"/>
        <w:spacing w:before="0" w:beforeAutospacing="0" w:after="0" w:afterAutospacing="0" w:line="520" w:lineRule="exact"/>
        <w:jc w:val="center"/>
        <w:rPr>
          <w:rFonts w:hint="default" w:ascii="方正小标宋简体" w:hAnsi="方正小标宋简体" w:eastAsia="方正小标宋简体" w:cs="方正小标宋简体"/>
          <w:bCs w:val="0"/>
          <w:color w:val="auto"/>
          <w:sz w:val="44"/>
          <w:szCs w:val="44"/>
        </w:rPr>
      </w:pPr>
      <w:bookmarkStart w:id="4" w:name="_Toc48210808"/>
      <w:bookmarkStart w:id="5" w:name="_Toc48210809"/>
      <w:r>
        <w:rPr>
          <w:rFonts w:ascii="方正小标宋简体" w:hAnsi="方正小标宋简体" w:eastAsia="方正小标宋简体" w:cs="方正小标宋简体"/>
          <w:bCs w:val="0"/>
          <w:color w:val="auto"/>
          <w:sz w:val="44"/>
          <w:szCs w:val="44"/>
        </w:rPr>
        <w:t>第一部分  招标公告</w:t>
      </w:r>
      <w:bookmarkEnd w:id="4"/>
    </w:p>
    <w:p>
      <w:pPr>
        <w:spacing w:line="520" w:lineRule="exact"/>
        <w:rPr>
          <w:color w:val="auto"/>
          <w:sz w:val="28"/>
          <w:szCs w:val="28"/>
        </w:rPr>
      </w:pPr>
    </w:p>
    <w:p>
      <w:pPr>
        <w:spacing w:line="510" w:lineRule="exact"/>
        <w:ind w:firstLine="560" w:firstLineChars="200"/>
        <w:jc w:val="center"/>
        <w:rPr>
          <w:rFonts w:ascii="华文行楷" w:hAnsi="华文行楷" w:eastAsia="华文行楷" w:cs="华文行楷"/>
          <w:color w:val="auto"/>
          <w:sz w:val="28"/>
          <w:szCs w:val="28"/>
          <w:u w:val="single"/>
        </w:rPr>
      </w:pPr>
      <w:r>
        <w:rPr>
          <w:rFonts w:hint="eastAsia" w:ascii="华文行楷" w:hAnsi="华文行楷" w:eastAsia="华文行楷" w:cs="华文行楷"/>
          <w:color w:val="auto"/>
          <w:sz w:val="28"/>
          <w:szCs w:val="28"/>
          <w:u w:val="single"/>
          <w:lang w:eastAsia="zh-CN"/>
        </w:rPr>
        <w:t>遂溪县洋青镇城乡融合综合改造项目（</w:t>
      </w:r>
      <w:r>
        <w:rPr>
          <w:rFonts w:hint="eastAsia" w:ascii="华文行楷" w:hAnsi="华文行楷" w:eastAsia="华文行楷" w:cs="华文行楷"/>
          <w:color w:val="auto"/>
          <w:sz w:val="28"/>
          <w:szCs w:val="28"/>
          <w:u w:val="single"/>
          <w:lang w:val="en-US" w:eastAsia="zh-CN"/>
        </w:rPr>
        <w:t>一期</w:t>
      </w:r>
      <w:r>
        <w:rPr>
          <w:rFonts w:hint="eastAsia" w:ascii="华文行楷" w:hAnsi="华文行楷" w:eastAsia="华文行楷" w:cs="华文行楷"/>
          <w:color w:val="auto"/>
          <w:sz w:val="28"/>
          <w:szCs w:val="28"/>
          <w:u w:val="single"/>
          <w:lang w:eastAsia="zh-CN"/>
        </w:rPr>
        <w:t>）</w:t>
      </w:r>
      <w:r>
        <w:rPr>
          <w:rFonts w:hint="eastAsia" w:ascii="华文行楷" w:hAnsi="华文行楷" w:eastAsia="华文行楷" w:cs="华文行楷"/>
          <w:color w:val="auto"/>
          <w:sz w:val="28"/>
          <w:szCs w:val="28"/>
          <w:u w:val="single"/>
        </w:rPr>
        <w:t xml:space="preserve"> 施工</w:t>
      </w:r>
    </w:p>
    <w:p>
      <w:pPr>
        <w:spacing w:line="510" w:lineRule="exact"/>
        <w:ind w:firstLine="560" w:firstLineChars="200"/>
        <w:jc w:val="left"/>
        <w:rPr>
          <w:rFonts w:ascii="宋体" w:hAnsi="宋体" w:cs="宋体"/>
          <w:b/>
          <w:color w:val="auto"/>
          <w:sz w:val="28"/>
          <w:szCs w:val="28"/>
        </w:rPr>
      </w:pPr>
      <w:r>
        <w:rPr>
          <w:rFonts w:hint="eastAsia" w:ascii="宋体" w:hAnsi="宋体" w:cs="宋体"/>
          <w:b/>
          <w:color w:val="auto"/>
          <w:sz w:val="28"/>
          <w:szCs w:val="28"/>
        </w:rPr>
        <w:t>1.招标条件</w:t>
      </w:r>
    </w:p>
    <w:p>
      <w:pPr>
        <w:spacing w:line="510" w:lineRule="exact"/>
        <w:jc w:val="left"/>
        <w:rPr>
          <w:rFonts w:ascii="宋体" w:hAnsi="宋体" w:cs="宋体"/>
          <w:color w:val="auto"/>
          <w:sz w:val="28"/>
          <w:szCs w:val="28"/>
        </w:rPr>
      </w:pPr>
      <w:r>
        <w:rPr>
          <w:rFonts w:hint="eastAsia" w:ascii="宋体" w:hAnsi="宋体" w:cs="宋体"/>
          <w:color w:val="auto"/>
          <w:sz w:val="28"/>
          <w:szCs w:val="28"/>
        </w:rPr>
        <w:t>本招标项目</w:t>
      </w:r>
      <w:r>
        <w:rPr>
          <w:rFonts w:hint="eastAsia" w:ascii="华文行楷" w:hAnsi="华文行楷" w:eastAsia="华文行楷" w:cs="华文行楷"/>
          <w:color w:val="auto"/>
          <w:sz w:val="28"/>
          <w:szCs w:val="28"/>
          <w:u w:val="single"/>
          <w:lang w:eastAsia="zh-CN"/>
        </w:rPr>
        <w:t>遂溪县洋青镇城乡融合综合改造项目（</w:t>
      </w:r>
      <w:r>
        <w:rPr>
          <w:rFonts w:hint="eastAsia" w:ascii="华文行楷" w:hAnsi="华文行楷" w:eastAsia="华文行楷" w:cs="华文行楷"/>
          <w:color w:val="auto"/>
          <w:sz w:val="28"/>
          <w:szCs w:val="28"/>
          <w:u w:val="single"/>
          <w:lang w:val="en-US" w:eastAsia="zh-CN"/>
        </w:rPr>
        <w:t>一期</w:t>
      </w:r>
      <w:r>
        <w:rPr>
          <w:rFonts w:hint="eastAsia" w:ascii="华文行楷" w:hAnsi="华文行楷" w:eastAsia="华文行楷" w:cs="华文行楷"/>
          <w:color w:val="auto"/>
          <w:sz w:val="28"/>
          <w:szCs w:val="28"/>
          <w:u w:val="single"/>
          <w:lang w:eastAsia="zh-CN"/>
        </w:rPr>
        <w:t>）</w:t>
      </w:r>
      <w:r>
        <w:rPr>
          <w:rFonts w:hint="eastAsia" w:ascii="宋体" w:hAnsi="宋体" w:cs="宋体"/>
          <w:color w:val="auto"/>
          <w:sz w:val="28"/>
          <w:szCs w:val="28"/>
        </w:rPr>
        <w:t>已由</w:t>
      </w:r>
      <w:r>
        <w:rPr>
          <w:rFonts w:hint="eastAsia" w:ascii="华文行楷" w:hAnsi="华文行楷" w:eastAsia="华文行楷" w:cs="华文行楷"/>
          <w:color w:val="auto"/>
          <w:sz w:val="28"/>
          <w:szCs w:val="28"/>
          <w:u w:val="single"/>
        </w:rPr>
        <w:t>遂溪县发展和改革局</w:t>
      </w:r>
      <w:r>
        <w:rPr>
          <w:rFonts w:hint="eastAsia" w:ascii="宋体" w:hAnsi="宋体" w:cs="宋体"/>
          <w:color w:val="auto"/>
          <w:sz w:val="28"/>
          <w:szCs w:val="28"/>
        </w:rPr>
        <w:t xml:space="preserve">以 </w:t>
      </w:r>
      <w:r>
        <w:rPr>
          <w:rFonts w:hint="eastAsia" w:ascii="华文行楷" w:hAnsi="华文行楷" w:eastAsia="华文行楷" w:cs="华文行楷"/>
          <w:color w:val="auto"/>
          <w:sz w:val="28"/>
          <w:szCs w:val="28"/>
          <w:u w:val="single"/>
          <w:lang w:eastAsia="zh-CN"/>
        </w:rPr>
        <w:t>遂发改【2022】43 号</w:t>
      </w:r>
      <w:r>
        <w:rPr>
          <w:rFonts w:hint="eastAsia" w:ascii="宋体" w:hAnsi="宋体" w:cs="宋体"/>
          <w:color w:val="auto"/>
          <w:sz w:val="28"/>
          <w:szCs w:val="28"/>
        </w:rPr>
        <w:t>批准建设，项目代码为</w:t>
      </w:r>
      <w:r>
        <w:rPr>
          <w:rFonts w:hint="eastAsia" w:ascii="华文行楷" w:hAnsi="华文行楷" w:eastAsia="华文行楷" w:cs="华文行楷"/>
          <w:color w:val="auto"/>
          <w:sz w:val="28"/>
          <w:szCs w:val="28"/>
          <w:u w:val="single"/>
          <w:lang w:eastAsia="zh-CN"/>
        </w:rPr>
        <w:t>2109-440823-04-01-486231</w:t>
      </w:r>
      <w:r>
        <w:rPr>
          <w:rFonts w:hint="eastAsia" w:ascii="宋体" w:hAnsi="宋体" w:cs="宋体"/>
          <w:color w:val="auto"/>
          <w:sz w:val="28"/>
          <w:szCs w:val="28"/>
        </w:rPr>
        <w:t>，项目业主为</w:t>
      </w:r>
      <w:r>
        <w:rPr>
          <w:rFonts w:hint="eastAsia" w:ascii="华文行楷" w:hAnsi="华文行楷" w:eastAsia="华文行楷" w:cs="华文行楷"/>
          <w:color w:val="auto"/>
          <w:sz w:val="28"/>
          <w:szCs w:val="28"/>
          <w:u w:val="single"/>
          <w:lang w:eastAsia="zh-CN"/>
        </w:rPr>
        <w:t>遂溪县洋青镇人民政府</w:t>
      </w:r>
      <w:r>
        <w:rPr>
          <w:rFonts w:hint="eastAsia" w:ascii="宋体" w:hAnsi="宋体" w:cs="宋体"/>
          <w:color w:val="auto"/>
          <w:sz w:val="28"/>
          <w:szCs w:val="28"/>
        </w:rPr>
        <w:t>，建设资金来自</w:t>
      </w:r>
      <w:r>
        <w:rPr>
          <w:rFonts w:hint="eastAsia" w:ascii="华文行楷" w:hAnsi="华文行楷" w:eastAsia="华文行楷" w:cs="华文行楷"/>
          <w:color w:val="auto"/>
          <w:sz w:val="28"/>
          <w:szCs w:val="28"/>
          <w:u w:val="single"/>
        </w:rPr>
        <w:t>地方政府专项债券资金</w:t>
      </w:r>
      <w:r>
        <w:rPr>
          <w:rFonts w:hint="eastAsia" w:ascii="宋体" w:hAnsi="宋体" w:cs="宋体"/>
          <w:color w:val="auto"/>
          <w:sz w:val="28"/>
          <w:szCs w:val="28"/>
        </w:rPr>
        <w:t>，出资比例为</w:t>
      </w:r>
      <w:r>
        <w:rPr>
          <w:rFonts w:hint="eastAsia" w:ascii="华文行楷" w:hAnsi="华文行楷" w:eastAsia="华文行楷" w:cs="华文行楷"/>
          <w:color w:val="auto"/>
          <w:sz w:val="28"/>
          <w:szCs w:val="28"/>
          <w:u w:val="single"/>
        </w:rPr>
        <w:t>100%</w:t>
      </w:r>
      <w:r>
        <w:rPr>
          <w:rFonts w:hint="eastAsia" w:ascii="宋体" w:hAnsi="宋体" w:cs="宋体"/>
          <w:color w:val="auto"/>
          <w:sz w:val="28"/>
          <w:szCs w:val="28"/>
        </w:rPr>
        <w:t>，招标人为</w:t>
      </w:r>
      <w:r>
        <w:rPr>
          <w:rFonts w:hint="eastAsia" w:ascii="华文行楷" w:hAnsi="华文行楷" w:eastAsia="华文行楷" w:cs="华文行楷"/>
          <w:color w:val="auto"/>
          <w:sz w:val="28"/>
          <w:szCs w:val="28"/>
          <w:u w:val="single"/>
          <w:lang w:eastAsia="zh-CN"/>
        </w:rPr>
        <w:t>遂溪县洋青镇人民政府</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eastAsia="zh-CN"/>
        </w:rPr>
        <w:t>，</w:t>
      </w:r>
      <w:r>
        <w:rPr>
          <w:rFonts w:hint="eastAsia" w:ascii="宋体" w:hAnsi="宋体" w:cs="宋体"/>
          <w:color w:val="auto"/>
          <w:sz w:val="28"/>
          <w:szCs w:val="28"/>
        </w:rPr>
        <w:t>招标代理机构为</w:t>
      </w:r>
      <w:r>
        <w:rPr>
          <w:rFonts w:hint="eastAsia" w:ascii="华文行楷" w:hAnsi="华文行楷" w:eastAsia="华文行楷" w:cs="华文行楷"/>
          <w:color w:val="auto"/>
          <w:sz w:val="28"/>
          <w:szCs w:val="28"/>
          <w:u w:val="single"/>
        </w:rPr>
        <w:t>方大国际工程咨询股份有限公司</w:t>
      </w:r>
      <w:r>
        <w:rPr>
          <w:rFonts w:hint="eastAsia" w:ascii="宋体" w:hAnsi="宋体" w:cs="宋体"/>
          <w:color w:val="auto"/>
          <w:sz w:val="28"/>
          <w:szCs w:val="28"/>
        </w:rPr>
        <w:t>。项目已具备招标条件，现对该项目进行公开招标。</w:t>
      </w:r>
    </w:p>
    <w:p>
      <w:pPr>
        <w:spacing w:line="510" w:lineRule="exact"/>
        <w:ind w:firstLine="560" w:firstLineChars="200"/>
        <w:jc w:val="left"/>
        <w:rPr>
          <w:rFonts w:ascii="宋体" w:hAnsi="宋体" w:cs="宋体"/>
          <w:b/>
          <w:color w:val="auto"/>
          <w:sz w:val="28"/>
          <w:szCs w:val="28"/>
        </w:rPr>
      </w:pPr>
      <w:r>
        <w:rPr>
          <w:rFonts w:hint="eastAsia" w:ascii="宋体" w:hAnsi="宋体" w:cs="宋体"/>
          <w:b/>
          <w:color w:val="auto"/>
          <w:sz w:val="28"/>
          <w:szCs w:val="28"/>
        </w:rPr>
        <w:t>2.项目概况与招标范围</w:t>
      </w:r>
    </w:p>
    <w:p>
      <w:pPr>
        <w:spacing w:line="560" w:lineRule="exact"/>
        <w:ind w:firstLine="560" w:firstLineChars="200"/>
        <w:jc w:val="left"/>
        <w:rPr>
          <w:rFonts w:hint="eastAsia" w:ascii="华文行楷" w:hAnsi="华文行楷" w:eastAsia="宋体" w:cs="华文行楷"/>
          <w:color w:val="auto"/>
          <w:sz w:val="28"/>
          <w:szCs w:val="28"/>
          <w:u w:val="single"/>
          <w:lang w:eastAsia="zh-CN"/>
        </w:rPr>
      </w:pPr>
      <w:r>
        <w:rPr>
          <w:rFonts w:hint="eastAsia" w:ascii="宋体" w:hAnsi="宋体" w:cs="宋体"/>
          <w:color w:val="auto"/>
          <w:sz w:val="28"/>
          <w:szCs w:val="28"/>
        </w:rPr>
        <w:t>2.1项目名称：</w:t>
      </w:r>
      <w:r>
        <w:rPr>
          <w:rFonts w:hint="eastAsia" w:ascii="华文行楷" w:hAnsi="华文行楷" w:eastAsia="华文行楷" w:cs="华文行楷"/>
          <w:color w:val="auto"/>
          <w:sz w:val="28"/>
          <w:szCs w:val="28"/>
          <w:u w:val="single"/>
          <w:lang w:eastAsia="zh-CN"/>
        </w:rPr>
        <w:t>遂溪县洋青镇城乡融合综合改造项目（</w:t>
      </w:r>
      <w:r>
        <w:rPr>
          <w:rFonts w:hint="eastAsia" w:ascii="华文行楷" w:hAnsi="华文行楷" w:eastAsia="华文行楷" w:cs="华文行楷"/>
          <w:color w:val="auto"/>
          <w:sz w:val="28"/>
          <w:szCs w:val="28"/>
          <w:u w:val="single"/>
          <w:lang w:val="en-US" w:eastAsia="zh-CN"/>
        </w:rPr>
        <w:t>一期</w:t>
      </w:r>
      <w:r>
        <w:rPr>
          <w:rFonts w:hint="eastAsia" w:ascii="华文行楷" w:hAnsi="华文行楷" w:eastAsia="华文行楷" w:cs="华文行楷"/>
          <w:color w:val="auto"/>
          <w:sz w:val="28"/>
          <w:szCs w:val="28"/>
          <w:u w:val="single"/>
          <w:lang w:eastAsia="zh-CN"/>
        </w:rPr>
        <w:t>）</w:t>
      </w:r>
    </w:p>
    <w:p>
      <w:pPr>
        <w:spacing w:line="510" w:lineRule="exact"/>
        <w:ind w:firstLine="560" w:firstLineChars="200"/>
        <w:jc w:val="left"/>
        <w:rPr>
          <w:rFonts w:hint="eastAsia" w:ascii="华文行楷" w:hAnsi="华文行楷" w:eastAsia="宋体" w:cs="华文行楷"/>
          <w:color w:val="auto"/>
          <w:sz w:val="28"/>
          <w:szCs w:val="28"/>
          <w:u w:val="single"/>
          <w:lang w:eastAsia="zh-CN"/>
        </w:rPr>
      </w:pPr>
      <w:r>
        <w:rPr>
          <w:rFonts w:hint="eastAsia" w:ascii="宋体" w:hAnsi="宋体" w:cs="宋体"/>
          <w:color w:val="auto"/>
          <w:sz w:val="28"/>
          <w:szCs w:val="28"/>
        </w:rPr>
        <w:t>2.2项目建设地址∶</w:t>
      </w:r>
      <w:r>
        <w:rPr>
          <w:rFonts w:hint="eastAsia" w:ascii="华文行楷" w:hAnsi="华文行楷" w:eastAsia="华文行楷" w:cs="华文行楷"/>
          <w:color w:val="auto"/>
          <w:sz w:val="28"/>
          <w:szCs w:val="28"/>
          <w:u w:val="single"/>
          <w:lang w:eastAsia="zh-CN"/>
        </w:rPr>
        <w:t>遂溪县洋青镇</w:t>
      </w:r>
    </w:p>
    <w:p>
      <w:pPr>
        <w:spacing w:line="560" w:lineRule="exact"/>
        <w:ind w:firstLine="560" w:firstLineChars="200"/>
        <w:jc w:val="left"/>
        <w:rPr>
          <w:rFonts w:ascii="华文行楷" w:hAnsi="华文行楷" w:eastAsia="华文行楷" w:cs="华文行楷"/>
          <w:color w:val="auto"/>
          <w:sz w:val="28"/>
          <w:szCs w:val="28"/>
          <w:u w:val="single"/>
        </w:rPr>
      </w:pPr>
      <w:r>
        <w:rPr>
          <w:rFonts w:hint="eastAsia" w:ascii="宋体" w:hAnsi="宋体" w:cs="宋体"/>
          <w:color w:val="auto"/>
          <w:sz w:val="28"/>
          <w:szCs w:val="28"/>
        </w:rPr>
        <w:t>2.3项目建设内容及规模∶</w:t>
      </w:r>
      <w:r>
        <w:rPr>
          <w:rFonts w:hint="eastAsia" w:ascii="华文行楷" w:hAnsi="华文行楷" w:eastAsia="华文行楷" w:cs="华文行楷"/>
          <w:color w:val="auto"/>
          <w:sz w:val="28"/>
          <w:szCs w:val="28"/>
          <w:u w:val="single"/>
        </w:rPr>
        <w:t>包括</w:t>
      </w:r>
      <w:r>
        <w:rPr>
          <w:rFonts w:hint="eastAsia" w:ascii="华文行楷" w:hAnsi="华文行楷" w:eastAsia="华文行楷" w:cs="华文行楷"/>
          <w:color w:val="auto"/>
          <w:sz w:val="28"/>
          <w:szCs w:val="28"/>
          <w:u w:val="single"/>
          <w:lang w:val="en-US" w:eastAsia="zh-CN"/>
        </w:rPr>
        <w:t>交通设施建设、雨污排水管网建设、供水设施及管网建设、马群藻渠改造工程和雷州青年运河边坡整治工程</w:t>
      </w:r>
      <w:r>
        <w:rPr>
          <w:rFonts w:hint="eastAsia" w:ascii="华文行楷" w:hAnsi="华文行楷" w:eastAsia="华文行楷" w:cs="华文行楷"/>
          <w:color w:val="auto"/>
          <w:sz w:val="28"/>
          <w:szCs w:val="28"/>
          <w:u w:val="single"/>
        </w:rPr>
        <w:t>等内容。</w:t>
      </w:r>
    </w:p>
    <w:p>
      <w:pPr>
        <w:widowControl/>
        <w:ind w:firstLine="560" w:firstLineChars="200"/>
        <w:jc w:val="left"/>
        <w:rPr>
          <w:color w:val="auto"/>
        </w:rPr>
      </w:pPr>
      <w:r>
        <w:rPr>
          <w:rFonts w:hint="eastAsia" w:ascii="华文行楷" w:hAnsi="华文行楷" w:eastAsia="华文行楷" w:cs="华文行楷"/>
          <w:color w:val="auto"/>
          <w:sz w:val="28"/>
          <w:szCs w:val="28"/>
          <w:u w:val="none"/>
        </w:rPr>
        <w:t>2.4项目估算总投资为</w:t>
      </w:r>
      <w:r>
        <w:rPr>
          <w:rFonts w:hint="eastAsia" w:ascii="华文行楷" w:hAnsi="华文行楷" w:eastAsia="华文行楷" w:cs="华文行楷"/>
          <w:color w:val="auto"/>
          <w:sz w:val="28"/>
          <w:szCs w:val="28"/>
          <w:u w:val="single"/>
          <w:lang w:eastAsia="zh-CN"/>
        </w:rPr>
        <w:t>：</w:t>
      </w:r>
      <w:r>
        <w:rPr>
          <w:rFonts w:hint="eastAsia" w:ascii="华文行楷" w:hAnsi="华文行楷" w:eastAsia="华文行楷" w:cs="华文行楷"/>
          <w:color w:val="auto"/>
          <w:sz w:val="28"/>
          <w:szCs w:val="28"/>
          <w:u w:val="single"/>
          <w:lang w:val="en-US" w:eastAsia="zh-CN"/>
        </w:rPr>
        <w:t xml:space="preserve">20000 </w:t>
      </w:r>
      <w:r>
        <w:rPr>
          <w:rFonts w:hint="eastAsia" w:ascii="华文行楷" w:hAnsi="华文行楷" w:eastAsia="华文行楷" w:cs="华文行楷"/>
          <w:color w:val="auto"/>
          <w:sz w:val="28"/>
          <w:szCs w:val="28"/>
          <w:u w:val="none"/>
        </w:rPr>
        <w:t>万元。本项目招标控制价为</w:t>
      </w:r>
      <w:r>
        <w:rPr>
          <w:rFonts w:hint="eastAsia" w:ascii="华文行楷" w:hAnsi="华文行楷" w:eastAsia="华文行楷" w:cs="华文行楷"/>
          <w:color w:val="auto"/>
          <w:sz w:val="28"/>
          <w:szCs w:val="28"/>
          <w:u w:val="single"/>
        </w:rPr>
        <w:t>：</w:t>
      </w:r>
      <w:r>
        <w:rPr>
          <w:rFonts w:hint="eastAsia" w:ascii="华文行楷" w:hAnsi="华文行楷" w:eastAsia="华文行楷" w:cs="华文行楷"/>
          <w:color w:val="auto"/>
          <w:sz w:val="28"/>
          <w:szCs w:val="28"/>
          <w:u w:val="single"/>
          <w:lang w:val="en-US" w:eastAsia="zh-CN"/>
        </w:rPr>
        <w:t>21702531.24</w:t>
      </w:r>
      <w:r>
        <w:rPr>
          <w:rFonts w:hint="eastAsia" w:ascii="华文行楷" w:hAnsi="华文行楷" w:eastAsia="华文行楷" w:cs="华文行楷"/>
          <w:color w:val="auto"/>
          <w:sz w:val="28"/>
          <w:szCs w:val="28"/>
          <w:u w:val="none"/>
        </w:rPr>
        <w:t>元。其中：绿色施工安全防护措施费</w:t>
      </w:r>
      <w:r>
        <w:rPr>
          <w:rFonts w:hint="eastAsia" w:ascii="华文行楷" w:hAnsi="华文行楷" w:eastAsia="华文行楷" w:cs="华文行楷"/>
          <w:color w:val="auto"/>
          <w:sz w:val="28"/>
          <w:szCs w:val="28"/>
          <w:u w:val="single"/>
        </w:rPr>
        <w:t>：</w:t>
      </w:r>
      <w:r>
        <w:rPr>
          <w:rFonts w:hint="eastAsia" w:ascii="华文行楷" w:hAnsi="华文行楷" w:eastAsia="华文行楷" w:cs="华文行楷"/>
          <w:color w:val="auto"/>
          <w:sz w:val="28"/>
          <w:szCs w:val="28"/>
          <w:u w:val="single"/>
          <w:lang w:eastAsia="zh-CN"/>
        </w:rPr>
        <w:t>779714.63</w:t>
      </w:r>
      <w:r>
        <w:rPr>
          <w:rFonts w:hint="eastAsia" w:ascii="华文行楷" w:hAnsi="华文行楷" w:eastAsia="华文行楷" w:cs="华文行楷"/>
          <w:color w:val="auto"/>
          <w:sz w:val="28"/>
          <w:szCs w:val="28"/>
          <w:u w:val="single"/>
        </w:rPr>
        <w:t xml:space="preserve"> </w:t>
      </w:r>
      <w:r>
        <w:rPr>
          <w:rFonts w:hint="eastAsia" w:ascii="华文行楷" w:hAnsi="华文行楷" w:eastAsia="华文行楷" w:cs="华文行楷"/>
          <w:color w:val="auto"/>
          <w:sz w:val="28"/>
          <w:szCs w:val="28"/>
          <w:u w:val="none"/>
        </w:rPr>
        <w:t>元。</w:t>
      </w:r>
    </w:p>
    <w:p>
      <w:pPr>
        <w:spacing w:line="510" w:lineRule="exact"/>
        <w:ind w:firstLine="560" w:firstLineChars="200"/>
        <w:jc w:val="left"/>
        <w:rPr>
          <w:rFonts w:ascii="宋体" w:hAnsi="宋体" w:cs="宋体"/>
          <w:b/>
          <w:color w:val="auto"/>
          <w:sz w:val="28"/>
          <w:szCs w:val="28"/>
        </w:rPr>
      </w:pPr>
      <w:r>
        <w:rPr>
          <w:rFonts w:hint="eastAsia" w:ascii="宋体" w:hAnsi="宋体" w:cs="宋体"/>
          <w:b/>
          <w:color w:val="auto"/>
          <w:sz w:val="28"/>
          <w:szCs w:val="28"/>
        </w:rPr>
        <w:t>3.投标人资格要求（</w:t>
      </w:r>
      <w:r>
        <w:rPr>
          <w:rFonts w:hint="eastAsia" w:ascii="宋体" w:hAnsi="宋体" w:cs="宋体"/>
          <w:color w:val="auto"/>
          <w:sz w:val="28"/>
          <w:szCs w:val="28"/>
        </w:rPr>
        <w:t>资质设置须与规模匹配</w:t>
      </w:r>
      <w:r>
        <w:rPr>
          <w:rFonts w:hint="eastAsia" w:ascii="宋体" w:hAnsi="宋体" w:cs="宋体"/>
          <w:b/>
          <w:color w:val="auto"/>
          <w:sz w:val="28"/>
          <w:szCs w:val="28"/>
        </w:rPr>
        <w:t>）</w:t>
      </w:r>
    </w:p>
    <w:p>
      <w:pPr>
        <w:spacing w:line="51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3.1投标人必须具有独立法人资格。具备</w:t>
      </w:r>
      <w:r>
        <w:rPr>
          <w:rFonts w:hint="eastAsia" w:ascii="华文行楷" w:hAnsi="华文行楷" w:eastAsia="华文行楷" w:cs="华文行楷"/>
          <w:color w:val="auto"/>
          <w:sz w:val="28"/>
          <w:szCs w:val="28"/>
          <w:u w:val="single"/>
        </w:rPr>
        <w:t>市政公用工程施工总承包</w:t>
      </w:r>
      <w:r>
        <w:rPr>
          <w:rFonts w:hint="eastAsia" w:ascii="华文行楷" w:hAnsi="华文行楷" w:eastAsia="华文行楷" w:cs="华文行楷"/>
          <w:color w:val="auto"/>
          <w:sz w:val="28"/>
          <w:szCs w:val="28"/>
          <w:u w:val="single"/>
          <w:lang w:val="en-US" w:eastAsia="zh-CN"/>
        </w:rPr>
        <w:t>三</w:t>
      </w:r>
      <w:r>
        <w:rPr>
          <w:rFonts w:hint="eastAsia" w:ascii="华文行楷" w:hAnsi="华文行楷" w:eastAsia="华文行楷" w:cs="华文行楷"/>
          <w:color w:val="auto"/>
          <w:sz w:val="28"/>
          <w:szCs w:val="28"/>
          <w:u w:val="single"/>
        </w:rPr>
        <w:t>级</w:t>
      </w:r>
      <w:r>
        <w:rPr>
          <w:rFonts w:hint="eastAsia" w:ascii="宋体" w:hAnsi="宋体" w:cs="宋体"/>
          <w:color w:val="auto"/>
          <w:sz w:val="28"/>
          <w:szCs w:val="28"/>
          <w:shd w:val="clear" w:color="auto" w:fill="FFFFFF"/>
        </w:rPr>
        <w:t>或以上级别资质，营业执照和施工企业安全生产许可证有效。</w:t>
      </w:r>
    </w:p>
    <w:p>
      <w:pPr>
        <w:widowControl/>
        <w:spacing w:line="51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3.2拟委任的项目负责人须持有注册在投标企业</w:t>
      </w:r>
      <w:r>
        <w:rPr>
          <w:rFonts w:hint="eastAsia" w:ascii="宋体" w:hAnsi="宋体" w:cs="宋体"/>
          <w:color w:val="auto"/>
          <w:kern w:val="0"/>
          <w:sz w:val="28"/>
          <w:szCs w:val="28"/>
          <w:u w:val="single"/>
        </w:rPr>
        <w:t xml:space="preserve">（ </w:t>
      </w:r>
      <w:r>
        <w:rPr>
          <w:rFonts w:hint="eastAsia" w:ascii="华文行楷" w:hAnsi="华文行楷" w:eastAsia="华文行楷" w:cs="华文行楷"/>
          <w:b w:val="0"/>
          <w:bCs w:val="0"/>
          <w:color w:val="auto"/>
          <w:sz w:val="28"/>
          <w:szCs w:val="28"/>
          <w:u w:val="single"/>
        </w:rPr>
        <w:t xml:space="preserve">市政公用工程专业 </w:t>
      </w:r>
      <w:r>
        <w:rPr>
          <w:rFonts w:hint="eastAsia" w:ascii="华文行楷" w:hAnsi="华文行楷" w:eastAsia="华文行楷" w:cs="华文行楷"/>
          <w:b w:val="0"/>
          <w:bCs w:val="0"/>
          <w:color w:val="auto"/>
          <w:sz w:val="28"/>
          <w:szCs w:val="28"/>
          <w:u w:val="single"/>
          <w:lang w:val="en-US" w:eastAsia="zh-CN"/>
        </w:rPr>
        <w:t>二</w:t>
      </w:r>
      <w:r>
        <w:rPr>
          <w:rFonts w:hint="eastAsia" w:ascii="华文行楷" w:hAnsi="华文行楷" w:eastAsia="华文行楷" w:cs="华文行楷"/>
          <w:b w:val="0"/>
          <w:bCs w:val="0"/>
          <w:color w:val="auto"/>
          <w:sz w:val="28"/>
          <w:szCs w:val="28"/>
          <w:u w:val="single"/>
        </w:rPr>
        <w:t>级</w:t>
      </w:r>
      <w:r>
        <w:rPr>
          <w:rFonts w:hint="eastAsia" w:ascii="宋体" w:hAnsi="宋体" w:cs="宋体"/>
          <w:b w:val="0"/>
          <w:bCs w:val="0"/>
          <w:color w:val="auto"/>
          <w:kern w:val="0"/>
          <w:sz w:val="28"/>
          <w:szCs w:val="28"/>
          <w:u w:val="single"/>
          <w:lang w:eastAsia="zh-CN"/>
        </w:rPr>
        <w:t>）</w:t>
      </w:r>
      <w:r>
        <w:rPr>
          <w:rFonts w:hint="eastAsia" w:ascii="宋体" w:hAnsi="宋体" w:cs="宋体"/>
          <w:color w:val="auto"/>
          <w:kern w:val="0"/>
          <w:sz w:val="28"/>
          <w:szCs w:val="28"/>
        </w:rPr>
        <w:t>或以上建造师证书，具备有效的安全生产考核合格证（B证），</w:t>
      </w:r>
      <w:r>
        <w:rPr>
          <w:rFonts w:hint="eastAsia" w:ascii="宋体" w:hAnsi="宋体" w:cs="宋体"/>
          <w:color w:val="auto"/>
          <w:kern w:val="0"/>
          <w:sz w:val="28"/>
          <w:szCs w:val="28"/>
          <w:u w:val="single"/>
        </w:rPr>
        <w:t>公告发布之日起</w:t>
      </w:r>
      <w:r>
        <w:rPr>
          <w:rFonts w:hint="eastAsia" w:ascii="宋体" w:hAnsi="宋体" w:cs="宋体"/>
          <w:color w:val="auto"/>
          <w:kern w:val="0"/>
          <w:sz w:val="28"/>
          <w:szCs w:val="28"/>
        </w:rPr>
        <w:t>未在其它在建项目担任项目负责人（根据粤建市函【2011】218号文，广东省外企业所委任的项目负责人须为一级注册建造师）。</w:t>
      </w:r>
    </w:p>
    <w:p>
      <w:pPr>
        <w:wordWrap w:val="0"/>
        <w:spacing w:line="510" w:lineRule="exact"/>
        <w:ind w:firstLine="560" w:firstLineChars="200"/>
        <w:jc w:val="left"/>
        <w:rPr>
          <w:rFonts w:ascii="宋体" w:hAnsi="宋体" w:cs="宋体"/>
          <w:color w:val="auto"/>
          <w:sz w:val="28"/>
          <w:szCs w:val="28"/>
          <w:shd w:val="clear" w:color="auto" w:fill="FFFFFF"/>
        </w:rPr>
      </w:pPr>
      <w:r>
        <w:rPr>
          <w:rFonts w:hint="eastAsia" w:ascii="宋体" w:hAnsi="宋体" w:cs="宋体"/>
          <w:color w:val="auto"/>
          <w:sz w:val="28"/>
          <w:szCs w:val="28"/>
        </w:rPr>
        <w:t>3.3在“信用中国”网站（http://www.creditchina.gov.cn/)中被列入失信被执行人名单的投标人，在国家企业信用信息公示系统（www.gsxt.gov.cn）中被列入严重违法失信企业名单的投标人，均按否决投标处理。</w:t>
      </w:r>
    </w:p>
    <w:p>
      <w:pPr>
        <w:wordWrap w:val="0"/>
        <w:spacing w:line="51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3.4本项目须制作：本项目只须制作纸质</w:t>
      </w:r>
      <w:r>
        <w:rPr>
          <w:rFonts w:hint="eastAsia" w:ascii="宋体"/>
          <w:color w:val="auto"/>
          <w:sz w:val="28"/>
          <w:szCs w:val="28"/>
        </w:rPr>
        <w:t>版</w:t>
      </w:r>
      <w:r>
        <w:rPr>
          <w:rFonts w:hint="eastAsia" w:ascii="宋体" w:hAnsi="宋体" w:cs="宋体"/>
          <w:color w:val="auto"/>
          <w:sz w:val="28"/>
          <w:szCs w:val="28"/>
        </w:rPr>
        <w:t>投标文件。</w:t>
      </w:r>
    </w:p>
    <w:p>
      <w:pPr>
        <w:spacing w:line="510" w:lineRule="exact"/>
        <w:ind w:firstLine="560" w:firstLineChars="200"/>
        <w:jc w:val="left"/>
        <w:rPr>
          <w:rFonts w:ascii="宋体" w:hAnsi="宋体" w:cs="宋体"/>
          <w:color w:val="auto"/>
          <w:sz w:val="28"/>
          <w:szCs w:val="28"/>
          <w:shd w:val="clear" w:color="auto" w:fill="FFFFFF"/>
        </w:rPr>
      </w:pPr>
      <w:r>
        <w:rPr>
          <w:rFonts w:hint="eastAsia" w:ascii="宋体" w:hAnsi="宋体" w:cs="宋体"/>
          <w:color w:val="auto"/>
          <w:sz w:val="28"/>
          <w:szCs w:val="28"/>
        </w:rPr>
        <w:t>3.5与招标人存在利害关系可能影响招标公正性的法人、其他组织或者个人，不得参加投标。</w:t>
      </w:r>
      <w:r>
        <w:rPr>
          <w:rFonts w:hint="eastAsia" w:ascii="宋体" w:hAnsi="宋体" w:cs="宋体"/>
          <w:color w:val="auto"/>
          <w:sz w:val="28"/>
          <w:szCs w:val="28"/>
          <w:shd w:val="clear" w:color="auto" w:fill="FFFFFF"/>
        </w:rPr>
        <w:t>单位负责人为同一人或者存在控股、管理关系的不同单位，不得参加同一标段投标或者未划分标段的同一招标项目投标。否则，相关投标均无效。</w:t>
      </w:r>
    </w:p>
    <w:p>
      <w:pPr>
        <w:spacing w:line="51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3.6本次招标</w:t>
      </w:r>
      <w:r>
        <w:rPr>
          <w:rFonts w:hint="eastAsia" w:ascii="宋体" w:hAnsi="宋体" w:cs="宋体"/>
          <w:color w:val="auto"/>
          <w:sz w:val="28"/>
          <w:szCs w:val="28"/>
          <w:u w:val="single"/>
        </w:rPr>
        <w:t>不接受</w:t>
      </w:r>
      <w:r>
        <w:rPr>
          <w:rFonts w:hint="eastAsia" w:ascii="宋体" w:hAnsi="宋体" w:cs="宋体"/>
          <w:color w:val="auto"/>
          <w:sz w:val="28"/>
          <w:szCs w:val="28"/>
        </w:rPr>
        <w:t>联合体投标。</w:t>
      </w:r>
    </w:p>
    <w:p>
      <w:pPr>
        <w:spacing w:line="560" w:lineRule="exact"/>
        <w:ind w:firstLine="560" w:firstLineChars="200"/>
        <w:jc w:val="left"/>
        <w:rPr>
          <w:rFonts w:ascii="宋体" w:hAnsi="宋体" w:cs="宋体"/>
          <w:b/>
          <w:color w:val="auto"/>
          <w:sz w:val="28"/>
          <w:szCs w:val="28"/>
        </w:rPr>
      </w:pPr>
      <w:r>
        <w:rPr>
          <w:rFonts w:hint="eastAsia" w:ascii="宋体" w:hAnsi="宋体" w:cs="宋体"/>
          <w:b/>
          <w:color w:val="auto"/>
          <w:sz w:val="28"/>
          <w:szCs w:val="28"/>
        </w:rPr>
        <w:t>4.其他要求</w:t>
      </w:r>
    </w:p>
    <w:p>
      <w:pPr>
        <w:spacing w:line="510" w:lineRule="exact"/>
        <w:ind w:firstLine="560" w:firstLineChars="200"/>
        <w:jc w:val="left"/>
        <w:rPr>
          <w:color w:val="auto"/>
        </w:rPr>
      </w:pPr>
      <w:r>
        <w:rPr>
          <w:rFonts w:hint="eastAsia" w:ascii="华文行楷" w:hAnsi="华文行楷" w:eastAsia="华文行楷" w:cs="华文行楷"/>
          <w:color w:val="auto"/>
          <w:sz w:val="28"/>
          <w:szCs w:val="28"/>
        </w:rPr>
        <w:t>4.1递交投标文件截止时间及开标时间是否有变化，请密切留意广州公共资源交易中心网站的相关信息(详情可登陆广州公共资源交易中心网站→进入“建设工程”→“项目查询（日程安排、答疑纪要）”专区查询开标室等具体信息)。</w:t>
      </w:r>
    </w:p>
    <w:p>
      <w:pPr>
        <w:pStyle w:val="2"/>
        <w:ind w:firstLine="560" w:firstLineChars="200"/>
        <w:rPr>
          <w:rFonts w:hint="default"/>
          <w:color w:val="auto"/>
        </w:rPr>
      </w:pPr>
      <w:r>
        <w:rPr>
          <w:rFonts w:cs="宋体"/>
          <w:b w:val="0"/>
          <w:bCs w:val="0"/>
          <w:color w:val="auto"/>
          <w:sz w:val="28"/>
          <w:szCs w:val="28"/>
        </w:rPr>
        <w:t>4.2</w:t>
      </w:r>
      <w:r>
        <w:rPr>
          <w:rFonts w:ascii="华文行楷" w:hAnsi="华文行楷" w:eastAsia="华文行楷" w:cs="华文行楷"/>
          <w:color w:val="auto"/>
          <w:sz w:val="28"/>
          <w:szCs w:val="28"/>
        </w:rPr>
        <w:t>投标人及拟委派的项目负责人在投标截止时间前应已在广州公共资源交易中心办理企业信息登记，无企业信息登记的招标人将不予受理。企业信息登记的办理详见广州公共资源交易中心网站发布施工类企业信息登记办事指引（http://ggzy.gz.gov.cn/qyxxd1/508420.jhtml）。</w:t>
      </w:r>
    </w:p>
    <w:p>
      <w:pPr>
        <w:spacing w:line="510" w:lineRule="exact"/>
        <w:ind w:firstLine="560" w:firstLineChars="200"/>
        <w:jc w:val="left"/>
        <w:rPr>
          <w:rFonts w:ascii="宋体" w:hAnsi="宋体" w:cs="宋体"/>
          <w:b/>
          <w:bCs/>
          <w:color w:val="auto"/>
          <w:sz w:val="28"/>
          <w:szCs w:val="28"/>
        </w:rPr>
      </w:pPr>
      <w:r>
        <w:rPr>
          <w:rFonts w:hint="eastAsia" w:ascii="宋体" w:hAnsi="宋体" w:cs="宋体"/>
          <w:b/>
          <w:bCs/>
          <w:color w:val="auto"/>
          <w:sz w:val="28"/>
          <w:szCs w:val="28"/>
        </w:rPr>
        <w:t>5.招标投标程序安排及要求</w:t>
      </w:r>
    </w:p>
    <w:p>
      <w:pPr>
        <w:spacing w:line="51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5.1本次招标不设置投标报名环节,凡有意参加投标且符合本项目资格要求的投标人，应根据招标文件要求，直接参与本项目的投标。</w:t>
      </w:r>
    </w:p>
    <w:p>
      <w:pPr>
        <w:spacing w:line="51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5.2招标公告发布时间：</w:t>
      </w:r>
      <w:r>
        <w:rPr>
          <w:rFonts w:hint="eastAsia" w:ascii="宋体" w:hAnsi="宋体" w:cs="宋体"/>
          <w:iCs/>
          <w:color w:val="auto"/>
          <w:sz w:val="28"/>
          <w:szCs w:val="28"/>
          <w:u w:val="single"/>
        </w:rPr>
        <w:t>2022</w:t>
      </w:r>
      <w:r>
        <w:rPr>
          <w:rFonts w:hint="eastAsia" w:ascii="宋体" w:hAnsi="宋体" w:cs="宋体"/>
          <w:iCs/>
          <w:color w:val="auto"/>
          <w:sz w:val="28"/>
          <w:szCs w:val="28"/>
        </w:rPr>
        <w:t>年</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月</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日</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时</w:t>
      </w:r>
      <w:r>
        <w:rPr>
          <w:rFonts w:hint="eastAsia" w:ascii="宋体" w:hAnsi="宋体" w:cs="宋体"/>
          <w:color w:val="auto"/>
          <w:sz w:val="28"/>
          <w:szCs w:val="28"/>
        </w:rPr>
        <w:t>(北京时间，下同)。</w:t>
      </w:r>
    </w:p>
    <w:p>
      <w:pPr>
        <w:spacing w:line="510" w:lineRule="exact"/>
        <w:ind w:left="210" w:leftChars="100" w:firstLine="280" w:firstLineChars="100"/>
        <w:jc w:val="left"/>
        <w:rPr>
          <w:rFonts w:ascii="宋体" w:hAnsi="宋体" w:cs="宋体"/>
          <w:iCs/>
          <w:color w:val="auto"/>
          <w:sz w:val="28"/>
          <w:szCs w:val="28"/>
        </w:rPr>
      </w:pPr>
      <w:r>
        <w:rPr>
          <w:rFonts w:hint="eastAsia" w:ascii="宋体" w:hAnsi="宋体" w:cs="宋体"/>
          <w:iCs/>
          <w:color w:val="auto"/>
          <w:sz w:val="28"/>
          <w:szCs w:val="28"/>
        </w:rPr>
        <w:t>5.3答疑提问截止时间：</w:t>
      </w:r>
      <w:r>
        <w:rPr>
          <w:rFonts w:hint="eastAsia" w:ascii="宋体" w:hAnsi="宋体" w:cs="宋体"/>
          <w:iCs/>
          <w:color w:val="auto"/>
          <w:sz w:val="28"/>
          <w:szCs w:val="28"/>
          <w:u w:val="single"/>
        </w:rPr>
        <w:t>2022</w:t>
      </w:r>
      <w:r>
        <w:rPr>
          <w:rFonts w:hint="eastAsia" w:ascii="宋体" w:hAnsi="宋体" w:cs="宋体"/>
          <w:iCs/>
          <w:color w:val="auto"/>
          <w:sz w:val="28"/>
          <w:szCs w:val="28"/>
        </w:rPr>
        <w:t>年</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月</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日</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时。提问为匿名方式，通过：</w:t>
      </w:r>
      <w:r>
        <w:rPr>
          <w:rFonts w:hint="eastAsia" w:ascii="华文行楷" w:hAnsi="华文行楷" w:eastAsia="华文行楷" w:cs="华文行楷"/>
          <w:color w:val="auto"/>
          <w:sz w:val="28"/>
          <w:szCs w:val="28"/>
          <w:u w:val="single"/>
        </w:rPr>
        <w:t>广州公共资源交易中心网站发布</w:t>
      </w:r>
      <w:r>
        <w:rPr>
          <w:rFonts w:hint="eastAsia" w:ascii="宋体" w:hAnsi="宋体" w:cs="宋体"/>
          <w:iCs/>
          <w:color w:val="auto"/>
          <w:sz w:val="28"/>
          <w:szCs w:val="28"/>
        </w:rPr>
        <w:t>提出，密码为1234。</w:t>
      </w:r>
    </w:p>
    <w:p>
      <w:pPr>
        <w:spacing w:line="510" w:lineRule="exact"/>
        <w:ind w:firstLine="560" w:firstLineChars="200"/>
        <w:jc w:val="left"/>
        <w:rPr>
          <w:rFonts w:ascii="宋体" w:hAnsi="宋体" w:cs="宋体"/>
          <w:b/>
          <w:bCs/>
          <w:color w:val="auto"/>
          <w:sz w:val="28"/>
          <w:szCs w:val="28"/>
        </w:rPr>
      </w:pPr>
      <w:r>
        <w:rPr>
          <w:rFonts w:hint="eastAsia" w:ascii="宋体" w:hAnsi="宋体" w:cs="宋体"/>
          <w:color w:val="auto"/>
          <w:sz w:val="28"/>
          <w:szCs w:val="28"/>
        </w:rPr>
        <w:t>5.4招标文件答疑、澄清、修改或补充内容</w:t>
      </w:r>
      <w:r>
        <w:rPr>
          <w:color w:val="auto"/>
        </w:rPr>
        <w:fldChar w:fldCharType="begin"/>
      </w:r>
      <w:r>
        <w:rPr>
          <w:color w:val="auto"/>
        </w:rPr>
        <w:instrText xml:space="preserve"> HYPERLINK "http://zb.zjcic.net），发布答疑时间为" </w:instrText>
      </w:r>
      <w:r>
        <w:rPr>
          <w:color w:val="auto"/>
        </w:rPr>
        <w:fldChar w:fldCharType="separate"/>
      </w:r>
      <w:r>
        <w:rPr>
          <w:rFonts w:hint="eastAsia" w:ascii="宋体" w:hAnsi="宋体" w:cs="宋体"/>
          <w:color w:val="auto"/>
          <w:sz w:val="28"/>
          <w:szCs w:val="28"/>
        </w:rPr>
        <w:t>发布时间：</w:t>
      </w:r>
      <w:r>
        <w:rPr>
          <w:rFonts w:hint="eastAsia" w:ascii="宋体" w:hAnsi="宋体" w:cs="宋体"/>
          <w:color w:val="auto"/>
          <w:sz w:val="28"/>
          <w:szCs w:val="28"/>
        </w:rPr>
        <w:fldChar w:fldCharType="end"/>
      </w:r>
      <w:r>
        <w:rPr>
          <w:rFonts w:hint="eastAsia"/>
          <w:color w:val="auto"/>
          <w:sz w:val="28"/>
          <w:szCs w:val="28"/>
          <w:u w:val="single"/>
        </w:rPr>
        <w:t>2022</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月</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日。统一在</w:t>
      </w:r>
      <w:r>
        <w:rPr>
          <w:rFonts w:hint="eastAsia" w:ascii="华文行楷" w:hAnsi="宋体" w:eastAsia="华文行楷" w:cs="宋体"/>
          <w:color w:val="auto"/>
          <w:kern w:val="0"/>
          <w:sz w:val="28"/>
          <w:szCs w:val="28"/>
          <w:u w:val="single"/>
          <w:shd w:val="clear" w:color="auto" w:fill="FFFFFF"/>
        </w:rPr>
        <w:t>广东省招标投标监管网、</w:t>
      </w:r>
      <w:r>
        <w:rPr>
          <w:rFonts w:hint="eastAsia" w:ascii="华文行楷" w:hAnsi="华文行楷" w:eastAsia="华文行楷" w:cs="华文行楷"/>
          <w:color w:val="auto"/>
          <w:sz w:val="28"/>
          <w:szCs w:val="28"/>
          <w:u w:val="single"/>
        </w:rPr>
        <w:t>广州公共资源交易中心网站</w:t>
      </w:r>
      <w:r>
        <w:rPr>
          <w:rFonts w:hint="eastAsia" w:ascii="宋体" w:hAnsi="宋体" w:cs="宋体"/>
          <w:color w:val="auto"/>
          <w:sz w:val="28"/>
          <w:szCs w:val="28"/>
        </w:rPr>
        <w:t>发布（内容在门户网站发布后将视作已告知所有投标人）。</w:t>
      </w:r>
    </w:p>
    <w:p>
      <w:pPr>
        <w:spacing w:line="510" w:lineRule="exact"/>
        <w:ind w:left="210" w:leftChars="100" w:firstLine="280" w:firstLineChars="100"/>
        <w:jc w:val="left"/>
        <w:rPr>
          <w:rFonts w:ascii="宋体" w:hAnsi="宋体" w:cs="宋体"/>
          <w:iCs/>
          <w:color w:val="auto"/>
          <w:sz w:val="28"/>
          <w:szCs w:val="28"/>
        </w:rPr>
      </w:pPr>
      <w:r>
        <w:rPr>
          <w:rFonts w:hint="eastAsia" w:ascii="宋体" w:hAnsi="宋体" w:cs="宋体"/>
          <w:iCs/>
          <w:color w:val="auto"/>
          <w:sz w:val="28"/>
          <w:szCs w:val="28"/>
        </w:rPr>
        <w:t>5.5投标文件提交的截止时间：</w:t>
      </w:r>
      <w:r>
        <w:rPr>
          <w:rFonts w:hint="eastAsia" w:ascii="宋体" w:hAnsi="宋体" w:cs="宋体"/>
          <w:iCs/>
          <w:color w:val="auto"/>
          <w:sz w:val="28"/>
          <w:szCs w:val="28"/>
          <w:u w:val="single"/>
        </w:rPr>
        <w:t>2022</w:t>
      </w:r>
      <w:r>
        <w:rPr>
          <w:rFonts w:hint="eastAsia" w:ascii="宋体" w:hAnsi="宋体" w:cs="宋体"/>
          <w:iCs/>
          <w:color w:val="auto"/>
          <w:sz w:val="28"/>
          <w:szCs w:val="28"/>
        </w:rPr>
        <w:t>年</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月</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日</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时</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分。</w:t>
      </w:r>
    </w:p>
    <w:p>
      <w:pPr>
        <w:spacing w:line="510" w:lineRule="exact"/>
        <w:ind w:firstLine="565" w:firstLineChars="202"/>
        <w:jc w:val="left"/>
        <w:rPr>
          <w:rFonts w:ascii="宋体" w:hAnsi="宋体" w:cs="宋体"/>
          <w:iCs/>
          <w:color w:val="auto"/>
          <w:sz w:val="28"/>
          <w:szCs w:val="28"/>
        </w:rPr>
      </w:pPr>
      <w:r>
        <w:rPr>
          <w:rFonts w:hint="eastAsia" w:ascii="宋体" w:hAnsi="宋体" w:cs="宋体"/>
          <w:iCs/>
          <w:color w:val="auto"/>
          <w:sz w:val="28"/>
          <w:szCs w:val="28"/>
        </w:rPr>
        <w:sym w:font="Wingdings 2" w:char="0052"/>
      </w:r>
      <w:r>
        <w:rPr>
          <w:rFonts w:hint="eastAsia" w:ascii="宋体" w:hAnsi="宋体" w:cs="宋体"/>
          <w:iCs/>
          <w:color w:val="auto"/>
          <w:sz w:val="28"/>
          <w:szCs w:val="28"/>
        </w:rPr>
        <w:t>纸质投标文件提交地址：</w:t>
      </w:r>
      <w:r>
        <w:rPr>
          <w:rFonts w:hint="eastAsia" w:ascii="宋体" w:hAnsi="宋体" w:cs="宋体"/>
          <w:b/>
          <w:bCs/>
          <w:color w:val="auto"/>
          <w:sz w:val="28"/>
          <w:szCs w:val="28"/>
          <w:u w:val="single"/>
        </w:rPr>
        <w:t>广州市公共资源交易中心（广州市天河区天润路333号）  号开标室（具体时间及地点安排详见广州公共资源交易中心网站—服务指南—交易活动安排（网址http://www.gzzb.gd.cn）</w:t>
      </w:r>
    </w:p>
    <w:p>
      <w:pPr>
        <w:spacing w:line="510" w:lineRule="exact"/>
        <w:ind w:firstLine="560" w:firstLineChars="200"/>
        <w:jc w:val="left"/>
        <w:rPr>
          <w:rFonts w:ascii="宋体" w:hAnsi="宋体" w:cs="宋体"/>
          <w:b/>
          <w:bCs/>
          <w:iCs/>
          <w:color w:val="auto"/>
          <w:sz w:val="28"/>
          <w:szCs w:val="28"/>
        </w:rPr>
      </w:pPr>
      <w:r>
        <w:rPr>
          <w:rFonts w:hint="eastAsia" w:ascii="宋体" w:hAnsi="宋体" w:cs="宋体"/>
          <w:b/>
          <w:bCs/>
          <w:iCs/>
          <w:color w:val="auto"/>
          <w:sz w:val="28"/>
          <w:szCs w:val="28"/>
        </w:rPr>
        <w:t>5.6开标（或资格预审）：</w:t>
      </w:r>
    </w:p>
    <w:p>
      <w:pPr>
        <w:spacing w:line="510" w:lineRule="exact"/>
        <w:ind w:firstLine="560" w:firstLineChars="200"/>
        <w:jc w:val="left"/>
        <w:rPr>
          <w:rFonts w:ascii="宋体" w:hAnsi="宋体" w:cs="宋体"/>
          <w:iCs/>
          <w:color w:val="auto"/>
          <w:sz w:val="28"/>
          <w:szCs w:val="28"/>
        </w:rPr>
      </w:pPr>
      <w:r>
        <w:rPr>
          <w:rFonts w:hint="eastAsia" w:ascii="宋体" w:hAnsi="宋体" w:cs="宋体"/>
          <w:iCs/>
          <w:color w:val="auto"/>
          <w:sz w:val="28"/>
          <w:szCs w:val="28"/>
        </w:rPr>
        <w:t>开标时间：</w:t>
      </w:r>
      <w:r>
        <w:rPr>
          <w:rFonts w:hint="eastAsia" w:ascii="宋体" w:hAnsi="宋体" w:cs="宋体"/>
          <w:iCs/>
          <w:color w:val="auto"/>
          <w:sz w:val="28"/>
          <w:szCs w:val="28"/>
          <w:u w:val="single"/>
        </w:rPr>
        <w:t>2022</w:t>
      </w:r>
      <w:r>
        <w:rPr>
          <w:rFonts w:hint="eastAsia" w:ascii="宋体" w:hAnsi="宋体" w:cs="宋体"/>
          <w:iCs/>
          <w:color w:val="auto"/>
          <w:sz w:val="28"/>
          <w:szCs w:val="28"/>
        </w:rPr>
        <w:t>年</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月</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日</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时</w:t>
      </w:r>
      <w:r>
        <w:rPr>
          <w:rFonts w:hint="eastAsia" w:ascii="宋体" w:hAnsi="宋体" w:cs="宋体"/>
          <w:iCs/>
          <w:color w:val="auto"/>
          <w:sz w:val="28"/>
          <w:szCs w:val="28"/>
          <w:u w:val="single"/>
          <w:lang w:val="en-US" w:eastAsia="zh-CN"/>
        </w:rPr>
        <w:t xml:space="preserve">    </w:t>
      </w:r>
      <w:r>
        <w:rPr>
          <w:rFonts w:hint="eastAsia" w:ascii="宋体" w:hAnsi="宋体" w:cs="宋体"/>
          <w:iCs/>
          <w:color w:val="auto"/>
          <w:sz w:val="28"/>
          <w:szCs w:val="28"/>
        </w:rPr>
        <w:t>分</w:t>
      </w:r>
    </w:p>
    <w:p>
      <w:pPr>
        <w:spacing w:line="510" w:lineRule="exact"/>
        <w:ind w:firstLine="560" w:firstLineChars="200"/>
        <w:jc w:val="left"/>
        <w:rPr>
          <w:rFonts w:hint="eastAsia" w:ascii="宋体" w:hAnsi="宋体" w:eastAsia="华文行楷" w:cs="宋体"/>
          <w:iCs/>
          <w:color w:val="auto"/>
          <w:sz w:val="28"/>
          <w:szCs w:val="28"/>
          <w:lang w:val="en-US" w:eastAsia="zh-CN"/>
        </w:rPr>
      </w:pPr>
      <w:r>
        <w:rPr>
          <w:rFonts w:hint="eastAsia" w:ascii="宋体" w:hAnsi="宋体" w:cs="宋体"/>
          <w:iCs/>
          <w:color w:val="auto"/>
          <w:sz w:val="28"/>
          <w:szCs w:val="28"/>
        </w:rPr>
        <w:t>开标地点：</w:t>
      </w:r>
      <w:r>
        <w:rPr>
          <w:rFonts w:hint="eastAsia" w:ascii="华文行楷" w:hAnsi="华文行楷" w:eastAsia="华文行楷" w:cs="华文行楷"/>
          <w:color w:val="auto"/>
          <w:sz w:val="28"/>
          <w:szCs w:val="28"/>
        </w:rPr>
        <w:t>广州公共资源交易中心（广州市天河区天润路333号）</w:t>
      </w:r>
      <w:r>
        <w:rPr>
          <w:rFonts w:hint="eastAsia" w:ascii="华文行楷" w:hAnsi="华文行楷" w:eastAsia="华文行楷" w:cs="华文行楷"/>
          <w:color w:val="auto"/>
          <w:sz w:val="28"/>
          <w:szCs w:val="28"/>
          <w:u w:val="single"/>
        </w:rPr>
        <w:t xml:space="preserve">     </w:t>
      </w:r>
      <w:r>
        <w:rPr>
          <w:rFonts w:hint="eastAsia" w:ascii="华文行楷" w:hAnsi="华文行楷" w:eastAsia="华文行楷" w:cs="华文行楷"/>
          <w:color w:val="auto"/>
          <w:sz w:val="28"/>
          <w:szCs w:val="28"/>
        </w:rPr>
        <w:t>号开标室</w:t>
      </w:r>
      <w:r>
        <w:rPr>
          <w:rFonts w:hint="eastAsia" w:ascii="华文行楷" w:hAnsi="华文行楷" w:eastAsia="华文行楷" w:cs="华文行楷"/>
          <w:color w:val="auto"/>
          <w:sz w:val="28"/>
          <w:szCs w:val="28"/>
          <w:lang w:eastAsia="zh-CN"/>
        </w:rPr>
        <w:t>。</w:t>
      </w:r>
    </w:p>
    <w:p>
      <w:pPr>
        <w:spacing w:line="510" w:lineRule="exact"/>
        <w:ind w:firstLine="560" w:firstLineChars="200"/>
        <w:rPr>
          <w:rFonts w:ascii="宋体" w:hAnsi="宋体" w:cs="宋体"/>
          <w:b/>
          <w:bCs/>
          <w:color w:val="auto"/>
          <w:sz w:val="28"/>
          <w:szCs w:val="28"/>
        </w:rPr>
      </w:pPr>
      <w:r>
        <w:rPr>
          <w:rFonts w:hint="eastAsia" w:ascii="宋体" w:hAnsi="宋体" w:cs="宋体"/>
          <w:b/>
          <w:bCs/>
          <w:color w:val="auto"/>
          <w:sz w:val="28"/>
          <w:szCs w:val="28"/>
        </w:rPr>
        <w:t>5.7逾期送达或未送达指定地点或不按照招标文件要求密封的投标文件，将予以拒收。</w:t>
      </w:r>
    </w:p>
    <w:p>
      <w:pPr>
        <w:spacing w:line="510" w:lineRule="exact"/>
        <w:ind w:firstLine="560" w:firstLineChars="200"/>
        <w:jc w:val="left"/>
        <w:rPr>
          <w:rFonts w:ascii="宋体" w:hAnsi="宋体" w:cs="宋体"/>
          <w:b/>
          <w:color w:val="auto"/>
          <w:sz w:val="28"/>
          <w:szCs w:val="28"/>
        </w:rPr>
      </w:pPr>
      <w:r>
        <w:rPr>
          <w:rFonts w:hint="eastAsia" w:ascii="宋体" w:hAnsi="宋体" w:cs="宋体"/>
          <w:b/>
          <w:color w:val="auto"/>
          <w:sz w:val="28"/>
          <w:szCs w:val="28"/>
        </w:rPr>
        <w:t>6.招标文件的获取</w:t>
      </w:r>
    </w:p>
    <w:p>
      <w:pPr>
        <w:spacing w:line="510" w:lineRule="exact"/>
        <w:ind w:firstLine="560" w:firstLineChars="200"/>
        <w:jc w:val="left"/>
        <w:rPr>
          <w:rFonts w:ascii="宋体" w:hAnsi="宋体" w:cs="宋体"/>
          <w:iCs/>
          <w:color w:val="auto"/>
          <w:sz w:val="28"/>
          <w:szCs w:val="28"/>
        </w:rPr>
      </w:pPr>
      <w:r>
        <w:rPr>
          <w:rFonts w:hint="eastAsia" w:ascii="宋体" w:hAnsi="宋体" w:cs="宋体"/>
          <w:iCs/>
          <w:color w:val="auto"/>
          <w:sz w:val="28"/>
          <w:szCs w:val="28"/>
        </w:rPr>
        <w:t>6.1凡有意参加投标者，请于招标公告发布之日起至投标截止时间内，登录</w:t>
      </w:r>
      <w:r>
        <w:rPr>
          <w:rFonts w:hint="eastAsia" w:ascii="华文行楷" w:hAnsi="华文行楷" w:eastAsia="华文行楷" w:cs="华文行楷"/>
          <w:color w:val="auto"/>
          <w:sz w:val="28"/>
          <w:szCs w:val="28"/>
        </w:rPr>
        <w:t>广州公共资源交易中心网站</w:t>
      </w:r>
      <w:r>
        <w:rPr>
          <w:rFonts w:hint="eastAsia" w:ascii="宋体" w:hAnsi="宋体" w:cs="宋体"/>
          <w:iCs/>
          <w:color w:val="auto"/>
          <w:sz w:val="28"/>
          <w:szCs w:val="28"/>
        </w:rPr>
        <w:t>查看并下载招标文件以及项目有关资料。</w:t>
      </w:r>
    </w:p>
    <w:p>
      <w:pPr>
        <w:spacing w:line="510" w:lineRule="exact"/>
        <w:ind w:firstLine="560" w:firstLineChars="200"/>
        <w:rPr>
          <w:rFonts w:ascii="宋体" w:hAnsi="宋体" w:cs="宋体"/>
          <w:color w:val="auto"/>
          <w:sz w:val="28"/>
          <w:szCs w:val="28"/>
        </w:rPr>
      </w:pPr>
      <w:r>
        <w:rPr>
          <w:rFonts w:hint="eastAsia" w:ascii="宋体" w:hAnsi="宋体" w:cs="宋体"/>
          <w:color w:val="auto"/>
          <w:sz w:val="28"/>
          <w:szCs w:val="28"/>
        </w:rPr>
        <w:t>6.2投标人于提交投标文件时向招标代理机构</w:t>
      </w:r>
      <w:r>
        <w:rPr>
          <w:rFonts w:ascii="宋体" w:hAnsi="宋体" w:cs="宋体"/>
          <w:color w:val="auto"/>
          <w:sz w:val="28"/>
          <w:szCs w:val="28"/>
        </w:rPr>
        <w:t>缴纳招标文件工本费</w:t>
      </w:r>
      <w:r>
        <w:rPr>
          <w:rFonts w:hint="eastAsia" w:ascii="宋体" w:hAnsi="宋体" w:cs="宋体"/>
          <w:color w:val="auto"/>
          <w:sz w:val="28"/>
          <w:szCs w:val="28"/>
        </w:rPr>
        <w:t>人民币</w:t>
      </w:r>
      <w:r>
        <w:rPr>
          <w:rFonts w:hint="eastAsia" w:ascii="宋体" w:hAnsi="宋体" w:cs="宋体"/>
          <w:color w:val="auto"/>
          <w:sz w:val="28"/>
          <w:szCs w:val="28"/>
          <w:u w:val="single"/>
        </w:rPr>
        <w:t>300</w:t>
      </w:r>
      <w:r>
        <w:rPr>
          <w:rFonts w:hint="eastAsia" w:ascii="宋体" w:hAnsi="宋体" w:cs="宋体"/>
          <w:color w:val="auto"/>
          <w:sz w:val="28"/>
          <w:szCs w:val="28"/>
        </w:rPr>
        <w:t>元（不以营利为目的）。</w:t>
      </w:r>
    </w:p>
    <w:p>
      <w:pPr>
        <w:spacing w:line="510" w:lineRule="exact"/>
        <w:ind w:firstLine="560" w:firstLineChars="200"/>
        <w:jc w:val="left"/>
        <w:rPr>
          <w:rFonts w:ascii="宋体" w:hAnsi="宋体" w:cs="宋体"/>
          <w:b/>
          <w:color w:val="auto"/>
          <w:sz w:val="28"/>
          <w:szCs w:val="28"/>
        </w:rPr>
      </w:pPr>
      <w:r>
        <w:rPr>
          <w:rFonts w:hint="eastAsia" w:ascii="宋体" w:hAnsi="宋体" w:cs="宋体"/>
          <w:b/>
          <w:color w:val="auto"/>
          <w:sz w:val="28"/>
          <w:szCs w:val="28"/>
        </w:rPr>
        <w:t>7.发布公告的媒介</w:t>
      </w:r>
    </w:p>
    <w:p>
      <w:pPr>
        <w:wordWrap w:val="0"/>
        <w:spacing w:line="510" w:lineRule="exact"/>
        <w:ind w:firstLine="560" w:firstLineChars="200"/>
        <w:jc w:val="left"/>
        <w:rPr>
          <w:rFonts w:ascii="宋体" w:hAnsi="宋体" w:cs="宋体"/>
          <w:iCs/>
          <w:color w:val="auto"/>
          <w:sz w:val="28"/>
          <w:szCs w:val="28"/>
        </w:rPr>
      </w:pPr>
      <w:r>
        <w:rPr>
          <w:rFonts w:hint="eastAsia" w:ascii="宋体" w:hAnsi="宋体" w:cs="宋体"/>
          <w:iCs/>
          <w:color w:val="auto"/>
          <w:sz w:val="28"/>
          <w:szCs w:val="28"/>
        </w:rPr>
        <w:t>本次招标公告同时在广东省招标投标监管网、</w:t>
      </w:r>
      <w:r>
        <w:rPr>
          <w:rFonts w:hint="eastAsia" w:ascii="华文行楷" w:hAnsi="华文行楷" w:eastAsia="华文行楷" w:cs="华文行楷"/>
          <w:color w:val="auto"/>
          <w:sz w:val="28"/>
          <w:szCs w:val="28"/>
        </w:rPr>
        <w:t>广州公共资源交易中心</w:t>
      </w:r>
      <w:r>
        <w:rPr>
          <w:rFonts w:hint="eastAsia" w:ascii="宋体" w:hAnsi="宋体" w:cs="宋体"/>
          <w:iCs/>
          <w:color w:val="auto"/>
          <w:sz w:val="28"/>
          <w:szCs w:val="28"/>
        </w:rPr>
        <w:t>上发布</w:t>
      </w:r>
      <w:r>
        <w:rPr>
          <w:rFonts w:hint="eastAsia" w:ascii="宋体" w:hAnsi="宋体" w:cs="宋体"/>
          <w:iCs/>
          <w:color w:val="auto"/>
          <w:sz w:val="28"/>
          <w:szCs w:val="28"/>
          <w:shd w:val="clear" w:color="auto" w:fill="FFFFFF"/>
        </w:rPr>
        <w:t>。公告内容和时间不一致时，以</w:t>
      </w:r>
      <w:r>
        <w:rPr>
          <w:rFonts w:hint="eastAsia" w:ascii="华文行楷" w:hAnsi="华文行楷" w:eastAsia="华文行楷" w:cs="华文行楷"/>
          <w:color w:val="auto"/>
          <w:sz w:val="28"/>
          <w:szCs w:val="28"/>
        </w:rPr>
        <w:t>广州公共资源交易中心</w:t>
      </w:r>
      <w:r>
        <w:rPr>
          <w:rFonts w:hint="eastAsia" w:ascii="宋体" w:hAnsi="宋体" w:cs="宋体"/>
          <w:iCs/>
          <w:color w:val="auto"/>
          <w:sz w:val="28"/>
          <w:szCs w:val="28"/>
          <w:shd w:val="clear" w:color="auto" w:fill="FFFFFF"/>
        </w:rPr>
        <w:t>网站发布的为准。招标人的澄清（答疑）、补充、修改等文件一律通过：</w:t>
      </w:r>
      <w:r>
        <w:rPr>
          <w:rFonts w:hint="eastAsia" w:ascii="华文行楷" w:hAnsi="华文行楷" w:eastAsia="华文行楷" w:cs="华文行楷"/>
          <w:color w:val="auto"/>
          <w:sz w:val="28"/>
          <w:szCs w:val="28"/>
        </w:rPr>
        <w:t>广州公共资源交易中心</w:t>
      </w:r>
      <w:r>
        <w:rPr>
          <w:rFonts w:hint="eastAsia" w:ascii="宋体" w:hAnsi="宋体" w:cs="宋体"/>
          <w:iCs/>
          <w:color w:val="auto"/>
          <w:sz w:val="28"/>
          <w:szCs w:val="28"/>
          <w:shd w:val="clear" w:color="auto" w:fill="FFFFFF"/>
        </w:rPr>
        <w:t>发布。</w:t>
      </w:r>
    </w:p>
    <w:p>
      <w:pPr>
        <w:pStyle w:val="20"/>
        <w:widowControl/>
        <w:spacing w:before="0" w:beforeAutospacing="0" w:after="0" w:afterAutospacing="0" w:line="510" w:lineRule="exact"/>
        <w:ind w:firstLine="560" w:firstLineChars="200"/>
        <w:rPr>
          <w:rFonts w:ascii="宋体" w:hAnsi="宋体" w:cs="宋体"/>
          <w:b/>
          <w:bCs/>
          <w:color w:val="auto"/>
          <w:sz w:val="28"/>
          <w:szCs w:val="28"/>
          <w:shd w:val="clear" w:color="auto" w:fill="FFFFFF"/>
        </w:rPr>
      </w:pPr>
      <w:r>
        <w:rPr>
          <w:rFonts w:hint="eastAsia" w:ascii="宋体" w:hAnsi="宋体" w:cs="宋体"/>
          <w:b/>
          <w:bCs/>
          <w:color w:val="auto"/>
          <w:sz w:val="28"/>
          <w:szCs w:val="28"/>
          <w:shd w:val="clear" w:color="auto" w:fill="FFFFFF"/>
        </w:rPr>
        <w:t>8.异议与投诉</w:t>
      </w:r>
    </w:p>
    <w:p>
      <w:pPr>
        <w:pStyle w:val="20"/>
        <w:widowControl/>
        <w:spacing w:before="0" w:beforeAutospacing="0" w:after="0" w:afterAutospacing="0" w:line="510" w:lineRule="exact"/>
        <w:ind w:firstLine="560" w:firstLineChars="20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根据《中华人民共和国招标投标法实施条例》第二十二条和第六十条，潜在投标人或其他利害关系人对本招标公告及招标文件有异议的，或认为招标投标活动不符合法律、行政法规规定的，应当在投标截止时间10日前向招标人提出异议。对招标人答复不满意或者招标人未在规定的时间内作出答复的，可以自知道或应当知道之日起10日内向</w:t>
      </w:r>
      <w:r>
        <w:rPr>
          <w:rFonts w:hint="eastAsia" w:ascii="华文行楷" w:hAnsi="华文行楷" w:eastAsia="华文行楷" w:cs="华文行楷"/>
          <w:color w:val="auto"/>
          <w:kern w:val="2"/>
          <w:sz w:val="28"/>
          <w:szCs w:val="28"/>
          <w:u w:val="single"/>
        </w:rPr>
        <w:t>遂溪县住房和城乡建设局招标股</w:t>
      </w:r>
      <w:r>
        <w:rPr>
          <w:rFonts w:hint="eastAsia" w:ascii="宋体" w:hAnsi="宋体" w:cs="宋体"/>
          <w:color w:val="auto"/>
          <w:sz w:val="28"/>
          <w:szCs w:val="28"/>
          <w:shd w:val="clear" w:color="auto" w:fill="FFFFFF"/>
        </w:rPr>
        <w:t>实名投诉，电话：</w:t>
      </w:r>
      <w:r>
        <w:rPr>
          <w:rFonts w:hint="eastAsia" w:ascii="华文行楷" w:hAnsi="华文行楷" w:eastAsia="华文行楷" w:cs="华文行楷"/>
          <w:color w:val="auto"/>
          <w:kern w:val="2"/>
          <w:sz w:val="28"/>
          <w:szCs w:val="28"/>
          <w:u w:val="single"/>
        </w:rPr>
        <w:t>0759-7751618</w:t>
      </w:r>
      <w:r>
        <w:rPr>
          <w:rFonts w:hint="eastAsia" w:ascii="宋体" w:hAnsi="宋体" w:cs="宋体"/>
          <w:color w:val="auto"/>
          <w:sz w:val="28"/>
          <w:szCs w:val="28"/>
          <w:shd w:val="clear" w:color="auto" w:fill="FFFFFF"/>
        </w:rPr>
        <w:t>。（投诉应当有明确的请求和必要的证明材料，具体要求依照《工程建设项目招标投标活动投诉处理办法》）</w:t>
      </w:r>
    </w:p>
    <w:p>
      <w:pPr>
        <w:spacing w:line="51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潜在投标人或其他利害关系人应当充分重视异议、投诉提出的时限，避免异议权、投诉权因时效原因而消失。</w:t>
      </w:r>
    </w:p>
    <w:p>
      <w:pPr>
        <w:spacing w:line="510" w:lineRule="exact"/>
        <w:ind w:firstLine="560" w:firstLineChars="200"/>
        <w:jc w:val="left"/>
        <w:rPr>
          <w:rFonts w:ascii="宋体" w:hAnsi="宋体" w:cs="宋体"/>
          <w:b/>
          <w:bCs/>
          <w:color w:val="auto"/>
          <w:sz w:val="28"/>
          <w:szCs w:val="28"/>
        </w:rPr>
      </w:pPr>
      <w:r>
        <w:rPr>
          <w:rFonts w:hint="eastAsia" w:ascii="宋体" w:hAnsi="宋体" w:cs="宋体"/>
          <w:b/>
          <w:bCs/>
          <w:color w:val="auto"/>
          <w:sz w:val="28"/>
          <w:szCs w:val="28"/>
        </w:rPr>
        <w:t>9.本招标公告未尽事宜，执行本工程的招标文件及有关法律法规规定。</w:t>
      </w:r>
    </w:p>
    <w:p>
      <w:pPr>
        <w:spacing w:line="510" w:lineRule="exact"/>
        <w:ind w:firstLine="560" w:firstLineChars="200"/>
        <w:jc w:val="left"/>
        <w:rPr>
          <w:rFonts w:ascii="宋体" w:hAnsi="宋体" w:cs="宋体"/>
          <w:b/>
          <w:color w:val="auto"/>
          <w:sz w:val="28"/>
          <w:szCs w:val="28"/>
        </w:rPr>
      </w:pPr>
      <w:r>
        <w:rPr>
          <w:rFonts w:hint="eastAsia" w:ascii="宋体" w:hAnsi="宋体" w:cs="宋体"/>
          <w:b/>
          <w:color w:val="auto"/>
          <w:sz w:val="28"/>
          <w:szCs w:val="28"/>
        </w:rPr>
        <w:t>10、联系方式</w:t>
      </w:r>
    </w:p>
    <w:p>
      <w:pPr>
        <w:spacing w:line="510" w:lineRule="exact"/>
        <w:ind w:firstLine="560" w:firstLineChars="200"/>
        <w:jc w:val="left"/>
        <w:rPr>
          <w:rFonts w:ascii="宋体" w:hAnsi="宋体" w:cs="宋体"/>
          <w:color w:val="auto"/>
          <w:sz w:val="28"/>
          <w:szCs w:val="28"/>
          <w:u w:val="single"/>
        </w:rPr>
      </w:pPr>
      <w:r>
        <w:rPr>
          <w:rFonts w:hint="eastAsia" w:ascii="宋体" w:hAnsi="宋体" w:cs="宋体"/>
          <w:color w:val="auto"/>
          <w:sz w:val="28"/>
          <w:szCs w:val="28"/>
        </w:rPr>
        <w:t>招标人：</w:t>
      </w:r>
      <w:r>
        <w:rPr>
          <w:rFonts w:hint="eastAsia" w:ascii="华文行楷" w:hAnsi="华文行楷" w:eastAsia="华文行楷" w:cs="华文行楷"/>
          <w:color w:val="auto"/>
          <w:sz w:val="28"/>
          <w:szCs w:val="28"/>
          <w:u w:val="single"/>
          <w:lang w:eastAsia="zh-CN"/>
        </w:rPr>
        <w:t>遂溪县洋青镇人民政府</w:t>
      </w:r>
      <w:r>
        <w:rPr>
          <w:rFonts w:hint="eastAsia" w:ascii="华文行楷" w:hAnsi="华文行楷" w:eastAsia="华文行楷" w:cs="华文行楷"/>
          <w:color w:val="auto"/>
          <w:sz w:val="28"/>
          <w:szCs w:val="28"/>
          <w:u w:val="single"/>
        </w:rPr>
        <w:t xml:space="preserve"> </w:t>
      </w:r>
    </w:p>
    <w:p>
      <w:pPr>
        <w:spacing w:line="510" w:lineRule="exact"/>
        <w:ind w:firstLine="560" w:firstLineChars="200"/>
        <w:jc w:val="left"/>
        <w:rPr>
          <w:rFonts w:ascii="宋体" w:hAnsi="宋体" w:cs="宋体"/>
          <w:color w:val="auto"/>
          <w:sz w:val="28"/>
          <w:szCs w:val="28"/>
          <w:u w:val="single"/>
        </w:rPr>
      </w:pPr>
      <w:r>
        <w:rPr>
          <w:rFonts w:hint="eastAsia" w:ascii="宋体" w:hAnsi="宋体" w:cs="宋体"/>
          <w:color w:val="auto"/>
          <w:sz w:val="28"/>
          <w:szCs w:val="28"/>
        </w:rPr>
        <w:t>地址：</w:t>
      </w:r>
      <w:r>
        <w:rPr>
          <w:rFonts w:hint="eastAsia" w:ascii="华文行楷" w:hAnsi="华文行楷" w:eastAsia="华文行楷" w:cs="华文行楷"/>
          <w:color w:val="auto"/>
          <w:sz w:val="28"/>
          <w:szCs w:val="28"/>
          <w:u w:val="single"/>
        </w:rPr>
        <w:t>广东省湛江市</w:t>
      </w:r>
      <w:r>
        <w:rPr>
          <w:rFonts w:hint="eastAsia" w:ascii="华文行楷" w:hAnsi="华文行楷" w:eastAsia="华文行楷" w:cs="华文行楷"/>
          <w:color w:val="auto"/>
          <w:sz w:val="28"/>
          <w:szCs w:val="28"/>
          <w:u w:val="single"/>
          <w:lang w:eastAsia="zh-CN"/>
        </w:rPr>
        <w:t>遂溪县洋青镇</w:t>
      </w:r>
      <w:r>
        <w:rPr>
          <w:rFonts w:hint="eastAsia" w:ascii="华文行楷" w:hAnsi="华文行楷" w:eastAsia="华文行楷" w:cs="华文行楷"/>
          <w:color w:val="auto"/>
          <w:sz w:val="28"/>
          <w:szCs w:val="28"/>
          <w:u w:val="single"/>
        </w:rPr>
        <w:t xml:space="preserve">  </w:t>
      </w:r>
    </w:p>
    <w:p>
      <w:pPr>
        <w:spacing w:line="51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联系人（实名）：</w:t>
      </w:r>
      <w:r>
        <w:rPr>
          <w:rFonts w:hint="eastAsia" w:ascii="华文行楷" w:hAnsi="华文行楷" w:eastAsia="华文行楷" w:cs="华文行楷"/>
          <w:color w:val="auto"/>
          <w:sz w:val="28"/>
          <w:szCs w:val="28"/>
          <w:u w:val="single"/>
          <w:lang w:val="en-US" w:eastAsia="zh-CN"/>
        </w:rPr>
        <w:t xml:space="preserve">  林荣聪    </w:t>
      </w:r>
      <w:r>
        <w:rPr>
          <w:rFonts w:hint="eastAsia" w:ascii="华文行楷" w:hAnsi="华文行楷" w:eastAsia="华文行楷" w:cs="华文行楷"/>
          <w:color w:val="auto"/>
          <w:sz w:val="28"/>
          <w:szCs w:val="28"/>
          <w:u w:val="single"/>
        </w:rPr>
        <w:t xml:space="preserve"> </w:t>
      </w:r>
    </w:p>
    <w:p>
      <w:pPr>
        <w:spacing w:line="510" w:lineRule="exact"/>
        <w:ind w:firstLine="560" w:firstLineChars="200"/>
        <w:jc w:val="left"/>
        <w:rPr>
          <w:rFonts w:hint="default" w:ascii="华文行楷" w:hAnsi="华文行楷" w:eastAsia="华文行楷" w:cs="华文行楷"/>
          <w:color w:val="auto"/>
          <w:sz w:val="28"/>
          <w:szCs w:val="28"/>
          <w:u w:val="single"/>
          <w:lang w:val="en-US"/>
        </w:rPr>
      </w:pPr>
      <w:r>
        <w:rPr>
          <w:rFonts w:hint="eastAsia" w:ascii="宋体" w:hAnsi="宋体" w:cs="宋体"/>
          <w:color w:val="auto"/>
          <w:sz w:val="28"/>
          <w:szCs w:val="28"/>
        </w:rPr>
        <w:t>电话：</w:t>
      </w:r>
      <w:r>
        <w:rPr>
          <w:rFonts w:hint="eastAsia" w:ascii="华文行楷" w:hAnsi="华文行楷" w:eastAsia="华文行楷" w:cs="华文行楷"/>
          <w:color w:val="auto"/>
          <w:sz w:val="28"/>
          <w:szCs w:val="28"/>
          <w:u w:val="single"/>
        </w:rPr>
        <w:t xml:space="preserve"> </w:t>
      </w:r>
      <w:r>
        <w:rPr>
          <w:rFonts w:hint="eastAsia" w:ascii="华文行楷" w:hAnsi="华文行楷" w:eastAsia="华文行楷" w:cs="华文行楷"/>
          <w:color w:val="auto"/>
          <w:sz w:val="28"/>
          <w:szCs w:val="28"/>
          <w:u w:val="single"/>
          <w:lang w:val="en-US" w:eastAsia="zh-CN"/>
        </w:rPr>
        <w:t xml:space="preserve"> 18318189966     </w:t>
      </w:r>
    </w:p>
    <w:p>
      <w:pPr>
        <w:spacing w:line="510" w:lineRule="exact"/>
        <w:ind w:firstLine="560" w:firstLineChars="200"/>
        <w:jc w:val="left"/>
        <w:rPr>
          <w:rFonts w:ascii="宋体" w:hAnsi="宋体" w:cs="宋体"/>
          <w:color w:val="auto"/>
          <w:sz w:val="28"/>
          <w:szCs w:val="28"/>
          <w:u w:val="single"/>
        </w:rPr>
      </w:pPr>
      <w:r>
        <w:rPr>
          <w:rFonts w:hint="eastAsia" w:ascii="宋体" w:hAnsi="宋体" w:cs="宋体"/>
          <w:color w:val="auto"/>
          <w:sz w:val="28"/>
          <w:szCs w:val="28"/>
        </w:rPr>
        <w:t>招标代理机构：</w:t>
      </w:r>
      <w:r>
        <w:rPr>
          <w:rFonts w:hint="eastAsia" w:ascii="华文行楷" w:hAnsi="华文行楷" w:eastAsia="华文行楷" w:cs="华文行楷"/>
          <w:color w:val="auto"/>
          <w:sz w:val="28"/>
          <w:szCs w:val="28"/>
          <w:u w:val="single"/>
        </w:rPr>
        <w:t xml:space="preserve"> 方大国际工程咨询股份有限公司 </w:t>
      </w:r>
    </w:p>
    <w:p>
      <w:pPr>
        <w:spacing w:line="510" w:lineRule="exact"/>
        <w:ind w:firstLine="560" w:firstLineChars="200"/>
        <w:jc w:val="left"/>
        <w:rPr>
          <w:rFonts w:ascii="宋体" w:hAnsi="宋体" w:cs="宋体"/>
          <w:color w:val="auto"/>
          <w:sz w:val="28"/>
          <w:szCs w:val="28"/>
          <w:u w:val="single"/>
        </w:rPr>
      </w:pPr>
      <w:r>
        <w:rPr>
          <w:rFonts w:hint="eastAsia" w:ascii="宋体" w:hAnsi="宋体" w:cs="宋体"/>
          <w:color w:val="auto"/>
          <w:sz w:val="28"/>
          <w:szCs w:val="28"/>
        </w:rPr>
        <w:t>地址：</w:t>
      </w:r>
      <w:r>
        <w:rPr>
          <w:rFonts w:hint="eastAsia" w:ascii="华文行楷" w:hAnsi="华文行楷" w:eastAsia="华文行楷" w:cs="华文行楷"/>
          <w:color w:val="auto"/>
          <w:sz w:val="28"/>
          <w:szCs w:val="28"/>
          <w:u w:val="single"/>
        </w:rPr>
        <w:t xml:space="preserve"> 郑州市金水区杨金路中段牛顿国际A座9楼982号 </w:t>
      </w:r>
    </w:p>
    <w:p>
      <w:pPr>
        <w:spacing w:line="51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联系人（实名）：</w:t>
      </w:r>
      <w:r>
        <w:rPr>
          <w:rFonts w:hint="eastAsia" w:ascii="华文行楷" w:hAnsi="华文行楷" w:eastAsia="华文行楷" w:cs="华文行楷"/>
          <w:color w:val="auto"/>
          <w:sz w:val="28"/>
          <w:szCs w:val="28"/>
          <w:u w:val="single"/>
        </w:rPr>
        <w:t xml:space="preserve"> 黄一瑜 </w:t>
      </w:r>
    </w:p>
    <w:p>
      <w:pPr>
        <w:spacing w:line="510" w:lineRule="exact"/>
        <w:ind w:firstLine="560" w:firstLineChars="200"/>
        <w:jc w:val="left"/>
        <w:rPr>
          <w:rFonts w:ascii="宋体" w:hAnsi="宋体" w:cs="宋体"/>
          <w:color w:val="auto"/>
          <w:sz w:val="28"/>
          <w:szCs w:val="28"/>
          <w:u w:val="single"/>
        </w:rPr>
      </w:pPr>
      <w:r>
        <w:rPr>
          <w:rFonts w:hint="eastAsia" w:ascii="宋体" w:hAnsi="宋体" w:cs="宋体"/>
          <w:color w:val="auto"/>
          <w:sz w:val="28"/>
          <w:szCs w:val="28"/>
        </w:rPr>
        <w:t>电话：</w:t>
      </w:r>
      <w:r>
        <w:rPr>
          <w:rFonts w:hint="eastAsia" w:ascii="华文行楷" w:hAnsi="华文行楷" w:eastAsia="华文行楷" w:cs="华文行楷"/>
          <w:color w:val="auto"/>
          <w:sz w:val="28"/>
          <w:szCs w:val="28"/>
          <w:u w:val="single"/>
        </w:rPr>
        <w:t xml:space="preserve"> 13822505585 </w:t>
      </w:r>
    </w:p>
    <w:p>
      <w:pPr>
        <w:spacing w:line="510" w:lineRule="exact"/>
        <w:ind w:firstLine="560" w:firstLineChars="200"/>
        <w:jc w:val="left"/>
        <w:rPr>
          <w:rFonts w:ascii="宋体" w:hAnsi="宋体" w:cs="宋体"/>
          <w:color w:val="auto"/>
          <w:sz w:val="28"/>
          <w:szCs w:val="28"/>
          <w:u w:val="single"/>
        </w:rPr>
      </w:pPr>
      <w:r>
        <w:rPr>
          <w:rFonts w:hint="eastAsia" w:ascii="宋体" w:hAnsi="宋体" w:cs="宋体"/>
          <w:color w:val="auto"/>
          <w:sz w:val="28"/>
          <w:szCs w:val="28"/>
        </w:rPr>
        <w:t>电子邮件：</w:t>
      </w:r>
      <w:r>
        <w:rPr>
          <w:rFonts w:hint="eastAsia" w:ascii="宋体" w:hAnsi="宋体" w:cs="宋体"/>
          <w:b/>
          <w:bCs/>
          <w:color w:val="auto"/>
          <w:sz w:val="28"/>
          <w:szCs w:val="28"/>
          <w:u w:val="single"/>
        </w:rPr>
        <w:t>3063881366@qq.com</w:t>
      </w:r>
    </w:p>
    <w:p>
      <w:pPr>
        <w:spacing w:line="510" w:lineRule="exact"/>
        <w:ind w:firstLine="5600" w:firstLineChars="2000"/>
        <w:jc w:val="left"/>
        <w:rPr>
          <w:rFonts w:hint="eastAsia" w:ascii="宋体" w:hAnsi="宋体" w:cs="宋体"/>
          <w:color w:val="auto"/>
          <w:sz w:val="28"/>
          <w:szCs w:val="28"/>
          <w:u w:val="single"/>
        </w:rPr>
      </w:pPr>
    </w:p>
    <w:p>
      <w:pPr>
        <w:spacing w:line="510" w:lineRule="exact"/>
        <w:ind w:firstLine="5600" w:firstLineChars="2000"/>
        <w:jc w:val="left"/>
        <w:rPr>
          <w:rFonts w:ascii="宋体" w:hAnsi="宋体" w:cs="宋体"/>
          <w:color w:val="auto"/>
          <w:sz w:val="28"/>
          <w:szCs w:val="28"/>
        </w:rPr>
      </w:pPr>
      <w:r>
        <w:rPr>
          <w:rFonts w:hint="eastAsia" w:ascii="宋体" w:hAnsi="宋体" w:cs="宋体"/>
          <w:color w:val="auto"/>
          <w:sz w:val="28"/>
          <w:szCs w:val="28"/>
          <w:u w:val="single"/>
        </w:rPr>
        <w:t>2022</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月</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spacing w:line="510" w:lineRule="exact"/>
        <w:ind w:firstLine="1320" w:firstLineChars="300"/>
        <w:rPr>
          <w:rFonts w:ascii="方正小标宋简体" w:hAnsi="方正小标宋简体" w:eastAsia="方正小标宋简体" w:cs="方正小标宋简体"/>
          <w:b/>
          <w:color w:val="auto"/>
          <w:sz w:val="44"/>
          <w:szCs w:val="44"/>
        </w:rPr>
      </w:pPr>
    </w:p>
    <w:p>
      <w:pPr>
        <w:spacing w:line="510" w:lineRule="exact"/>
        <w:ind w:firstLine="1320" w:firstLineChars="300"/>
        <w:rPr>
          <w:rFonts w:ascii="方正小标宋简体" w:hAnsi="方正小标宋简体" w:eastAsia="方正小标宋简体" w:cs="方正小标宋简体"/>
          <w:b/>
          <w:color w:val="auto"/>
          <w:sz w:val="44"/>
          <w:szCs w:val="44"/>
        </w:rPr>
      </w:pPr>
    </w:p>
    <w:p>
      <w:pPr>
        <w:spacing w:line="510" w:lineRule="exact"/>
        <w:ind w:firstLine="1320" w:firstLineChars="300"/>
        <w:rPr>
          <w:rFonts w:ascii="方正小标宋简体" w:hAnsi="方正小标宋简体" w:eastAsia="方正小标宋简体" w:cs="方正小标宋简体"/>
          <w:b/>
          <w:color w:val="auto"/>
          <w:sz w:val="44"/>
          <w:szCs w:val="44"/>
        </w:rPr>
      </w:pPr>
    </w:p>
    <w:p>
      <w:pPr>
        <w:spacing w:line="510" w:lineRule="exact"/>
        <w:ind w:firstLine="1320" w:firstLineChars="300"/>
        <w:rPr>
          <w:rFonts w:ascii="方正小标宋简体" w:hAnsi="方正小标宋简体" w:eastAsia="方正小标宋简体" w:cs="方正小标宋简体"/>
          <w:b/>
          <w:color w:val="auto"/>
          <w:sz w:val="44"/>
          <w:szCs w:val="44"/>
        </w:rPr>
      </w:pPr>
    </w:p>
    <w:p>
      <w:pPr>
        <w:spacing w:line="510" w:lineRule="exact"/>
        <w:ind w:firstLine="1320" w:firstLineChars="300"/>
        <w:rPr>
          <w:rFonts w:ascii="方正小标宋简体" w:hAnsi="方正小标宋简体" w:eastAsia="方正小标宋简体" w:cs="方正小标宋简体"/>
          <w:b/>
          <w:color w:val="auto"/>
          <w:sz w:val="44"/>
          <w:szCs w:val="44"/>
        </w:rPr>
      </w:pPr>
    </w:p>
    <w:p>
      <w:pPr>
        <w:spacing w:line="510" w:lineRule="exact"/>
        <w:ind w:firstLine="1320" w:firstLineChars="300"/>
        <w:rPr>
          <w:rFonts w:ascii="方正小标宋简体" w:hAnsi="方正小标宋简体" w:eastAsia="方正小标宋简体" w:cs="方正小标宋简体"/>
          <w:b/>
          <w:color w:val="auto"/>
          <w:sz w:val="44"/>
          <w:szCs w:val="44"/>
        </w:rPr>
      </w:pPr>
    </w:p>
    <w:p>
      <w:pPr>
        <w:spacing w:line="510" w:lineRule="exact"/>
        <w:ind w:firstLine="1320" w:firstLineChars="300"/>
        <w:rPr>
          <w:rFonts w:ascii="方正小标宋简体" w:hAnsi="方正小标宋简体" w:eastAsia="方正小标宋简体" w:cs="方正小标宋简体"/>
          <w:b/>
          <w:color w:val="auto"/>
          <w:sz w:val="44"/>
          <w:szCs w:val="44"/>
        </w:rPr>
      </w:pPr>
    </w:p>
    <w:p>
      <w:pPr>
        <w:spacing w:line="510" w:lineRule="exact"/>
        <w:ind w:firstLine="1320" w:firstLineChars="300"/>
        <w:rPr>
          <w:rFonts w:ascii="方正小标宋简体" w:hAnsi="方正小标宋简体" w:eastAsia="方正小标宋简体" w:cs="方正小标宋简体"/>
          <w:b/>
          <w:color w:val="auto"/>
          <w:sz w:val="44"/>
          <w:szCs w:val="44"/>
        </w:rPr>
      </w:pPr>
    </w:p>
    <w:p>
      <w:pPr>
        <w:spacing w:line="510" w:lineRule="exact"/>
        <w:rPr>
          <w:rFonts w:ascii="方正小标宋简体" w:hAnsi="方正小标宋简体" w:eastAsia="方正小标宋简体" w:cs="方正小标宋简体"/>
          <w:b/>
          <w:color w:val="auto"/>
          <w:sz w:val="44"/>
          <w:szCs w:val="44"/>
        </w:rPr>
      </w:pPr>
    </w:p>
    <w:p>
      <w:pPr>
        <w:spacing w:line="510" w:lineRule="exact"/>
        <w:ind w:firstLine="1320" w:firstLineChars="300"/>
        <w:jc w:val="center"/>
        <w:rPr>
          <w:rFonts w:ascii="方正小标宋简体" w:hAnsi="方正小标宋简体" w:eastAsia="方正小标宋简体" w:cs="方正小标宋简体"/>
          <w:b/>
          <w:color w:val="auto"/>
          <w:sz w:val="44"/>
          <w:szCs w:val="44"/>
        </w:rPr>
      </w:pPr>
    </w:p>
    <w:p>
      <w:pPr>
        <w:spacing w:line="510" w:lineRule="exact"/>
        <w:ind w:firstLine="1320" w:firstLineChars="300"/>
        <w:jc w:val="center"/>
        <w:rPr>
          <w:rFonts w:ascii="方正小标宋简体" w:hAnsi="方正小标宋简体" w:eastAsia="方正小标宋简体" w:cs="方正小标宋简体"/>
          <w:b/>
          <w:color w:val="auto"/>
          <w:sz w:val="44"/>
          <w:szCs w:val="44"/>
        </w:rPr>
      </w:pPr>
    </w:p>
    <w:p>
      <w:pPr>
        <w:spacing w:line="510" w:lineRule="exact"/>
        <w:ind w:firstLine="2640" w:firstLineChars="600"/>
        <w:rPr>
          <w:rFonts w:ascii="方正小标宋简体" w:hAnsi="方正小标宋简体" w:eastAsia="方正小标宋简体" w:cs="方正小标宋简体"/>
          <w:b/>
          <w:color w:val="auto"/>
          <w:sz w:val="44"/>
          <w:szCs w:val="44"/>
        </w:rPr>
      </w:pPr>
      <w:r>
        <w:rPr>
          <w:rFonts w:ascii="方正小标宋简体" w:hAnsi="方正小标宋简体" w:eastAsia="方正小标宋简体" w:cs="方正小标宋简体"/>
          <w:b/>
          <w:color w:val="auto"/>
          <w:sz w:val="44"/>
          <w:szCs w:val="44"/>
        </w:rPr>
        <w:t>第二部分  投标须知</w:t>
      </w:r>
      <w:bookmarkEnd w:id="5"/>
    </w:p>
    <w:p>
      <w:pPr>
        <w:pStyle w:val="4"/>
        <w:spacing w:before="0" w:after="0" w:line="520" w:lineRule="exact"/>
        <w:ind w:firstLine="640" w:firstLineChars="200"/>
        <w:rPr>
          <w:rFonts w:ascii="宋体"/>
          <w:b w:val="0"/>
          <w:bCs w:val="0"/>
          <w:color w:val="auto"/>
          <w:sz w:val="28"/>
          <w:szCs w:val="28"/>
        </w:rPr>
      </w:pPr>
      <w:bookmarkStart w:id="6" w:name="_Toc48210810"/>
      <w:bookmarkStart w:id="7" w:name="_Toc13897"/>
      <w:r>
        <w:rPr>
          <w:rFonts w:hint="eastAsia" w:ascii="宋体" w:eastAsia="宋体"/>
          <w:color w:val="auto"/>
        </w:rPr>
        <w:t>1.总  则</w:t>
      </w:r>
      <w:bookmarkEnd w:id="6"/>
      <w:bookmarkEnd w:id="7"/>
    </w:p>
    <w:p>
      <w:pPr>
        <w:pStyle w:val="50"/>
        <w:spacing w:line="520" w:lineRule="exact"/>
        <w:ind w:firstLine="560" w:firstLineChars="200"/>
        <w:rPr>
          <w:rFonts w:ascii="宋体"/>
          <w:b/>
          <w:bCs/>
          <w:color w:val="auto"/>
          <w:szCs w:val="28"/>
        </w:rPr>
      </w:pPr>
      <w:r>
        <w:rPr>
          <w:rFonts w:hint="eastAsia" w:ascii="宋体"/>
          <w:b/>
          <w:bCs/>
          <w:color w:val="auto"/>
          <w:szCs w:val="28"/>
        </w:rPr>
        <w:t>1.1定义</w:t>
      </w:r>
    </w:p>
    <w:p>
      <w:pPr>
        <w:pStyle w:val="50"/>
        <w:spacing w:line="520" w:lineRule="exact"/>
        <w:ind w:firstLine="700" w:firstLineChars="250"/>
        <w:rPr>
          <w:rFonts w:ascii="宋体"/>
          <w:color w:val="auto"/>
          <w:szCs w:val="28"/>
        </w:rPr>
      </w:pPr>
      <w:r>
        <w:rPr>
          <w:rFonts w:hint="eastAsia" w:ascii="宋体"/>
          <w:color w:val="auto"/>
          <w:szCs w:val="28"/>
        </w:rPr>
        <w:t>本招标文件使用的词语定义如下：</w:t>
      </w:r>
    </w:p>
    <w:p>
      <w:pPr>
        <w:pStyle w:val="50"/>
        <w:spacing w:line="520" w:lineRule="exact"/>
        <w:ind w:firstLine="560" w:firstLineChars="200"/>
        <w:rPr>
          <w:rFonts w:ascii="宋体"/>
          <w:color w:val="auto"/>
          <w:szCs w:val="28"/>
        </w:rPr>
      </w:pPr>
      <w:r>
        <w:rPr>
          <w:rFonts w:hint="eastAsia" w:ascii="宋体"/>
          <w:color w:val="auto"/>
          <w:szCs w:val="28"/>
        </w:rPr>
        <w:t>1.1.1“招标人”指建设单位、发包人。</w:t>
      </w:r>
    </w:p>
    <w:p>
      <w:pPr>
        <w:pStyle w:val="50"/>
        <w:spacing w:line="520" w:lineRule="exact"/>
        <w:ind w:firstLine="560" w:firstLineChars="200"/>
        <w:rPr>
          <w:rFonts w:ascii="宋体"/>
          <w:color w:val="auto"/>
          <w:szCs w:val="28"/>
        </w:rPr>
      </w:pPr>
      <w:r>
        <w:rPr>
          <w:rFonts w:hint="eastAsia" w:ascii="宋体"/>
          <w:color w:val="auto"/>
          <w:szCs w:val="28"/>
        </w:rPr>
        <w:t>1.1.2“投标人”指参加本招标工程投标并向招标人提交投标文件的当事人。</w:t>
      </w:r>
    </w:p>
    <w:p>
      <w:pPr>
        <w:pStyle w:val="50"/>
        <w:spacing w:line="520" w:lineRule="exact"/>
        <w:ind w:firstLine="560" w:firstLineChars="200"/>
        <w:rPr>
          <w:rFonts w:ascii="宋体"/>
          <w:color w:val="auto"/>
          <w:szCs w:val="28"/>
        </w:rPr>
      </w:pPr>
      <w:r>
        <w:rPr>
          <w:rFonts w:hint="eastAsia" w:ascii="宋体"/>
          <w:color w:val="auto"/>
          <w:szCs w:val="28"/>
        </w:rPr>
        <w:t>1.1.3“中标人／承包人／承包单位”指其投标被招标人接受，并与其签订工程承包合同的当事人。</w:t>
      </w:r>
    </w:p>
    <w:p>
      <w:pPr>
        <w:pStyle w:val="50"/>
        <w:spacing w:line="520" w:lineRule="exact"/>
        <w:ind w:firstLine="560" w:firstLineChars="200"/>
        <w:rPr>
          <w:rFonts w:ascii="宋体"/>
          <w:color w:val="auto"/>
          <w:szCs w:val="28"/>
        </w:rPr>
      </w:pPr>
      <w:r>
        <w:rPr>
          <w:rFonts w:hint="eastAsia" w:ascii="宋体"/>
          <w:color w:val="auto"/>
          <w:szCs w:val="28"/>
        </w:rPr>
        <w:t>1.1.4“监理工程师”指发包人委托的监理单位派出的监理工程师及其授权代表。</w:t>
      </w:r>
    </w:p>
    <w:p>
      <w:pPr>
        <w:pStyle w:val="50"/>
        <w:spacing w:line="520" w:lineRule="exact"/>
        <w:ind w:firstLine="560" w:firstLineChars="200"/>
        <w:rPr>
          <w:rFonts w:ascii="宋体"/>
          <w:color w:val="auto"/>
          <w:szCs w:val="28"/>
        </w:rPr>
      </w:pPr>
      <w:r>
        <w:rPr>
          <w:rFonts w:hint="eastAsia" w:ascii="宋体"/>
          <w:color w:val="auto"/>
          <w:szCs w:val="28"/>
        </w:rPr>
        <w:t>1.1.5“投标文件”指投标人按本招标文件要求向招标人提交的全部文件。</w:t>
      </w:r>
    </w:p>
    <w:p>
      <w:pPr>
        <w:pStyle w:val="50"/>
        <w:spacing w:line="520" w:lineRule="exact"/>
        <w:ind w:firstLine="560" w:firstLineChars="200"/>
        <w:rPr>
          <w:rFonts w:ascii="宋体"/>
          <w:color w:val="auto"/>
          <w:szCs w:val="28"/>
        </w:rPr>
      </w:pPr>
      <w:r>
        <w:rPr>
          <w:rFonts w:hint="eastAsia" w:ascii="宋体"/>
          <w:color w:val="auto"/>
          <w:szCs w:val="28"/>
        </w:rPr>
        <w:t>1.1.6“书面函件”指打字或印刷的函件，包括电传、电报和传真。</w:t>
      </w:r>
    </w:p>
    <w:p>
      <w:pPr>
        <w:pStyle w:val="50"/>
        <w:spacing w:line="520" w:lineRule="exact"/>
        <w:ind w:firstLine="560" w:firstLineChars="200"/>
        <w:rPr>
          <w:rFonts w:ascii="宋体"/>
          <w:color w:val="auto"/>
          <w:szCs w:val="28"/>
        </w:rPr>
      </w:pPr>
      <w:r>
        <w:rPr>
          <w:rFonts w:hint="eastAsia" w:ascii="宋体"/>
          <w:color w:val="auto"/>
          <w:szCs w:val="28"/>
        </w:rPr>
        <w:t>1.1.7招标文件和投标文件所涉及的费用全部以人民币表示。</w:t>
      </w:r>
    </w:p>
    <w:p>
      <w:pPr>
        <w:pStyle w:val="56"/>
        <w:spacing w:line="520" w:lineRule="exact"/>
        <w:ind w:firstLine="560" w:firstLineChars="200"/>
        <w:rPr>
          <w:rFonts w:ascii="宋体"/>
          <w:color w:val="auto"/>
          <w:sz w:val="28"/>
          <w:szCs w:val="28"/>
        </w:rPr>
      </w:pPr>
      <w:r>
        <w:rPr>
          <w:rFonts w:hint="eastAsia" w:ascii="宋体"/>
          <w:color w:val="auto"/>
          <w:sz w:val="28"/>
          <w:szCs w:val="28"/>
        </w:rPr>
        <w:t>1.2招标说明</w:t>
      </w:r>
    </w:p>
    <w:p>
      <w:pPr>
        <w:pStyle w:val="50"/>
        <w:spacing w:line="520" w:lineRule="exact"/>
        <w:ind w:firstLine="560" w:firstLineChars="200"/>
        <w:rPr>
          <w:rFonts w:ascii="宋体"/>
          <w:color w:val="auto"/>
          <w:szCs w:val="28"/>
        </w:rPr>
      </w:pPr>
      <w:r>
        <w:rPr>
          <w:rFonts w:hint="eastAsia" w:ascii="宋体"/>
          <w:color w:val="auto"/>
          <w:szCs w:val="28"/>
        </w:rPr>
        <w:t>1.2.1本招标</w:t>
      </w:r>
      <w:r>
        <w:rPr>
          <w:rFonts w:hint="eastAsia" w:ascii="宋体"/>
          <w:bCs/>
          <w:color w:val="auto"/>
          <w:szCs w:val="28"/>
        </w:rPr>
        <w:t>工程</w:t>
      </w:r>
      <w:r>
        <w:rPr>
          <w:rFonts w:hint="eastAsia" w:ascii="宋体"/>
          <w:color w:val="auto"/>
          <w:szCs w:val="28"/>
        </w:rPr>
        <w:t>建设引入竞争机制，采用的方式：公开招标，通过“公平、公正、公开、诚实信用、择优”的竞争原则，选择有经验、有实力、社会信誉好的企业承担本项目的建设任务。</w:t>
      </w:r>
    </w:p>
    <w:p>
      <w:pPr>
        <w:pStyle w:val="50"/>
        <w:spacing w:line="520" w:lineRule="exact"/>
        <w:ind w:firstLine="567"/>
        <w:rPr>
          <w:rFonts w:ascii="宋体"/>
          <w:color w:val="auto"/>
          <w:szCs w:val="28"/>
        </w:rPr>
      </w:pPr>
      <w:r>
        <w:rPr>
          <w:rFonts w:hint="eastAsia" w:ascii="宋体"/>
          <w:color w:val="auto"/>
          <w:szCs w:val="28"/>
        </w:rPr>
        <w:t>1.2.2本招标项目属于</w:t>
      </w:r>
      <w:r>
        <w:rPr>
          <w:rFonts w:hint="eastAsia" w:ascii="华文行楷" w:hAnsi="华文行楷" w:eastAsia="华文行楷" w:cs="华文行楷"/>
          <w:color w:val="auto"/>
          <w:szCs w:val="28"/>
          <w:u w:val="single"/>
        </w:rPr>
        <w:t>地方政府专项债券资金</w:t>
      </w:r>
      <w:r>
        <w:rPr>
          <w:rFonts w:hint="eastAsia" w:ascii="宋体"/>
          <w:color w:val="auto"/>
          <w:szCs w:val="28"/>
        </w:rPr>
        <w:t>投资性质，建设资金已经落实，其中</w:t>
      </w:r>
      <w:r>
        <w:rPr>
          <w:rFonts w:hint="eastAsia"/>
          <w:color w:val="auto"/>
        </w:rPr>
        <w:t>部分</w:t>
      </w:r>
      <w:r>
        <w:rPr>
          <w:rFonts w:hint="eastAsia" w:ascii="宋体"/>
          <w:color w:val="auto"/>
          <w:szCs w:val="28"/>
        </w:rPr>
        <w:t>资金用于本工程项目施工合同项下的合格支付。</w:t>
      </w:r>
    </w:p>
    <w:p>
      <w:pPr>
        <w:pStyle w:val="50"/>
        <w:spacing w:line="520" w:lineRule="exact"/>
        <w:ind w:firstLine="567"/>
        <w:rPr>
          <w:rFonts w:ascii="宋体"/>
          <w:color w:val="auto"/>
          <w:szCs w:val="28"/>
        </w:rPr>
      </w:pPr>
      <w:r>
        <w:rPr>
          <w:rFonts w:hint="eastAsia" w:ascii="宋体"/>
          <w:color w:val="auto"/>
          <w:szCs w:val="28"/>
        </w:rPr>
        <w:t>1.2.3本招标工程由</w:t>
      </w:r>
      <w:r>
        <w:rPr>
          <w:rFonts w:hint="eastAsia" w:ascii="华文行楷" w:hAnsi="华文行楷" w:eastAsia="华文行楷" w:cs="华文行楷"/>
          <w:color w:val="auto"/>
          <w:szCs w:val="28"/>
          <w:u w:val="single"/>
          <w:lang w:val="en-US" w:eastAsia="zh-CN"/>
        </w:rPr>
        <w:t>中祥设计有限责任公司</w:t>
      </w:r>
      <w:r>
        <w:rPr>
          <w:rFonts w:hint="eastAsia" w:ascii="宋体"/>
          <w:color w:val="auto"/>
          <w:szCs w:val="28"/>
        </w:rPr>
        <w:t>负责设计。</w:t>
      </w:r>
    </w:p>
    <w:p>
      <w:pPr>
        <w:pStyle w:val="50"/>
        <w:spacing w:line="520" w:lineRule="exact"/>
        <w:ind w:firstLine="567"/>
        <w:rPr>
          <w:rFonts w:ascii="宋体"/>
          <w:color w:val="auto"/>
          <w:szCs w:val="28"/>
        </w:rPr>
      </w:pPr>
      <w:r>
        <w:rPr>
          <w:rFonts w:hint="eastAsia" w:ascii="宋体"/>
          <w:color w:val="auto"/>
          <w:szCs w:val="28"/>
        </w:rPr>
        <w:t>1.2.4本招标工程实行监理制。</w:t>
      </w:r>
    </w:p>
    <w:p>
      <w:pPr>
        <w:pStyle w:val="50"/>
        <w:spacing w:line="520" w:lineRule="exact"/>
        <w:ind w:firstLine="560" w:firstLineChars="200"/>
        <w:rPr>
          <w:rFonts w:ascii="宋体"/>
          <w:color w:val="auto"/>
          <w:szCs w:val="28"/>
          <w:u w:val="single"/>
        </w:rPr>
      </w:pPr>
      <w:r>
        <w:rPr>
          <w:rFonts w:hint="eastAsia" w:ascii="宋体"/>
          <w:color w:val="auto"/>
          <w:szCs w:val="28"/>
        </w:rPr>
        <w:t>1.2.5投标人应承担其参加本招投标活动自身所发生的费用。</w:t>
      </w:r>
    </w:p>
    <w:p>
      <w:pPr>
        <w:pStyle w:val="56"/>
        <w:spacing w:line="520" w:lineRule="exact"/>
        <w:ind w:firstLine="560" w:firstLineChars="200"/>
        <w:rPr>
          <w:rFonts w:ascii="宋体"/>
          <w:color w:val="auto"/>
          <w:sz w:val="28"/>
          <w:szCs w:val="28"/>
        </w:rPr>
      </w:pPr>
      <w:r>
        <w:rPr>
          <w:rFonts w:hint="eastAsia" w:ascii="宋体"/>
          <w:color w:val="auto"/>
          <w:sz w:val="28"/>
          <w:szCs w:val="28"/>
        </w:rPr>
        <w:t>1.3投标单位的确定</w:t>
      </w:r>
    </w:p>
    <w:p>
      <w:pPr>
        <w:pStyle w:val="50"/>
        <w:spacing w:line="520" w:lineRule="exact"/>
        <w:ind w:firstLine="567"/>
        <w:rPr>
          <w:rFonts w:ascii="宋体"/>
          <w:color w:val="auto"/>
          <w:szCs w:val="28"/>
        </w:rPr>
      </w:pPr>
      <w:r>
        <w:rPr>
          <w:rFonts w:hint="eastAsia" w:ascii="宋体"/>
          <w:color w:val="auto"/>
          <w:szCs w:val="28"/>
        </w:rPr>
        <w:t>本项目采用资格后审，参加投标的单位不得少于3家，当投标单位不足3家，或开标后送达评标委员会评审的投标人不足3家，或经评标委员会评审后有效投标人不足3家，则按照有关法律法规重新组织招标。（注：采用资格预审公开招标的，通过资格审查的投标人不能少于5家）</w:t>
      </w:r>
    </w:p>
    <w:p>
      <w:pPr>
        <w:pStyle w:val="4"/>
        <w:spacing w:before="0" w:after="0" w:line="520" w:lineRule="exact"/>
        <w:ind w:firstLine="640" w:firstLineChars="200"/>
        <w:rPr>
          <w:rFonts w:ascii="宋体" w:eastAsia="宋体"/>
          <w:color w:val="auto"/>
        </w:rPr>
      </w:pPr>
      <w:bookmarkStart w:id="8" w:name="_Toc48210811"/>
      <w:bookmarkStart w:id="9" w:name="_Toc21918"/>
      <w:r>
        <w:rPr>
          <w:rFonts w:hint="eastAsia" w:ascii="宋体" w:eastAsia="宋体"/>
          <w:color w:val="auto"/>
        </w:rPr>
        <w:t>2.招标工程综合说明</w:t>
      </w:r>
      <w:bookmarkEnd w:id="8"/>
      <w:bookmarkEnd w:id="9"/>
    </w:p>
    <w:p>
      <w:pPr>
        <w:pStyle w:val="56"/>
        <w:spacing w:line="520" w:lineRule="exact"/>
        <w:ind w:firstLine="560" w:firstLineChars="200"/>
        <w:rPr>
          <w:rFonts w:ascii="宋体"/>
          <w:color w:val="auto"/>
          <w:sz w:val="28"/>
          <w:szCs w:val="28"/>
        </w:rPr>
      </w:pPr>
      <w:r>
        <w:rPr>
          <w:rFonts w:hint="eastAsia" w:ascii="宋体"/>
          <w:color w:val="auto"/>
          <w:sz w:val="28"/>
          <w:szCs w:val="28"/>
        </w:rPr>
        <w:t>2.1工程概况</w:t>
      </w:r>
    </w:p>
    <w:p>
      <w:pPr>
        <w:spacing w:line="520" w:lineRule="exact"/>
        <w:ind w:firstLine="560" w:firstLineChars="200"/>
        <w:rPr>
          <w:rFonts w:ascii="宋体" w:eastAsia="华文行楷"/>
          <w:color w:val="auto"/>
          <w:sz w:val="28"/>
          <w:szCs w:val="28"/>
          <w:u w:val="single"/>
        </w:rPr>
      </w:pPr>
      <w:r>
        <w:rPr>
          <w:rFonts w:hint="eastAsia" w:ascii="宋体"/>
          <w:color w:val="auto"/>
          <w:sz w:val="28"/>
          <w:szCs w:val="28"/>
        </w:rPr>
        <w:t>2.1.1工程名称：</w:t>
      </w:r>
      <w:r>
        <w:rPr>
          <w:rFonts w:hint="eastAsia" w:ascii="华文行楷" w:hAnsi="华文行楷" w:eastAsia="华文行楷" w:cs="华文行楷"/>
          <w:color w:val="auto"/>
          <w:sz w:val="28"/>
          <w:szCs w:val="28"/>
          <w:u w:val="single"/>
          <w:lang w:eastAsia="zh-CN"/>
        </w:rPr>
        <w:t>遂溪县洋青镇城乡融合综合改造项目（</w:t>
      </w:r>
      <w:r>
        <w:rPr>
          <w:rFonts w:hint="eastAsia" w:ascii="华文行楷" w:hAnsi="华文行楷" w:eastAsia="华文行楷" w:cs="华文行楷"/>
          <w:color w:val="auto"/>
          <w:sz w:val="28"/>
          <w:szCs w:val="28"/>
          <w:u w:val="single"/>
          <w:lang w:val="en-US" w:eastAsia="zh-CN"/>
        </w:rPr>
        <w:t>一期</w:t>
      </w:r>
      <w:r>
        <w:rPr>
          <w:rFonts w:hint="eastAsia" w:ascii="华文行楷" w:hAnsi="华文行楷" w:eastAsia="华文行楷" w:cs="华文行楷"/>
          <w:color w:val="auto"/>
          <w:sz w:val="28"/>
          <w:szCs w:val="28"/>
          <w:u w:val="single"/>
          <w:lang w:eastAsia="zh-CN"/>
        </w:rPr>
        <w:t>）</w:t>
      </w:r>
      <w:r>
        <w:rPr>
          <w:rFonts w:hint="eastAsia" w:ascii="宋体"/>
          <w:color w:val="auto"/>
          <w:szCs w:val="28"/>
        </w:rPr>
        <w:t>。</w:t>
      </w:r>
    </w:p>
    <w:p>
      <w:pPr>
        <w:spacing w:line="520" w:lineRule="exact"/>
        <w:ind w:firstLine="560" w:firstLineChars="200"/>
        <w:rPr>
          <w:rFonts w:ascii="华文行楷" w:eastAsia="华文行楷"/>
          <w:color w:val="auto"/>
          <w:u w:val="single"/>
        </w:rPr>
      </w:pPr>
      <w:r>
        <w:rPr>
          <w:rFonts w:hint="eastAsia" w:ascii="宋体"/>
          <w:color w:val="auto"/>
          <w:sz w:val="28"/>
          <w:szCs w:val="28"/>
        </w:rPr>
        <w:t>2.1.2建设地址：</w:t>
      </w:r>
      <w:r>
        <w:rPr>
          <w:rFonts w:hint="eastAsia" w:ascii="华文行楷" w:hAnsi="华文行楷" w:eastAsia="华文行楷" w:cs="华文行楷"/>
          <w:color w:val="auto"/>
          <w:sz w:val="28"/>
          <w:szCs w:val="28"/>
          <w:u w:val="single"/>
          <w:lang w:eastAsia="zh-CN"/>
        </w:rPr>
        <w:t>遂溪县洋青镇</w:t>
      </w:r>
      <w:r>
        <w:rPr>
          <w:rFonts w:hint="eastAsia" w:ascii="宋体"/>
          <w:color w:val="auto"/>
          <w:szCs w:val="28"/>
        </w:rPr>
        <w:t>。</w:t>
      </w:r>
    </w:p>
    <w:p>
      <w:pPr>
        <w:spacing w:line="520" w:lineRule="exact"/>
        <w:ind w:firstLine="560" w:firstLineChars="200"/>
        <w:rPr>
          <w:rFonts w:ascii="宋体" w:eastAsia="华文行楷"/>
          <w:color w:val="auto"/>
          <w:sz w:val="28"/>
          <w:szCs w:val="28"/>
          <w:u w:val="single"/>
        </w:rPr>
      </w:pPr>
      <w:r>
        <w:rPr>
          <w:rFonts w:hint="eastAsia" w:ascii="宋体"/>
          <w:color w:val="auto"/>
          <w:sz w:val="28"/>
          <w:szCs w:val="28"/>
        </w:rPr>
        <w:t>2.1.3工程立项批文：</w:t>
      </w:r>
      <w:r>
        <w:rPr>
          <w:rFonts w:hint="eastAsia" w:ascii="华文行楷" w:hAnsi="华文行楷" w:eastAsia="华文行楷" w:cs="华文行楷"/>
          <w:color w:val="auto"/>
          <w:sz w:val="28"/>
          <w:szCs w:val="28"/>
          <w:u w:val="single"/>
          <w:lang w:eastAsia="zh-CN"/>
        </w:rPr>
        <w:t>遂发改【2022】43 号</w:t>
      </w:r>
      <w:r>
        <w:rPr>
          <w:rFonts w:hint="eastAsia" w:ascii="宋体"/>
          <w:color w:val="auto"/>
          <w:szCs w:val="28"/>
        </w:rPr>
        <w:t>。</w:t>
      </w:r>
    </w:p>
    <w:p>
      <w:pPr>
        <w:spacing w:line="520" w:lineRule="exact"/>
        <w:ind w:firstLine="560" w:firstLineChars="200"/>
        <w:rPr>
          <w:rFonts w:hint="default" w:ascii="宋体" w:hAnsi="宋体"/>
          <w:color w:val="auto"/>
          <w:sz w:val="24"/>
          <w:lang w:val="en-US"/>
        </w:rPr>
      </w:pPr>
      <w:r>
        <w:rPr>
          <w:rFonts w:hint="eastAsia" w:ascii="宋体"/>
          <w:color w:val="auto"/>
          <w:sz w:val="28"/>
          <w:szCs w:val="28"/>
        </w:rPr>
        <w:t>2.1.4土地使用批文：</w:t>
      </w:r>
      <w:r>
        <w:rPr>
          <w:rFonts w:hint="eastAsia" w:ascii="华文行楷" w:hAnsi="华文行楷" w:eastAsia="华文行楷" w:cs="华文行楷"/>
          <w:color w:val="auto"/>
          <w:sz w:val="28"/>
          <w:szCs w:val="28"/>
          <w:u w:val="single"/>
          <w:lang w:val="en-US" w:eastAsia="zh-CN"/>
        </w:rPr>
        <w:t xml:space="preserve">          /               </w:t>
      </w:r>
    </w:p>
    <w:p>
      <w:pPr>
        <w:spacing w:line="520" w:lineRule="exact"/>
        <w:ind w:left="955" w:leftChars="266" w:hanging="397" w:hangingChars="142"/>
        <w:rPr>
          <w:rFonts w:hint="default" w:ascii="华文行楷" w:eastAsia="华文行楷"/>
          <w:color w:val="auto"/>
          <w:szCs w:val="28"/>
          <w:u w:val="single"/>
          <w:lang w:val="en-US"/>
        </w:rPr>
      </w:pPr>
      <w:r>
        <w:rPr>
          <w:rFonts w:hint="eastAsia" w:ascii="宋体"/>
          <w:color w:val="auto"/>
          <w:sz w:val="28"/>
          <w:szCs w:val="28"/>
        </w:rPr>
        <w:t>2.1.5工程规划批文：</w:t>
      </w:r>
      <w:r>
        <w:rPr>
          <w:rFonts w:hint="eastAsia" w:ascii="华文行楷" w:hAnsi="华文行楷" w:eastAsia="华文行楷" w:cs="华文行楷"/>
          <w:color w:val="auto"/>
          <w:sz w:val="28"/>
          <w:szCs w:val="28"/>
          <w:u w:val="single"/>
          <w:lang w:val="en-US" w:eastAsia="zh-CN"/>
        </w:rPr>
        <w:t xml:space="preserve">         /                 </w:t>
      </w:r>
    </w:p>
    <w:p>
      <w:pPr>
        <w:spacing w:line="560" w:lineRule="exact"/>
        <w:ind w:firstLine="420" w:firstLineChars="200"/>
        <w:jc w:val="left"/>
        <w:rPr>
          <w:rFonts w:hint="eastAsia" w:ascii="华文行楷" w:hAnsi="华文行楷" w:eastAsia="华文行楷" w:cs="华文行楷"/>
          <w:color w:val="auto"/>
          <w:sz w:val="28"/>
          <w:szCs w:val="28"/>
          <w:u w:val="single"/>
        </w:rPr>
      </w:pPr>
      <w:r>
        <w:rPr>
          <w:rFonts w:hint="eastAsia" w:ascii="宋体"/>
          <w:color w:val="auto"/>
          <w:szCs w:val="28"/>
        </w:rPr>
        <w:t>2.1.6工程概况：</w:t>
      </w:r>
      <w:r>
        <w:rPr>
          <w:rFonts w:hint="eastAsia" w:ascii="华文行楷" w:hAnsi="华文行楷" w:eastAsia="华文行楷" w:cs="华文行楷"/>
          <w:color w:val="auto"/>
          <w:sz w:val="28"/>
          <w:szCs w:val="28"/>
          <w:u w:val="single"/>
        </w:rPr>
        <w:t>包括</w:t>
      </w:r>
      <w:r>
        <w:rPr>
          <w:rFonts w:hint="eastAsia" w:ascii="华文行楷" w:hAnsi="华文行楷" w:eastAsia="华文行楷" w:cs="华文行楷"/>
          <w:color w:val="auto"/>
          <w:sz w:val="28"/>
          <w:szCs w:val="28"/>
          <w:u w:val="single"/>
          <w:lang w:val="en-US" w:eastAsia="zh-CN"/>
        </w:rPr>
        <w:t>交通设施建设、雨污排水管网建设、供水设施及管网建设、马群藻渠改造工程和雷州青年运河边坡整治工程</w:t>
      </w:r>
      <w:r>
        <w:rPr>
          <w:rFonts w:hint="eastAsia" w:ascii="华文行楷" w:hAnsi="华文行楷" w:eastAsia="华文行楷" w:cs="华文行楷"/>
          <w:color w:val="auto"/>
          <w:sz w:val="28"/>
          <w:szCs w:val="28"/>
          <w:u w:val="single"/>
        </w:rPr>
        <w:t>等内容。</w:t>
      </w:r>
    </w:p>
    <w:p>
      <w:pPr>
        <w:pStyle w:val="50"/>
        <w:spacing w:line="520" w:lineRule="exact"/>
        <w:ind w:firstLine="560" w:firstLineChars="200"/>
        <w:rPr>
          <w:rFonts w:ascii="宋体"/>
          <w:color w:val="auto"/>
          <w:szCs w:val="28"/>
        </w:rPr>
      </w:pPr>
      <w:r>
        <w:rPr>
          <w:rFonts w:hint="eastAsia" w:ascii="宋体"/>
          <w:color w:val="auto"/>
          <w:szCs w:val="28"/>
        </w:rPr>
        <w:t>2.1.7工程预算总造价：</w:t>
      </w:r>
      <w:r>
        <w:rPr>
          <w:rFonts w:hint="eastAsia" w:ascii="华文行楷" w:hAnsi="华文行楷" w:eastAsia="华文行楷" w:cs="华文行楷"/>
          <w:color w:val="auto"/>
          <w:sz w:val="28"/>
          <w:szCs w:val="28"/>
          <w:u w:val="single"/>
          <w:lang w:val="en-US" w:eastAsia="zh-CN"/>
        </w:rPr>
        <w:t>21702531.24</w:t>
      </w:r>
      <w:r>
        <w:rPr>
          <w:rFonts w:hint="eastAsia" w:ascii="宋体"/>
          <w:color w:val="auto"/>
          <w:szCs w:val="28"/>
        </w:rPr>
        <w:t>元。</w:t>
      </w:r>
    </w:p>
    <w:p>
      <w:pPr>
        <w:pStyle w:val="50"/>
        <w:spacing w:line="520" w:lineRule="exact"/>
        <w:ind w:firstLine="560" w:firstLineChars="200"/>
        <w:rPr>
          <w:rFonts w:ascii="宋体"/>
          <w:color w:val="auto"/>
          <w:szCs w:val="28"/>
        </w:rPr>
      </w:pPr>
      <w:r>
        <w:rPr>
          <w:rFonts w:hint="eastAsia" w:ascii="宋体"/>
          <w:color w:val="auto"/>
          <w:szCs w:val="28"/>
        </w:rPr>
        <w:t>2.1.8施工工期：</w:t>
      </w:r>
      <w:r>
        <w:rPr>
          <w:rFonts w:hint="eastAsia" w:ascii="宋体"/>
          <w:color w:val="auto"/>
          <w:szCs w:val="28"/>
          <w:u w:val="single"/>
        </w:rPr>
        <w:t xml:space="preserve">  </w:t>
      </w:r>
      <w:r>
        <w:rPr>
          <w:rFonts w:hint="eastAsia" w:ascii="宋体"/>
          <w:color w:val="auto"/>
          <w:szCs w:val="28"/>
          <w:u w:val="single"/>
          <w:lang w:val="en-US" w:eastAsia="zh-CN"/>
        </w:rPr>
        <w:t>150</w:t>
      </w:r>
      <w:r>
        <w:rPr>
          <w:rFonts w:hint="eastAsia" w:ascii="宋体"/>
          <w:color w:val="auto"/>
          <w:szCs w:val="28"/>
          <w:u w:val="single"/>
        </w:rPr>
        <w:t xml:space="preserve"> </w:t>
      </w:r>
      <w:r>
        <w:rPr>
          <w:rFonts w:hint="eastAsia" w:ascii="宋体"/>
          <w:color w:val="auto"/>
          <w:szCs w:val="28"/>
        </w:rPr>
        <w:t>个日历天。</w:t>
      </w:r>
    </w:p>
    <w:p>
      <w:pPr>
        <w:tabs>
          <w:tab w:val="left" w:pos="188"/>
          <w:tab w:val="left" w:pos="564"/>
        </w:tabs>
        <w:spacing w:line="520" w:lineRule="exact"/>
        <w:ind w:firstLine="560" w:firstLineChars="200"/>
        <w:jc w:val="left"/>
        <w:rPr>
          <w:rFonts w:ascii="宋体"/>
          <w:color w:val="auto"/>
          <w:sz w:val="28"/>
          <w:szCs w:val="28"/>
        </w:rPr>
      </w:pPr>
      <w:r>
        <w:rPr>
          <w:rFonts w:hint="eastAsia" w:ascii="宋体"/>
          <w:color w:val="auto"/>
          <w:sz w:val="28"/>
          <w:szCs w:val="28"/>
        </w:rPr>
        <w:t>2.1.9资金来源：</w:t>
      </w:r>
      <w:r>
        <w:rPr>
          <w:rFonts w:hint="eastAsia" w:ascii="华文行楷" w:hAnsi="华文行楷" w:eastAsia="华文行楷" w:cs="华文行楷"/>
          <w:color w:val="auto"/>
          <w:sz w:val="28"/>
          <w:szCs w:val="28"/>
          <w:u w:val="single"/>
        </w:rPr>
        <w:t>地方政府专项债券资金</w:t>
      </w:r>
      <w:r>
        <w:rPr>
          <w:rFonts w:hint="eastAsia" w:ascii="宋体"/>
          <w:color w:val="auto"/>
          <w:sz w:val="28"/>
          <w:szCs w:val="28"/>
        </w:rPr>
        <w:t>，建设资金已经落实。</w:t>
      </w:r>
    </w:p>
    <w:p>
      <w:pPr>
        <w:pStyle w:val="50"/>
        <w:spacing w:line="520" w:lineRule="exact"/>
        <w:ind w:firstLine="560" w:firstLineChars="200"/>
        <w:rPr>
          <w:rFonts w:ascii="宋体" w:eastAsia="华文行楷"/>
          <w:color w:val="auto"/>
          <w:szCs w:val="28"/>
          <w:u w:val="single"/>
        </w:rPr>
      </w:pPr>
      <w:r>
        <w:rPr>
          <w:rFonts w:hint="eastAsia" w:ascii="宋体"/>
          <w:color w:val="auto"/>
          <w:szCs w:val="28"/>
        </w:rPr>
        <w:t>2.1.10工程地质和水文地质情况：</w:t>
      </w:r>
      <w:r>
        <w:rPr>
          <w:rFonts w:hint="eastAsia" w:ascii="华文行楷" w:hAnsi="华文行楷" w:eastAsia="华文行楷" w:cs="华文行楷"/>
          <w:color w:val="auto"/>
          <w:szCs w:val="28"/>
          <w:u w:val="single"/>
        </w:rPr>
        <w:t>详见施工图纸和有关文件、</w:t>
      </w:r>
    </w:p>
    <w:p>
      <w:pPr>
        <w:pStyle w:val="50"/>
        <w:spacing w:line="520" w:lineRule="exact"/>
        <w:ind w:firstLine="560" w:firstLineChars="200"/>
        <w:rPr>
          <w:rFonts w:ascii="宋体"/>
          <w:color w:val="auto"/>
          <w:szCs w:val="28"/>
          <w:u w:val="single"/>
        </w:rPr>
      </w:pPr>
      <w:r>
        <w:rPr>
          <w:rFonts w:hint="eastAsia" w:ascii="宋体"/>
          <w:color w:val="auto"/>
          <w:szCs w:val="28"/>
        </w:rPr>
        <w:t>2.1.11工程质量要求：</w:t>
      </w:r>
      <w:r>
        <w:rPr>
          <w:rFonts w:hint="eastAsia" w:ascii="华文行楷" w:hAnsi="华文行楷" w:eastAsia="华文行楷" w:cs="华文行楷"/>
          <w:color w:val="auto"/>
          <w:szCs w:val="28"/>
          <w:u w:val="single"/>
        </w:rPr>
        <w:t>合格</w:t>
      </w:r>
      <w:r>
        <w:rPr>
          <w:rFonts w:hint="eastAsia" w:ascii="宋体"/>
          <w:color w:val="auto"/>
          <w:szCs w:val="28"/>
        </w:rPr>
        <w:t>。</w:t>
      </w:r>
    </w:p>
    <w:p>
      <w:pPr>
        <w:pStyle w:val="50"/>
        <w:spacing w:line="520" w:lineRule="exact"/>
        <w:ind w:firstLine="560" w:firstLineChars="200"/>
        <w:rPr>
          <w:rFonts w:ascii="宋体"/>
          <w:color w:val="auto"/>
          <w:szCs w:val="28"/>
        </w:rPr>
      </w:pPr>
      <w:r>
        <w:rPr>
          <w:rFonts w:hint="eastAsia" w:ascii="宋体"/>
          <w:color w:val="auto"/>
          <w:szCs w:val="28"/>
        </w:rPr>
        <w:t>2.2现场条件</w:t>
      </w:r>
    </w:p>
    <w:p>
      <w:pPr>
        <w:pStyle w:val="50"/>
        <w:spacing w:line="520" w:lineRule="exact"/>
        <w:ind w:firstLine="560" w:firstLineChars="200"/>
        <w:rPr>
          <w:rFonts w:ascii="宋体"/>
          <w:color w:val="auto"/>
          <w:szCs w:val="28"/>
        </w:rPr>
      </w:pPr>
      <w:r>
        <w:rPr>
          <w:rFonts w:hint="eastAsia" w:ascii="宋体"/>
          <w:color w:val="auto"/>
          <w:szCs w:val="28"/>
        </w:rPr>
        <w:t>2.2.1施工场地：</w:t>
      </w:r>
      <w:r>
        <w:rPr>
          <w:rFonts w:hint="eastAsia" w:ascii="宋体"/>
          <w:color w:val="auto"/>
          <w:szCs w:val="28"/>
          <w:u w:val="single"/>
        </w:rPr>
        <w:t xml:space="preserve"> （已具备开工条件）</w:t>
      </w:r>
      <w:r>
        <w:rPr>
          <w:rFonts w:hint="eastAsia" w:ascii="宋体"/>
          <w:color w:val="auto"/>
          <w:szCs w:val="28"/>
        </w:rPr>
        <w:t>。</w:t>
      </w:r>
    </w:p>
    <w:p>
      <w:pPr>
        <w:pStyle w:val="50"/>
        <w:spacing w:line="520" w:lineRule="exact"/>
        <w:ind w:firstLine="560" w:firstLineChars="200"/>
        <w:rPr>
          <w:rFonts w:ascii="宋体"/>
          <w:color w:val="auto"/>
          <w:szCs w:val="28"/>
        </w:rPr>
      </w:pPr>
      <w:r>
        <w:rPr>
          <w:rFonts w:hint="eastAsia" w:ascii="宋体"/>
          <w:color w:val="auto"/>
          <w:szCs w:val="28"/>
        </w:rPr>
        <w:t>2.2.2施工用水：</w:t>
      </w:r>
      <w:r>
        <w:rPr>
          <w:rFonts w:hint="eastAsia" w:ascii="宋体"/>
          <w:color w:val="auto"/>
          <w:szCs w:val="28"/>
          <w:u w:val="single"/>
        </w:rPr>
        <w:t xml:space="preserve"> （已具备开工条件）</w:t>
      </w:r>
      <w:r>
        <w:rPr>
          <w:rFonts w:hint="eastAsia" w:ascii="宋体"/>
          <w:color w:val="auto"/>
          <w:szCs w:val="28"/>
        </w:rPr>
        <w:t>。</w:t>
      </w:r>
    </w:p>
    <w:p>
      <w:pPr>
        <w:pStyle w:val="50"/>
        <w:spacing w:line="520" w:lineRule="exact"/>
        <w:ind w:firstLine="560" w:firstLineChars="200"/>
        <w:rPr>
          <w:rFonts w:ascii="宋体"/>
          <w:color w:val="auto"/>
          <w:szCs w:val="28"/>
        </w:rPr>
      </w:pPr>
      <w:r>
        <w:rPr>
          <w:rFonts w:hint="eastAsia" w:ascii="宋体"/>
          <w:color w:val="auto"/>
          <w:szCs w:val="28"/>
        </w:rPr>
        <w:t>2.2.3施工用电：</w:t>
      </w:r>
      <w:r>
        <w:rPr>
          <w:rFonts w:hint="eastAsia" w:ascii="宋体"/>
          <w:color w:val="auto"/>
          <w:szCs w:val="28"/>
          <w:u w:val="single"/>
        </w:rPr>
        <w:t xml:space="preserve"> （已具备开工条件）</w:t>
      </w:r>
      <w:r>
        <w:rPr>
          <w:rFonts w:hint="eastAsia" w:ascii="宋体"/>
          <w:color w:val="auto"/>
          <w:szCs w:val="28"/>
        </w:rPr>
        <w:t>。</w:t>
      </w:r>
    </w:p>
    <w:p>
      <w:pPr>
        <w:pStyle w:val="50"/>
        <w:spacing w:line="520" w:lineRule="exact"/>
        <w:ind w:firstLine="560" w:firstLineChars="200"/>
        <w:rPr>
          <w:rFonts w:ascii="宋体"/>
          <w:color w:val="auto"/>
          <w:szCs w:val="28"/>
        </w:rPr>
      </w:pPr>
      <w:r>
        <w:rPr>
          <w:rFonts w:hint="eastAsia" w:ascii="宋体"/>
          <w:color w:val="auto"/>
          <w:szCs w:val="28"/>
        </w:rPr>
        <w:t>2.2.4临时设施：</w:t>
      </w:r>
      <w:r>
        <w:rPr>
          <w:rFonts w:hint="eastAsia" w:ascii="宋体"/>
          <w:color w:val="auto"/>
          <w:szCs w:val="28"/>
          <w:u w:val="single"/>
        </w:rPr>
        <w:t xml:space="preserve"> （由施工单位自行搭设）</w:t>
      </w:r>
      <w:r>
        <w:rPr>
          <w:rFonts w:hint="eastAsia" w:ascii="宋体"/>
          <w:color w:val="auto"/>
          <w:szCs w:val="28"/>
        </w:rPr>
        <w:t>。</w:t>
      </w:r>
    </w:p>
    <w:p>
      <w:pPr>
        <w:pStyle w:val="50"/>
        <w:spacing w:line="520" w:lineRule="exact"/>
        <w:ind w:firstLine="560" w:firstLineChars="200"/>
        <w:rPr>
          <w:rFonts w:ascii="宋体"/>
          <w:color w:val="auto"/>
          <w:szCs w:val="28"/>
        </w:rPr>
      </w:pPr>
      <w:r>
        <w:rPr>
          <w:rFonts w:hint="eastAsia" w:ascii="宋体"/>
          <w:color w:val="auto"/>
          <w:szCs w:val="28"/>
        </w:rPr>
        <w:t>2.2.5施工用水用电及生活用水用电：</w:t>
      </w:r>
      <w:r>
        <w:rPr>
          <w:rFonts w:hint="eastAsia" w:ascii="华文行楷" w:hAnsi="宋体" w:eastAsia="华文行楷" w:cs="宋体"/>
          <w:color w:val="auto"/>
          <w:kern w:val="0"/>
          <w:szCs w:val="28"/>
          <w:u w:val="single"/>
        </w:rPr>
        <w:t xml:space="preserve">由建设单位接驳到施工地点，交付施工方使用 </w:t>
      </w:r>
      <w:r>
        <w:rPr>
          <w:rFonts w:hint="eastAsia" w:ascii="宋体"/>
          <w:color w:val="auto"/>
          <w:szCs w:val="28"/>
        </w:rPr>
        <w:t>。</w:t>
      </w:r>
    </w:p>
    <w:p>
      <w:pPr>
        <w:pStyle w:val="56"/>
        <w:spacing w:line="520" w:lineRule="exact"/>
        <w:ind w:firstLine="560" w:firstLineChars="200"/>
        <w:rPr>
          <w:rFonts w:ascii="宋体"/>
          <w:color w:val="auto"/>
          <w:sz w:val="28"/>
          <w:szCs w:val="28"/>
        </w:rPr>
      </w:pPr>
      <w:r>
        <w:rPr>
          <w:rFonts w:hint="eastAsia" w:ascii="宋体"/>
          <w:color w:val="auto"/>
          <w:sz w:val="28"/>
          <w:szCs w:val="28"/>
        </w:rPr>
        <w:t>2.3工程招标范围及内容</w:t>
      </w:r>
    </w:p>
    <w:p>
      <w:pPr>
        <w:pStyle w:val="50"/>
        <w:spacing w:line="520" w:lineRule="exact"/>
        <w:ind w:firstLine="560" w:firstLineChars="200"/>
        <w:rPr>
          <w:rFonts w:ascii="宋体"/>
          <w:color w:val="auto"/>
          <w:szCs w:val="28"/>
          <w:u w:val="single"/>
        </w:rPr>
      </w:pPr>
      <w:r>
        <w:rPr>
          <w:rFonts w:hint="eastAsia" w:ascii="宋体"/>
          <w:color w:val="auto"/>
          <w:szCs w:val="28"/>
        </w:rPr>
        <w:t>工程招标范围按招标文件提供的施工图、工程量清单、有关资料、说明标准、规范所涉及的内容，</w:t>
      </w:r>
      <w:r>
        <w:rPr>
          <w:rFonts w:hint="eastAsia" w:ascii="宋体" w:hAnsi="宋体" w:cs="华文行楷"/>
          <w:color w:val="auto"/>
          <w:szCs w:val="28"/>
          <w:lang w:val="zh-CN"/>
        </w:rPr>
        <w:t>其他：</w:t>
      </w:r>
      <w:r>
        <w:rPr>
          <w:rFonts w:hint="eastAsia" w:ascii="华文行楷" w:hAnsi="华文行楷" w:eastAsia="华文行楷" w:cs="华文行楷"/>
          <w:color w:val="auto"/>
          <w:szCs w:val="28"/>
          <w:u w:val="single"/>
          <w:lang w:val="zh-CN"/>
        </w:rPr>
        <w:t xml:space="preserve">工程的施工图纸及工程量清单所含的所有项目和内容 </w:t>
      </w:r>
      <w:r>
        <w:rPr>
          <w:rFonts w:hint="eastAsia" w:ascii="宋体"/>
          <w:color w:val="auto"/>
          <w:szCs w:val="28"/>
        </w:rPr>
        <w:t>。</w:t>
      </w:r>
    </w:p>
    <w:p>
      <w:pPr>
        <w:pStyle w:val="56"/>
        <w:spacing w:line="520" w:lineRule="exact"/>
        <w:ind w:firstLine="560" w:firstLineChars="200"/>
        <w:rPr>
          <w:rFonts w:ascii="宋体"/>
          <w:color w:val="auto"/>
          <w:sz w:val="28"/>
          <w:szCs w:val="28"/>
        </w:rPr>
      </w:pPr>
      <w:r>
        <w:rPr>
          <w:rFonts w:hint="eastAsia" w:ascii="宋体"/>
          <w:color w:val="auto"/>
          <w:sz w:val="28"/>
          <w:szCs w:val="28"/>
        </w:rPr>
        <w:t>2.4承包方式</w:t>
      </w:r>
    </w:p>
    <w:p>
      <w:pPr>
        <w:spacing w:line="520" w:lineRule="exact"/>
        <w:ind w:firstLine="560" w:firstLineChars="200"/>
        <w:jc w:val="left"/>
        <w:rPr>
          <w:rFonts w:ascii="宋体"/>
          <w:color w:val="auto"/>
          <w:sz w:val="28"/>
          <w:szCs w:val="28"/>
        </w:rPr>
      </w:pPr>
      <w:r>
        <w:rPr>
          <w:rFonts w:hint="eastAsia" w:ascii="宋体"/>
          <w:color w:val="auto"/>
          <w:sz w:val="28"/>
          <w:szCs w:val="28"/>
        </w:rPr>
        <w:t>根据招标人提供工程的施工图、施工图说明、工程量清单、相关资料及说明，按《建设工程工程量清单计价规范》（GB50500-2013）和《广东省建设工程计价依据》（2018）的规定，由中标单位包材料、包施工、包质量、包工期、包安全进行承包。不允许转包，不允许违法分包，如确需分包的项目，分包方必须具备相应的专业资质，必须与建设单位协商并得到建设单位的同意方可分包。</w:t>
      </w:r>
    </w:p>
    <w:p>
      <w:pPr>
        <w:pStyle w:val="56"/>
        <w:spacing w:line="520" w:lineRule="exact"/>
        <w:ind w:firstLine="560" w:firstLineChars="200"/>
        <w:rPr>
          <w:rFonts w:ascii="宋体"/>
          <w:color w:val="auto"/>
          <w:sz w:val="28"/>
          <w:szCs w:val="28"/>
        </w:rPr>
      </w:pPr>
      <w:r>
        <w:rPr>
          <w:rFonts w:hint="eastAsia" w:ascii="宋体"/>
          <w:color w:val="auto"/>
          <w:sz w:val="28"/>
          <w:szCs w:val="28"/>
        </w:rPr>
        <w:t>2.5工期要求及规定</w:t>
      </w:r>
    </w:p>
    <w:p>
      <w:pPr>
        <w:pStyle w:val="50"/>
        <w:spacing w:line="520" w:lineRule="exact"/>
        <w:ind w:firstLine="560" w:firstLineChars="200"/>
        <w:rPr>
          <w:rFonts w:ascii="宋体"/>
          <w:color w:val="auto"/>
          <w:szCs w:val="28"/>
        </w:rPr>
      </w:pPr>
      <w:r>
        <w:rPr>
          <w:rFonts w:hint="eastAsia" w:ascii="宋体"/>
          <w:color w:val="auto"/>
          <w:szCs w:val="28"/>
        </w:rPr>
        <w:t>2.5.1完成本招标工程全部工作内容的广东省建设工程施工标准工期为</w:t>
      </w:r>
      <w:r>
        <w:rPr>
          <w:rFonts w:hint="eastAsia" w:ascii="宋体"/>
          <w:color w:val="auto"/>
          <w:szCs w:val="28"/>
          <w:u w:val="single"/>
          <w:lang w:val="en-US" w:eastAsia="zh-CN"/>
        </w:rPr>
        <w:t xml:space="preserve">  150  </w:t>
      </w:r>
      <w:r>
        <w:rPr>
          <w:rFonts w:hint="eastAsia" w:ascii="宋体"/>
          <w:color w:val="auto"/>
          <w:szCs w:val="28"/>
        </w:rPr>
        <w:t>个日历天，招标工期为</w:t>
      </w:r>
      <w:r>
        <w:rPr>
          <w:rFonts w:hint="eastAsia" w:ascii="宋体"/>
          <w:color w:val="auto"/>
          <w:szCs w:val="28"/>
          <w:u w:val="single"/>
          <w:lang w:val="en-US" w:eastAsia="zh-CN"/>
        </w:rPr>
        <w:t xml:space="preserve">  150  </w:t>
      </w:r>
      <w:r>
        <w:rPr>
          <w:rFonts w:hint="eastAsia" w:ascii="宋体"/>
          <w:color w:val="auto"/>
          <w:szCs w:val="28"/>
        </w:rPr>
        <w:t>个日历天。开工日期由监理工程师发出的开工令中指定的日期算起，以工程竣工验收通过、承包人送交建设工程竣工验收报告的日期作为实际竣工日。</w:t>
      </w:r>
    </w:p>
    <w:p>
      <w:pPr>
        <w:pStyle w:val="50"/>
        <w:spacing w:line="520" w:lineRule="exact"/>
        <w:ind w:firstLine="560" w:firstLineChars="200"/>
        <w:rPr>
          <w:rFonts w:ascii="宋体"/>
          <w:color w:val="auto"/>
          <w:szCs w:val="28"/>
        </w:rPr>
      </w:pPr>
      <w:r>
        <w:rPr>
          <w:rFonts w:hint="eastAsia" w:ascii="宋体"/>
          <w:color w:val="auto"/>
          <w:szCs w:val="28"/>
        </w:rPr>
        <w:t>2.5.2招标人欢迎各投标人根据企业自身实际能力，在施工组织和施工方法合理、可行的前提下，对本招标工程的工期进行优化，提出相应缩短工期的方案，编制成投标文件。</w:t>
      </w:r>
    </w:p>
    <w:p>
      <w:pPr>
        <w:pStyle w:val="50"/>
        <w:spacing w:line="520" w:lineRule="exact"/>
        <w:ind w:firstLine="560" w:firstLineChars="200"/>
        <w:rPr>
          <w:rFonts w:ascii="宋体"/>
          <w:color w:val="auto"/>
          <w:szCs w:val="28"/>
          <w:u w:val="single"/>
        </w:rPr>
      </w:pPr>
      <w:r>
        <w:rPr>
          <w:rFonts w:hint="eastAsia" w:ascii="宋体"/>
          <w:color w:val="auto"/>
          <w:szCs w:val="28"/>
        </w:rPr>
        <w:t>2.5.3本招标工程要求中标人按中标工期完成，每延迟一日竣工罚款人民币</w:t>
      </w:r>
      <w:r>
        <w:rPr>
          <w:rFonts w:hint="eastAsia" w:ascii="华文行楷" w:hAnsi="华文行楷" w:eastAsia="华文行楷" w:cs="华文行楷"/>
          <w:color w:val="auto"/>
          <w:szCs w:val="28"/>
          <w:u w:val="single"/>
        </w:rPr>
        <w:t>500</w:t>
      </w:r>
      <w:r>
        <w:rPr>
          <w:rFonts w:hint="eastAsia" w:ascii="宋体"/>
          <w:color w:val="auto"/>
          <w:szCs w:val="28"/>
        </w:rPr>
        <w:t>元。（因发包人及不可抗力原因造成的工期延误除外）</w:t>
      </w:r>
    </w:p>
    <w:p>
      <w:pPr>
        <w:pStyle w:val="50"/>
        <w:spacing w:line="520" w:lineRule="exact"/>
        <w:ind w:firstLine="560" w:firstLineChars="200"/>
        <w:rPr>
          <w:rFonts w:ascii="宋体"/>
          <w:color w:val="auto"/>
          <w:szCs w:val="28"/>
        </w:rPr>
      </w:pPr>
      <w:r>
        <w:rPr>
          <w:rFonts w:hint="eastAsia" w:ascii="宋体"/>
          <w:color w:val="auto"/>
          <w:szCs w:val="28"/>
        </w:rPr>
        <w:t>2.5.4因发包人及不可抗力的原因造成的工期延误，在得到监理工程师和发包人的认可后，工期相应顺延，双方办理同意顺延工期手续。</w:t>
      </w:r>
    </w:p>
    <w:p>
      <w:pPr>
        <w:pStyle w:val="50"/>
        <w:spacing w:line="520" w:lineRule="exact"/>
        <w:ind w:firstLine="560" w:firstLineChars="200"/>
        <w:rPr>
          <w:rFonts w:ascii="宋体"/>
          <w:color w:val="auto"/>
          <w:szCs w:val="28"/>
        </w:rPr>
      </w:pPr>
      <w:r>
        <w:rPr>
          <w:rFonts w:hint="eastAsia" w:ascii="宋体"/>
          <w:color w:val="auto"/>
          <w:szCs w:val="28"/>
        </w:rPr>
        <w:t>注：不可抗力是指合同当事人在订立合同时不可预见、在合同履行过程中不可避免、不能克服且不能提前防备的自然灾害和社会性突发事件，如地震、海啸、瘟疫、骚乱、戒严、暴动、战争和专用合同条件中约定的其他情形。具体由招标人和中标人在合同签订阶段参照国家、省、市最新有关规定自行约定。</w:t>
      </w:r>
    </w:p>
    <w:p>
      <w:pPr>
        <w:pStyle w:val="56"/>
        <w:spacing w:line="520" w:lineRule="exact"/>
        <w:ind w:firstLine="560" w:firstLineChars="200"/>
        <w:rPr>
          <w:rFonts w:ascii="宋体"/>
          <w:color w:val="auto"/>
          <w:sz w:val="28"/>
          <w:szCs w:val="28"/>
        </w:rPr>
      </w:pPr>
      <w:r>
        <w:rPr>
          <w:rFonts w:hint="eastAsia" w:ascii="宋体"/>
          <w:color w:val="auto"/>
          <w:sz w:val="28"/>
          <w:szCs w:val="28"/>
        </w:rPr>
        <w:t>2.6工程施工技术要求</w:t>
      </w:r>
    </w:p>
    <w:p>
      <w:pPr>
        <w:pStyle w:val="50"/>
        <w:spacing w:line="520" w:lineRule="exact"/>
        <w:ind w:firstLine="560" w:firstLineChars="200"/>
        <w:rPr>
          <w:rFonts w:ascii="宋体"/>
          <w:color w:val="auto"/>
          <w:szCs w:val="28"/>
        </w:rPr>
      </w:pPr>
      <w:r>
        <w:rPr>
          <w:rFonts w:hint="eastAsia" w:ascii="宋体"/>
          <w:color w:val="auto"/>
          <w:szCs w:val="28"/>
        </w:rPr>
        <w:t>2.6.1严格按施工图纸、技术资料的要求及国家和地方现行施工验收规范、标准进行施工。</w:t>
      </w:r>
    </w:p>
    <w:p>
      <w:pPr>
        <w:pStyle w:val="50"/>
        <w:spacing w:line="520" w:lineRule="exact"/>
        <w:ind w:firstLine="560" w:firstLineChars="200"/>
        <w:rPr>
          <w:rFonts w:ascii="宋体"/>
          <w:color w:val="auto"/>
          <w:szCs w:val="28"/>
        </w:rPr>
      </w:pPr>
      <w:r>
        <w:rPr>
          <w:rFonts w:hint="eastAsia" w:ascii="宋体"/>
          <w:color w:val="auto"/>
          <w:szCs w:val="28"/>
        </w:rPr>
        <w:t>2.6.2各种文物均属国家所有，中标人在施工过程中若遇有文物，应采取必要的保护措施并及时报请发包人处理，任何人不得隐瞒或私自占有。</w:t>
      </w:r>
    </w:p>
    <w:p>
      <w:pPr>
        <w:pStyle w:val="50"/>
        <w:spacing w:line="520" w:lineRule="exact"/>
        <w:ind w:firstLine="560" w:firstLineChars="200"/>
        <w:rPr>
          <w:rFonts w:ascii="宋体" w:hAnsi="宋体" w:cs="宋体"/>
          <w:color w:val="auto"/>
          <w:szCs w:val="28"/>
        </w:rPr>
      </w:pPr>
      <w:r>
        <w:rPr>
          <w:rFonts w:hint="eastAsia" w:ascii="宋体" w:hAnsi="宋体" w:cs="宋体"/>
          <w:color w:val="auto"/>
          <w:szCs w:val="28"/>
        </w:rPr>
        <w:t>2.6.3投标人拟派项目负责人必须到施工现场向发包人现场代表签到，每月签到时间不能少于施工时间的90%。每月签到时间少于施工时间的90％的（当月累计6日没有考勤数据），每少签到一日罚款</w:t>
      </w:r>
      <w:r>
        <w:rPr>
          <w:rFonts w:hint="eastAsia" w:ascii="华文行楷" w:eastAsia="华文行楷"/>
          <w:color w:val="auto"/>
          <w:szCs w:val="28"/>
          <w:u w:val="single"/>
        </w:rPr>
        <w:t>人民币500</w:t>
      </w:r>
      <w:r>
        <w:rPr>
          <w:rFonts w:hint="eastAsia" w:ascii="宋体" w:hAnsi="宋体" w:cs="宋体"/>
          <w:color w:val="auto"/>
          <w:szCs w:val="28"/>
        </w:rPr>
        <w:t>元。</w:t>
      </w:r>
    </w:p>
    <w:p>
      <w:pPr>
        <w:pStyle w:val="56"/>
        <w:spacing w:line="520" w:lineRule="exact"/>
        <w:ind w:firstLine="560" w:firstLineChars="200"/>
        <w:rPr>
          <w:rFonts w:ascii="宋体"/>
          <w:color w:val="auto"/>
          <w:sz w:val="28"/>
          <w:szCs w:val="28"/>
        </w:rPr>
      </w:pPr>
      <w:r>
        <w:rPr>
          <w:rFonts w:hint="eastAsia" w:ascii="宋体"/>
          <w:color w:val="auto"/>
          <w:sz w:val="28"/>
          <w:szCs w:val="28"/>
        </w:rPr>
        <w:t>2.7材料要求和供应方式</w:t>
      </w:r>
    </w:p>
    <w:p>
      <w:pPr>
        <w:pStyle w:val="50"/>
        <w:spacing w:line="520" w:lineRule="exact"/>
        <w:ind w:firstLine="560" w:firstLineChars="200"/>
        <w:rPr>
          <w:rFonts w:ascii="宋体"/>
          <w:color w:val="auto"/>
          <w:szCs w:val="28"/>
        </w:rPr>
      </w:pPr>
      <w:r>
        <w:rPr>
          <w:rFonts w:hint="eastAsia" w:ascii="宋体"/>
          <w:color w:val="auto"/>
          <w:szCs w:val="28"/>
        </w:rPr>
        <w:t>2.7.1本工程招标范围内的工程材料由</w:t>
      </w:r>
      <w:r>
        <w:rPr>
          <w:rFonts w:hint="eastAsia" w:ascii="华文行楷" w:eastAsia="华文行楷"/>
          <w:color w:val="auto"/>
          <w:szCs w:val="28"/>
          <w:u w:val="single"/>
        </w:rPr>
        <w:t>中标人</w:t>
      </w:r>
      <w:r>
        <w:rPr>
          <w:rFonts w:hint="eastAsia" w:ascii="宋体"/>
          <w:color w:val="auto"/>
          <w:szCs w:val="28"/>
        </w:rPr>
        <w:t>采购。</w:t>
      </w:r>
    </w:p>
    <w:p>
      <w:pPr>
        <w:pStyle w:val="50"/>
        <w:spacing w:line="520" w:lineRule="exact"/>
        <w:ind w:firstLine="560" w:firstLineChars="200"/>
        <w:rPr>
          <w:rFonts w:ascii="宋体"/>
          <w:color w:val="auto"/>
          <w:szCs w:val="28"/>
        </w:rPr>
      </w:pPr>
      <w:r>
        <w:rPr>
          <w:rFonts w:hint="eastAsia" w:ascii="宋体"/>
          <w:color w:val="auto"/>
          <w:szCs w:val="28"/>
        </w:rPr>
        <w:t>2.7.2根据湛江市人民政府《关于贯彻实施广东省促进散装水泥发展和应用规定的通知》湛府函[2011]329号文的规定，本工程必须使用散装水泥和预拌混凝土、预拌砂浆。</w:t>
      </w:r>
    </w:p>
    <w:p>
      <w:pPr>
        <w:pStyle w:val="50"/>
        <w:spacing w:line="520" w:lineRule="exact"/>
        <w:ind w:firstLine="560" w:firstLineChars="200"/>
        <w:rPr>
          <w:rFonts w:ascii="宋体"/>
          <w:color w:val="auto"/>
          <w:szCs w:val="28"/>
        </w:rPr>
      </w:pPr>
      <w:r>
        <w:rPr>
          <w:rFonts w:hint="eastAsia" w:ascii="宋体"/>
          <w:color w:val="auto"/>
          <w:szCs w:val="28"/>
        </w:rPr>
        <w:t>2.7.3本工程禁止使用自拌混凝土，禁止使用实心红砖。</w:t>
      </w:r>
    </w:p>
    <w:p>
      <w:pPr>
        <w:pStyle w:val="50"/>
        <w:spacing w:line="520" w:lineRule="exact"/>
        <w:ind w:firstLine="560" w:firstLineChars="200"/>
        <w:rPr>
          <w:rFonts w:ascii="宋体"/>
          <w:color w:val="auto"/>
          <w:szCs w:val="28"/>
        </w:rPr>
      </w:pPr>
      <w:r>
        <w:rPr>
          <w:rFonts w:hint="eastAsia" w:ascii="宋体"/>
          <w:color w:val="auto"/>
          <w:szCs w:val="28"/>
        </w:rPr>
        <w:t>2.7.4本工程中标人不得向违规的商品混凝土供应商采购商品混凝土。（以市住房和城乡建设局通报的名单为准）</w:t>
      </w:r>
    </w:p>
    <w:p>
      <w:pPr>
        <w:pStyle w:val="50"/>
        <w:spacing w:line="520" w:lineRule="exact"/>
        <w:ind w:firstLine="560" w:firstLineChars="200"/>
        <w:rPr>
          <w:rFonts w:ascii="宋体"/>
          <w:color w:val="auto"/>
          <w:szCs w:val="28"/>
        </w:rPr>
      </w:pPr>
      <w:r>
        <w:rPr>
          <w:rFonts w:hint="eastAsia" w:ascii="宋体"/>
          <w:color w:val="auto"/>
          <w:szCs w:val="28"/>
        </w:rPr>
        <w:t>2.7.5本工程的所有设备材料必须为国家合格产品且符合设计图纸的要求。不得使用来历不明的材料，不得使用国家明文禁止、淘汰的产品。所有主要工程材料必须具备生产许可证及出厂合格证。材料应提前进场，材料进场前承包人应将进场材料的有关资料交监理工程师确认，在材料使用前提前24小时通知发包人代表及监理工程师共同验收并书面确认材料符合要求后方能投入使用。若材料未经发包人代表和监理工程师书面确认而承包人擅自使用，一经发现，承包人必须向发包人交纳违约金</w:t>
      </w:r>
      <w:r>
        <w:rPr>
          <w:rFonts w:hint="eastAsia" w:ascii="华文行楷" w:eastAsia="华文行楷"/>
          <w:color w:val="auto"/>
          <w:szCs w:val="28"/>
          <w:u w:val="single"/>
        </w:rPr>
        <w:t>伍万</w:t>
      </w:r>
      <w:r>
        <w:rPr>
          <w:rFonts w:hint="eastAsia" w:ascii="宋体"/>
          <w:color w:val="auto"/>
          <w:szCs w:val="28"/>
        </w:rPr>
        <w:t>元，并由发包人代表及监理工程师对进场材料进行检验，若材料符合要求，继续使用，</w:t>
      </w:r>
      <w:r>
        <w:rPr>
          <w:rFonts w:hint="eastAsia" w:ascii="华文行楷" w:hAnsi="宋体" w:eastAsia="华文行楷"/>
          <w:color w:val="auto"/>
          <w:szCs w:val="28"/>
        </w:rPr>
        <w:t>若材料和设备不符合要求并已投入使用的，承包人须按照监理工程师的指令立即停止使用该批材料，并拆除已施工工程、修复或重新采购，由此增加的费用和延误的工期由承包人承担</w:t>
      </w:r>
      <w:r>
        <w:rPr>
          <w:rFonts w:hint="eastAsia" w:ascii="华文行楷" w:eastAsia="华文行楷"/>
          <w:color w:val="auto"/>
          <w:szCs w:val="28"/>
        </w:rPr>
        <w:t>；</w:t>
      </w:r>
      <w:r>
        <w:rPr>
          <w:rFonts w:hint="eastAsia" w:ascii="华文行楷" w:hAnsi="宋体" w:eastAsia="华文行楷"/>
          <w:color w:val="auto"/>
          <w:szCs w:val="28"/>
        </w:rPr>
        <w:t>若材料和设备不符合要求并未经使用的，承包人须按照监理工程师的指令将其运出施工场地</w:t>
      </w:r>
      <w:r>
        <w:rPr>
          <w:rFonts w:hint="eastAsia" w:ascii="宋体"/>
          <w:color w:val="auto"/>
          <w:szCs w:val="28"/>
        </w:rPr>
        <w:t>，若不符合要求，已使用和未使用的该批材料均一律退场，退场完成经监理工程师确认后，方能按要求重新进材料。若由此导致工期延误的，由承包人负责，工期不予顺延。</w:t>
      </w:r>
    </w:p>
    <w:p>
      <w:pPr>
        <w:pStyle w:val="50"/>
        <w:spacing w:line="520" w:lineRule="exact"/>
        <w:ind w:firstLine="560" w:firstLineChars="200"/>
        <w:rPr>
          <w:rFonts w:ascii="宋体"/>
          <w:color w:val="auto"/>
          <w:szCs w:val="28"/>
        </w:rPr>
      </w:pPr>
      <w:r>
        <w:rPr>
          <w:rFonts w:hint="eastAsia" w:ascii="宋体"/>
          <w:color w:val="auto"/>
          <w:szCs w:val="28"/>
        </w:rPr>
        <w:t>2.7.6若中标人未能在规定时间内按要求向发包人提供材料样品，因而导致材料不能按时采购而影响工期，由承包人负责，工期不予顺延。</w:t>
      </w:r>
    </w:p>
    <w:p>
      <w:pPr>
        <w:pStyle w:val="56"/>
        <w:spacing w:line="520" w:lineRule="exact"/>
        <w:ind w:firstLine="560" w:firstLineChars="200"/>
        <w:rPr>
          <w:rFonts w:ascii="宋体"/>
          <w:color w:val="auto"/>
          <w:sz w:val="28"/>
          <w:szCs w:val="28"/>
        </w:rPr>
      </w:pPr>
      <w:r>
        <w:rPr>
          <w:rFonts w:hint="eastAsia" w:ascii="宋体"/>
          <w:color w:val="auto"/>
          <w:sz w:val="28"/>
          <w:szCs w:val="28"/>
        </w:rPr>
        <w:t>2.8工程质量标准和保修期</w:t>
      </w:r>
    </w:p>
    <w:p>
      <w:pPr>
        <w:pStyle w:val="50"/>
        <w:spacing w:line="520" w:lineRule="exact"/>
        <w:ind w:firstLine="560" w:firstLineChars="200"/>
        <w:rPr>
          <w:rFonts w:ascii="宋体"/>
          <w:color w:val="auto"/>
          <w:szCs w:val="28"/>
        </w:rPr>
      </w:pPr>
      <w:r>
        <w:rPr>
          <w:rFonts w:hint="eastAsia" w:ascii="宋体"/>
          <w:color w:val="auto"/>
          <w:szCs w:val="28"/>
        </w:rPr>
        <w:t>2.8.1本招标工程执行国家现行技术标准和技术规范，工程质量按合格等级进行目标管理，由发包人组织勘察、设计、施工、监理等单位及其他有关各方依照国家有关验收规范、标准进行验收。</w:t>
      </w:r>
    </w:p>
    <w:p>
      <w:pPr>
        <w:pStyle w:val="50"/>
        <w:spacing w:line="520" w:lineRule="exact"/>
        <w:ind w:firstLine="560" w:firstLineChars="200"/>
        <w:rPr>
          <w:rFonts w:ascii="宋体"/>
          <w:color w:val="auto"/>
          <w:szCs w:val="28"/>
        </w:rPr>
      </w:pPr>
      <w:r>
        <w:rPr>
          <w:rFonts w:hint="eastAsia" w:ascii="宋体"/>
          <w:color w:val="auto"/>
          <w:szCs w:val="28"/>
        </w:rPr>
        <w:t>2.8.2工程质量不合格、不符合设计标准、达不到设计要求的，或施工程序不按施工规范的，发包人有权要求承包人停工和返工，因停工和返工造成的一切损失由承包人自行承担，工期不予顺延。工程质量合格，但达不到投标时承诺的质量等级，承包人应向发包人赔偿损失，具体由发包人和承包人在合同签订阶段参照国家、省、市最新有关规定自行约定。</w:t>
      </w:r>
    </w:p>
    <w:p>
      <w:pPr>
        <w:pStyle w:val="50"/>
        <w:spacing w:line="520" w:lineRule="exact"/>
        <w:ind w:firstLine="560" w:firstLineChars="200"/>
        <w:rPr>
          <w:rFonts w:ascii="宋体"/>
          <w:color w:val="auto"/>
          <w:szCs w:val="28"/>
        </w:rPr>
      </w:pPr>
      <w:r>
        <w:rPr>
          <w:rFonts w:hint="eastAsia" w:ascii="宋体"/>
          <w:color w:val="auto"/>
          <w:szCs w:val="28"/>
        </w:rPr>
        <w:t>2.8.3本招标工程的保修期按照国家现行建筑工程保修有关规定的保修期限实行。保修期自竣工验收合格之日起计，在保修期内承包人需承担因施工质量问题而造成的返修，其费用由承建商负责。在工程保修期内，承包人在接到发包人提出要求返修的通知24小时内应派人根据发包人要求，按有关规范、标准进行返修，若非承包人原因造成返修的，返修费用由发包人承担。若在规定时间内承包人违约，不派员按发包人要求进行返修的，发包人可自行派人维修。若承包人经过两次返修仍不能解决同一质量问题，发包人可自行派人维修。若因承包人施工质量原因造成返修的，发包人自行派人维修，返修费用由工程保修金中扣除，若返修费用超出保修金时，发包人将按有关程序向承包人追讨。发包人因承包人违约而委托他人对工程进行的维修不解除承包人对本工程的保修责任。</w:t>
      </w:r>
    </w:p>
    <w:p>
      <w:pPr>
        <w:pStyle w:val="56"/>
        <w:spacing w:line="520" w:lineRule="exact"/>
        <w:ind w:firstLine="560" w:firstLineChars="200"/>
        <w:rPr>
          <w:rFonts w:ascii="宋体"/>
          <w:color w:val="auto"/>
          <w:sz w:val="28"/>
          <w:szCs w:val="28"/>
        </w:rPr>
      </w:pPr>
      <w:r>
        <w:rPr>
          <w:rFonts w:hint="eastAsia" w:ascii="宋体"/>
          <w:color w:val="auto"/>
          <w:sz w:val="28"/>
          <w:szCs w:val="28"/>
        </w:rPr>
        <w:t>2.9工程竣工资料的要求</w:t>
      </w:r>
    </w:p>
    <w:p>
      <w:pPr>
        <w:pStyle w:val="50"/>
        <w:spacing w:line="520" w:lineRule="exact"/>
        <w:ind w:firstLine="560" w:firstLineChars="200"/>
        <w:rPr>
          <w:rFonts w:ascii="宋体"/>
          <w:color w:val="auto"/>
          <w:szCs w:val="28"/>
        </w:rPr>
      </w:pPr>
      <w:r>
        <w:rPr>
          <w:rFonts w:hint="eastAsia" w:ascii="宋体"/>
          <w:color w:val="auto"/>
          <w:szCs w:val="28"/>
        </w:rPr>
        <w:t>2.9.1承包人的工程档案资料必须符合有关规范要求并符合湛江市档案馆对工程档案资料的规定，在工程施工过程中应及时收集、汇总、整理工程档案。</w:t>
      </w:r>
    </w:p>
    <w:p>
      <w:pPr>
        <w:pStyle w:val="50"/>
        <w:spacing w:line="520" w:lineRule="exact"/>
        <w:ind w:firstLine="560" w:firstLineChars="200"/>
        <w:rPr>
          <w:rFonts w:ascii="宋体"/>
          <w:color w:val="auto"/>
          <w:szCs w:val="28"/>
        </w:rPr>
      </w:pPr>
      <w:r>
        <w:rPr>
          <w:rFonts w:hint="eastAsia" w:ascii="宋体"/>
          <w:color w:val="auto"/>
          <w:szCs w:val="28"/>
        </w:rPr>
        <w:t>2.9.2承包人应在工程竣工验收前依照国家有关验收规范、标准的有关规定提供工程资料，若工程资料不全或承包人不按规定提供工程资料，则不予进行工程质量验收及工程竣工验收，一切损失由承包人负责，工期不予顺延。承包人应在工程竣工验收通过后在合同约定时间内协助发包人完成工程竣工验收备案手续。</w:t>
      </w:r>
    </w:p>
    <w:p>
      <w:pPr>
        <w:pStyle w:val="50"/>
        <w:spacing w:line="520" w:lineRule="exact"/>
        <w:ind w:firstLine="560" w:firstLineChars="200"/>
        <w:rPr>
          <w:rFonts w:ascii="宋体"/>
          <w:color w:val="auto"/>
          <w:szCs w:val="28"/>
        </w:rPr>
      </w:pPr>
      <w:r>
        <w:rPr>
          <w:rFonts w:hint="eastAsia" w:ascii="宋体"/>
          <w:color w:val="auto"/>
          <w:szCs w:val="28"/>
        </w:rPr>
        <w:t>2.9.3工程结算完成终审后20日内，承包人应向发包人提交一式叁份符合市档案局要求的工程技术档案资料，并协助发包人到市档案局办理档案移交手续。</w:t>
      </w:r>
    </w:p>
    <w:p>
      <w:pPr>
        <w:pStyle w:val="56"/>
        <w:spacing w:line="520" w:lineRule="exact"/>
        <w:ind w:firstLine="560" w:firstLineChars="200"/>
        <w:rPr>
          <w:rFonts w:ascii="宋体"/>
          <w:color w:val="auto"/>
          <w:sz w:val="28"/>
          <w:szCs w:val="28"/>
        </w:rPr>
      </w:pPr>
      <w:r>
        <w:rPr>
          <w:rFonts w:hint="eastAsia" w:ascii="宋体"/>
          <w:color w:val="auto"/>
          <w:sz w:val="28"/>
          <w:szCs w:val="28"/>
        </w:rPr>
        <w:t>2.10其它要求</w:t>
      </w:r>
    </w:p>
    <w:p>
      <w:pPr>
        <w:pStyle w:val="56"/>
        <w:spacing w:line="520" w:lineRule="exact"/>
        <w:ind w:firstLine="560" w:firstLineChars="200"/>
        <w:rPr>
          <w:rFonts w:ascii="宋体"/>
          <w:b w:val="0"/>
          <w:bCs/>
          <w:color w:val="auto"/>
          <w:sz w:val="28"/>
          <w:szCs w:val="28"/>
        </w:rPr>
      </w:pPr>
      <w:r>
        <w:rPr>
          <w:rFonts w:hint="eastAsia" w:ascii="宋体"/>
          <w:b w:val="0"/>
          <w:bCs/>
          <w:color w:val="auto"/>
          <w:sz w:val="28"/>
          <w:szCs w:val="28"/>
        </w:rPr>
        <w:t>2.10.1保障农民工工资支付有关要求:</w:t>
      </w:r>
    </w:p>
    <w:p>
      <w:pPr>
        <w:pStyle w:val="56"/>
        <w:spacing w:line="520" w:lineRule="exact"/>
        <w:ind w:firstLine="560" w:firstLineChars="200"/>
        <w:rPr>
          <w:rFonts w:ascii="宋体"/>
          <w:color w:val="auto"/>
          <w:sz w:val="28"/>
          <w:szCs w:val="28"/>
        </w:rPr>
      </w:pPr>
      <w:r>
        <w:rPr>
          <w:rFonts w:hint="eastAsia" w:ascii="宋体"/>
          <w:color w:val="auto"/>
          <w:sz w:val="28"/>
          <w:szCs w:val="28"/>
        </w:rPr>
        <w:t>招标人应向中标人提供工程款支付担保（担保方式由招标人和中标人依法自行确定）。</w:t>
      </w:r>
    </w:p>
    <w:p>
      <w:pPr>
        <w:pStyle w:val="56"/>
        <w:spacing w:line="520" w:lineRule="exact"/>
        <w:ind w:firstLine="560" w:firstLineChars="200"/>
        <w:rPr>
          <w:rFonts w:ascii="宋体"/>
          <w:b w:val="0"/>
          <w:bCs/>
          <w:color w:val="auto"/>
          <w:sz w:val="28"/>
          <w:szCs w:val="28"/>
        </w:rPr>
      </w:pPr>
      <w:r>
        <w:rPr>
          <w:rFonts w:hint="eastAsia" w:ascii="宋体"/>
          <w:b w:val="0"/>
          <w:color w:val="auto"/>
          <w:sz w:val="28"/>
          <w:szCs w:val="28"/>
        </w:rPr>
        <w:t>2.10.1.1</w:t>
      </w:r>
      <w:r>
        <w:rPr>
          <w:rFonts w:hint="eastAsia" w:ascii="宋体"/>
          <w:b w:val="0"/>
          <w:bCs/>
          <w:color w:val="auto"/>
          <w:sz w:val="28"/>
          <w:szCs w:val="28"/>
        </w:rPr>
        <w:t>招标人与中标人依法订立书面工程施工合同，应当约定工程款计量周期、工程款进度结算办法以及人工费用拨付周期，并按照保障农民工工资按时足额支付的要求，约定每期人工费用具体数额（或者占工程进度款的比例）。人工费用拨付周期不得超过1个月。</w:t>
      </w:r>
    </w:p>
    <w:p>
      <w:pPr>
        <w:pStyle w:val="56"/>
        <w:spacing w:line="520" w:lineRule="exact"/>
        <w:ind w:firstLine="560" w:firstLineChars="200"/>
        <w:rPr>
          <w:rFonts w:ascii="宋体"/>
          <w:b w:val="0"/>
          <w:bCs/>
          <w:color w:val="auto"/>
          <w:sz w:val="28"/>
          <w:szCs w:val="28"/>
        </w:rPr>
      </w:pPr>
      <w:r>
        <w:rPr>
          <w:rFonts w:hint="eastAsia" w:ascii="宋体"/>
          <w:b w:val="0"/>
          <w:color w:val="auto"/>
          <w:sz w:val="28"/>
          <w:szCs w:val="28"/>
        </w:rPr>
        <w:t>（注：招标人以金融机构保函、保证保险形式提交工程款支付担保的）</w:t>
      </w:r>
    </w:p>
    <w:p>
      <w:pPr>
        <w:pStyle w:val="56"/>
        <w:spacing w:line="520" w:lineRule="exact"/>
        <w:ind w:firstLine="560" w:firstLineChars="200"/>
        <w:rPr>
          <w:rFonts w:ascii="宋体"/>
          <w:b w:val="0"/>
          <w:bCs/>
          <w:color w:val="auto"/>
          <w:sz w:val="28"/>
          <w:szCs w:val="28"/>
        </w:rPr>
      </w:pPr>
      <w:r>
        <w:rPr>
          <w:rFonts w:hint="eastAsia" w:ascii="宋体"/>
          <w:b w:val="0"/>
          <w:color w:val="auto"/>
          <w:sz w:val="28"/>
          <w:szCs w:val="28"/>
        </w:rPr>
        <w:t>2.10.1.2 中标人在签订施工合同后，在项目开工前必须开设农民工工资专用账户，</w:t>
      </w:r>
      <w:r>
        <w:rPr>
          <w:rFonts w:hint="eastAsia" w:ascii="宋体"/>
          <w:b w:val="0"/>
          <w:bCs/>
          <w:color w:val="auto"/>
          <w:sz w:val="28"/>
          <w:szCs w:val="28"/>
        </w:rPr>
        <w:t>中标人通过该工资专户按时足额向工人支付工人工资。政府投资项目施工中，招标人向财政主管部门申请拨付工程进度款的同时，应单独列明工人工资款项。财政部门依招标人的申请，将工程款中的工资款项（人工费）单独按时足额拨付到中标人的工资专户。</w:t>
      </w:r>
    </w:p>
    <w:p>
      <w:pPr>
        <w:pStyle w:val="56"/>
        <w:adjustRightInd w:val="0"/>
        <w:snapToGrid w:val="0"/>
        <w:spacing w:line="520" w:lineRule="exact"/>
        <w:ind w:firstLine="560" w:firstLineChars="200"/>
        <w:jc w:val="left"/>
        <w:rPr>
          <w:rFonts w:ascii="华文行楷" w:eastAsia="华文行楷"/>
          <w:b w:val="0"/>
          <w:color w:val="auto"/>
          <w:sz w:val="28"/>
          <w:szCs w:val="28"/>
        </w:rPr>
      </w:pPr>
      <w:r>
        <w:rPr>
          <w:rFonts w:hint="eastAsia" w:ascii="华文行楷" w:eastAsia="华文行楷"/>
          <w:b w:val="0"/>
          <w:bCs/>
          <w:color w:val="auto"/>
          <w:sz w:val="28"/>
          <w:szCs w:val="28"/>
        </w:rPr>
        <w:t>2.10.3本工程施工合同正式签立之前，确认有关计价条款是否符合《建设工程工程量清单计价规范》（GB50500-2013）、《广东省建设工程计价依据》（2018）及有关规定。</w:t>
      </w:r>
    </w:p>
    <w:p>
      <w:pPr>
        <w:pStyle w:val="56"/>
        <w:adjustRightInd w:val="0"/>
        <w:snapToGrid w:val="0"/>
        <w:spacing w:line="520" w:lineRule="exact"/>
        <w:ind w:firstLine="560" w:firstLineChars="200"/>
        <w:jc w:val="left"/>
        <w:rPr>
          <w:rFonts w:ascii="华文行楷" w:eastAsia="华文行楷"/>
          <w:b w:val="0"/>
          <w:bCs/>
          <w:color w:val="auto"/>
          <w:sz w:val="28"/>
          <w:szCs w:val="28"/>
        </w:rPr>
      </w:pPr>
      <w:r>
        <w:rPr>
          <w:rFonts w:hint="eastAsia" w:ascii="华文行楷" w:eastAsia="华文行楷"/>
          <w:b w:val="0"/>
          <w:bCs/>
          <w:color w:val="auto"/>
          <w:sz w:val="28"/>
          <w:szCs w:val="28"/>
        </w:rPr>
        <w:t>2.10.4领取中标通知书后，建设单位向遂溪县发展和改革局质量安全监督站提供建设工地场布图，经审批后可先进行工地文明施工临时设施建设。经质量安全监督站会同安监站验收合格后再发放施工许可证。</w:t>
      </w:r>
    </w:p>
    <w:p>
      <w:pPr>
        <w:pStyle w:val="50"/>
        <w:adjustRightInd w:val="0"/>
        <w:snapToGrid w:val="0"/>
        <w:spacing w:line="520" w:lineRule="exact"/>
        <w:ind w:firstLine="560" w:firstLineChars="200"/>
        <w:jc w:val="left"/>
        <w:rPr>
          <w:rFonts w:ascii="华文行楷" w:eastAsia="华文行楷"/>
          <w:color w:val="auto"/>
          <w:szCs w:val="28"/>
        </w:rPr>
      </w:pPr>
      <w:r>
        <w:rPr>
          <w:rFonts w:hint="eastAsia" w:ascii="华文行楷" w:hAnsi="华文楷体" w:eastAsia="华文行楷" w:cs="华文楷体"/>
          <w:color w:val="auto"/>
          <w:szCs w:val="28"/>
        </w:rPr>
        <w:t>2.10.5</w:t>
      </w:r>
      <w:r>
        <w:rPr>
          <w:rFonts w:hint="eastAsia" w:ascii="华文行楷" w:eastAsia="华文行楷"/>
          <w:color w:val="auto"/>
          <w:szCs w:val="28"/>
        </w:rPr>
        <w:t xml:space="preserve">根据《印发〈广东省建设工程领域工人工资支付专用账户管理办法 〉的通知》（粤人社规〔2018〕14 号），该项目工程领域工人工资支付实行专用账户管理，中标人须在银行设立工资专户，专门用于发放作业工人工资。 </w:t>
      </w:r>
    </w:p>
    <w:p>
      <w:pPr>
        <w:adjustRightInd w:val="0"/>
        <w:snapToGrid w:val="0"/>
        <w:spacing w:line="520" w:lineRule="exact"/>
        <w:ind w:firstLine="560" w:firstLineChars="200"/>
        <w:jc w:val="left"/>
        <w:rPr>
          <w:rFonts w:ascii="华文行楷" w:eastAsia="华文行楷"/>
          <w:color w:val="auto"/>
          <w:sz w:val="28"/>
          <w:szCs w:val="28"/>
        </w:rPr>
      </w:pPr>
      <w:r>
        <w:rPr>
          <w:rFonts w:hint="eastAsia" w:ascii="华文行楷" w:eastAsia="华文行楷"/>
          <w:color w:val="auto"/>
          <w:sz w:val="28"/>
          <w:szCs w:val="28"/>
        </w:rPr>
        <w:t>招标人与中标人签订施工合同时将按照该通知要求约定工人工资的支付额度、期限等，并接受有关单位的监督。</w:t>
      </w:r>
    </w:p>
    <w:p>
      <w:pPr>
        <w:adjustRightInd w:val="0"/>
        <w:snapToGrid w:val="0"/>
        <w:spacing w:line="520" w:lineRule="exact"/>
        <w:ind w:firstLine="554" w:firstLineChars="198"/>
        <w:jc w:val="left"/>
        <w:rPr>
          <w:rFonts w:ascii="华文行楷" w:hAnsi="华文楷体" w:eastAsia="华文行楷" w:cs="华文楷体"/>
          <w:color w:val="auto"/>
          <w:sz w:val="28"/>
          <w:szCs w:val="28"/>
        </w:rPr>
      </w:pPr>
      <w:r>
        <w:rPr>
          <w:rFonts w:hint="eastAsia" w:ascii="华文行楷" w:hAnsi="华文楷体" w:eastAsia="华文行楷" w:cs="华文楷体"/>
          <w:color w:val="auto"/>
          <w:sz w:val="28"/>
          <w:szCs w:val="28"/>
        </w:rPr>
        <w:t>2.10.6派驻现场人员的管理</w:t>
      </w:r>
    </w:p>
    <w:p>
      <w:pPr>
        <w:adjustRightInd w:val="0"/>
        <w:snapToGrid w:val="0"/>
        <w:spacing w:line="520" w:lineRule="exact"/>
        <w:ind w:firstLine="560" w:firstLineChars="200"/>
        <w:jc w:val="left"/>
        <w:rPr>
          <w:rFonts w:ascii="华文行楷" w:hAnsi="华文楷体" w:eastAsia="华文行楷" w:cs="华文楷体"/>
          <w:color w:val="auto"/>
          <w:sz w:val="28"/>
          <w:szCs w:val="28"/>
        </w:rPr>
      </w:pPr>
      <w:r>
        <w:rPr>
          <w:rFonts w:hint="eastAsia" w:ascii="华文行楷" w:hAnsi="华文楷体" w:eastAsia="华文行楷" w:cs="华文楷体"/>
          <w:color w:val="auto"/>
          <w:sz w:val="28"/>
          <w:szCs w:val="28"/>
        </w:rPr>
        <w:t>1）拟派本工程的主要人员（指项目负责人、技术负责人、安全员）驻施工现场时间必须由招标人现场代表进行考勤。</w:t>
      </w:r>
    </w:p>
    <w:p>
      <w:pPr>
        <w:adjustRightInd w:val="0"/>
        <w:snapToGrid w:val="0"/>
        <w:spacing w:line="520" w:lineRule="exact"/>
        <w:ind w:firstLine="560" w:firstLineChars="200"/>
        <w:jc w:val="left"/>
        <w:rPr>
          <w:rFonts w:ascii="华文行楷" w:hAnsi="华文楷体" w:eastAsia="华文行楷" w:cs="华文楷体"/>
          <w:color w:val="auto"/>
          <w:sz w:val="28"/>
          <w:szCs w:val="28"/>
        </w:rPr>
      </w:pPr>
      <w:r>
        <w:rPr>
          <w:rFonts w:hint="eastAsia" w:ascii="华文行楷" w:hAnsi="华文楷体" w:eastAsia="华文行楷" w:cs="华文楷体"/>
          <w:color w:val="auto"/>
          <w:sz w:val="28"/>
          <w:szCs w:val="28"/>
        </w:rPr>
        <w:t>①项目负责人、技术负责人施工期间每月到场签到时间不能少于22天，每少签到一天罚款2000元/人。项目负责人、技术负责人征得招标人同意后在其请假离开的时间段内应委托专人全权代表其行使职权。</w:t>
      </w:r>
    </w:p>
    <w:p>
      <w:pPr>
        <w:adjustRightInd w:val="0"/>
        <w:snapToGrid w:val="0"/>
        <w:spacing w:line="520" w:lineRule="exact"/>
        <w:ind w:firstLine="560" w:firstLineChars="200"/>
        <w:jc w:val="left"/>
        <w:rPr>
          <w:rFonts w:ascii="华文行楷" w:hAnsi="华文楷体" w:eastAsia="华文行楷" w:cs="华文楷体"/>
          <w:color w:val="auto"/>
          <w:sz w:val="28"/>
          <w:szCs w:val="28"/>
        </w:rPr>
      </w:pPr>
      <w:r>
        <w:rPr>
          <w:rFonts w:hint="eastAsia" w:ascii="华文行楷" w:hAnsi="华文楷体" w:eastAsia="华文行楷" w:cs="华文楷体"/>
          <w:color w:val="auto"/>
          <w:sz w:val="28"/>
          <w:szCs w:val="28"/>
        </w:rPr>
        <w:t>②安全员施工期间每月到场签到时间不能少于22天，每少签到一天罚款500元/人。</w:t>
      </w:r>
    </w:p>
    <w:p>
      <w:pPr>
        <w:spacing w:line="520" w:lineRule="exact"/>
        <w:ind w:firstLine="560" w:firstLineChars="200"/>
        <w:jc w:val="left"/>
        <w:rPr>
          <w:rFonts w:ascii="华文行楷" w:hAnsi="华文楷体" w:eastAsia="华文行楷" w:cs="华文楷体"/>
          <w:color w:val="auto"/>
          <w:sz w:val="28"/>
          <w:szCs w:val="28"/>
        </w:rPr>
      </w:pPr>
      <w:r>
        <w:rPr>
          <w:rFonts w:hint="eastAsia" w:ascii="华文行楷" w:hAnsi="华文楷体" w:eastAsia="华文行楷" w:cs="华文楷体"/>
          <w:color w:val="auto"/>
          <w:sz w:val="28"/>
          <w:szCs w:val="28"/>
        </w:rPr>
        <w:t>③主要人员的每个月签到时间均以照相考勤机的实际考勤记录为准，照相考勤机由招标人负责统一管理。当月缺勤的罚款在当月进度款中扣除。</w:t>
      </w:r>
    </w:p>
    <w:p>
      <w:pPr>
        <w:spacing w:line="520" w:lineRule="exact"/>
        <w:ind w:firstLine="560" w:firstLineChars="200"/>
        <w:jc w:val="left"/>
        <w:rPr>
          <w:rFonts w:ascii="华文行楷" w:hAnsi="华文楷体" w:eastAsia="华文行楷" w:cs="华文楷体"/>
          <w:color w:val="auto"/>
          <w:sz w:val="28"/>
          <w:szCs w:val="28"/>
        </w:rPr>
      </w:pPr>
      <w:r>
        <w:rPr>
          <w:rFonts w:hint="eastAsia" w:ascii="华文行楷" w:hAnsi="华文楷体" w:eastAsia="华文行楷" w:cs="华文楷体"/>
          <w:color w:val="auto"/>
          <w:sz w:val="28"/>
          <w:szCs w:val="28"/>
        </w:rPr>
        <w:t>2）现场人员的更换</w:t>
      </w:r>
    </w:p>
    <w:p>
      <w:pPr>
        <w:pStyle w:val="50"/>
        <w:spacing w:line="520" w:lineRule="exact"/>
        <w:ind w:firstLine="560" w:firstLineChars="200"/>
        <w:rPr>
          <w:rFonts w:ascii="华文行楷" w:hAnsi="华文楷体" w:eastAsia="华文行楷" w:cs="华文楷体"/>
          <w:color w:val="auto"/>
          <w:szCs w:val="28"/>
        </w:rPr>
      </w:pPr>
      <w:r>
        <w:rPr>
          <w:rFonts w:hint="eastAsia" w:ascii="华文行楷" w:hAnsi="华文楷体" w:eastAsia="华文行楷" w:cs="华文楷体"/>
          <w:color w:val="auto"/>
          <w:szCs w:val="28"/>
        </w:rPr>
        <w:t>本工程的项目负责人、技术负责人未经招标人同意不得擅自更换。中标人擅自更换投标书中确认的项目负责人、将承担每人次5万元的违约金（仅刑拘、身亡可免责）；中标人擅自更换投标书中确认的技术负责人，将承担每人次2万元的违约金（仅刑拘、身亡可免责）；招标人有权暂停支付工程款，甚至终止施工合同，并保留索赔的权利。招标人因项目负责人、技术负责人工作能力、工作水平不足，或工作质量差，主动要求中标人更换项目负责人、技术负责人；或中标人提出更换项目负责人、技术负责人申请且获委托人批准后更换的，中标人仍需支付每人次5万元的违约金。</w:t>
      </w:r>
    </w:p>
    <w:p>
      <w:pPr>
        <w:pStyle w:val="50"/>
        <w:spacing w:line="520" w:lineRule="exact"/>
        <w:ind w:firstLine="560" w:firstLineChars="200"/>
        <w:rPr>
          <w:rFonts w:ascii="华文行楷" w:hAnsi="华文楷体" w:eastAsia="华文行楷" w:cs="华文楷体"/>
          <w:color w:val="auto"/>
          <w:szCs w:val="28"/>
        </w:rPr>
      </w:pPr>
      <w:r>
        <w:rPr>
          <w:rFonts w:hint="eastAsia" w:ascii="华文行楷" w:hAnsi="华文楷体" w:eastAsia="华文行楷" w:cs="华文楷体"/>
          <w:color w:val="auto"/>
          <w:szCs w:val="28"/>
        </w:rPr>
        <w:t>2.10.7 本次招标由中标人支付广州公共资源交易服务费，收费标准参照广州公共资源交易中心（http://ggzy.gz.gov.cn/fwznbszycwxg/359616.jhtml）服务指南</w:t>
      </w:r>
      <w:r>
        <w:rPr>
          <w:rFonts w:ascii="Arial" w:hAnsi="Arial" w:eastAsia="华文行楷" w:cs="Arial"/>
          <w:color w:val="auto"/>
          <w:szCs w:val="28"/>
        </w:rPr>
        <w:t>→</w:t>
      </w:r>
      <w:r>
        <w:rPr>
          <w:rFonts w:hint="eastAsia" w:ascii="华文行楷" w:hAnsi="华文楷体" w:eastAsia="华文行楷" w:cs="华文楷体"/>
          <w:color w:val="auto"/>
          <w:szCs w:val="28"/>
        </w:rPr>
        <w:t>《广州公共资源交易中心关于公共资源交易服务费标准及相关指引的说明》。</w:t>
      </w:r>
    </w:p>
    <w:p>
      <w:pPr>
        <w:pStyle w:val="56"/>
        <w:spacing w:line="520" w:lineRule="exact"/>
        <w:ind w:firstLine="560" w:firstLineChars="200"/>
        <w:rPr>
          <w:rFonts w:ascii="宋体"/>
          <w:b w:val="0"/>
          <w:bCs/>
          <w:color w:val="auto"/>
          <w:sz w:val="28"/>
          <w:szCs w:val="28"/>
        </w:rPr>
      </w:pPr>
      <w:r>
        <w:rPr>
          <w:rFonts w:hint="eastAsia" w:ascii="华文行楷" w:hAnsi="华文楷体" w:eastAsia="华文行楷" w:cs="华文楷体"/>
          <w:b w:val="0"/>
          <w:bCs/>
          <w:color w:val="auto"/>
          <w:sz w:val="28"/>
          <w:szCs w:val="28"/>
        </w:rPr>
        <w:t xml:space="preserve">2.10.8 </w:t>
      </w:r>
      <w:r>
        <w:rPr>
          <w:rFonts w:hint="eastAsia" w:ascii="华文行楷" w:hAnsi="华文楷体" w:eastAsia="华文行楷" w:cs="华文楷体"/>
          <w:b w:val="0"/>
          <w:bCs/>
          <w:color w:val="auto"/>
          <w:szCs w:val="28"/>
        </w:rPr>
        <w:t>本次招标向招标人收取招标代理服务费，收费标准按中华人民共和国国家发展计划委员会颁发的《招标代理服务收费管理暂行办法》（计价格【2002】1980号的收费标准×（1-</w:t>
      </w:r>
      <w:r>
        <w:rPr>
          <w:rFonts w:hint="eastAsia" w:ascii="华文行楷" w:hAnsi="华文楷体" w:eastAsia="华文行楷" w:cs="华文楷体"/>
          <w:b w:val="0"/>
          <w:bCs/>
          <w:color w:val="auto"/>
          <w:szCs w:val="28"/>
          <w:lang w:val="en-US" w:eastAsia="zh-CN"/>
        </w:rPr>
        <w:t>20</w:t>
      </w:r>
      <w:r>
        <w:rPr>
          <w:rFonts w:hint="eastAsia" w:ascii="华文行楷" w:hAnsi="华文楷体" w:eastAsia="华文行楷" w:cs="华文楷体"/>
          <w:b w:val="0"/>
          <w:bCs/>
          <w:color w:val="auto"/>
          <w:szCs w:val="28"/>
        </w:rPr>
        <w:t>%），</w:t>
      </w:r>
      <w:r>
        <w:rPr>
          <w:rFonts w:hint="eastAsia" w:ascii="华文行楷" w:hAnsi="华文楷体" w:eastAsia="华文行楷" w:cs="华文楷体"/>
          <w:b w:val="0"/>
          <w:bCs/>
          <w:color w:val="auto"/>
          <w:szCs w:val="28"/>
          <w:lang w:val="en-US" w:eastAsia="zh-CN"/>
        </w:rPr>
        <w:t>招标</w:t>
      </w:r>
      <w:r>
        <w:rPr>
          <w:rFonts w:hint="eastAsia" w:ascii="华文行楷" w:hAnsi="华文楷体" w:eastAsia="华文行楷" w:cs="华文楷体"/>
          <w:b w:val="0"/>
          <w:bCs/>
          <w:color w:val="auto"/>
          <w:szCs w:val="28"/>
        </w:rPr>
        <w:t>代理服务费以中标金额计取）。</w:t>
      </w:r>
      <w:r>
        <w:rPr>
          <w:rFonts w:ascii="宋体"/>
          <w:b w:val="0"/>
          <w:bCs/>
          <w:color w:val="auto"/>
          <w:sz w:val="28"/>
          <w:szCs w:val="28"/>
        </w:rPr>
        <w:t xml:space="preserve"> </w:t>
      </w:r>
    </w:p>
    <w:p>
      <w:pPr>
        <w:pStyle w:val="56"/>
        <w:spacing w:line="520" w:lineRule="exact"/>
        <w:ind w:firstLine="560" w:firstLineChars="200"/>
        <w:rPr>
          <w:rFonts w:ascii="宋体"/>
          <w:color w:val="auto"/>
          <w:sz w:val="28"/>
          <w:szCs w:val="28"/>
        </w:rPr>
      </w:pPr>
      <w:r>
        <w:rPr>
          <w:rFonts w:hint="eastAsia" w:ascii="宋体"/>
          <w:color w:val="auto"/>
          <w:sz w:val="28"/>
          <w:szCs w:val="28"/>
        </w:rPr>
        <w:t>2.11招标控制价</w:t>
      </w:r>
    </w:p>
    <w:p>
      <w:pPr>
        <w:pStyle w:val="56"/>
        <w:spacing w:line="520" w:lineRule="exact"/>
        <w:ind w:firstLine="560" w:firstLineChars="200"/>
        <w:rPr>
          <w:rFonts w:ascii="宋体"/>
          <w:b w:val="0"/>
          <w:bCs/>
          <w:color w:val="auto"/>
          <w:sz w:val="28"/>
          <w:szCs w:val="28"/>
        </w:rPr>
      </w:pPr>
      <w:r>
        <w:rPr>
          <w:rFonts w:hint="eastAsia" w:ascii="宋体"/>
          <w:b w:val="0"/>
          <w:bCs/>
          <w:color w:val="auto"/>
          <w:sz w:val="28"/>
          <w:szCs w:val="28"/>
        </w:rPr>
        <w:t>经审定的本工程招标控制价为</w:t>
      </w:r>
      <w:r>
        <w:rPr>
          <w:rFonts w:hint="eastAsia" w:ascii="宋体"/>
          <w:b w:val="0"/>
          <w:bCs/>
          <w:color w:val="auto"/>
          <w:sz w:val="28"/>
          <w:szCs w:val="28"/>
          <w:u w:val="single"/>
        </w:rPr>
        <w:t xml:space="preserve"> </w:t>
      </w:r>
      <w:r>
        <w:rPr>
          <w:rFonts w:hint="eastAsia" w:ascii="华文行楷" w:hAnsi="华文行楷" w:eastAsia="华文行楷" w:cs="华文行楷"/>
          <w:color w:val="auto"/>
          <w:sz w:val="28"/>
          <w:szCs w:val="28"/>
          <w:u w:val="single"/>
          <w:lang w:val="en-US" w:eastAsia="zh-CN"/>
        </w:rPr>
        <w:t>21702531.24</w:t>
      </w:r>
      <w:r>
        <w:rPr>
          <w:rFonts w:hint="eastAsia" w:ascii="宋体"/>
          <w:b w:val="0"/>
          <w:bCs/>
          <w:color w:val="auto"/>
          <w:sz w:val="28"/>
          <w:szCs w:val="28"/>
          <w:u w:val="single"/>
        </w:rPr>
        <w:t xml:space="preserve"> </w:t>
      </w:r>
      <w:r>
        <w:rPr>
          <w:rFonts w:hint="eastAsia" w:ascii="宋体"/>
          <w:b w:val="0"/>
          <w:bCs/>
          <w:color w:val="auto"/>
          <w:sz w:val="28"/>
          <w:szCs w:val="28"/>
        </w:rPr>
        <w:t>元，其中绿色施工安全防护措施费为</w:t>
      </w:r>
      <w:r>
        <w:rPr>
          <w:rFonts w:hint="eastAsia" w:ascii="华文行楷" w:hAnsi="华文行楷" w:eastAsia="华文行楷" w:cs="华文行楷"/>
          <w:color w:val="auto"/>
          <w:sz w:val="28"/>
          <w:szCs w:val="28"/>
          <w:u w:val="single"/>
          <w:lang w:eastAsia="zh-CN"/>
        </w:rPr>
        <w:t>779714.63</w:t>
      </w:r>
      <w:r>
        <w:rPr>
          <w:rFonts w:hint="eastAsia" w:ascii="宋体"/>
          <w:b w:val="0"/>
          <w:bCs/>
          <w:color w:val="auto"/>
          <w:sz w:val="28"/>
          <w:szCs w:val="28"/>
        </w:rPr>
        <w:t>元</w:t>
      </w:r>
      <w:r>
        <w:rPr>
          <w:rFonts w:hint="eastAsia" w:ascii="宋体"/>
          <w:b w:val="0"/>
          <w:color w:val="auto"/>
          <w:sz w:val="28"/>
          <w:szCs w:val="28"/>
        </w:rPr>
        <w:t>。</w:t>
      </w:r>
      <w:r>
        <w:rPr>
          <w:rFonts w:hint="eastAsia" w:ascii="宋体"/>
          <w:b w:val="0"/>
          <w:bCs/>
          <w:color w:val="auto"/>
          <w:sz w:val="28"/>
          <w:szCs w:val="28"/>
        </w:rPr>
        <w:t>（</w:t>
      </w:r>
      <w:r>
        <w:rPr>
          <w:rFonts w:hint="eastAsia" w:ascii="宋体"/>
          <w:b w:val="0"/>
          <w:bCs/>
          <w:color w:val="auto"/>
          <w:sz w:val="28"/>
        </w:rPr>
        <w:t>在投标报价时必须按招标</w:t>
      </w:r>
      <w:r>
        <w:rPr>
          <w:rFonts w:hint="eastAsia" w:ascii="宋体"/>
          <w:b w:val="0"/>
          <w:bCs/>
          <w:color w:val="auto"/>
          <w:sz w:val="28"/>
          <w:szCs w:val="28"/>
        </w:rPr>
        <w:t>控制价</w:t>
      </w:r>
      <w:r>
        <w:rPr>
          <w:rFonts w:hint="eastAsia" w:ascii="宋体"/>
          <w:b w:val="0"/>
          <w:bCs/>
          <w:color w:val="auto"/>
          <w:sz w:val="28"/>
        </w:rPr>
        <w:t>中给出的绿色施工安全防护措施费项目金额、</w:t>
      </w:r>
      <w:r>
        <w:rPr>
          <w:rFonts w:hint="eastAsia" w:ascii="宋体"/>
          <w:b w:val="0"/>
          <w:color w:val="auto"/>
          <w:sz w:val="28"/>
        </w:rPr>
        <w:t>暂估价（如有）、暂列金额报价，</w:t>
      </w:r>
      <w:r>
        <w:rPr>
          <w:rFonts w:hint="eastAsia" w:ascii="宋体"/>
          <w:b w:val="0"/>
          <w:bCs/>
          <w:color w:val="auto"/>
          <w:sz w:val="28"/>
        </w:rPr>
        <w:t>不得改变金额，否则作废标处理</w:t>
      </w:r>
      <w:r>
        <w:rPr>
          <w:rFonts w:hint="eastAsia" w:ascii="宋体"/>
          <w:b w:val="0"/>
          <w:bCs/>
          <w:color w:val="auto"/>
          <w:sz w:val="28"/>
          <w:szCs w:val="28"/>
        </w:rPr>
        <w:t>）。</w:t>
      </w:r>
    </w:p>
    <w:p>
      <w:pPr>
        <w:pStyle w:val="4"/>
        <w:spacing w:before="0" w:after="0" w:line="520" w:lineRule="exact"/>
        <w:ind w:firstLine="640" w:firstLineChars="200"/>
        <w:rPr>
          <w:rFonts w:ascii="宋体" w:eastAsia="宋体"/>
          <w:color w:val="auto"/>
        </w:rPr>
      </w:pPr>
      <w:bookmarkStart w:id="10" w:name="_Toc2577"/>
      <w:bookmarkStart w:id="11" w:name="_Toc48210812"/>
      <w:r>
        <w:rPr>
          <w:rFonts w:hint="eastAsia" w:ascii="宋体" w:eastAsia="宋体"/>
          <w:color w:val="auto"/>
        </w:rPr>
        <w:t>3.结算原则及付款方式</w:t>
      </w:r>
      <w:bookmarkEnd w:id="10"/>
      <w:bookmarkEnd w:id="11"/>
    </w:p>
    <w:p>
      <w:pPr>
        <w:pStyle w:val="50"/>
        <w:spacing w:line="520" w:lineRule="exact"/>
        <w:rPr>
          <w:rFonts w:ascii="宋体"/>
          <w:b/>
          <w:bCs/>
          <w:color w:val="auto"/>
          <w:szCs w:val="28"/>
        </w:rPr>
      </w:pPr>
      <w:r>
        <w:rPr>
          <w:rFonts w:hint="eastAsia" w:ascii="宋体"/>
          <w:b/>
          <w:bCs/>
          <w:color w:val="auto"/>
          <w:szCs w:val="28"/>
        </w:rPr>
        <w:t>3.1 结算原则</w:t>
      </w:r>
    </w:p>
    <w:p>
      <w:pPr>
        <w:spacing w:line="520" w:lineRule="exact"/>
        <w:ind w:firstLine="565" w:firstLineChars="202"/>
        <w:rPr>
          <w:rFonts w:ascii="宋体"/>
          <w:b/>
          <w:bCs/>
          <w:color w:val="auto"/>
          <w:sz w:val="28"/>
          <w:szCs w:val="28"/>
        </w:rPr>
      </w:pPr>
      <w:r>
        <w:rPr>
          <w:rFonts w:hint="eastAsia" w:ascii="宋体"/>
          <w:color w:val="auto"/>
          <w:sz w:val="28"/>
          <w:szCs w:val="28"/>
        </w:rPr>
        <w:t>3.1.1本工程采用</w:t>
      </w:r>
      <w:r>
        <w:rPr>
          <w:rFonts w:hint="eastAsia" w:ascii="宋体"/>
          <w:b/>
          <w:bCs/>
          <w:color w:val="auto"/>
          <w:sz w:val="28"/>
          <w:szCs w:val="28"/>
          <w:u w:val="single"/>
        </w:rPr>
        <w:t>固定单价</w:t>
      </w:r>
      <w:r>
        <w:rPr>
          <w:rFonts w:hint="eastAsia" w:ascii="宋体"/>
          <w:b/>
          <w:bCs/>
          <w:color w:val="auto"/>
          <w:sz w:val="28"/>
          <w:szCs w:val="28"/>
        </w:rPr>
        <w:t>合同。</w:t>
      </w:r>
    </w:p>
    <w:p>
      <w:pPr>
        <w:spacing w:line="520" w:lineRule="exact"/>
        <w:ind w:firstLine="565" w:firstLineChars="202"/>
        <w:rPr>
          <w:rFonts w:ascii="宋体"/>
          <w:color w:val="auto"/>
          <w:sz w:val="28"/>
          <w:szCs w:val="28"/>
        </w:rPr>
      </w:pPr>
      <w:r>
        <w:rPr>
          <w:rFonts w:hint="eastAsia" w:ascii="宋体"/>
          <w:color w:val="auto"/>
          <w:sz w:val="28"/>
          <w:szCs w:val="28"/>
        </w:rPr>
        <w:t>投标人在投标报价时，必须根据招标人在招标前提供的施工图纸、工程量清单，并结合企业自身实际情况以及招标前的施工现场情况与周围环境条件、工程地质条件等因素和风险进行综合报价。</w:t>
      </w:r>
    </w:p>
    <w:p>
      <w:pPr>
        <w:spacing w:line="520" w:lineRule="exact"/>
        <w:ind w:firstLine="562" w:firstLineChars="201"/>
        <w:rPr>
          <w:rFonts w:ascii="宋体"/>
          <w:color w:val="auto"/>
          <w:sz w:val="28"/>
          <w:szCs w:val="28"/>
        </w:rPr>
      </w:pPr>
      <w:r>
        <w:rPr>
          <w:rFonts w:hint="eastAsia" w:ascii="宋体"/>
          <w:b/>
          <w:bCs/>
          <w:color w:val="auto"/>
          <w:sz w:val="28"/>
          <w:szCs w:val="28"/>
        </w:rPr>
        <w:t xml:space="preserve">固定单价合同 </w:t>
      </w:r>
      <w:r>
        <w:rPr>
          <w:rFonts w:hint="eastAsia" w:ascii="宋体"/>
          <w:color w:val="auto"/>
          <w:sz w:val="28"/>
          <w:szCs w:val="28"/>
        </w:rPr>
        <w:t>工程量按实际发生计算。除实际施工图纸与招标图纸、地质资料与实际地质情况发生变化；工程量清单出现漏项、错项；实际施工现场情况与周围环境条件出现与招标前不同等因素；以及国家法律、法规、规章和政策发生变化等因素及风险可进行调整其综合单价外，其他因素及风险均由投标人进行综合考虑，结算时综合单价按中标价中相应清单综合单价固定不变。</w:t>
      </w:r>
    </w:p>
    <w:p>
      <w:pPr>
        <w:spacing w:line="520" w:lineRule="exact"/>
        <w:ind w:firstLine="560" w:firstLineChars="200"/>
        <w:rPr>
          <w:color w:val="auto"/>
          <w:sz w:val="28"/>
          <w:szCs w:val="28"/>
        </w:rPr>
      </w:pPr>
      <w:r>
        <w:rPr>
          <w:rFonts w:ascii="宋体"/>
          <w:b/>
          <w:color w:val="auto"/>
          <w:sz w:val="28"/>
          <w:szCs w:val="28"/>
        </w:rPr>
        <w:t>省级或行业建设主管部门发布的人工、机具费调整（投标人对人工费、机具费或人工、机具单价的报价高于发布的除外）以及</w:t>
      </w:r>
      <w:r>
        <w:rPr>
          <w:rFonts w:hint="eastAsia" w:ascii="宋体"/>
          <w:b/>
          <w:color w:val="auto"/>
          <w:sz w:val="28"/>
          <w:szCs w:val="28"/>
        </w:rPr>
        <w:t>由政府定价或政府发布综合价的原材料价格</w:t>
      </w:r>
      <w:r>
        <w:rPr>
          <w:rFonts w:ascii="宋体"/>
          <w:b/>
          <w:color w:val="auto"/>
          <w:sz w:val="28"/>
          <w:szCs w:val="28"/>
        </w:rPr>
        <w:t>进行了调整的，</w:t>
      </w:r>
      <w:r>
        <w:rPr>
          <w:rFonts w:hint="eastAsia" w:ascii="宋体"/>
          <w:b/>
          <w:color w:val="auto"/>
          <w:sz w:val="28"/>
          <w:szCs w:val="28"/>
        </w:rPr>
        <w:t>按3.1.5条约定计算人工、材料及机具费价差，分部分项工程价差计入分部分项工程费, 措施项目工程价差计入措施项目工程费。</w:t>
      </w:r>
    </w:p>
    <w:p>
      <w:pPr>
        <w:spacing w:line="520" w:lineRule="exact"/>
        <w:ind w:firstLine="700" w:firstLineChars="250"/>
        <w:rPr>
          <w:rFonts w:ascii="宋体"/>
          <w:color w:val="auto"/>
          <w:szCs w:val="28"/>
        </w:rPr>
      </w:pPr>
      <w:r>
        <w:rPr>
          <w:rFonts w:hint="eastAsia" w:ascii="宋体"/>
          <w:color w:val="auto"/>
          <w:sz w:val="28"/>
          <w:szCs w:val="28"/>
        </w:rPr>
        <w:t>3.1.2根据《广东省住房和城乡建设厅印发〈广东省住房和城乡建设厅关于房屋建筑和市政基础设施工程施工过程结算的若干指导意见〉的通知》（粤建市〔2019〕116号），该项目实行施工过程结算，将在施工合同约定施工过程结算周期、计量计价方法、风险范围、验收要求，以及价款支付时间、程序、方法、比例等内容。</w:t>
      </w:r>
    </w:p>
    <w:p>
      <w:pPr>
        <w:pStyle w:val="50"/>
        <w:spacing w:line="520" w:lineRule="exact"/>
        <w:ind w:firstLine="565" w:firstLineChars="202"/>
        <w:rPr>
          <w:rFonts w:ascii="宋体"/>
          <w:color w:val="auto"/>
          <w:szCs w:val="28"/>
        </w:rPr>
      </w:pPr>
      <w:r>
        <w:rPr>
          <w:rFonts w:hint="eastAsia" w:ascii="宋体"/>
          <w:color w:val="auto"/>
          <w:szCs w:val="28"/>
        </w:rPr>
        <w:t>3.1.3本招标工程的最后结算根据招标人提供工程的施工图、相关资料及说明，按《建设工程工程量清单计价规范》（GB50500-2013）以及各专业工程计量规范、《广东省建设工程计价依据》（2018）、</w:t>
      </w:r>
      <w:r>
        <w:rPr>
          <w:rFonts w:hint="eastAsia" w:ascii="华文行楷" w:eastAsia="华文行楷"/>
          <w:color w:val="auto"/>
          <w:szCs w:val="28"/>
        </w:rPr>
        <w:t>《广东省市政工程综合定额（2018）》</w:t>
      </w:r>
      <w:r>
        <w:rPr>
          <w:rFonts w:hint="eastAsia" w:ascii="宋体"/>
          <w:color w:val="auto"/>
          <w:szCs w:val="28"/>
        </w:rPr>
        <w:t>等规定进行工程结算。</w:t>
      </w:r>
    </w:p>
    <w:p>
      <w:pPr>
        <w:pStyle w:val="50"/>
        <w:spacing w:line="520" w:lineRule="exact"/>
        <w:ind w:firstLine="560" w:firstLineChars="200"/>
        <w:rPr>
          <w:rFonts w:ascii="宋体"/>
          <w:color w:val="auto"/>
          <w:szCs w:val="28"/>
        </w:rPr>
      </w:pPr>
      <w:r>
        <w:rPr>
          <w:rFonts w:hint="eastAsia" w:ascii="宋体"/>
          <w:color w:val="auto"/>
          <w:szCs w:val="28"/>
        </w:rPr>
        <w:t>3.1.4因工程变更引起已标价工程量清单项目或其工程数量发生变化时，应按照下列规定调整：</w:t>
      </w:r>
    </w:p>
    <w:p>
      <w:pPr>
        <w:pStyle w:val="50"/>
        <w:spacing w:line="520" w:lineRule="exact"/>
        <w:ind w:firstLine="560" w:firstLineChars="200"/>
        <w:rPr>
          <w:rFonts w:ascii="宋体"/>
          <w:bCs/>
          <w:color w:val="auto"/>
          <w:szCs w:val="28"/>
        </w:rPr>
      </w:pPr>
      <w:r>
        <w:rPr>
          <w:rFonts w:hint="eastAsia" w:ascii="宋体"/>
          <w:color w:val="auto"/>
          <w:szCs w:val="28"/>
        </w:rPr>
        <w:t>①已标价工程量清单中有适用于变更工程项目的，应采用该项目的单价。</w:t>
      </w:r>
    </w:p>
    <w:p>
      <w:pPr>
        <w:pStyle w:val="50"/>
        <w:spacing w:line="520" w:lineRule="exact"/>
        <w:ind w:firstLine="560" w:firstLineChars="200"/>
        <w:rPr>
          <w:rFonts w:ascii="宋体"/>
          <w:color w:val="auto"/>
          <w:szCs w:val="28"/>
        </w:rPr>
      </w:pPr>
      <w:r>
        <w:rPr>
          <w:rFonts w:hint="eastAsia" w:ascii="宋体"/>
          <w:color w:val="auto"/>
          <w:szCs w:val="28"/>
        </w:rPr>
        <w:t>②已标价工程量清单中没有适用但有类似于变更工程项目的，</w:t>
      </w:r>
      <w:r>
        <w:rPr>
          <w:rFonts w:hint="eastAsia" w:ascii="华文行楷" w:eastAsia="华文行楷"/>
          <w:color w:val="auto"/>
          <w:szCs w:val="28"/>
        </w:rPr>
        <w:t>应采用该项目类似的综合单价</w:t>
      </w:r>
      <w:r>
        <w:rPr>
          <w:rFonts w:hint="eastAsia" w:ascii="宋体"/>
          <w:color w:val="auto"/>
          <w:szCs w:val="28"/>
        </w:rPr>
        <w:t>。</w:t>
      </w:r>
    </w:p>
    <w:p>
      <w:pPr>
        <w:pStyle w:val="50"/>
        <w:spacing w:line="520" w:lineRule="exact"/>
        <w:ind w:firstLine="560" w:firstLineChars="200"/>
        <w:rPr>
          <w:rFonts w:ascii="宋体"/>
          <w:color w:val="auto"/>
          <w:szCs w:val="28"/>
        </w:rPr>
      </w:pPr>
      <w:r>
        <w:rPr>
          <w:rFonts w:hint="eastAsia" w:ascii="宋体"/>
          <w:color w:val="auto"/>
          <w:szCs w:val="28"/>
        </w:rPr>
        <w:t>③已标价工程量清单中没有适用也没有类似于变更工程项目的，应由承包人根据变更工程资料、计量规则和计价办法、工程造价管理机构发布的信息价格和承包人报价浮动率提出变更工程项目的单价，并应报发包人确认后调整。</w:t>
      </w:r>
    </w:p>
    <w:p>
      <w:pPr>
        <w:pStyle w:val="50"/>
        <w:spacing w:line="520" w:lineRule="exact"/>
        <w:ind w:firstLine="560" w:firstLineChars="200"/>
        <w:rPr>
          <w:rFonts w:ascii="宋体"/>
          <w:color w:val="auto"/>
          <w:szCs w:val="28"/>
        </w:rPr>
      </w:pPr>
      <w:r>
        <w:rPr>
          <w:rFonts w:hint="eastAsia" w:ascii="宋体"/>
          <w:color w:val="auto"/>
          <w:szCs w:val="28"/>
        </w:rPr>
        <w:t>承包人报价浮动率可按下列公式计算：</w:t>
      </w:r>
    </w:p>
    <w:p>
      <w:pPr>
        <w:pStyle w:val="50"/>
        <w:spacing w:line="520" w:lineRule="exact"/>
        <w:ind w:firstLine="0"/>
        <w:rPr>
          <w:rFonts w:ascii="宋体"/>
          <w:color w:val="auto"/>
          <w:szCs w:val="28"/>
        </w:rPr>
      </w:pPr>
      <w:r>
        <w:rPr>
          <w:rFonts w:hint="eastAsia" w:ascii="宋体"/>
          <w:color w:val="auto"/>
          <w:szCs w:val="28"/>
        </w:rPr>
        <w:t xml:space="preserve">    承包人报价浮动率L=（1—中标价/招标控制价）×100% </w:t>
      </w:r>
    </w:p>
    <w:p>
      <w:pPr>
        <w:pStyle w:val="50"/>
        <w:spacing w:line="520" w:lineRule="exact"/>
        <w:ind w:firstLine="560" w:firstLineChars="200"/>
        <w:rPr>
          <w:rFonts w:ascii="宋体"/>
          <w:color w:val="auto"/>
          <w:szCs w:val="28"/>
        </w:rPr>
      </w:pPr>
      <w:r>
        <w:rPr>
          <w:rFonts w:hint="eastAsia" w:ascii="宋体"/>
          <w:color w:val="auto"/>
          <w:szCs w:val="28"/>
        </w:rPr>
        <w:t>④已标价工程量清单中没有适用也没有类似于变更工程项目，且工程造价管理机构发布的信息价格缺价的，</w:t>
      </w:r>
      <w:r>
        <w:rPr>
          <w:rFonts w:hint="eastAsia" w:ascii="华文行楷" w:eastAsia="华文行楷"/>
          <w:color w:val="auto"/>
          <w:szCs w:val="28"/>
        </w:rPr>
        <w:t>由区财政局、建设、设计、监理、施工单位组成的询价小组以湛江市中心为中心，“由近到远”为原则联合进行市场调研确定</w:t>
      </w:r>
      <w:r>
        <w:rPr>
          <w:rFonts w:hint="eastAsia" w:ascii="宋体"/>
          <w:color w:val="auto"/>
          <w:szCs w:val="28"/>
        </w:rPr>
        <w:t>。</w:t>
      </w:r>
    </w:p>
    <w:p>
      <w:pPr>
        <w:pStyle w:val="50"/>
        <w:spacing w:line="520" w:lineRule="exact"/>
        <w:ind w:firstLine="560" w:firstLineChars="200"/>
        <w:rPr>
          <w:rFonts w:ascii="宋体"/>
          <w:bCs/>
          <w:color w:val="auto"/>
          <w:szCs w:val="28"/>
        </w:rPr>
      </w:pPr>
      <w:r>
        <w:rPr>
          <w:rFonts w:hint="eastAsia" w:ascii="宋体"/>
          <w:bCs/>
          <w:color w:val="auto"/>
          <w:szCs w:val="28"/>
        </w:rPr>
        <w:t>3.1.5工程变更引起施工方案改变并使措施项目发生变化时，承包人提出调整措施项目费的，应事先将拟实施的方案提交发包人确认，并应详细说明与原方案措施项目相比的变化情况。拟实施的方案经发承包双方确认后执行，并应按照下列规定调整措施项目费：</w:t>
      </w:r>
    </w:p>
    <w:p>
      <w:pPr>
        <w:pStyle w:val="50"/>
        <w:spacing w:line="520" w:lineRule="exact"/>
        <w:ind w:firstLine="560" w:firstLineChars="200"/>
        <w:rPr>
          <w:rFonts w:ascii="宋体"/>
          <w:bCs/>
          <w:color w:val="auto"/>
          <w:szCs w:val="28"/>
        </w:rPr>
      </w:pPr>
      <w:r>
        <w:rPr>
          <w:rFonts w:hint="eastAsia" w:ascii="宋体"/>
          <w:color w:val="auto"/>
          <w:szCs w:val="28"/>
        </w:rPr>
        <w:t>①绿色施工安全防护措施</w:t>
      </w:r>
      <w:r>
        <w:rPr>
          <w:rFonts w:hint="eastAsia" w:ascii="宋体"/>
          <w:bCs/>
          <w:color w:val="auto"/>
          <w:szCs w:val="28"/>
        </w:rPr>
        <w:t>费应按照实际发生变化的措施项目</w:t>
      </w:r>
      <w:r>
        <w:rPr>
          <w:rFonts w:hint="eastAsia" w:ascii="宋体"/>
          <w:color w:val="auto"/>
          <w:szCs w:val="28"/>
        </w:rPr>
        <w:t>《广东省建设工程计价依据》（2018）中相应的规定执行。</w:t>
      </w:r>
    </w:p>
    <w:p>
      <w:pPr>
        <w:pStyle w:val="50"/>
        <w:spacing w:line="520" w:lineRule="exact"/>
        <w:ind w:firstLine="560" w:firstLineChars="200"/>
        <w:rPr>
          <w:rFonts w:ascii="宋体"/>
          <w:bCs/>
          <w:color w:val="auto"/>
          <w:szCs w:val="28"/>
        </w:rPr>
      </w:pPr>
      <w:r>
        <w:rPr>
          <w:rFonts w:hint="eastAsia" w:ascii="宋体"/>
          <w:color w:val="auto"/>
          <w:szCs w:val="28"/>
        </w:rPr>
        <w:t>②</w:t>
      </w:r>
      <w:r>
        <w:rPr>
          <w:rFonts w:hint="eastAsia" w:ascii="宋体"/>
          <w:bCs/>
          <w:color w:val="auto"/>
          <w:szCs w:val="28"/>
        </w:rPr>
        <w:t>采用单价计算的措施项目费，应按照实际发生变化的措施项目，按3.1.3点的规定确定单价。</w:t>
      </w:r>
    </w:p>
    <w:p>
      <w:pPr>
        <w:pStyle w:val="50"/>
        <w:spacing w:line="520" w:lineRule="exact"/>
        <w:ind w:firstLine="560" w:firstLineChars="200"/>
        <w:rPr>
          <w:rFonts w:ascii="宋体"/>
          <w:bCs/>
          <w:color w:val="auto"/>
          <w:szCs w:val="28"/>
        </w:rPr>
      </w:pPr>
      <w:r>
        <w:rPr>
          <w:rFonts w:hint="eastAsia" w:ascii="宋体"/>
          <w:color w:val="auto"/>
          <w:szCs w:val="28"/>
        </w:rPr>
        <w:t>③</w:t>
      </w:r>
      <w:r>
        <w:rPr>
          <w:rFonts w:hint="eastAsia" w:ascii="宋体"/>
          <w:bCs/>
          <w:color w:val="auto"/>
          <w:szCs w:val="28"/>
        </w:rPr>
        <w:t>按总价（或系数）计算的措施其他项目费，按照投标的措施其他项目费系数计算。</w:t>
      </w:r>
    </w:p>
    <w:p>
      <w:pPr>
        <w:pStyle w:val="50"/>
        <w:spacing w:line="520" w:lineRule="exact"/>
        <w:ind w:firstLine="560" w:firstLineChars="200"/>
        <w:rPr>
          <w:rFonts w:ascii="宋体"/>
          <w:bCs/>
          <w:color w:val="auto"/>
          <w:szCs w:val="28"/>
        </w:rPr>
      </w:pPr>
      <w:r>
        <w:rPr>
          <w:rFonts w:hint="eastAsia" w:ascii="宋体"/>
          <w:bCs/>
          <w:color w:val="auto"/>
          <w:szCs w:val="28"/>
        </w:rPr>
        <w:t>如果承包人未事先将拟实施的方案提交给发包人确认，则应视为工程变更不引起措施项目费的调整或承包人放弃调整措施项目费的权利。</w:t>
      </w:r>
    </w:p>
    <w:p>
      <w:pPr>
        <w:pStyle w:val="50"/>
        <w:spacing w:line="520" w:lineRule="exact"/>
        <w:ind w:firstLine="560" w:firstLineChars="200"/>
        <w:rPr>
          <w:rFonts w:ascii="宋体"/>
          <w:bCs/>
          <w:color w:val="auto"/>
          <w:szCs w:val="28"/>
        </w:rPr>
      </w:pPr>
      <w:r>
        <w:rPr>
          <w:rFonts w:hint="eastAsia" w:ascii="宋体"/>
          <w:bCs/>
          <w:color w:val="auto"/>
          <w:szCs w:val="28"/>
        </w:rPr>
        <w:t>3.1.6计价中的风险内容及其范围：</w:t>
      </w:r>
    </w:p>
    <w:p>
      <w:pPr>
        <w:pStyle w:val="50"/>
        <w:spacing w:line="520" w:lineRule="exact"/>
        <w:ind w:firstLine="560" w:firstLineChars="200"/>
        <w:rPr>
          <w:rFonts w:ascii="宋体" w:hAnsi="宋体" w:cs="宋体"/>
          <w:color w:val="auto"/>
          <w:kern w:val="0"/>
          <w:szCs w:val="28"/>
        </w:rPr>
      </w:pPr>
      <w:r>
        <w:rPr>
          <w:rFonts w:hint="eastAsia" w:ascii="宋体"/>
          <w:color w:val="auto"/>
          <w:szCs w:val="28"/>
        </w:rPr>
        <w:t>①</w:t>
      </w:r>
      <w:r>
        <w:rPr>
          <w:rFonts w:hint="eastAsia" w:ascii="宋体" w:hAnsi="宋体" w:cs="宋体"/>
          <w:color w:val="auto"/>
          <w:kern w:val="0"/>
          <w:szCs w:val="28"/>
        </w:rPr>
        <w:t>人工（含机具台班中的人工）风险幅度为零，实行动态工资调整，具体调整办法按</w:t>
      </w:r>
      <w:r>
        <w:rPr>
          <w:rFonts w:hint="eastAsia" w:ascii="宋体" w:hAnsi="宋体"/>
          <w:color w:val="auto"/>
          <w:szCs w:val="28"/>
        </w:rPr>
        <w:t>湛江市</w:t>
      </w:r>
      <w:r>
        <w:rPr>
          <w:rFonts w:hint="eastAsia" w:ascii="宋体" w:hAnsi="宋体" w:cs="宋体"/>
          <w:color w:val="auto"/>
          <w:kern w:val="0"/>
          <w:szCs w:val="28"/>
        </w:rPr>
        <w:t>工程造价管理部门的规定；</w:t>
      </w:r>
    </w:p>
    <w:p>
      <w:pPr>
        <w:pStyle w:val="50"/>
        <w:spacing w:line="520" w:lineRule="exact"/>
        <w:ind w:firstLine="560" w:firstLineChars="200"/>
        <w:rPr>
          <w:rFonts w:ascii="宋体"/>
          <w:bCs/>
          <w:color w:val="auto"/>
          <w:szCs w:val="28"/>
        </w:rPr>
      </w:pPr>
      <w:r>
        <w:rPr>
          <w:rFonts w:hint="eastAsia" w:ascii="宋体"/>
          <w:color w:val="auto"/>
          <w:szCs w:val="28"/>
        </w:rPr>
        <w:t>②主要</w:t>
      </w:r>
      <w:r>
        <w:rPr>
          <w:rFonts w:hint="eastAsia" w:ascii="宋体" w:hAnsi="宋体" w:cs="宋体"/>
          <w:color w:val="auto"/>
          <w:kern w:val="0"/>
          <w:szCs w:val="28"/>
        </w:rPr>
        <w:t>材料（包括机具费里的油、电、天然气等燃料）、工程设备价格的风险幅度为</w:t>
      </w:r>
      <w:r>
        <w:rPr>
          <w:rFonts w:hint="eastAsia" w:ascii="华文行楷" w:hAnsi="宋体" w:eastAsia="华文行楷" w:cs="宋体"/>
          <w:color w:val="auto"/>
          <w:kern w:val="0"/>
          <w:szCs w:val="28"/>
        </w:rPr>
        <w:t>±5%以内；超过±5%外进行增减调整</w:t>
      </w:r>
      <w:r>
        <w:rPr>
          <w:rFonts w:hint="eastAsia" w:ascii="宋体" w:hAnsi="宋体" w:cs="宋体"/>
          <w:color w:val="auto"/>
          <w:kern w:val="0"/>
          <w:szCs w:val="28"/>
        </w:rPr>
        <w:t>；</w:t>
      </w:r>
    </w:p>
    <w:p>
      <w:pPr>
        <w:pStyle w:val="50"/>
        <w:spacing w:line="520" w:lineRule="exact"/>
        <w:ind w:firstLine="560" w:firstLineChars="200"/>
        <w:rPr>
          <w:rFonts w:ascii="宋体" w:hAnsi="宋体" w:cs="宋体"/>
          <w:color w:val="auto"/>
          <w:kern w:val="0"/>
          <w:szCs w:val="28"/>
        </w:rPr>
      </w:pPr>
      <w:r>
        <w:rPr>
          <w:rFonts w:hint="eastAsia" w:ascii="宋体"/>
          <w:color w:val="auto"/>
          <w:szCs w:val="28"/>
        </w:rPr>
        <w:t>③施工</w:t>
      </w:r>
      <w:r>
        <w:rPr>
          <w:rFonts w:hint="eastAsia" w:ascii="宋体" w:hAnsi="宋体" w:cs="宋体"/>
          <w:color w:val="auto"/>
          <w:kern w:val="0"/>
          <w:szCs w:val="28"/>
        </w:rPr>
        <w:t>机具使用费除人工、燃料外的费用不作调整；</w:t>
      </w:r>
    </w:p>
    <w:p>
      <w:pPr>
        <w:pStyle w:val="50"/>
        <w:spacing w:line="520" w:lineRule="exact"/>
        <w:ind w:firstLine="560" w:firstLineChars="200"/>
        <w:rPr>
          <w:rFonts w:ascii="宋体"/>
          <w:color w:val="auto"/>
          <w:szCs w:val="28"/>
        </w:rPr>
      </w:pPr>
      <w:r>
        <w:rPr>
          <w:rFonts w:hint="eastAsia" w:ascii="宋体"/>
          <w:color w:val="auto"/>
          <w:szCs w:val="28"/>
        </w:rPr>
        <w:t>④管理费和利润的</w:t>
      </w:r>
      <w:r>
        <w:rPr>
          <w:rFonts w:hint="eastAsia" w:ascii="宋体" w:hAnsi="宋体" w:cs="宋体"/>
          <w:color w:val="auto"/>
          <w:kern w:val="0"/>
          <w:szCs w:val="28"/>
        </w:rPr>
        <w:t>风险由投标人全部承担。</w:t>
      </w:r>
    </w:p>
    <w:p>
      <w:pPr>
        <w:pStyle w:val="50"/>
        <w:spacing w:line="520" w:lineRule="exact"/>
        <w:ind w:firstLine="540" w:firstLineChars="225"/>
        <w:rPr>
          <w:rFonts w:ascii="黑体" w:eastAsia="黑体"/>
          <w:b/>
          <w:color w:val="auto"/>
          <w:sz w:val="24"/>
          <w:szCs w:val="24"/>
        </w:rPr>
      </w:pPr>
      <w:r>
        <w:rPr>
          <w:rFonts w:hint="eastAsia" w:ascii="黑体" w:eastAsia="黑体"/>
          <w:b/>
          <w:color w:val="auto"/>
          <w:sz w:val="24"/>
          <w:szCs w:val="24"/>
        </w:rPr>
        <w:t>报价说明：</w:t>
      </w:r>
    </w:p>
    <w:p>
      <w:pPr>
        <w:pStyle w:val="50"/>
        <w:spacing w:line="520" w:lineRule="exact"/>
        <w:ind w:firstLine="540" w:firstLineChars="225"/>
        <w:rPr>
          <w:rFonts w:ascii="黑体" w:eastAsia="黑体"/>
          <w:color w:val="auto"/>
          <w:sz w:val="24"/>
          <w:szCs w:val="24"/>
        </w:rPr>
      </w:pPr>
      <w:r>
        <w:rPr>
          <w:rFonts w:hint="eastAsia" w:ascii="黑体" w:eastAsia="黑体"/>
          <w:color w:val="auto"/>
          <w:sz w:val="24"/>
          <w:szCs w:val="24"/>
        </w:rPr>
        <w:t>（1）本工程的工程量按照《建设工程工程量清单计价规范》（GB50500-2013）以及各专业工程计量规范等所规定的方式确定。</w:t>
      </w:r>
    </w:p>
    <w:p>
      <w:pPr>
        <w:pStyle w:val="50"/>
        <w:spacing w:line="520" w:lineRule="exact"/>
        <w:ind w:firstLine="470" w:firstLineChars="196"/>
        <w:rPr>
          <w:rFonts w:ascii="黑体" w:eastAsia="黑体"/>
          <w:color w:val="auto"/>
          <w:sz w:val="24"/>
          <w:szCs w:val="24"/>
        </w:rPr>
      </w:pPr>
      <w:r>
        <w:rPr>
          <w:rFonts w:hint="eastAsia" w:ascii="黑体" w:eastAsia="黑体"/>
          <w:color w:val="auto"/>
          <w:sz w:val="24"/>
          <w:szCs w:val="24"/>
        </w:rPr>
        <w:t>（2）投标人应按工程量清单中列出的工程项目填报综合单价和合价。工程量清单计价格式中列明的所有需要填报的单价和合价，投标人均应填报，未填报的单价和合价，视为此项费用已包含在工程量清单的其他单价或合价中，任何与此有关的工程价款，招标人将不予支付。</w:t>
      </w:r>
    </w:p>
    <w:p>
      <w:pPr>
        <w:pStyle w:val="50"/>
        <w:spacing w:line="520" w:lineRule="exact"/>
        <w:ind w:firstLine="480" w:firstLineChars="200"/>
        <w:rPr>
          <w:rFonts w:ascii="黑体" w:eastAsia="黑体"/>
          <w:color w:val="auto"/>
          <w:sz w:val="24"/>
          <w:szCs w:val="24"/>
        </w:rPr>
      </w:pPr>
      <w:r>
        <w:rPr>
          <w:rFonts w:hint="eastAsia" w:ascii="黑体" w:eastAsia="黑体"/>
          <w:color w:val="auto"/>
          <w:sz w:val="24"/>
          <w:szCs w:val="24"/>
        </w:rPr>
        <w:t>（3）投标人报价中每一项目的清单综合单价最高上浮不能超过招标文件公布的相应项目清单综合单价的3％，否则做废标处理。</w:t>
      </w:r>
    </w:p>
    <w:p>
      <w:pPr>
        <w:pStyle w:val="50"/>
        <w:spacing w:line="520" w:lineRule="exact"/>
        <w:ind w:firstLine="480" w:firstLineChars="200"/>
        <w:rPr>
          <w:rFonts w:ascii="黑体" w:eastAsia="黑体"/>
          <w:color w:val="auto"/>
          <w:sz w:val="24"/>
          <w:szCs w:val="24"/>
        </w:rPr>
      </w:pPr>
      <w:r>
        <w:rPr>
          <w:rFonts w:hint="eastAsia" w:ascii="黑体" w:eastAsia="黑体"/>
          <w:color w:val="auto"/>
          <w:sz w:val="24"/>
          <w:szCs w:val="24"/>
        </w:rPr>
        <w:t>（4）除非合同中另有规定，投标报价（即投标总价）应包括施工设备、劳务、管理、材料、养护、保险、利润、税金、政策性文件规定及合同包含的风险、责任等各项应有的费用。</w:t>
      </w:r>
    </w:p>
    <w:p>
      <w:pPr>
        <w:pStyle w:val="50"/>
        <w:spacing w:line="520" w:lineRule="exact"/>
        <w:ind w:firstLine="480" w:firstLineChars="200"/>
        <w:rPr>
          <w:rFonts w:ascii="黑体" w:eastAsia="黑体"/>
          <w:color w:val="auto"/>
          <w:sz w:val="24"/>
          <w:szCs w:val="24"/>
        </w:rPr>
      </w:pPr>
      <w:r>
        <w:rPr>
          <w:rFonts w:hint="eastAsia" w:ascii="黑体" w:eastAsia="黑体"/>
          <w:color w:val="auto"/>
          <w:sz w:val="24"/>
          <w:szCs w:val="24"/>
        </w:rPr>
        <w:t>（5）投标报价为投标人的投标文件中提出的各项支付金额的总和。</w:t>
      </w:r>
    </w:p>
    <w:p>
      <w:pPr>
        <w:pStyle w:val="50"/>
        <w:spacing w:line="520" w:lineRule="exact"/>
        <w:ind w:firstLine="480" w:firstLineChars="200"/>
        <w:rPr>
          <w:rFonts w:ascii="黑体" w:eastAsia="黑体"/>
          <w:color w:val="auto"/>
          <w:sz w:val="24"/>
          <w:szCs w:val="24"/>
        </w:rPr>
      </w:pPr>
      <w:r>
        <w:rPr>
          <w:rFonts w:hint="eastAsia" w:ascii="黑体" w:eastAsia="黑体"/>
          <w:color w:val="auto"/>
          <w:sz w:val="24"/>
          <w:szCs w:val="24"/>
        </w:rPr>
        <w:t>（6）经确认的中标人投标总报价（中标价）为本招标工程计费范围内各项费用的总和。</w:t>
      </w:r>
    </w:p>
    <w:p>
      <w:pPr>
        <w:pStyle w:val="50"/>
        <w:spacing w:line="520" w:lineRule="exact"/>
        <w:ind w:firstLine="480" w:firstLineChars="200"/>
        <w:rPr>
          <w:rFonts w:ascii="黑体" w:eastAsia="黑体"/>
          <w:color w:val="auto"/>
          <w:sz w:val="24"/>
          <w:szCs w:val="24"/>
        </w:rPr>
      </w:pPr>
      <w:r>
        <w:rPr>
          <w:rFonts w:hint="eastAsia" w:ascii="黑体" w:eastAsia="黑体"/>
          <w:color w:val="auto"/>
          <w:sz w:val="24"/>
          <w:szCs w:val="24"/>
        </w:rPr>
        <w:t>（7）招标文件所提供的工程量清单列明的数量是根据设计图纸计算，是招标文件的组成部分，但它只是为投标人提供一个共同基础，不能完全作为最后对承包人进行工程款支付的依据，投标人不得自行修改工程量清单的项目和数量。否则招标人有权拒绝该工程量清单。</w:t>
      </w:r>
    </w:p>
    <w:p>
      <w:pPr>
        <w:pStyle w:val="50"/>
        <w:spacing w:line="520" w:lineRule="exact"/>
        <w:ind w:firstLine="480" w:firstLineChars="200"/>
        <w:rPr>
          <w:rFonts w:ascii="黑体" w:eastAsia="黑体"/>
          <w:color w:val="auto"/>
          <w:sz w:val="24"/>
          <w:szCs w:val="24"/>
        </w:rPr>
      </w:pPr>
      <w:r>
        <w:rPr>
          <w:rFonts w:hint="eastAsia" w:ascii="黑体" w:eastAsia="黑体"/>
          <w:color w:val="auto"/>
          <w:sz w:val="24"/>
          <w:szCs w:val="24"/>
        </w:rPr>
        <w:t>（8）投标报价的费用组成和计算方式：工程量清单计价的工程造价，应包括按招标文件规定，完成工程量清单所列项目的全部费用，包括分部分项工程费、措施项目费、其他项目费和税金。工程量清单采用综合单价计价。税金按照湛江市现行有关规定计算。</w:t>
      </w:r>
    </w:p>
    <w:p>
      <w:pPr>
        <w:pStyle w:val="50"/>
        <w:spacing w:line="520" w:lineRule="exact"/>
        <w:ind w:firstLine="480" w:firstLineChars="200"/>
        <w:rPr>
          <w:rFonts w:ascii="黑体" w:eastAsia="黑体"/>
          <w:color w:val="auto"/>
          <w:sz w:val="24"/>
          <w:szCs w:val="24"/>
        </w:rPr>
      </w:pPr>
      <w:r>
        <w:rPr>
          <w:rFonts w:hint="eastAsia" w:ascii="黑体" w:eastAsia="黑体"/>
          <w:color w:val="auto"/>
          <w:sz w:val="24"/>
          <w:szCs w:val="24"/>
        </w:rPr>
        <w:t>（9）投标报价应以招标人提供的施工图纸、资料和说明、工程量清单、设计文件所涉及的规范、标准以及招标文件为依据编制。</w:t>
      </w:r>
    </w:p>
    <w:p>
      <w:pPr>
        <w:pStyle w:val="50"/>
        <w:spacing w:line="520" w:lineRule="exact"/>
        <w:ind w:firstLine="480" w:firstLineChars="200"/>
        <w:rPr>
          <w:rFonts w:ascii="黑体" w:eastAsia="黑体"/>
          <w:color w:val="auto"/>
          <w:sz w:val="24"/>
          <w:szCs w:val="24"/>
        </w:rPr>
      </w:pPr>
      <w:r>
        <w:rPr>
          <w:rFonts w:hint="eastAsia" w:ascii="黑体" w:eastAsia="黑体"/>
          <w:color w:val="auto"/>
          <w:sz w:val="24"/>
          <w:szCs w:val="24"/>
        </w:rPr>
        <w:t>（10）本招标工程不限制投标人在投标报价时使用何种定额，投标人应根据市场价格和企业自身优势并自行考虑风险情况后进行报价。措施项目费按《广东省建设工程计价依据》（2018）的规定由投标人自行报价。绿色施工安全防护措施费、暂估价和暂列金额在投标报价时必须按招标控制价中的金额报价，不得改变金额，否则作废标处理。</w:t>
      </w:r>
    </w:p>
    <w:p>
      <w:pPr>
        <w:pStyle w:val="50"/>
        <w:spacing w:line="520" w:lineRule="exact"/>
        <w:ind w:firstLine="480" w:firstLineChars="200"/>
        <w:rPr>
          <w:rFonts w:ascii="黑体" w:eastAsia="黑体"/>
          <w:color w:val="auto"/>
          <w:sz w:val="24"/>
          <w:szCs w:val="24"/>
        </w:rPr>
      </w:pPr>
      <w:r>
        <w:rPr>
          <w:rFonts w:hint="eastAsia" w:ascii="黑体" w:eastAsia="黑体"/>
          <w:color w:val="auto"/>
          <w:sz w:val="24"/>
          <w:szCs w:val="24"/>
        </w:rPr>
        <w:t>（11）报价应结合投标人编制的施工组织设计。</w:t>
      </w:r>
    </w:p>
    <w:p>
      <w:pPr>
        <w:pStyle w:val="50"/>
        <w:spacing w:line="520" w:lineRule="exact"/>
        <w:ind w:firstLine="480" w:firstLineChars="200"/>
        <w:rPr>
          <w:rFonts w:ascii="宋体"/>
          <w:color w:val="auto"/>
          <w:szCs w:val="28"/>
        </w:rPr>
      </w:pPr>
      <w:r>
        <w:rPr>
          <w:rFonts w:hint="eastAsia" w:ascii="黑体" w:eastAsia="黑体"/>
          <w:color w:val="auto"/>
          <w:sz w:val="24"/>
          <w:szCs w:val="24"/>
        </w:rPr>
        <w:t>（12）招标单位代付应由中标人支付的有关费用，在支付工程预付款中扣回。</w:t>
      </w:r>
    </w:p>
    <w:p>
      <w:pPr>
        <w:pStyle w:val="50"/>
        <w:spacing w:line="520" w:lineRule="exact"/>
        <w:rPr>
          <w:rFonts w:ascii="宋体"/>
          <w:b/>
          <w:bCs/>
          <w:color w:val="auto"/>
          <w:szCs w:val="28"/>
        </w:rPr>
      </w:pPr>
      <w:r>
        <w:rPr>
          <w:rFonts w:hint="eastAsia" w:ascii="宋体"/>
          <w:b/>
          <w:bCs/>
          <w:color w:val="auto"/>
          <w:szCs w:val="28"/>
        </w:rPr>
        <w:t>3.2付款方式</w:t>
      </w:r>
    </w:p>
    <w:p>
      <w:pPr>
        <w:pStyle w:val="50"/>
        <w:spacing w:line="520" w:lineRule="exact"/>
        <w:ind w:firstLine="560" w:firstLineChars="200"/>
        <w:rPr>
          <w:rFonts w:ascii="宋体"/>
          <w:color w:val="auto"/>
          <w:szCs w:val="28"/>
        </w:rPr>
      </w:pPr>
      <w:r>
        <w:rPr>
          <w:rFonts w:hint="eastAsia" w:ascii="宋体"/>
          <w:color w:val="auto"/>
          <w:szCs w:val="28"/>
        </w:rPr>
        <w:t>3.2.1本工程的中标价作为拨付工程进度款的依据。</w:t>
      </w:r>
    </w:p>
    <w:p>
      <w:pPr>
        <w:pStyle w:val="50"/>
        <w:spacing w:line="520" w:lineRule="exact"/>
        <w:ind w:firstLine="560" w:firstLineChars="200"/>
        <w:rPr>
          <w:rFonts w:ascii="宋体"/>
          <w:color w:val="auto"/>
          <w:szCs w:val="28"/>
        </w:rPr>
      </w:pPr>
      <w:r>
        <w:rPr>
          <w:rFonts w:hint="eastAsia" w:ascii="宋体"/>
          <w:color w:val="auto"/>
          <w:szCs w:val="28"/>
        </w:rPr>
        <w:t>3.2.2发包人按有关法律、法规向承包人拨付工程款。政府投资工程项目禁止施工企业带资施工。</w:t>
      </w:r>
    </w:p>
    <w:p>
      <w:pPr>
        <w:pStyle w:val="50"/>
        <w:spacing w:line="520" w:lineRule="exact"/>
        <w:ind w:firstLine="560" w:firstLineChars="200"/>
        <w:rPr>
          <w:rFonts w:ascii="宋体"/>
          <w:color w:val="auto"/>
          <w:szCs w:val="28"/>
        </w:rPr>
      </w:pPr>
      <w:r>
        <w:rPr>
          <w:rFonts w:hint="eastAsia" w:ascii="宋体"/>
          <w:color w:val="auto"/>
          <w:szCs w:val="28"/>
        </w:rPr>
        <w:t>3.2.3承包人在向发包人提交施工验收报告的同时递交竣工结算报告及完整的结算资料。</w:t>
      </w:r>
    </w:p>
    <w:p>
      <w:pPr>
        <w:pStyle w:val="50"/>
        <w:spacing w:line="520" w:lineRule="exact"/>
        <w:ind w:firstLine="560" w:firstLineChars="200"/>
        <w:rPr>
          <w:rFonts w:ascii="宋体"/>
          <w:color w:val="auto"/>
          <w:szCs w:val="28"/>
        </w:rPr>
      </w:pPr>
      <w:r>
        <w:rPr>
          <w:rFonts w:hint="eastAsia" w:ascii="宋体"/>
          <w:color w:val="auto"/>
          <w:szCs w:val="28"/>
        </w:rPr>
        <w:t>3.2.4发包人在收到承包人送交结算资料后，可委托政策规定的结算部门进行审核确定。审核时限按财政部、建设部财建【2004】369号文第十四条第三款的规定。</w:t>
      </w:r>
    </w:p>
    <w:p>
      <w:pPr>
        <w:pStyle w:val="50"/>
        <w:spacing w:line="520" w:lineRule="exact"/>
        <w:ind w:firstLine="560" w:firstLineChars="200"/>
        <w:rPr>
          <w:rFonts w:ascii="宋体"/>
          <w:color w:val="auto"/>
          <w:szCs w:val="28"/>
        </w:rPr>
      </w:pPr>
      <w:r>
        <w:rPr>
          <w:rFonts w:hint="eastAsia" w:ascii="宋体"/>
          <w:color w:val="auto"/>
          <w:szCs w:val="28"/>
        </w:rPr>
        <w:t>3.2.5承包人在向发包人提交一式叁份完整的、符合要求的工程技术档案资料后，持工程结算资料向发包人申请结算余款。发包人在收到申请及有关资料后，经审核无误后在扣出工程保修金后付清结算余额。</w:t>
      </w:r>
    </w:p>
    <w:p>
      <w:pPr>
        <w:pStyle w:val="50"/>
        <w:spacing w:line="520" w:lineRule="exact"/>
        <w:ind w:firstLine="560" w:firstLineChars="200"/>
        <w:rPr>
          <w:rFonts w:ascii="宋体"/>
          <w:color w:val="auto"/>
          <w:szCs w:val="28"/>
        </w:rPr>
      </w:pPr>
      <w:r>
        <w:rPr>
          <w:rFonts w:hint="eastAsia" w:ascii="宋体"/>
          <w:color w:val="auto"/>
          <w:szCs w:val="28"/>
        </w:rPr>
        <w:t>3.2.6工程质量保证金（保修金）：本招标工程保留工程结算总造价的 3% 作为工程质量保证金。发包人在缺陷责任期满后14天内，将剩余工程质量保证金和利息返还承包人。承包人提交与保险公司签订建设工程质量保证保险合同或保险单的，应当视同已经提交工程质量保证金。</w:t>
      </w:r>
    </w:p>
    <w:p>
      <w:pPr>
        <w:pStyle w:val="4"/>
        <w:spacing w:before="0" w:after="0" w:line="520" w:lineRule="exact"/>
        <w:ind w:firstLine="640" w:firstLineChars="200"/>
        <w:rPr>
          <w:rFonts w:ascii="宋体" w:eastAsia="宋体"/>
          <w:color w:val="auto"/>
        </w:rPr>
      </w:pPr>
      <w:bookmarkStart w:id="12" w:name="_Toc48210813"/>
      <w:bookmarkStart w:id="13" w:name="_Toc2647"/>
      <w:r>
        <w:rPr>
          <w:rFonts w:hint="eastAsia" w:ascii="宋体" w:eastAsia="宋体"/>
          <w:color w:val="auto"/>
        </w:rPr>
        <w:t>4.招标文件的内容和效力</w:t>
      </w:r>
      <w:bookmarkEnd w:id="12"/>
      <w:bookmarkEnd w:id="13"/>
    </w:p>
    <w:p>
      <w:pPr>
        <w:pStyle w:val="56"/>
        <w:spacing w:line="520" w:lineRule="exact"/>
        <w:ind w:firstLine="560" w:firstLineChars="200"/>
        <w:rPr>
          <w:rFonts w:ascii="宋体"/>
          <w:color w:val="auto"/>
          <w:sz w:val="28"/>
          <w:szCs w:val="28"/>
        </w:rPr>
      </w:pPr>
      <w:r>
        <w:rPr>
          <w:rFonts w:hint="eastAsia" w:ascii="宋体"/>
          <w:color w:val="auto"/>
          <w:sz w:val="28"/>
          <w:szCs w:val="28"/>
        </w:rPr>
        <w:t>4.1招标文件的组成：</w:t>
      </w:r>
    </w:p>
    <w:p>
      <w:pPr>
        <w:pStyle w:val="50"/>
        <w:spacing w:line="520" w:lineRule="exact"/>
        <w:ind w:firstLine="560" w:firstLineChars="200"/>
        <w:rPr>
          <w:rFonts w:ascii="宋体"/>
          <w:color w:val="auto"/>
          <w:szCs w:val="28"/>
        </w:rPr>
      </w:pPr>
      <w:r>
        <w:rPr>
          <w:rFonts w:hint="eastAsia" w:ascii="宋体"/>
          <w:color w:val="auto"/>
          <w:szCs w:val="28"/>
        </w:rPr>
        <w:t>4.1.1招标文件包括下列内容：</w:t>
      </w:r>
    </w:p>
    <w:p>
      <w:pPr>
        <w:pStyle w:val="50"/>
        <w:spacing w:line="520" w:lineRule="exact"/>
        <w:ind w:firstLine="560" w:firstLineChars="200"/>
        <w:rPr>
          <w:rFonts w:ascii="宋体"/>
          <w:color w:val="auto"/>
          <w:szCs w:val="28"/>
        </w:rPr>
      </w:pPr>
      <w:r>
        <w:rPr>
          <w:rFonts w:hint="eastAsia" w:ascii="宋体"/>
          <w:color w:val="auto"/>
          <w:szCs w:val="28"/>
        </w:rPr>
        <w:t>招标公告、补充公告、变更公告、投标须知、 投标格式、工程量清单、网上招标答疑纪要、修改通知、合同主要条款、技术资料与图纸（含设计图纸、工程地质勘察报告及施工用地范围）、工程量清单格式。</w:t>
      </w:r>
    </w:p>
    <w:p>
      <w:pPr>
        <w:spacing w:line="520" w:lineRule="exact"/>
        <w:ind w:firstLine="560" w:firstLineChars="200"/>
        <w:jc w:val="left"/>
        <w:rPr>
          <w:rFonts w:ascii="宋体"/>
          <w:color w:val="auto"/>
          <w:sz w:val="28"/>
          <w:szCs w:val="28"/>
        </w:rPr>
      </w:pPr>
      <w:r>
        <w:rPr>
          <w:rFonts w:hint="eastAsia" w:ascii="宋体"/>
          <w:color w:val="auto"/>
          <w:sz w:val="28"/>
          <w:szCs w:val="28"/>
        </w:rPr>
        <w:t>4.1.2投标人应认真审阅招标文件中所有的投标须知、技术和报价要求、图纸资料。如果投标人的投标文件不能符合招标文件的要求，责任由投标人自负。招标人有权拒绝实质上不响应招标文件要求的投标文件。</w:t>
      </w:r>
    </w:p>
    <w:p>
      <w:pPr>
        <w:spacing w:line="520" w:lineRule="exact"/>
        <w:ind w:firstLine="560" w:firstLineChars="200"/>
        <w:jc w:val="left"/>
        <w:rPr>
          <w:rFonts w:ascii="宋体"/>
          <w:color w:val="auto"/>
          <w:sz w:val="28"/>
          <w:szCs w:val="28"/>
        </w:rPr>
      </w:pPr>
      <w:r>
        <w:rPr>
          <w:rFonts w:hint="eastAsia" w:ascii="宋体"/>
          <w:b/>
          <w:color w:val="auto"/>
          <w:sz w:val="28"/>
          <w:szCs w:val="28"/>
        </w:rPr>
        <w:t>4.2招标文件的修改</w:t>
      </w:r>
    </w:p>
    <w:p>
      <w:pPr>
        <w:spacing w:line="520" w:lineRule="exact"/>
        <w:ind w:firstLine="560" w:firstLineChars="200"/>
        <w:jc w:val="left"/>
        <w:rPr>
          <w:rFonts w:ascii="宋体"/>
          <w:color w:val="auto"/>
          <w:sz w:val="28"/>
          <w:szCs w:val="28"/>
        </w:rPr>
      </w:pPr>
      <w:r>
        <w:rPr>
          <w:rFonts w:hint="eastAsia" w:ascii="宋体"/>
          <w:color w:val="auto"/>
          <w:sz w:val="28"/>
          <w:szCs w:val="28"/>
        </w:rPr>
        <w:t>4.2.1在投标截止日期前，招标人可能会以补充通知的方式修改招标文件。</w:t>
      </w:r>
    </w:p>
    <w:p>
      <w:pPr>
        <w:wordWrap w:val="0"/>
        <w:spacing w:line="520" w:lineRule="exact"/>
        <w:ind w:firstLine="560" w:firstLineChars="200"/>
        <w:jc w:val="left"/>
        <w:rPr>
          <w:rFonts w:ascii="宋体"/>
          <w:iCs/>
          <w:color w:val="auto"/>
          <w:sz w:val="28"/>
          <w:szCs w:val="28"/>
        </w:rPr>
      </w:pPr>
      <w:r>
        <w:rPr>
          <w:rFonts w:hint="eastAsia" w:ascii="宋体"/>
          <w:iCs/>
          <w:color w:val="auto"/>
          <w:sz w:val="28"/>
          <w:szCs w:val="28"/>
        </w:rPr>
        <w:t>4.2.2补充通知将在 （</w:t>
      </w:r>
      <w:r>
        <w:rPr>
          <w:rFonts w:hint="eastAsia" w:ascii="华文行楷" w:hAnsi="华文行楷" w:eastAsia="华文行楷" w:cs="华文行楷"/>
          <w:color w:val="auto"/>
          <w:sz w:val="28"/>
          <w:szCs w:val="28"/>
          <w:u w:val="single"/>
        </w:rPr>
        <w:t>广州公共资源交易中心</w:t>
      </w:r>
      <w:r>
        <w:rPr>
          <w:rFonts w:hint="eastAsia" w:ascii="宋体"/>
          <w:iCs/>
          <w:color w:val="auto"/>
          <w:sz w:val="28"/>
          <w:szCs w:val="28"/>
        </w:rPr>
        <w:t>）的该项目招标答疑中发布，所有获得招标文件的投标人可自行上网查阅，该补充通知作为招标文件的组成部分对投标人起约束作用。</w:t>
      </w:r>
    </w:p>
    <w:p>
      <w:pPr>
        <w:spacing w:line="520" w:lineRule="exact"/>
        <w:ind w:firstLine="560" w:firstLineChars="200"/>
        <w:jc w:val="left"/>
        <w:rPr>
          <w:rFonts w:ascii="宋体"/>
          <w:color w:val="auto"/>
          <w:sz w:val="28"/>
          <w:szCs w:val="28"/>
        </w:rPr>
      </w:pPr>
      <w:r>
        <w:rPr>
          <w:rFonts w:hint="eastAsia" w:ascii="宋体"/>
          <w:color w:val="auto"/>
          <w:sz w:val="28"/>
          <w:szCs w:val="28"/>
        </w:rPr>
        <w:t>4.2.3为使投标人在编制投标文件时把补充通知的内容考虑进去，招标人经</w:t>
      </w:r>
      <w:r>
        <w:rPr>
          <w:rFonts w:hint="eastAsia" w:ascii="华文行楷" w:hAnsi="华文行楷" w:eastAsia="华文行楷" w:cs="华文行楷"/>
          <w:color w:val="auto"/>
          <w:sz w:val="28"/>
          <w:szCs w:val="28"/>
          <w:u w:val="single"/>
        </w:rPr>
        <w:t>遂溪县</w:t>
      </w:r>
      <w:r>
        <w:rPr>
          <w:rFonts w:hint="eastAsia" w:ascii="华文行楷" w:hAnsi="华文行楷" w:eastAsia="华文行楷" w:cs="华文行楷"/>
          <w:color w:val="auto"/>
          <w:sz w:val="28"/>
          <w:szCs w:val="28"/>
          <w:u w:val="single"/>
          <w:lang w:eastAsia="zh-CN"/>
        </w:rPr>
        <w:t>住房和城乡建设局</w:t>
      </w:r>
      <w:r>
        <w:rPr>
          <w:rFonts w:hint="eastAsia" w:ascii="华文行楷" w:hAnsi="华文行楷" w:eastAsia="华文行楷" w:cs="华文行楷"/>
          <w:color w:val="auto"/>
          <w:sz w:val="28"/>
          <w:szCs w:val="28"/>
          <w:u w:val="single"/>
        </w:rPr>
        <w:t xml:space="preserve"> 、广州市公共资源交易中心</w:t>
      </w:r>
      <w:r>
        <w:rPr>
          <w:rFonts w:hint="eastAsia" w:ascii="宋体"/>
          <w:color w:val="auto"/>
          <w:sz w:val="28"/>
          <w:szCs w:val="28"/>
        </w:rPr>
        <w:t>同意，可酌情延长提交投标文件的截止时间。</w:t>
      </w:r>
    </w:p>
    <w:p>
      <w:pPr>
        <w:pStyle w:val="56"/>
        <w:spacing w:line="520" w:lineRule="exact"/>
        <w:ind w:firstLine="560" w:firstLineChars="200"/>
        <w:rPr>
          <w:rFonts w:ascii="宋体"/>
          <w:color w:val="auto"/>
          <w:sz w:val="28"/>
          <w:szCs w:val="28"/>
        </w:rPr>
      </w:pPr>
      <w:r>
        <w:rPr>
          <w:rFonts w:hint="eastAsia" w:ascii="宋体"/>
          <w:color w:val="auto"/>
          <w:sz w:val="28"/>
          <w:szCs w:val="28"/>
        </w:rPr>
        <w:t>4.3招标文件的效力</w:t>
      </w:r>
    </w:p>
    <w:p>
      <w:pPr>
        <w:pStyle w:val="50"/>
        <w:spacing w:line="520" w:lineRule="exact"/>
        <w:ind w:firstLine="560" w:firstLineChars="200"/>
        <w:rPr>
          <w:rFonts w:ascii="宋体"/>
          <w:color w:val="auto"/>
          <w:szCs w:val="28"/>
        </w:rPr>
      </w:pPr>
      <w:r>
        <w:rPr>
          <w:rFonts w:hint="eastAsia" w:ascii="宋体"/>
          <w:color w:val="auto"/>
          <w:szCs w:val="28"/>
        </w:rPr>
        <w:t>本招标文件是编制投标文件及中标后签订《建设工程施工合同》的依据（施工合同按</w:t>
      </w:r>
      <w:r>
        <w:rPr>
          <w:rFonts w:hint="eastAsia"/>
          <w:color w:val="auto"/>
        </w:rPr>
        <w:t>国家建设行政主管部门最新示范文本执行</w:t>
      </w:r>
      <w:r>
        <w:rPr>
          <w:rFonts w:hint="eastAsia" w:ascii="宋体"/>
          <w:color w:val="auto"/>
          <w:szCs w:val="28"/>
        </w:rPr>
        <w:t>）。</w:t>
      </w:r>
    </w:p>
    <w:p>
      <w:pPr>
        <w:pStyle w:val="4"/>
        <w:spacing w:before="0" w:after="0" w:line="520" w:lineRule="exact"/>
        <w:ind w:firstLine="640" w:firstLineChars="200"/>
        <w:rPr>
          <w:rFonts w:ascii="宋体" w:eastAsia="宋体"/>
          <w:color w:val="auto"/>
        </w:rPr>
      </w:pPr>
      <w:bookmarkStart w:id="14" w:name="_Toc48210814"/>
      <w:bookmarkStart w:id="15" w:name="_Toc29145"/>
      <w:r>
        <w:rPr>
          <w:rFonts w:hint="eastAsia" w:ascii="宋体" w:eastAsia="宋体"/>
          <w:color w:val="auto"/>
        </w:rPr>
        <w:t>5.投标文件的编制要求</w:t>
      </w:r>
      <w:bookmarkEnd w:id="14"/>
      <w:bookmarkEnd w:id="15"/>
    </w:p>
    <w:p>
      <w:pPr>
        <w:pStyle w:val="56"/>
        <w:spacing w:line="520" w:lineRule="exact"/>
        <w:ind w:firstLine="560" w:firstLineChars="200"/>
        <w:rPr>
          <w:rFonts w:ascii="宋体"/>
          <w:color w:val="auto"/>
          <w:sz w:val="28"/>
          <w:szCs w:val="28"/>
        </w:rPr>
      </w:pPr>
      <w:r>
        <w:rPr>
          <w:rFonts w:hint="eastAsia" w:ascii="宋体"/>
          <w:color w:val="auto"/>
          <w:sz w:val="28"/>
          <w:szCs w:val="28"/>
        </w:rPr>
        <w:t>5.1 投标文件的语言</w:t>
      </w:r>
    </w:p>
    <w:p>
      <w:pPr>
        <w:pStyle w:val="50"/>
        <w:spacing w:line="520" w:lineRule="exact"/>
        <w:ind w:firstLine="560" w:firstLineChars="200"/>
        <w:rPr>
          <w:rFonts w:ascii="宋体"/>
          <w:color w:val="auto"/>
          <w:szCs w:val="28"/>
        </w:rPr>
      </w:pPr>
      <w:r>
        <w:rPr>
          <w:rFonts w:hint="eastAsia" w:ascii="宋体"/>
          <w:color w:val="auto"/>
          <w:szCs w:val="28"/>
        </w:rPr>
        <w:t>投标文件及投标人与招标人之间与投标有关的来往通知、函件和文件均使用中文（打印或手写）。</w:t>
      </w:r>
    </w:p>
    <w:p>
      <w:pPr>
        <w:pStyle w:val="56"/>
        <w:spacing w:line="520" w:lineRule="exact"/>
        <w:ind w:firstLine="560" w:firstLineChars="200"/>
        <w:rPr>
          <w:rFonts w:ascii="宋体"/>
          <w:b w:val="0"/>
          <w:bCs/>
          <w:color w:val="auto"/>
          <w:sz w:val="28"/>
          <w:szCs w:val="28"/>
        </w:rPr>
      </w:pPr>
      <w:r>
        <w:rPr>
          <w:rFonts w:hint="eastAsia" w:ascii="宋体"/>
          <w:color w:val="auto"/>
          <w:sz w:val="28"/>
          <w:szCs w:val="28"/>
        </w:rPr>
        <w:t>5.2投标文件的组成：</w:t>
      </w:r>
      <w:r>
        <w:rPr>
          <w:rFonts w:hint="eastAsia" w:ascii="宋体"/>
          <w:bCs/>
          <w:color w:val="auto"/>
          <w:sz w:val="28"/>
          <w:szCs w:val="28"/>
        </w:rPr>
        <w:t>(所有复印件或网络打印证件必须加盖投标单位公章，需要年审的证件必须经有关行政主管部门年审合格才有效，如到期未年审，必须附有关行政主管部门未组织年审的说明，否则视做无效证件)</w:t>
      </w:r>
    </w:p>
    <w:p>
      <w:pPr>
        <w:pStyle w:val="50"/>
        <w:spacing w:line="520" w:lineRule="exact"/>
        <w:ind w:left="560" w:firstLine="0"/>
        <w:rPr>
          <w:rFonts w:ascii="宋体"/>
          <w:color w:val="auto"/>
          <w:szCs w:val="28"/>
        </w:rPr>
      </w:pPr>
      <w:r>
        <w:rPr>
          <w:rFonts w:hint="eastAsia" w:ascii="宋体"/>
          <w:color w:val="auto"/>
          <w:szCs w:val="28"/>
        </w:rPr>
        <w:t>5.2.1投标人的法人营业执照副本复印件或含二维码的网络打印证件；</w:t>
      </w:r>
    </w:p>
    <w:p>
      <w:pPr>
        <w:pStyle w:val="50"/>
        <w:spacing w:line="520" w:lineRule="exact"/>
        <w:ind w:left="560" w:firstLine="0"/>
        <w:rPr>
          <w:rFonts w:ascii="宋体"/>
          <w:color w:val="auto"/>
          <w:szCs w:val="28"/>
        </w:rPr>
      </w:pPr>
      <w:r>
        <w:rPr>
          <w:rFonts w:hint="eastAsia" w:ascii="宋体"/>
          <w:color w:val="auto"/>
          <w:szCs w:val="28"/>
        </w:rPr>
        <w:t>5.2.2投标人的工程施工资质证书副本复印件或含二维码的网络打印证件；</w:t>
      </w:r>
    </w:p>
    <w:p>
      <w:pPr>
        <w:pStyle w:val="50"/>
        <w:spacing w:line="520" w:lineRule="exact"/>
        <w:ind w:left="560" w:firstLine="0"/>
        <w:rPr>
          <w:rFonts w:ascii="宋体"/>
          <w:color w:val="auto"/>
          <w:szCs w:val="28"/>
        </w:rPr>
      </w:pPr>
      <w:r>
        <w:rPr>
          <w:rFonts w:hint="eastAsia" w:ascii="宋体"/>
          <w:color w:val="auto"/>
          <w:szCs w:val="28"/>
        </w:rPr>
        <w:t>5.2.3投标人的建筑施工企业安全生产许可证复印件或含二维码的网络打印证件；</w:t>
      </w:r>
    </w:p>
    <w:p>
      <w:pPr>
        <w:pStyle w:val="50"/>
        <w:spacing w:line="520" w:lineRule="exact"/>
        <w:ind w:left="560" w:firstLine="0"/>
        <w:rPr>
          <w:rFonts w:ascii="宋体"/>
          <w:color w:val="auto"/>
          <w:szCs w:val="28"/>
        </w:rPr>
      </w:pPr>
      <w:r>
        <w:rPr>
          <w:rFonts w:hint="eastAsia" w:ascii="宋体"/>
          <w:color w:val="auto"/>
          <w:szCs w:val="28"/>
        </w:rPr>
        <w:t>5.2.4投标人基本账户开户银行出具的《基本账户信息》复印件或基本账户开户许可证复印件（如果基本账户账号变更，还必须提供开户行出具的有效账号变更证明）。</w:t>
      </w:r>
    </w:p>
    <w:p>
      <w:pPr>
        <w:pStyle w:val="50"/>
        <w:spacing w:line="520" w:lineRule="exact"/>
        <w:ind w:left="560" w:firstLine="0"/>
        <w:rPr>
          <w:rFonts w:ascii="宋体"/>
          <w:color w:val="auto"/>
          <w:szCs w:val="28"/>
        </w:rPr>
      </w:pPr>
      <w:r>
        <w:rPr>
          <w:rFonts w:hint="eastAsia" w:ascii="宋体"/>
          <w:color w:val="auto"/>
          <w:szCs w:val="28"/>
        </w:rPr>
        <w:t>5.2.5投标人经基本账户汇出的投标保证金银行汇款凭证复印件或投标保证金（银行保函）原件；</w:t>
      </w:r>
    </w:p>
    <w:p>
      <w:pPr>
        <w:pStyle w:val="50"/>
        <w:spacing w:line="520" w:lineRule="exact"/>
        <w:ind w:left="560" w:firstLine="0"/>
        <w:rPr>
          <w:rFonts w:ascii="宋体"/>
          <w:color w:val="auto"/>
          <w:szCs w:val="28"/>
        </w:rPr>
      </w:pPr>
      <w:r>
        <w:rPr>
          <w:rFonts w:hint="eastAsia" w:ascii="宋体"/>
          <w:color w:val="auto"/>
          <w:szCs w:val="28"/>
        </w:rPr>
        <w:t>5.2.6拟派项目负责人注册执业资格证书复印件或含二维码的网络打印证件及身份证复印件；</w:t>
      </w:r>
    </w:p>
    <w:p>
      <w:pPr>
        <w:pStyle w:val="50"/>
        <w:spacing w:line="520" w:lineRule="exact"/>
        <w:ind w:left="560" w:firstLine="0"/>
        <w:rPr>
          <w:rFonts w:ascii="宋体"/>
          <w:color w:val="auto"/>
          <w:szCs w:val="28"/>
        </w:rPr>
      </w:pPr>
      <w:r>
        <w:rPr>
          <w:rFonts w:hint="eastAsia" w:ascii="宋体"/>
          <w:color w:val="auto"/>
          <w:szCs w:val="28"/>
        </w:rPr>
        <w:t>5.2.7拟派项目负责人的建筑施工企业项目负责人安全生产考核合格证书复印件或含二维码的网络打印证件；</w:t>
      </w:r>
    </w:p>
    <w:p>
      <w:pPr>
        <w:pStyle w:val="50"/>
        <w:spacing w:line="520" w:lineRule="exact"/>
        <w:ind w:left="560" w:firstLine="0"/>
        <w:rPr>
          <w:rFonts w:ascii="宋体"/>
          <w:color w:val="auto"/>
          <w:szCs w:val="28"/>
        </w:rPr>
      </w:pPr>
      <w:r>
        <w:rPr>
          <w:rFonts w:hint="eastAsia" w:ascii="宋体"/>
          <w:color w:val="auto"/>
          <w:szCs w:val="28"/>
        </w:rPr>
        <w:t>5.2.8 在“信用中国”网站（http://www.creditchina.gov.cn/)中未被列入失信被执行人名单的截图，在国家企业信用信息公示系统（www.gsxt.gov.cn）中未被列入严重违法失信企业名单的截图（查询时间为本项目公告发布之日起查询结果有效）；</w:t>
      </w:r>
    </w:p>
    <w:p>
      <w:pPr>
        <w:pStyle w:val="50"/>
        <w:spacing w:line="520" w:lineRule="exact"/>
        <w:ind w:left="560" w:firstLine="0"/>
        <w:rPr>
          <w:rFonts w:ascii="宋体"/>
          <w:color w:val="auto"/>
          <w:szCs w:val="28"/>
        </w:rPr>
      </w:pPr>
      <w:r>
        <w:rPr>
          <w:rFonts w:hint="eastAsia" w:ascii="宋体"/>
          <w:color w:val="auto"/>
          <w:szCs w:val="28"/>
        </w:rPr>
        <w:t>5.2.9投标格式</w:t>
      </w:r>
    </w:p>
    <w:p>
      <w:pPr>
        <w:pStyle w:val="50"/>
        <w:spacing w:line="520" w:lineRule="exact"/>
        <w:ind w:left="560" w:firstLine="0"/>
        <w:rPr>
          <w:rFonts w:ascii="宋体"/>
          <w:color w:val="auto"/>
          <w:szCs w:val="28"/>
        </w:rPr>
      </w:pPr>
      <w:r>
        <w:rPr>
          <w:rFonts w:hint="eastAsia" w:ascii="宋体"/>
          <w:color w:val="auto"/>
          <w:szCs w:val="28"/>
        </w:rPr>
        <w:t>（1）投标报价书原件（投标格式一）；</w:t>
      </w:r>
    </w:p>
    <w:p>
      <w:pPr>
        <w:pStyle w:val="50"/>
        <w:spacing w:line="520" w:lineRule="exact"/>
        <w:ind w:left="560" w:firstLine="0"/>
        <w:rPr>
          <w:rFonts w:ascii="宋体"/>
          <w:color w:val="auto"/>
          <w:szCs w:val="28"/>
        </w:rPr>
      </w:pPr>
      <w:r>
        <w:rPr>
          <w:rFonts w:hint="eastAsia" w:ascii="宋体"/>
          <w:color w:val="auto"/>
          <w:szCs w:val="28"/>
        </w:rPr>
        <w:t>（2）派驻本项目人员数量表原件（投标格式二）；</w:t>
      </w:r>
    </w:p>
    <w:p>
      <w:pPr>
        <w:pStyle w:val="50"/>
        <w:spacing w:line="520" w:lineRule="exact"/>
        <w:ind w:left="560" w:firstLine="0"/>
        <w:rPr>
          <w:rFonts w:ascii="宋体"/>
          <w:color w:val="auto"/>
          <w:szCs w:val="28"/>
        </w:rPr>
      </w:pPr>
      <w:r>
        <w:rPr>
          <w:rFonts w:hint="eastAsia" w:ascii="宋体"/>
          <w:color w:val="auto"/>
          <w:szCs w:val="28"/>
        </w:rPr>
        <w:t>（3）对本项目资金使用及保证不拖欠分包单位工程款和农民工工资的承诺书原件（投标格式三）；</w:t>
      </w:r>
    </w:p>
    <w:p>
      <w:pPr>
        <w:pStyle w:val="50"/>
        <w:spacing w:line="520" w:lineRule="exact"/>
        <w:ind w:left="560" w:firstLine="0"/>
        <w:rPr>
          <w:rFonts w:ascii="宋体"/>
          <w:color w:val="auto"/>
          <w:szCs w:val="28"/>
        </w:rPr>
      </w:pPr>
      <w:r>
        <w:rPr>
          <w:rFonts w:hint="eastAsia" w:ascii="宋体"/>
          <w:color w:val="auto"/>
          <w:szCs w:val="28"/>
        </w:rPr>
        <w:t>（4）所有工程量的报价清单（封面按投标格式四、五）；</w:t>
      </w:r>
    </w:p>
    <w:p>
      <w:pPr>
        <w:pStyle w:val="50"/>
        <w:spacing w:line="520" w:lineRule="exact"/>
        <w:ind w:left="560" w:firstLine="0"/>
        <w:rPr>
          <w:rFonts w:ascii="宋体"/>
          <w:color w:val="auto"/>
          <w:szCs w:val="28"/>
        </w:rPr>
      </w:pPr>
      <w:r>
        <w:rPr>
          <w:rFonts w:hint="eastAsia" w:ascii="宋体"/>
          <w:color w:val="auto"/>
          <w:szCs w:val="28"/>
        </w:rPr>
        <w:t>（5）廉洁承诺书（投标格式六）；</w:t>
      </w:r>
    </w:p>
    <w:p>
      <w:pPr>
        <w:pStyle w:val="50"/>
        <w:spacing w:line="520" w:lineRule="exact"/>
        <w:ind w:left="560" w:firstLine="0"/>
        <w:rPr>
          <w:rFonts w:ascii="宋体"/>
          <w:color w:val="auto"/>
          <w:szCs w:val="28"/>
        </w:rPr>
      </w:pPr>
      <w:r>
        <w:rPr>
          <w:rFonts w:hint="eastAsia" w:ascii="宋体"/>
          <w:color w:val="auto"/>
          <w:szCs w:val="28"/>
        </w:rPr>
        <w:t>（6）投标保证金银行保函（投标格式七）（如有）。</w:t>
      </w:r>
    </w:p>
    <w:p>
      <w:pPr>
        <w:pStyle w:val="50"/>
        <w:spacing w:line="520" w:lineRule="exact"/>
        <w:ind w:firstLine="420" w:firstLineChars="150"/>
        <w:rPr>
          <w:rFonts w:ascii="宋体"/>
          <w:color w:val="auto"/>
          <w:szCs w:val="28"/>
        </w:rPr>
      </w:pPr>
      <w:r>
        <w:rPr>
          <w:rFonts w:hint="eastAsia" w:ascii="宋体"/>
          <w:color w:val="auto"/>
          <w:szCs w:val="28"/>
        </w:rPr>
        <w:t>本项目只需提交纸质版投标文件，不需制作成电子版投标文件和CA证书加密。但需将投标文件5.2.1至5.2.9的内容签字盖章后按顺序进行扫描，扫描的内容要求清晰可辨，并以PDF格式</w:t>
      </w:r>
      <w:r>
        <w:rPr>
          <w:rFonts w:hint="eastAsia" w:ascii="华文行楷" w:hAnsi="华文行楷" w:eastAsia="华文行楷" w:cs="华文行楷"/>
          <w:color w:val="auto"/>
          <w:szCs w:val="28"/>
        </w:rPr>
        <w:t>录入U盘</w:t>
      </w:r>
      <w:r>
        <w:rPr>
          <w:rFonts w:hint="eastAsia" w:ascii="华文行楷" w:hAnsi="华文行楷" w:eastAsia="华文行楷" w:cs="华文行楷"/>
          <w:color w:val="auto"/>
          <w:szCs w:val="28"/>
          <w:lang w:eastAsia="zh-CN"/>
        </w:rPr>
        <w:t>或光盘</w:t>
      </w:r>
      <w:r>
        <w:rPr>
          <w:rFonts w:hint="eastAsia" w:ascii="宋体"/>
          <w:color w:val="auto"/>
          <w:szCs w:val="28"/>
        </w:rPr>
        <w:t>，该</w:t>
      </w:r>
      <w:r>
        <w:rPr>
          <w:rFonts w:hint="eastAsia" w:ascii="华文行楷" w:hAnsi="华文行楷" w:eastAsia="华文行楷" w:cs="华文行楷"/>
          <w:color w:val="auto"/>
          <w:szCs w:val="28"/>
        </w:rPr>
        <w:t>U盘</w:t>
      </w:r>
      <w:r>
        <w:rPr>
          <w:rFonts w:hint="eastAsia" w:ascii="华文行楷" w:hAnsi="华文行楷" w:eastAsia="华文行楷" w:cs="华文行楷"/>
          <w:color w:val="auto"/>
          <w:szCs w:val="28"/>
          <w:lang w:eastAsia="zh-CN"/>
        </w:rPr>
        <w:t>或光盘</w:t>
      </w:r>
      <w:r>
        <w:rPr>
          <w:rFonts w:hint="eastAsia" w:ascii="宋体"/>
          <w:color w:val="auto"/>
          <w:szCs w:val="28"/>
        </w:rPr>
        <w:t>作为投标文件的重要组成部分，并与纸质文件一起用密封袋密封包装，投标截止前提交。</w:t>
      </w:r>
    </w:p>
    <w:p>
      <w:pPr>
        <w:pStyle w:val="50"/>
        <w:spacing w:line="520" w:lineRule="exact"/>
        <w:ind w:firstLine="560" w:firstLineChars="200"/>
        <w:jc w:val="left"/>
        <w:rPr>
          <w:rFonts w:ascii="宋体"/>
          <w:b/>
          <w:bCs/>
          <w:color w:val="auto"/>
          <w:szCs w:val="28"/>
        </w:rPr>
      </w:pPr>
      <w:r>
        <w:rPr>
          <w:rFonts w:hint="eastAsia" w:ascii="宋体"/>
          <w:b/>
          <w:bCs/>
          <w:color w:val="auto"/>
          <w:szCs w:val="28"/>
        </w:rPr>
        <w:t>5.3投标人在提交投标文件的同时必须单独提交以下资料（不需密封）：</w:t>
      </w:r>
    </w:p>
    <w:p>
      <w:pPr>
        <w:pStyle w:val="50"/>
        <w:spacing w:line="520" w:lineRule="exact"/>
        <w:ind w:firstLine="560" w:firstLineChars="200"/>
        <w:rPr>
          <w:rFonts w:ascii="宋体"/>
          <w:color w:val="auto"/>
          <w:szCs w:val="28"/>
        </w:rPr>
      </w:pPr>
      <w:r>
        <w:rPr>
          <w:rFonts w:hint="eastAsia" w:ascii="宋体"/>
          <w:color w:val="auto"/>
          <w:szCs w:val="28"/>
        </w:rPr>
        <w:t>5.3.1法定代表人有效证明书原件；</w:t>
      </w:r>
    </w:p>
    <w:p>
      <w:pPr>
        <w:pStyle w:val="50"/>
        <w:spacing w:line="520" w:lineRule="exact"/>
        <w:ind w:firstLine="560" w:firstLineChars="200"/>
        <w:rPr>
          <w:rFonts w:ascii="宋体"/>
          <w:color w:val="auto"/>
          <w:szCs w:val="28"/>
        </w:rPr>
      </w:pPr>
      <w:r>
        <w:rPr>
          <w:rFonts w:hint="eastAsia" w:ascii="宋体"/>
          <w:color w:val="auto"/>
          <w:szCs w:val="28"/>
        </w:rPr>
        <w:t>5.3.2被委托人有效授权书原件（法定代表人亲自参加的不需提供）；如授权委托人出席开标会还需提交本人在投标单位缴纳社保的证明原件(</w:t>
      </w:r>
      <w:r>
        <w:rPr>
          <w:rFonts w:hint="eastAsia" w:ascii="华文行楷" w:hAnsi="宋体" w:eastAsia="华文行楷"/>
          <w:bCs/>
          <w:color w:val="auto"/>
          <w:szCs w:val="28"/>
          <w:u w:val="single"/>
        </w:rPr>
        <w:t>注：2022年1</w:t>
      </w:r>
      <w:r>
        <w:rPr>
          <w:rFonts w:hint="eastAsia" w:ascii="华文行楷" w:hAnsi="宋体" w:eastAsia="华文行楷"/>
          <w:bCs/>
          <w:color w:val="auto"/>
          <w:szCs w:val="28"/>
          <w:u w:val="single"/>
          <w:lang w:val="zh-CN"/>
        </w:rPr>
        <w:t>月、</w:t>
      </w:r>
      <w:r>
        <w:rPr>
          <w:rFonts w:hint="eastAsia" w:ascii="华文行楷" w:hAnsi="宋体" w:eastAsia="华文行楷"/>
          <w:bCs/>
          <w:color w:val="auto"/>
          <w:szCs w:val="28"/>
          <w:u w:val="single"/>
        </w:rPr>
        <w:t>2</w:t>
      </w:r>
      <w:r>
        <w:rPr>
          <w:rFonts w:hint="eastAsia" w:ascii="华文行楷" w:hAnsi="宋体" w:eastAsia="华文行楷"/>
          <w:bCs/>
          <w:color w:val="auto"/>
          <w:szCs w:val="28"/>
          <w:u w:val="single"/>
          <w:lang w:val="zh-CN"/>
        </w:rPr>
        <w:t>月、</w:t>
      </w:r>
      <w:r>
        <w:rPr>
          <w:rFonts w:hint="eastAsia" w:ascii="华文行楷" w:hAnsi="宋体" w:eastAsia="华文行楷"/>
          <w:bCs/>
          <w:color w:val="auto"/>
          <w:szCs w:val="28"/>
          <w:u w:val="single"/>
        </w:rPr>
        <w:t>3月任意一个月的缴费凭证)</w:t>
      </w:r>
      <w:r>
        <w:rPr>
          <w:rFonts w:hint="eastAsia" w:ascii="宋体"/>
          <w:color w:val="auto"/>
          <w:szCs w:val="28"/>
        </w:rPr>
        <w:t>，该证明文件需加盖当地社保局或税务局印章。如达到法定退休年龄,无法提供该社保证明的，须提供本人与投标单位劳动关系证明。</w:t>
      </w:r>
    </w:p>
    <w:p>
      <w:pPr>
        <w:pStyle w:val="50"/>
        <w:spacing w:line="520" w:lineRule="exact"/>
        <w:ind w:firstLine="546" w:firstLineChars="195"/>
        <w:rPr>
          <w:rFonts w:ascii="宋体"/>
          <w:b/>
          <w:bCs/>
          <w:color w:val="auto"/>
          <w:szCs w:val="28"/>
        </w:rPr>
      </w:pPr>
      <w:r>
        <w:rPr>
          <w:rFonts w:hint="eastAsia" w:ascii="宋体"/>
          <w:b/>
          <w:bCs/>
          <w:color w:val="auto"/>
          <w:szCs w:val="28"/>
        </w:rPr>
        <w:t>5.4 纸质投标资料原件核对：</w:t>
      </w:r>
    </w:p>
    <w:p>
      <w:pPr>
        <w:pStyle w:val="50"/>
        <w:spacing w:line="520" w:lineRule="exact"/>
        <w:ind w:firstLine="546" w:firstLineChars="195"/>
        <w:rPr>
          <w:rFonts w:ascii="宋体"/>
          <w:b/>
          <w:bCs/>
          <w:color w:val="auto"/>
          <w:szCs w:val="28"/>
        </w:rPr>
      </w:pPr>
      <w:r>
        <w:rPr>
          <w:rFonts w:hint="eastAsia" w:ascii="宋体"/>
          <w:b/>
          <w:bCs/>
          <w:color w:val="auto"/>
          <w:szCs w:val="28"/>
        </w:rPr>
        <w:t>投标人在开标时须提供以下资料原件进行核对：</w:t>
      </w:r>
    </w:p>
    <w:p>
      <w:pPr>
        <w:pStyle w:val="50"/>
        <w:spacing w:line="520" w:lineRule="exact"/>
        <w:ind w:firstLine="560" w:firstLineChars="200"/>
        <w:rPr>
          <w:rFonts w:ascii="宋体"/>
          <w:color w:val="auto"/>
          <w:szCs w:val="28"/>
        </w:rPr>
      </w:pPr>
      <w:r>
        <w:rPr>
          <w:rFonts w:hint="eastAsia" w:ascii="宋体"/>
          <w:color w:val="auto"/>
          <w:szCs w:val="28"/>
        </w:rPr>
        <w:t>5.4.1投标人的建筑施工企业安全生产许可证（提供网络打印证件的可直接扫二维码验证）；</w:t>
      </w:r>
    </w:p>
    <w:p>
      <w:pPr>
        <w:pStyle w:val="50"/>
        <w:spacing w:line="520" w:lineRule="exact"/>
        <w:ind w:firstLine="560" w:firstLineChars="200"/>
        <w:rPr>
          <w:rFonts w:ascii="宋体"/>
          <w:color w:val="auto"/>
          <w:szCs w:val="28"/>
        </w:rPr>
      </w:pPr>
      <w:r>
        <w:rPr>
          <w:rFonts w:hint="eastAsia" w:ascii="宋体"/>
          <w:color w:val="auto"/>
          <w:szCs w:val="28"/>
        </w:rPr>
        <w:t>5.4.2投标人的基本账户开户许可证（如果基本账户账号变更，还必须提供开户行出具的有效账号变更证明，投标人已开户银行出具的《基本账户信息》原件的不需提供该项内容）；</w:t>
      </w:r>
    </w:p>
    <w:p>
      <w:pPr>
        <w:pStyle w:val="50"/>
        <w:spacing w:line="520" w:lineRule="exact"/>
        <w:ind w:firstLine="560" w:firstLineChars="200"/>
        <w:rPr>
          <w:rFonts w:ascii="宋体"/>
          <w:color w:val="auto"/>
          <w:szCs w:val="28"/>
        </w:rPr>
      </w:pPr>
      <w:r>
        <w:rPr>
          <w:rFonts w:hint="eastAsia" w:ascii="宋体"/>
          <w:color w:val="auto"/>
          <w:szCs w:val="28"/>
        </w:rPr>
        <w:t>5.4.3如投标保证金采用现金汇款的，需投标人经基本户汇出的投标保证金银行汇款凭证（若汇款凭证是网上打印的回执则无需核对原件）；</w:t>
      </w:r>
    </w:p>
    <w:p>
      <w:pPr>
        <w:pStyle w:val="50"/>
        <w:spacing w:line="520" w:lineRule="exact"/>
        <w:ind w:firstLine="560" w:firstLineChars="200"/>
        <w:rPr>
          <w:rFonts w:ascii="宋体"/>
          <w:color w:val="auto"/>
          <w:szCs w:val="28"/>
        </w:rPr>
      </w:pPr>
      <w:r>
        <w:rPr>
          <w:rFonts w:hint="eastAsia" w:ascii="宋体"/>
          <w:color w:val="auto"/>
          <w:szCs w:val="28"/>
        </w:rPr>
        <w:t>5.4.4拟派项目负责人注册执业资格证书（提供网络打印证件的不需提供原件核对，可直接扫二维码验证）；</w:t>
      </w:r>
    </w:p>
    <w:p>
      <w:pPr>
        <w:pStyle w:val="50"/>
        <w:spacing w:line="520" w:lineRule="exact"/>
        <w:ind w:firstLine="560" w:firstLineChars="200"/>
        <w:rPr>
          <w:rFonts w:ascii="宋体"/>
          <w:color w:val="auto"/>
          <w:szCs w:val="28"/>
        </w:rPr>
      </w:pPr>
      <w:r>
        <w:rPr>
          <w:rFonts w:hint="eastAsia" w:ascii="宋体"/>
          <w:color w:val="auto"/>
          <w:szCs w:val="28"/>
        </w:rPr>
        <w:t>5.4.5拟派项目负责人的建筑施工企业项目负责人安全生产考核合格证书或广东省建筑施工企业管理人员安全生产考核信息系统打印的证书（提供网络打印证件的不需提供原件核对，可直接扫二维码验证）；</w:t>
      </w:r>
    </w:p>
    <w:p>
      <w:pPr>
        <w:pStyle w:val="50"/>
        <w:spacing w:line="520" w:lineRule="exact"/>
        <w:ind w:firstLine="560" w:firstLineChars="200"/>
        <w:rPr>
          <w:rFonts w:ascii="宋体"/>
          <w:color w:val="auto"/>
          <w:szCs w:val="28"/>
        </w:rPr>
      </w:pPr>
      <w:r>
        <w:rPr>
          <w:rFonts w:hint="eastAsia" w:ascii="宋体"/>
          <w:color w:val="auto"/>
          <w:szCs w:val="28"/>
        </w:rPr>
        <w:t>☑5.4.6综合评分表中所需的证明资料证明（若不能提供原件核对，则作为无效资料，不计入评分也不作为无效标条件；若有缺项不作为无效标条件，则该项得分为0分）。</w:t>
      </w:r>
    </w:p>
    <w:p>
      <w:pPr>
        <w:pStyle w:val="50"/>
        <w:spacing w:line="520" w:lineRule="exact"/>
        <w:ind w:firstLine="560" w:firstLineChars="200"/>
        <w:rPr>
          <w:rFonts w:ascii="宋体"/>
          <w:b/>
          <w:bCs/>
          <w:color w:val="auto"/>
          <w:szCs w:val="28"/>
        </w:rPr>
      </w:pPr>
      <w:r>
        <w:rPr>
          <w:rFonts w:hint="eastAsia" w:ascii="宋体"/>
          <w:b/>
          <w:bCs/>
          <w:color w:val="auto"/>
          <w:szCs w:val="28"/>
        </w:rPr>
        <w:t>5.5投标有效期</w:t>
      </w:r>
    </w:p>
    <w:p>
      <w:pPr>
        <w:pStyle w:val="50"/>
        <w:spacing w:line="520" w:lineRule="exact"/>
        <w:ind w:firstLine="560" w:firstLineChars="200"/>
        <w:rPr>
          <w:rFonts w:ascii="宋体"/>
          <w:color w:val="auto"/>
          <w:szCs w:val="28"/>
        </w:rPr>
      </w:pPr>
      <w:r>
        <w:rPr>
          <w:rFonts w:hint="eastAsia" w:ascii="宋体"/>
          <w:color w:val="auto"/>
          <w:szCs w:val="28"/>
        </w:rPr>
        <w:t>5.5.1投标文件在本须知规定投标截止日期起，在</w:t>
      </w:r>
      <w:r>
        <w:rPr>
          <w:rFonts w:hint="eastAsia" w:ascii="华文行楷" w:hAnsi="华文行楷" w:eastAsia="华文行楷" w:cs="华文行楷"/>
          <w:color w:val="auto"/>
          <w:szCs w:val="28"/>
          <w:u w:val="single"/>
        </w:rPr>
        <w:t>90</w:t>
      </w:r>
      <w:r>
        <w:rPr>
          <w:rFonts w:hint="eastAsia" w:ascii="宋体"/>
          <w:color w:val="auto"/>
          <w:szCs w:val="28"/>
        </w:rPr>
        <w:t>个日历天内所有投标文件均保持有效。</w:t>
      </w:r>
    </w:p>
    <w:p>
      <w:pPr>
        <w:pStyle w:val="50"/>
        <w:spacing w:line="520" w:lineRule="exact"/>
        <w:ind w:firstLine="560" w:firstLineChars="200"/>
        <w:rPr>
          <w:rFonts w:ascii="宋体"/>
          <w:color w:val="auto"/>
          <w:szCs w:val="28"/>
        </w:rPr>
      </w:pPr>
      <w:r>
        <w:rPr>
          <w:rFonts w:hint="eastAsia" w:ascii="宋体"/>
          <w:color w:val="auto"/>
          <w:szCs w:val="28"/>
        </w:rPr>
        <w:t>5.5.2在原定投标有效期满之前，如出现特殊情况，招标人可以书面形式向所有投标人提出延长投标有效期的要求。投标人应以书面形式予以答复，投标人可以拒绝这种要求而不被没收投标保证金。同意延期的投标人，不需要也不允许修改他的投标文件，但需要相应地延长投标保证金的有效期。</w:t>
      </w:r>
    </w:p>
    <w:p>
      <w:pPr>
        <w:spacing w:line="520" w:lineRule="exact"/>
        <w:ind w:firstLine="560" w:firstLineChars="200"/>
        <w:rPr>
          <w:rFonts w:ascii="宋体"/>
          <w:b/>
          <w:color w:val="auto"/>
          <w:sz w:val="28"/>
          <w:szCs w:val="28"/>
        </w:rPr>
      </w:pPr>
      <w:r>
        <w:rPr>
          <w:rFonts w:hint="eastAsia" w:ascii="宋体"/>
          <w:b/>
          <w:color w:val="auto"/>
          <w:sz w:val="28"/>
          <w:szCs w:val="28"/>
        </w:rPr>
        <w:t>5.6投标保证金</w:t>
      </w:r>
    </w:p>
    <w:p>
      <w:pPr>
        <w:spacing w:line="520" w:lineRule="exact"/>
        <w:ind w:firstLine="560" w:firstLineChars="200"/>
        <w:rPr>
          <w:rFonts w:ascii="宋体" w:hAnsi="等线"/>
          <w:iCs/>
          <w:color w:val="auto"/>
          <w:sz w:val="28"/>
          <w:szCs w:val="28"/>
        </w:rPr>
      </w:pPr>
      <w:r>
        <w:rPr>
          <w:rFonts w:hint="eastAsia" w:ascii="宋体" w:hAnsi="等线"/>
          <w:color w:val="auto"/>
          <w:sz w:val="28"/>
          <w:szCs w:val="28"/>
        </w:rPr>
        <w:t xml:space="preserve">5.6.1 </w:t>
      </w:r>
      <w:r>
        <w:rPr>
          <w:rFonts w:hint="eastAsia" w:ascii="宋体" w:hAnsi="宋体" w:cs="宋体"/>
          <w:iCs/>
          <w:color w:val="auto"/>
          <w:sz w:val="28"/>
          <w:szCs w:val="28"/>
        </w:rPr>
        <w:t>本项目投标保证金为</w:t>
      </w:r>
      <w:r>
        <w:rPr>
          <w:rFonts w:ascii="宋体" w:hAnsi="宋体" w:cs="宋体"/>
          <w:iCs/>
          <w:color w:val="auto"/>
          <w:sz w:val="28"/>
          <w:szCs w:val="28"/>
        </w:rPr>
        <w:t>人民币</w:t>
      </w:r>
      <w:r>
        <w:rPr>
          <w:rFonts w:hint="eastAsia" w:ascii="华文行楷" w:hAnsi="宋体" w:eastAsia="华文行楷" w:cs="Times New Roman"/>
          <w:bCs/>
          <w:color w:val="auto"/>
          <w:kern w:val="2"/>
          <w:sz w:val="28"/>
          <w:szCs w:val="28"/>
          <w:u w:val="single"/>
          <w:lang w:val="en-US" w:eastAsia="zh-CN" w:bidi="ar-SA"/>
        </w:rPr>
        <w:t>伍万</w:t>
      </w:r>
      <w:r>
        <w:rPr>
          <w:rFonts w:hint="eastAsia" w:ascii="宋体" w:hAnsi="宋体" w:cs="宋体"/>
          <w:iCs/>
          <w:color w:val="auto"/>
          <w:sz w:val="28"/>
          <w:szCs w:val="28"/>
        </w:rPr>
        <w:t>元，</w:t>
      </w:r>
      <w:r>
        <w:rPr>
          <w:rFonts w:ascii="宋体" w:hAnsi="等线"/>
          <w:iCs/>
          <w:color w:val="auto"/>
          <w:sz w:val="28"/>
          <w:szCs w:val="28"/>
        </w:rPr>
        <w:t>必须</w:t>
      </w:r>
      <w:r>
        <w:rPr>
          <w:rFonts w:hint="eastAsia" w:ascii="等线" w:hAnsi="等线"/>
          <w:iCs/>
          <w:color w:val="auto"/>
          <w:sz w:val="28"/>
          <w:szCs w:val="28"/>
        </w:rPr>
        <w:t>在</w:t>
      </w:r>
      <w:r>
        <w:rPr>
          <w:rFonts w:hint="eastAsia" w:ascii="宋体" w:hAnsi="等线"/>
          <w:iCs/>
          <w:color w:val="auto"/>
          <w:sz w:val="28"/>
          <w:szCs w:val="28"/>
        </w:rPr>
        <w:t>投标</w:t>
      </w:r>
      <w:r>
        <w:rPr>
          <w:rFonts w:ascii="宋体" w:hAnsi="等线"/>
          <w:iCs/>
          <w:color w:val="auto"/>
          <w:sz w:val="28"/>
          <w:szCs w:val="28"/>
        </w:rPr>
        <w:t>保证金截止</w:t>
      </w:r>
      <w:r>
        <w:rPr>
          <w:rFonts w:hint="eastAsia" w:ascii="宋体" w:hAnsi="等线"/>
          <w:iCs/>
          <w:color w:val="auto"/>
          <w:sz w:val="28"/>
          <w:szCs w:val="28"/>
        </w:rPr>
        <w:t>时间</w:t>
      </w:r>
      <w:r>
        <w:rPr>
          <w:rFonts w:ascii="宋体" w:hAnsi="等线"/>
          <w:iCs/>
          <w:color w:val="auto"/>
          <w:sz w:val="28"/>
          <w:szCs w:val="28"/>
        </w:rPr>
        <w:t>前</w:t>
      </w:r>
      <w:r>
        <w:rPr>
          <w:rFonts w:hint="eastAsia" w:ascii="宋体" w:hAnsi="等线"/>
          <w:iCs/>
          <w:color w:val="auto"/>
          <w:sz w:val="28"/>
          <w:szCs w:val="28"/>
        </w:rPr>
        <w:t>缴</w:t>
      </w:r>
      <w:r>
        <w:rPr>
          <w:rFonts w:ascii="宋体" w:hAnsi="等线"/>
          <w:iCs/>
          <w:color w:val="auto"/>
          <w:sz w:val="28"/>
          <w:szCs w:val="28"/>
        </w:rPr>
        <w:t>交</w:t>
      </w:r>
      <w:r>
        <w:rPr>
          <w:rFonts w:hint="eastAsia" w:ascii="宋体" w:hAnsi="等线"/>
          <w:iCs/>
          <w:color w:val="auto"/>
          <w:sz w:val="28"/>
          <w:szCs w:val="28"/>
        </w:rPr>
        <w:t>。招标人可要求投标人采用现金、金融机构保函、保证保险等能够实现保证目的的方式缴交。</w:t>
      </w:r>
    </w:p>
    <w:p>
      <w:pPr>
        <w:spacing w:line="520" w:lineRule="exact"/>
        <w:ind w:firstLine="560" w:firstLineChars="200"/>
        <w:rPr>
          <w:color w:val="auto"/>
        </w:rPr>
      </w:pPr>
      <w:r>
        <w:rPr>
          <w:rFonts w:hint="eastAsia" w:ascii="宋体" w:hAnsi="宋体" w:cs="宋体"/>
          <w:b/>
          <w:bCs/>
          <w:iCs/>
          <w:color w:val="auto"/>
          <w:sz w:val="28"/>
          <w:szCs w:val="28"/>
        </w:rPr>
        <w:t>现金汇款</w:t>
      </w:r>
      <w:r>
        <w:rPr>
          <w:rFonts w:hint="eastAsia" w:ascii="宋体" w:hAnsi="宋体" w:cs="宋体"/>
          <w:iCs/>
          <w:color w:val="auto"/>
          <w:sz w:val="28"/>
          <w:szCs w:val="28"/>
        </w:rPr>
        <w:t>：投标保证金必须由投标人从</w:t>
      </w:r>
      <w:r>
        <w:rPr>
          <w:rFonts w:hint="eastAsia" w:ascii="宋体" w:hAnsi="宋体" w:cs="宋体"/>
          <w:b/>
          <w:bCs/>
          <w:iCs/>
          <w:color w:val="auto"/>
          <w:sz w:val="28"/>
          <w:szCs w:val="28"/>
        </w:rPr>
        <w:t>基本账户</w:t>
      </w:r>
      <w:r>
        <w:rPr>
          <w:rFonts w:hint="eastAsia" w:ascii="宋体" w:hAnsi="宋体" w:cs="宋体"/>
          <w:bCs/>
          <w:iCs/>
          <w:color w:val="auto"/>
          <w:sz w:val="28"/>
          <w:szCs w:val="28"/>
        </w:rPr>
        <w:t>汇到</w:t>
      </w:r>
      <w:r>
        <w:rPr>
          <w:rFonts w:hint="eastAsia" w:ascii="宋体" w:hAnsi="宋体" w:cs="宋体"/>
          <w:iCs/>
          <w:color w:val="auto"/>
          <w:sz w:val="28"/>
          <w:szCs w:val="28"/>
        </w:rPr>
        <w:t>招标人的指定账户（开户名：</w:t>
      </w:r>
      <w:r>
        <w:rPr>
          <w:rFonts w:hint="eastAsia" w:ascii="华文行楷" w:hAnsi="华文行楷" w:eastAsia="华文行楷" w:cs="华文行楷"/>
          <w:iCs/>
          <w:color w:val="auto"/>
          <w:sz w:val="28"/>
          <w:szCs w:val="28"/>
          <w:u w:val="single"/>
        </w:rPr>
        <w:t>广州交易集团有限公司</w:t>
      </w:r>
      <w:r>
        <w:rPr>
          <w:rFonts w:hint="eastAsia" w:ascii="宋体" w:hAnsi="宋体" w:cs="宋体"/>
          <w:iCs/>
          <w:color w:val="auto"/>
          <w:sz w:val="28"/>
          <w:szCs w:val="28"/>
        </w:rPr>
        <w:t>，开户行：</w:t>
      </w:r>
      <w:r>
        <w:rPr>
          <w:rFonts w:hint="eastAsia" w:ascii="华文行楷" w:hAnsi="华文行楷" w:eastAsia="华文行楷" w:cs="华文行楷"/>
          <w:iCs/>
          <w:color w:val="auto"/>
          <w:sz w:val="28"/>
          <w:szCs w:val="28"/>
          <w:u w:val="single"/>
        </w:rPr>
        <w:t>中国建设银行广州市天润路支行</w:t>
      </w:r>
      <w:r>
        <w:rPr>
          <w:rFonts w:hint="eastAsia" w:ascii="宋体" w:hAnsi="宋体" w:cs="宋体"/>
          <w:iCs/>
          <w:color w:val="auto"/>
          <w:sz w:val="28"/>
          <w:szCs w:val="28"/>
        </w:rPr>
        <w:t>，账号：</w:t>
      </w:r>
      <w:r>
        <w:rPr>
          <w:rFonts w:hint="eastAsia" w:ascii="华文行楷" w:hAnsi="华文行楷" w:eastAsia="华文行楷" w:cs="华文行楷"/>
          <w:iCs/>
          <w:color w:val="auto"/>
          <w:sz w:val="28"/>
          <w:szCs w:val="28"/>
          <w:u w:val="single"/>
        </w:rPr>
        <w:t>4400 1583 4040 5933 3333</w:t>
      </w:r>
      <w:r>
        <w:rPr>
          <w:rFonts w:hint="eastAsia" w:ascii="宋体" w:hAnsi="宋体" w:cs="宋体"/>
          <w:iCs/>
          <w:color w:val="auto"/>
          <w:sz w:val="28"/>
          <w:szCs w:val="28"/>
        </w:rPr>
        <w:t>），该保证金必须投标截止时间前</w:t>
      </w:r>
      <w:r>
        <w:rPr>
          <w:rFonts w:hint="eastAsia" w:ascii="宋体" w:hAnsi="宋体" w:cs="宋体"/>
          <w:b/>
          <w:iCs/>
          <w:color w:val="auto"/>
          <w:sz w:val="28"/>
          <w:szCs w:val="28"/>
        </w:rPr>
        <w:t>汇到保证金专用账户，否则作无效标处理。</w:t>
      </w:r>
      <w:r>
        <w:rPr>
          <w:rFonts w:ascii="宋体" w:hAnsi="等线"/>
          <w:iCs/>
          <w:color w:val="auto"/>
          <w:sz w:val="28"/>
          <w:szCs w:val="28"/>
        </w:rPr>
        <w:t>该保证金汇款凭证必须在用途栏注明是</w:t>
      </w:r>
      <w:r>
        <w:rPr>
          <w:rFonts w:hint="eastAsia" w:ascii="华文行楷" w:hAnsi="华文行楷" w:eastAsia="华文行楷" w:cs="华文行楷"/>
          <w:color w:val="auto"/>
          <w:sz w:val="28"/>
          <w:szCs w:val="22"/>
          <w:u w:val="single"/>
          <w:lang w:eastAsia="zh-CN"/>
        </w:rPr>
        <w:t>遂溪县洋青镇城乡融合综合改造项目（</w:t>
      </w:r>
      <w:r>
        <w:rPr>
          <w:rFonts w:hint="eastAsia" w:ascii="华文行楷" w:hAnsi="华文行楷" w:eastAsia="华文行楷" w:cs="华文行楷"/>
          <w:color w:val="auto"/>
          <w:sz w:val="28"/>
          <w:szCs w:val="22"/>
          <w:u w:val="single"/>
          <w:lang w:val="en-US" w:eastAsia="zh-CN"/>
        </w:rPr>
        <w:t>一期</w:t>
      </w:r>
      <w:r>
        <w:rPr>
          <w:rFonts w:hint="eastAsia" w:ascii="华文行楷" w:hAnsi="华文行楷" w:eastAsia="华文行楷" w:cs="华文行楷"/>
          <w:color w:val="auto"/>
          <w:sz w:val="28"/>
          <w:szCs w:val="22"/>
          <w:u w:val="single"/>
          <w:lang w:eastAsia="zh-CN"/>
        </w:rPr>
        <w:t>）</w:t>
      </w:r>
      <w:r>
        <w:rPr>
          <w:rFonts w:ascii="宋体" w:hAnsi="等线"/>
          <w:iCs/>
          <w:color w:val="auto"/>
          <w:sz w:val="28"/>
          <w:szCs w:val="28"/>
          <w:u w:val="single"/>
        </w:rPr>
        <w:t>投标保证金</w:t>
      </w:r>
      <w:r>
        <w:rPr>
          <w:rFonts w:ascii="宋体" w:hAnsi="等线"/>
          <w:iCs/>
          <w:color w:val="auto"/>
          <w:sz w:val="28"/>
          <w:szCs w:val="28"/>
        </w:rPr>
        <w:t>，否则，可能导致无法确认该笔投标保证金的用途，一切因此</w:t>
      </w:r>
      <w:r>
        <w:rPr>
          <w:rFonts w:hint="eastAsia" w:ascii="宋体" w:hAnsi="等线"/>
          <w:iCs/>
          <w:color w:val="auto"/>
          <w:sz w:val="28"/>
          <w:szCs w:val="28"/>
        </w:rPr>
        <w:t>造成的后果由投标人自负。由于投标人原因造成投标保证金未能到账的，一切因此造成的后果由投标人自负。</w:t>
      </w:r>
    </w:p>
    <w:p>
      <w:pPr>
        <w:spacing w:line="520" w:lineRule="exact"/>
        <w:ind w:firstLine="560" w:firstLineChars="200"/>
        <w:rPr>
          <w:rFonts w:ascii="宋体" w:hAnsi="宋体" w:cs="宋体"/>
          <w:b/>
          <w:bCs/>
          <w:color w:val="auto"/>
          <w:sz w:val="28"/>
          <w:szCs w:val="28"/>
        </w:rPr>
      </w:pPr>
      <w:r>
        <w:rPr>
          <w:rFonts w:hint="eastAsia" w:ascii="宋体" w:hAnsi="宋体" w:cs="宋体"/>
          <w:b/>
          <w:bCs/>
          <w:iCs/>
          <w:color w:val="auto"/>
          <w:sz w:val="28"/>
          <w:szCs w:val="28"/>
          <w:u w:val="single"/>
        </w:rPr>
        <w:t>银行保函</w:t>
      </w:r>
      <w:r>
        <w:rPr>
          <w:rFonts w:hint="eastAsia" w:ascii="宋体" w:hAnsi="宋体" w:cs="宋体"/>
          <w:b/>
          <w:iCs/>
          <w:color w:val="auto"/>
          <w:sz w:val="28"/>
          <w:szCs w:val="28"/>
        </w:rPr>
        <w:t>：</w:t>
      </w:r>
      <w:r>
        <w:rPr>
          <w:rFonts w:hint="eastAsia" w:ascii="宋体" w:hAnsi="宋体" w:cs="宋体"/>
          <w:iCs/>
          <w:color w:val="auto"/>
          <w:sz w:val="28"/>
          <w:szCs w:val="28"/>
        </w:rPr>
        <w:t>投标人应在投标截止时间前，按投标保证金要求的金额，出具相应的</w:t>
      </w:r>
      <w:r>
        <w:rPr>
          <w:rFonts w:hint="eastAsia" w:ascii="宋体" w:hAnsi="宋体" w:cs="宋体"/>
          <w:bCs/>
          <w:iCs/>
          <w:color w:val="auto"/>
          <w:sz w:val="28"/>
          <w:szCs w:val="28"/>
        </w:rPr>
        <w:t>金融机构保函等证明材料（相关格式参考投标格式七），保函或保险的担保有效期应覆盖投标有效期，具体要求如下：</w:t>
      </w:r>
    </w:p>
    <w:p>
      <w:pPr>
        <w:spacing w:line="520" w:lineRule="exact"/>
        <w:ind w:firstLine="560" w:firstLineChars="200"/>
        <w:rPr>
          <w:rFonts w:ascii="宋体" w:hAnsi="等线"/>
          <w:iCs/>
          <w:color w:val="auto"/>
          <w:sz w:val="28"/>
          <w:szCs w:val="28"/>
        </w:rPr>
      </w:pPr>
      <w:r>
        <w:rPr>
          <w:rFonts w:hint="eastAsia" w:ascii="宋体" w:hAnsi="等线"/>
          <w:iCs/>
          <w:color w:val="auto"/>
          <w:sz w:val="28"/>
          <w:szCs w:val="28"/>
        </w:rPr>
        <w:t>①投标人提交的金融机构保函、保证保险等均应为见索即付性质的、具有实质担保责任的担保保函。</w:t>
      </w:r>
      <w:r>
        <w:rPr>
          <w:rFonts w:hint="eastAsia" w:ascii="宋体" w:hAnsi="等线"/>
          <w:iCs/>
          <w:color w:val="auto"/>
          <w:sz w:val="28"/>
          <w:szCs w:val="28"/>
          <w:u w:val="single"/>
        </w:rPr>
        <w:t>其中，投标银行保函必须由投标人的基本账户银行出具。</w:t>
      </w:r>
    </w:p>
    <w:p>
      <w:pPr>
        <w:spacing w:line="520" w:lineRule="exact"/>
        <w:ind w:firstLine="560" w:firstLineChars="200"/>
        <w:rPr>
          <w:rFonts w:ascii="宋体" w:hAnsi="等线"/>
          <w:iCs/>
          <w:color w:val="auto"/>
          <w:sz w:val="28"/>
          <w:szCs w:val="28"/>
        </w:rPr>
      </w:pPr>
      <w:r>
        <w:rPr>
          <w:rFonts w:hint="eastAsia" w:ascii="宋体" w:hAnsi="等线"/>
          <w:iCs/>
          <w:color w:val="auto"/>
          <w:sz w:val="28"/>
          <w:szCs w:val="28"/>
        </w:rPr>
        <w:t>②投标人可通过广东省建设信息网（网址：http://www.gdcic.net/）首页中的广东省建筑市场监管公共服务平台招投标及合同履约监管系统进入工程担保管理系统自主选择担保机构在线申请，由系统自动生成带防伪底纹和金融机构保函、保证保险。招标人、招标代理机构、评标专家可通过该系统查询由此类金融机构保函、保证保险的有效性。</w:t>
      </w:r>
    </w:p>
    <w:p>
      <w:pPr>
        <w:spacing w:line="520" w:lineRule="exact"/>
        <w:ind w:firstLine="560" w:firstLineChars="200"/>
        <w:rPr>
          <w:rFonts w:ascii="宋体" w:hAnsi="等线"/>
          <w:iCs/>
          <w:color w:val="auto"/>
          <w:sz w:val="28"/>
          <w:szCs w:val="28"/>
        </w:rPr>
      </w:pPr>
      <w:r>
        <w:rPr>
          <w:rFonts w:hint="eastAsia" w:ascii="宋体" w:hAnsi="等线"/>
          <w:iCs/>
          <w:color w:val="auto"/>
          <w:sz w:val="28"/>
          <w:szCs w:val="28"/>
        </w:rPr>
        <w:t>③若投标人为联合体，则由联合体牵头人提供担保。</w:t>
      </w:r>
    </w:p>
    <w:p>
      <w:pPr>
        <w:pStyle w:val="50"/>
        <w:spacing w:line="520" w:lineRule="exact"/>
        <w:ind w:firstLine="560" w:firstLineChars="200"/>
        <w:rPr>
          <w:rFonts w:ascii="宋体"/>
          <w:color w:val="auto"/>
          <w:szCs w:val="28"/>
        </w:rPr>
      </w:pPr>
      <w:r>
        <w:rPr>
          <w:rFonts w:hint="eastAsia" w:ascii="宋体"/>
          <w:color w:val="auto"/>
          <w:szCs w:val="28"/>
        </w:rPr>
        <w:t>5.6.2未中标投标人的投标保证金，在发出中标通知书后5个工作日内依法予以返还。</w:t>
      </w:r>
    </w:p>
    <w:p>
      <w:pPr>
        <w:pStyle w:val="50"/>
        <w:spacing w:line="520" w:lineRule="exact"/>
        <w:ind w:firstLine="560" w:firstLineChars="200"/>
        <w:rPr>
          <w:rFonts w:ascii="宋体"/>
          <w:color w:val="auto"/>
          <w:szCs w:val="28"/>
        </w:rPr>
      </w:pPr>
      <w:r>
        <w:rPr>
          <w:rFonts w:hint="eastAsia" w:ascii="宋体"/>
          <w:color w:val="auto"/>
          <w:szCs w:val="28"/>
        </w:rPr>
        <w:t>5.6.3中标人的投标保证金，在按要求提供履约保证金并签署合同后5个工作日内依法予以返还。</w:t>
      </w:r>
    </w:p>
    <w:p>
      <w:pPr>
        <w:pStyle w:val="50"/>
        <w:spacing w:line="520" w:lineRule="exact"/>
        <w:ind w:firstLine="560" w:firstLineChars="200"/>
        <w:rPr>
          <w:rFonts w:ascii="宋体"/>
          <w:color w:val="auto"/>
          <w:szCs w:val="28"/>
        </w:rPr>
      </w:pPr>
      <w:r>
        <w:rPr>
          <w:rFonts w:hint="eastAsia" w:ascii="宋体"/>
          <w:color w:val="auto"/>
          <w:szCs w:val="28"/>
        </w:rPr>
        <w:t>5.6.4如投标人出现下列情况之一的，其投标保证金不予退还：</w:t>
      </w:r>
    </w:p>
    <w:p>
      <w:pPr>
        <w:pStyle w:val="50"/>
        <w:spacing w:line="520" w:lineRule="exact"/>
        <w:ind w:firstLine="560" w:firstLineChars="200"/>
        <w:rPr>
          <w:rFonts w:ascii="宋体"/>
          <w:color w:val="auto"/>
          <w:szCs w:val="28"/>
        </w:rPr>
      </w:pPr>
      <w:r>
        <w:rPr>
          <w:rFonts w:hint="eastAsia" w:ascii="宋体"/>
          <w:color w:val="auto"/>
          <w:szCs w:val="28"/>
        </w:rPr>
        <w:t xml:space="preserve">    ①投标人在投标有效期内撤销其投标文件；</w:t>
      </w:r>
    </w:p>
    <w:p>
      <w:pPr>
        <w:pStyle w:val="50"/>
        <w:spacing w:line="520" w:lineRule="exact"/>
        <w:ind w:firstLine="560" w:firstLineChars="200"/>
        <w:rPr>
          <w:rFonts w:ascii="宋体"/>
          <w:color w:val="auto"/>
          <w:szCs w:val="28"/>
        </w:rPr>
      </w:pPr>
      <w:r>
        <w:rPr>
          <w:rFonts w:hint="eastAsia" w:ascii="宋体"/>
          <w:color w:val="auto"/>
          <w:szCs w:val="28"/>
        </w:rPr>
        <w:t xml:space="preserve">    ②投标人在投标过程中有违反招标投标法律法规行为的； </w:t>
      </w:r>
    </w:p>
    <w:p>
      <w:pPr>
        <w:pStyle w:val="50"/>
        <w:spacing w:line="520" w:lineRule="exact"/>
        <w:ind w:firstLine="560" w:firstLineChars="200"/>
        <w:rPr>
          <w:rFonts w:ascii="宋体"/>
          <w:color w:val="auto"/>
          <w:szCs w:val="28"/>
        </w:rPr>
      </w:pPr>
      <w:r>
        <w:rPr>
          <w:rFonts w:hint="eastAsia" w:ascii="宋体"/>
          <w:color w:val="auto"/>
          <w:szCs w:val="28"/>
        </w:rPr>
        <w:t xml:space="preserve">    ③中标人放弃中标资格；</w:t>
      </w:r>
    </w:p>
    <w:p>
      <w:pPr>
        <w:pStyle w:val="50"/>
        <w:spacing w:line="520" w:lineRule="exact"/>
        <w:ind w:firstLine="560" w:firstLineChars="200"/>
        <w:rPr>
          <w:rFonts w:ascii="宋体"/>
          <w:color w:val="auto"/>
          <w:szCs w:val="28"/>
        </w:rPr>
      </w:pPr>
      <w:r>
        <w:rPr>
          <w:rFonts w:hint="eastAsia" w:ascii="宋体"/>
          <w:color w:val="auto"/>
          <w:szCs w:val="28"/>
        </w:rPr>
        <w:t xml:space="preserve">    ④中标人未能在规定期限内按招标文件要求提交履约保证金或签署施工合同。</w:t>
      </w:r>
    </w:p>
    <w:p>
      <w:pPr>
        <w:pStyle w:val="56"/>
        <w:spacing w:line="520" w:lineRule="exact"/>
        <w:ind w:firstLine="560" w:firstLineChars="200"/>
        <w:rPr>
          <w:rFonts w:ascii="宋体"/>
          <w:color w:val="auto"/>
          <w:sz w:val="28"/>
          <w:szCs w:val="28"/>
        </w:rPr>
      </w:pPr>
      <w:r>
        <w:rPr>
          <w:rFonts w:hint="eastAsia" w:ascii="宋体"/>
          <w:color w:val="auto"/>
          <w:sz w:val="28"/>
          <w:szCs w:val="28"/>
        </w:rPr>
        <w:t>5.7履约保证金</w:t>
      </w:r>
    </w:p>
    <w:p>
      <w:pPr>
        <w:pStyle w:val="50"/>
        <w:spacing w:line="520" w:lineRule="exact"/>
        <w:ind w:firstLine="560" w:firstLineChars="200"/>
        <w:rPr>
          <w:rFonts w:ascii="宋体"/>
          <w:color w:val="auto"/>
          <w:szCs w:val="28"/>
        </w:rPr>
      </w:pPr>
      <w:r>
        <w:rPr>
          <w:rFonts w:hint="eastAsia" w:ascii="宋体"/>
          <w:color w:val="auto"/>
          <w:szCs w:val="28"/>
        </w:rPr>
        <w:t>5.7.1为了保证本工程施工的顺利进行，招标人保证按合同规定拨付工程进度款同时投标人必须提供</w:t>
      </w:r>
      <w:r>
        <w:rPr>
          <w:rFonts w:hint="eastAsia" w:ascii="华文行楷" w:hAnsi="华文行楷" w:eastAsia="华文行楷" w:cs="华文行楷"/>
          <w:color w:val="auto"/>
          <w:szCs w:val="28"/>
          <w:u w:val="single"/>
        </w:rPr>
        <w:t>中标合同金额的5%</w:t>
      </w:r>
      <w:r>
        <w:rPr>
          <w:rFonts w:hint="eastAsia" w:ascii="宋体"/>
          <w:color w:val="auto"/>
          <w:szCs w:val="28"/>
        </w:rPr>
        <w:t>元人民币履约保证金</w:t>
      </w:r>
      <w:r>
        <w:rPr>
          <w:rFonts w:hint="eastAsia" w:ascii="宋体"/>
          <w:b/>
          <w:color w:val="auto"/>
          <w:szCs w:val="28"/>
        </w:rPr>
        <w:t>（</w:t>
      </w:r>
      <w:r>
        <w:rPr>
          <w:rFonts w:hint="eastAsia" w:ascii="宋体"/>
          <w:color w:val="auto"/>
          <w:szCs w:val="28"/>
        </w:rPr>
        <w:t>可通过转账或银行保函或有资质的担保公司出具的有效担保函方式执行</w:t>
      </w:r>
      <w:r>
        <w:rPr>
          <w:rFonts w:hint="eastAsia" w:ascii="宋体"/>
          <w:b/>
          <w:color w:val="auto"/>
          <w:szCs w:val="28"/>
        </w:rPr>
        <w:t>）</w:t>
      </w:r>
      <w:r>
        <w:rPr>
          <w:rFonts w:hint="eastAsia" w:ascii="宋体"/>
          <w:color w:val="auto"/>
          <w:szCs w:val="28"/>
        </w:rPr>
        <w:t>。</w:t>
      </w:r>
    </w:p>
    <w:p>
      <w:pPr>
        <w:spacing w:line="520" w:lineRule="exact"/>
        <w:ind w:firstLine="570"/>
        <w:rPr>
          <w:rFonts w:ascii="宋体" w:hAnsi="宋体"/>
          <w:color w:val="auto"/>
          <w:sz w:val="28"/>
          <w:szCs w:val="28"/>
        </w:rPr>
      </w:pPr>
      <w:r>
        <w:rPr>
          <w:rFonts w:hint="eastAsia" w:ascii="宋体" w:hAnsi="宋体"/>
          <w:color w:val="auto"/>
          <w:sz w:val="28"/>
          <w:szCs w:val="28"/>
        </w:rPr>
        <w:t>中标人交纳的履约保证金通过银行转账方式执行的，在</w:t>
      </w:r>
      <w:r>
        <w:rPr>
          <w:rFonts w:hint="eastAsia" w:ascii="宋体" w:hAnsi="宋体"/>
          <w:color w:val="auto"/>
          <w:sz w:val="28"/>
          <w:szCs w:val="28"/>
          <w:u w:val="single"/>
        </w:rPr>
        <w:t>（招标人和中标人签订施工合同）</w:t>
      </w:r>
      <w:r>
        <w:rPr>
          <w:rFonts w:hint="eastAsia" w:ascii="宋体" w:hAnsi="宋体"/>
          <w:color w:val="auto"/>
          <w:sz w:val="28"/>
          <w:szCs w:val="28"/>
        </w:rPr>
        <w:t>之日起的</w:t>
      </w:r>
      <w:r>
        <w:rPr>
          <w:rFonts w:hint="eastAsia" w:ascii="华文行楷" w:hAnsi="华文行楷" w:eastAsia="华文行楷" w:cs="华文行楷"/>
          <w:color w:val="auto"/>
          <w:sz w:val="28"/>
          <w:szCs w:val="28"/>
          <w:u w:val="single"/>
        </w:rPr>
        <w:t>20</w:t>
      </w:r>
      <w:r>
        <w:rPr>
          <w:rFonts w:hint="eastAsia" w:ascii="宋体" w:hAnsi="宋体"/>
          <w:color w:val="auto"/>
          <w:sz w:val="28"/>
          <w:szCs w:val="28"/>
        </w:rPr>
        <w:t>日</w:t>
      </w:r>
      <w:r>
        <w:rPr>
          <w:rFonts w:ascii="宋体" w:hAnsi="宋体"/>
          <w:color w:val="auto"/>
          <w:sz w:val="28"/>
          <w:szCs w:val="28"/>
        </w:rPr>
        <w:t>内将履约保证金转入招标人指定的帐户（</w:t>
      </w:r>
      <w:r>
        <w:rPr>
          <w:rStyle w:val="43"/>
          <w:rFonts w:hint="eastAsia" w:ascii="华文行楷" w:hAnsi="华文行楷" w:eastAsia="华文行楷" w:cs="华文行楷"/>
          <w:color w:val="auto"/>
          <w:sz w:val="28"/>
          <w:szCs w:val="28"/>
          <w:u w:val="single"/>
        </w:rPr>
        <w:t>获取中标通知书后向招标人索取账户信息</w:t>
      </w:r>
      <w:r>
        <w:rPr>
          <w:rFonts w:hint="eastAsia" w:ascii="宋体" w:hAnsi="宋体"/>
          <w:color w:val="auto"/>
          <w:sz w:val="28"/>
          <w:szCs w:val="28"/>
        </w:rPr>
        <w:t>），并凭银行出具的资金转入有效证明和招标人确认该款项到帐后到招标人财务处领取履约保证金收款收据。若中标人未有在上述规定时间内将该履约保证金转到招标人指定帐户并向招标人提交出具的资金转入有效证明时，招标人即取消该中标人的中标资格，没收其投标保证金，并按照评标委员会推荐的中标候选人名单排序依次确定其他中标候选人为中标人。</w:t>
      </w:r>
    </w:p>
    <w:p>
      <w:pPr>
        <w:spacing w:line="520" w:lineRule="exact"/>
        <w:ind w:firstLine="570"/>
        <w:rPr>
          <w:rFonts w:ascii="宋体" w:hAnsi="宋体"/>
          <w:color w:val="auto"/>
          <w:sz w:val="28"/>
          <w:szCs w:val="28"/>
        </w:rPr>
      </w:pPr>
      <w:r>
        <w:rPr>
          <w:rFonts w:hint="eastAsia" w:ascii="宋体" w:hAnsi="宋体"/>
          <w:color w:val="auto"/>
          <w:sz w:val="28"/>
          <w:szCs w:val="28"/>
        </w:rPr>
        <w:t>中标人交纳的履约保证金通过银行保函或有资质担保公司出具的有效担保函或保险公司出具的保证保险等担保函件方式执行的，在</w:t>
      </w:r>
      <w:r>
        <w:rPr>
          <w:rFonts w:hint="eastAsia" w:ascii="宋体" w:hAnsi="宋体"/>
          <w:color w:val="auto"/>
          <w:sz w:val="28"/>
          <w:szCs w:val="28"/>
          <w:u w:val="single"/>
        </w:rPr>
        <w:t>（招标人和中标人签订施工合同）</w:t>
      </w:r>
      <w:r>
        <w:rPr>
          <w:rFonts w:hint="eastAsia" w:ascii="宋体" w:hAnsi="宋体"/>
          <w:color w:val="auto"/>
          <w:sz w:val="28"/>
          <w:szCs w:val="28"/>
        </w:rPr>
        <w:t>之日起的</w:t>
      </w:r>
      <w:r>
        <w:rPr>
          <w:rFonts w:hint="eastAsia" w:ascii="华文行楷" w:hAnsi="华文行楷" w:eastAsia="华文行楷" w:cs="华文行楷"/>
          <w:color w:val="auto"/>
          <w:sz w:val="28"/>
          <w:szCs w:val="28"/>
          <w:u w:val="single"/>
        </w:rPr>
        <w:t>20</w:t>
      </w:r>
      <w:r>
        <w:rPr>
          <w:rFonts w:hint="eastAsia" w:ascii="宋体" w:hAnsi="宋体"/>
          <w:color w:val="auto"/>
          <w:sz w:val="28"/>
          <w:szCs w:val="28"/>
        </w:rPr>
        <w:t>日内向招标人提供有效的担保函件,在工程竣工之前，中标人要保证担保函件持续有效。若中标人未有在上述规定时间内将有效的担保函件交到招标人指定的地点，招标人即取消该中标人的中标资格，没收其投标保证金，并按照评标委员会推荐的中标候选人名单排序依次确定其他中标候选人为中标人。</w:t>
      </w:r>
    </w:p>
    <w:p>
      <w:pPr>
        <w:wordWrap w:val="0"/>
        <w:spacing w:line="520" w:lineRule="exact"/>
        <w:ind w:firstLine="573"/>
        <w:jc w:val="left"/>
        <w:rPr>
          <w:color w:val="auto"/>
        </w:rPr>
      </w:pPr>
      <w:r>
        <w:rPr>
          <w:rFonts w:hint="eastAsia" w:ascii="宋体" w:hAnsi="宋体"/>
          <w:color w:val="auto"/>
          <w:sz w:val="28"/>
          <w:szCs w:val="28"/>
        </w:rPr>
        <w:t>（注：中标人可通过广东省建设信息网（http://www.gdcic.net/）首页中的广东省建筑市场监管公共服务平台招投标及合同履约监管系统进入工程担保管理系统自主选择担保机构在线申请）</w:t>
      </w:r>
    </w:p>
    <w:p>
      <w:pPr>
        <w:pStyle w:val="50"/>
        <w:spacing w:line="520" w:lineRule="exact"/>
        <w:ind w:firstLine="560" w:firstLineChars="200"/>
        <w:rPr>
          <w:rFonts w:ascii="宋体"/>
          <w:color w:val="auto"/>
          <w:szCs w:val="28"/>
        </w:rPr>
      </w:pPr>
      <w:r>
        <w:rPr>
          <w:rFonts w:hint="eastAsia" w:ascii="宋体"/>
          <w:color w:val="auto"/>
          <w:szCs w:val="28"/>
        </w:rPr>
        <w:t>5.7.2中标人在合同履行过程中如有违约行为，招标人可视情况全部或部分没收其履约保证金，并按合同有关条款追究其违约责任。</w:t>
      </w:r>
    </w:p>
    <w:p>
      <w:pPr>
        <w:pStyle w:val="50"/>
        <w:spacing w:line="520" w:lineRule="exact"/>
        <w:ind w:firstLine="560" w:firstLineChars="200"/>
        <w:rPr>
          <w:rFonts w:ascii="宋体"/>
          <w:color w:val="auto"/>
          <w:szCs w:val="28"/>
        </w:rPr>
      </w:pPr>
      <w:r>
        <w:rPr>
          <w:rFonts w:hint="eastAsia" w:ascii="宋体"/>
          <w:color w:val="auto"/>
          <w:szCs w:val="28"/>
        </w:rPr>
        <w:t>5.7.3如中标人在合同履行过程中没有违约责任，发包人在工程竣工验收合格并交付使用、完成工程结算且提交符合要求的工程竣工资料后5个工作日内应中标人的要求退还履约保证金。</w:t>
      </w:r>
    </w:p>
    <w:p>
      <w:pPr>
        <w:pStyle w:val="56"/>
        <w:spacing w:line="520" w:lineRule="exact"/>
        <w:ind w:firstLine="560" w:firstLineChars="200"/>
        <w:rPr>
          <w:rFonts w:ascii="宋体"/>
          <w:color w:val="auto"/>
          <w:sz w:val="28"/>
          <w:szCs w:val="28"/>
        </w:rPr>
      </w:pPr>
      <w:r>
        <w:rPr>
          <w:rFonts w:hint="eastAsia" w:ascii="宋体"/>
          <w:color w:val="auto"/>
          <w:sz w:val="28"/>
          <w:szCs w:val="28"/>
        </w:rPr>
        <w:t>5.8招标答疑</w:t>
      </w:r>
    </w:p>
    <w:p>
      <w:pPr>
        <w:pStyle w:val="50"/>
        <w:spacing w:line="520" w:lineRule="exact"/>
        <w:ind w:firstLine="560" w:firstLineChars="200"/>
        <w:rPr>
          <w:rFonts w:ascii="宋体"/>
          <w:color w:val="auto"/>
          <w:szCs w:val="28"/>
        </w:rPr>
      </w:pPr>
      <w:r>
        <w:rPr>
          <w:rFonts w:hint="eastAsia" w:ascii="宋体"/>
          <w:color w:val="auto"/>
          <w:szCs w:val="28"/>
        </w:rPr>
        <w:t>5.8.1投标人下载招标文件后，应仔细检查招标文件的所有内容，需要招标人及设计单位解释或说明的问题，请按规定向招标人或招标代理机构提出。</w:t>
      </w:r>
    </w:p>
    <w:p>
      <w:pPr>
        <w:pStyle w:val="50"/>
        <w:spacing w:line="520" w:lineRule="exact"/>
        <w:ind w:firstLine="560" w:firstLineChars="200"/>
        <w:rPr>
          <w:rFonts w:ascii="宋体"/>
          <w:color w:val="auto"/>
          <w:szCs w:val="28"/>
        </w:rPr>
      </w:pPr>
      <w:r>
        <w:rPr>
          <w:rFonts w:hint="eastAsia" w:ascii="宋体"/>
          <w:color w:val="auto"/>
          <w:szCs w:val="28"/>
        </w:rPr>
        <w:t>5.8.2本项目不组织现场踏勘，如有需要，投标人可自行前往现场踏勘，费用及安全问题自行承担。</w:t>
      </w:r>
    </w:p>
    <w:p>
      <w:pPr>
        <w:pStyle w:val="50"/>
        <w:spacing w:line="520" w:lineRule="exact"/>
        <w:ind w:firstLine="560" w:firstLineChars="200"/>
        <w:rPr>
          <w:rFonts w:ascii="宋体"/>
          <w:color w:val="auto"/>
          <w:szCs w:val="28"/>
        </w:rPr>
      </w:pPr>
      <w:r>
        <w:rPr>
          <w:rFonts w:hint="eastAsia" w:ascii="宋体"/>
          <w:color w:val="auto"/>
          <w:szCs w:val="28"/>
        </w:rPr>
        <w:t>5.8.3招标答疑的目的是澄清、解答投标人在查阅招标文件和现场踏勘后可能提出的任何方面的问题，并由招标人和招标代理机构按规定作出答复。</w:t>
      </w:r>
    </w:p>
    <w:p>
      <w:pPr>
        <w:pStyle w:val="50"/>
        <w:spacing w:line="520" w:lineRule="exact"/>
        <w:ind w:firstLine="560" w:firstLineChars="200"/>
        <w:rPr>
          <w:rFonts w:ascii="宋体"/>
          <w:color w:val="auto"/>
          <w:szCs w:val="28"/>
        </w:rPr>
      </w:pPr>
      <w:r>
        <w:rPr>
          <w:rFonts w:hint="eastAsia" w:ascii="宋体"/>
          <w:color w:val="auto"/>
          <w:szCs w:val="28"/>
        </w:rPr>
        <w:t>5.8.4招标答疑纪要作为招标文件的一部分，与招标文件具有同等法律效力。</w:t>
      </w:r>
    </w:p>
    <w:p>
      <w:pPr>
        <w:pStyle w:val="56"/>
        <w:spacing w:line="520" w:lineRule="exact"/>
        <w:ind w:firstLine="411" w:firstLineChars="147"/>
        <w:rPr>
          <w:rFonts w:ascii="宋体" w:hAnsi="宋体" w:cs="宋体"/>
          <w:color w:val="auto"/>
          <w:sz w:val="28"/>
          <w:szCs w:val="28"/>
        </w:rPr>
      </w:pPr>
      <w:r>
        <w:rPr>
          <w:rFonts w:hint="eastAsia" w:ascii="宋体" w:hAnsi="宋体" w:cs="宋体"/>
          <w:color w:val="auto"/>
          <w:sz w:val="28"/>
          <w:szCs w:val="28"/>
        </w:rPr>
        <w:t>5.9工程等级填写要求</w:t>
      </w:r>
    </w:p>
    <w:p>
      <w:pPr>
        <w:pStyle w:val="56"/>
        <w:spacing w:line="520" w:lineRule="exact"/>
        <w:ind w:firstLine="560" w:firstLineChars="200"/>
        <w:rPr>
          <w:rFonts w:ascii="宋体" w:hAnsi="宋体" w:cs="宋体"/>
          <w:color w:val="auto"/>
          <w:sz w:val="28"/>
          <w:szCs w:val="28"/>
        </w:rPr>
      </w:pPr>
      <w:r>
        <w:rPr>
          <w:rFonts w:hint="eastAsia" w:ascii="宋体" w:hAnsi="宋体" w:cs="宋体"/>
          <w:b w:val="0"/>
          <w:bCs/>
          <w:color w:val="auto"/>
          <w:sz w:val="28"/>
          <w:szCs w:val="28"/>
        </w:rPr>
        <w:t>合格。</w:t>
      </w:r>
    </w:p>
    <w:p>
      <w:pPr>
        <w:pStyle w:val="56"/>
        <w:spacing w:line="520" w:lineRule="exact"/>
        <w:ind w:firstLine="560" w:firstLineChars="200"/>
        <w:rPr>
          <w:rFonts w:ascii="宋体" w:hAnsi="宋体" w:cs="宋体"/>
          <w:color w:val="auto"/>
          <w:sz w:val="28"/>
          <w:szCs w:val="28"/>
        </w:rPr>
      </w:pPr>
      <w:r>
        <w:rPr>
          <w:rFonts w:hint="eastAsia" w:ascii="宋体" w:hAnsi="宋体" w:cs="宋体"/>
          <w:color w:val="auto"/>
          <w:sz w:val="28"/>
          <w:szCs w:val="28"/>
        </w:rPr>
        <w:t>5.10投标文件的份数和要求</w:t>
      </w:r>
    </w:p>
    <w:p>
      <w:pPr>
        <w:pStyle w:val="50"/>
        <w:spacing w:line="520" w:lineRule="exact"/>
        <w:ind w:firstLine="560" w:firstLineChars="200"/>
        <w:rPr>
          <w:rFonts w:ascii="宋体" w:hAnsi="宋体" w:cs="宋体"/>
          <w:b/>
          <w:bCs/>
          <w:color w:val="auto"/>
          <w:szCs w:val="28"/>
          <w:u w:val="single"/>
        </w:rPr>
      </w:pPr>
      <w:r>
        <w:rPr>
          <w:rFonts w:hint="eastAsia" w:ascii="宋体" w:hAnsi="宋体" w:cs="宋体"/>
          <w:color w:val="auto"/>
          <w:szCs w:val="28"/>
        </w:rPr>
        <w:t>5.10.1投标人应向招标人提交</w:t>
      </w:r>
      <w:r>
        <w:rPr>
          <w:rFonts w:hint="eastAsia" w:ascii="宋体" w:hAnsi="宋体" w:cs="宋体"/>
          <w:b/>
          <w:bCs/>
          <w:color w:val="auto"/>
          <w:szCs w:val="28"/>
          <w:u w:val="single"/>
        </w:rPr>
        <w:t>纸质投标文件壹式伍份（1正4副）</w:t>
      </w:r>
      <w:r>
        <w:rPr>
          <w:rFonts w:hint="eastAsia" w:ascii="宋体" w:hAnsi="宋体" w:cs="宋体"/>
          <w:b/>
          <w:bCs/>
          <w:color w:val="auto"/>
          <w:szCs w:val="28"/>
        </w:rPr>
        <w:t>。</w:t>
      </w:r>
    </w:p>
    <w:p>
      <w:pPr>
        <w:pStyle w:val="50"/>
        <w:spacing w:line="520" w:lineRule="exact"/>
        <w:rPr>
          <w:rFonts w:ascii="宋体" w:hAnsi="宋体" w:cs="宋体"/>
          <w:color w:val="auto"/>
          <w:szCs w:val="28"/>
        </w:rPr>
      </w:pPr>
      <w:r>
        <w:rPr>
          <w:rFonts w:hint="eastAsia" w:ascii="宋体" w:hAnsi="宋体" w:cs="宋体"/>
          <w:color w:val="auto"/>
          <w:szCs w:val="28"/>
        </w:rPr>
        <w:t>提交的纸质投标文件均应按招标文件规定内容、格式编制并按“A4”幅面在左侧装订（有关图表可用A3纸打印，但必须按A4幅面折叠装订），并明确标明为“正本”和“副本”，投标文件封面采用附件的封面格式。投标文件“正本”与“副本”有不一致处，以“正本”为准。</w:t>
      </w:r>
    </w:p>
    <w:p>
      <w:pPr>
        <w:pStyle w:val="50"/>
        <w:spacing w:line="520" w:lineRule="exact"/>
        <w:ind w:firstLine="560" w:firstLineChars="200"/>
        <w:rPr>
          <w:rFonts w:ascii="宋体" w:hAnsi="宋体" w:cs="宋体"/>
          <w:color w:val="auto"/>
          <w:szCs w:val="28"/>
        </w:rPr>
      </w:pPr>
      <w:r>
        <w:rPr>
          <w:rFonts w:hint="eastAsia" w:ascii="宋体" w:hAnsi="宋体" w:cs="宋体"/>
          <w:color w:val="auto"/>
          <w:szCs w:val="28"/>
        </w:rPr>
        <w:t>5.10.2投标文件“正本”与“副本”均应使用黑色墨水打印或手写。招标文件规定投标文件中由法定代表人、项目负责人和项目技术负责人签名的地方，必须由投标人法定代表人、项目负责人和项目技术负责人亲笔签名（电子签名或盖签名章视为无效签名）；授权人只能代表法定代表人参加开标等活动，不得签署有关的投标文件。</w:t>
      </w:r>
    </w:p>
    <w:p>
      <w:pPr>
        <w:pStyle w:val="50"/>
        <w:spacing w:line="520" w:lineRule="exact"/>
        <w:ind w:firstLine="560" w:firstLineChars="200"/>
        <w:rPr>
          <w:rFonts w:ascii="宋体" w:hAnsi="宋体" w:cs="宋体"/>
          <w:color w:val="auto"/>
          <w:szCs w:val="28"/>
        </w:rPr>
      </w:pPr>
      <w:r>
        <w:rPr>
          <w:rFonts w:hint="eastAsia" w:ascii="宋体" w:hAnsi="宋体" w:cs="宋体"/>
          <w:color w:val="auto"/>
          <w:szCs w:val="28"/>
        </w:rPr>
        <w:t>5.10.3全套投标文件应无涂改和行间插字和删改，除非这删改是根据招标人的书面通知进行的，或者是招标人造成的必须修改的错误。修改处须由投标文件签字人签字证明或加盖投标人的公章或法定代表人的印章。</w:t>
      </w:r>
    </w:p>
    <w:p>
      <w:pPr>
        <w:pStyle w:val="4"/>
        <w:spacing w:before="0" w:after="0" w:line="520" w:lineRule="exact"/>
        <w:ind w:firstLine="640" w:firstLineChars="200"/>
        <w:rPr>
          <w:rFonts w:ascii="宋体" w:hAnsi="宋体" w:eastAsia="宋体" w:cs="宋体"/>
          <w:color w:val="auto"/>
        </w:rPr>
      </w:pPr>
      <w:bookmarkStart w:id="16" w:name="_Toc32453"/>
      <w:bookmarkStart w:id="17" w:name="_Toc48210815"/>
      <w:r>
        <w:rPr>
          <w:rFonts w:hint="eastAsia" w:ascii="宋体" w:hAnsi="宋体" w:eastAsia="宋体" w:cs="宋体"/>
          <w:color w:val="auto"/>
        </w:rPr>
        <w:t>6.纸质投标文件的装订、密封与标志</w:t>
      </w:r>
      <w:bookmarkEnd w:id="16"/>
      <w:bookmarkEnd w:id="17"/>
    </w:p>
    <w:p>
      <w:pPr>
        <w:spacing w:line="520" w:lineRule="exact"/>
        <w:ind w:firstLine="562" w:firstLineChars="201"/>
        <w:jc w:val="left"/>
        <w:rPr>
          <w:rFonts w:ascii="宋体" w:hAnsi="宋体" w:cs="宋体"/>
          <w:b/>
          <w:bCs/>
          <w:color w:val="auto"/>
          <w:sz w:val="28"/>
          <w:szCs w:val="28"/>
        </w:rPr>
      </w:pPr>
      <w:r>
        <w:rPr>
          <w:rFonts w:hint="eastAsia" w:ascii="宋体" w:hAnsi="宋体" w:cs="宋体"/>
          <w:b/>
          <w:bCs/>
          <w:color w:val="auto"/>
          <w:sz w:val="28"/>
          <w:szCs w:val="28"/>
        </w:rPr>
        <w:t>6.1投标文件的密封与标志（经评审的最低投标价法）</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6.1.1投标文件按“A4”纸规格装订，不得采用活页夹。投标文件应编制目录，并且逐页标注连续页码，否则，招标人对由于投标文件装订松散而造成的丢失或其它后果不承担任何责任。投标文件</w:t>
      </w:r>
      <w:r>
        <w:rPr>
          <w:rFonts w:hint="eastAsia" w:ascii="宋体" w:hAnsi="宋体" w:cs="宋体"/>
          <w:color w:val="auto"/>
          <w:kern w:val="0"/>
          <w:sz w:val="28"/>
          <w:szCs w:val="28"/>
        </w:rPr>
        <w:t>用不透明包装材料包装并密封，封口处应</w:t>
      </w:r>
      <w:r>
        <w:rPr>
          <w:rFonts w:hint="eastAsia" w:ascii="宋体" w:hAnsi="宋体" w:cs="宋体"/>
          <w:b/>
          <w:bCs/>
          <w:color w:val="auto"/>
          <w:kern w:val="0"/>
          <w:sz w:val="28"/>
          <w:szCs w:val="28"/>
          <w:u w:val="single"/>
        </w:rPr>
        <w:t>加盖</w:t>
      </w:r>
      <w:r>
        <w:rPr>
          <w:rFonts w:hint="eastAsia" w:ascii="宋体" w:hAnsi="宋体" w:cs="宋体"/>
          <w:color w:val="auto"/>
          <w:kern w:val="0"/>
          <w:sz w:val="28"/>
          <w:szCs w:val="28"/>
        </w:rPr>
        <w:t>单位公章</w:t>
      </w:r>
      <w:r>
        <w:rPr>
          <w:rFonts w:hint="eastAsia" w:ascii="宋体" w:hAnsi="宋体" w:cs="宋体"/>
          <w:color w:val="auto"/>
          <w:sz w:val="28"/>
          <w:szCs w:val="28"/>
        </w:rPr>
        <w:t>。</w:t>
      </w:r>
    </w:p>
    <w:p>
      <w:pPr>
        <w:pStyle w:val="50"/>
        <w:spacing w:line="520" w:lineRule="exact"/>
        <w:ind w:firstLine="560" w:firstLineChars="200"/>
        <w:rPr>
          <w:rFonts w:ascii="宋体" w:hAnsi="宋体" w:cs="宋体"/>
          <w:color w:val="auto"/>
          <w:szCs w:val="28"/>
        </w:rPr>
      </w:pPr>
      <w:r>
        <w:rPr>
          <w:rFonts w:hint="eastAsia" w:ascii="宋体" w:hAnsi="宋体" w:cs="宋体"/>
          <w:color w:val="auto"/>
          <w:szCs w:val="28"/>
        </w:rPr>
        <w:t>6.1.2包封上应：注明所投项目名称、投标人单位全称以及投标日期。6.1.3如果投标文件包封上没有按上述规定密封和标志，招标代理机构及招标人将不承担投标文件放错或提前开封的责任，由此造成的提前开封的投标文件，招标代理机构及招标人予以拒绝而退还给投标人。</w:t>
      </w:r>
    </w:p>
    <w:p>
      <w:pPr>
        <w:pStyle w:val="4"/>
        <w:spacing w:before="0" w:after="0" w:line="520" w:lineRule="exact"/>
        <w:ind w:firstLine="640" w:firstLineChars="200"/>
        <w:rPr>
          <w:rFonts w:ascii="宋体" w:eastAsia="宋体"/>
          <w:color w:val="auto"/>
        </w:rPr>
      </w:pPr>
      <w:bookmarkStart w:id="18" w:name="_Toc22618"/>
      <w:bookmarkStart w:id="19" w:name="_Toc48210816"/>
      <w:r>
        <w:rPr>
          <w:rFonts w:hint="eastAsia" w:ascii="宋体" w:eastAsia="宋体"/>
          <w:color w:val="auto"/>
        </w:rPr>
        <w:t>7.开标</w:t>
      </w:r>
      <w:bookmarkEnd w:id="18"/>
      <w:bookmarkEnd w:id="19"/>
    </w:p>
    <w:p>
      <w:pPr>
        <w:pStyle w:val="50"/>
        <w:spacing w:line="520" w:lineRule="exact"/>
        <w:ind w:firstLine="560" w:firstLineChars="200"/>
        <w:rPr>
          <w:rFonts w:ascii="宋体"/>
          <w:color w:val="auto"/>
          <w:szCs w:val="28"/>
        </w:rPr>
      </w:pPr>
      <w:r>
        <w:rPr>
          <w:rFonts w:hint="eastAsia" w:ascii="宋体"/>
          <w:color w:val="auto"/>
          <w:szCs w:val="28"/>
        </w:rPr>
        <w:t>7.1招标人及招标代理机构将按招标文件规定的时间和地点召开开标会议，投标人法定代表人或其授权委托人按时参加（投标单位来人不得超过两人）。</w:t>
      </w:r>
    </w:p>
    <w:p>
      <w:pPr>
        <w:pStyle w:val="50"/>
        <w:spacing w:line="520" w:lineRule="exact"/>
        <w:ind w:firstLine="560" w:firstLineChars="200"/>
        <w:rPr>
          <w:rFonts w:ascii="宋体" w:hAnsi="宋体" w:cs="宋体"/>
          <w:color w:val="auto"/>
          <w:szCs w:val="28"/>
        </w:rPr>
      </w:pPr>
      <w:r>
        <w:rPr>
          <w:rFonts w:hint="eastAsia" w:ascii="宋体" w:hAnsi="宋体" w:cs="宋体"/>
          <w:color w:val="auto"/>
          <w:szCs w:val="28"/>
        </w:rPr>
        <w:t>7.2投标文件由投标人法定代表人或其授权委托人凭7.2.1或7.2.2条款要求的资料提交，否则招标人及招标代理机构有权拒收投标文件。</w:t>
      </w:r>
    </w:p>
    <w:p>
      <w:pPr>
        <w:pStyle w:val="50"/>
        <w:tabs>
          <w:tab w:val="left" w:pos="1260"/>
          <w:tab w:val="left" w:pos="1620"/>
        </w:tabs>
        <w:spacing w:line="520" w:lineRule="exact"/>
        <w:ind w:left="560" w:firstLine="0"/>
        <w:rPr>
          <w:rFonts w:ascii="宋体" w:hAnsi="宋体" w:cs="宋体"/>
          <w:color w:val="auto"/>
          <w:szCs w:val="28"/>
        </w:rPr>
      </w:pPr>
      <w:r>
        <w:rPr>
          <w:rFonts w:hint="eastAsia" w:ascii="宋体" w:hAnsi="宋体" w:cs="宋体"/>
          <w:color w:val="auto"/>
          <w:szCs w:val="28"/>
        </w:rPr>
        <w:t>7.2.1如法定代表人提交投标文件的，同时提供以下资料：</w:t>
      </w:r>
    </w:p>
    <w:p>
      <w:pPr>
        <w:pStyle w:val="50"/>
        <w:tabs>
          <w:tab w:val="left" w:pos="1260"/>
          <w:tab w:val="left" w:pos="1620"/>
        </w:tabs>
        <w:spacing w:line="520" w:lineRule="exact"/>
        <w:ind w:firstLine="1120" w:firstLineChars="400"/>
        <w:rPr>
          <w:rFonts w:ascii="宋体" w:hAnsi="宋体" w:cs="宋体"/>
          <w:color w:val="auto"/>
          <w:szCs w:val="28"/>
        </w:rPr>
      </w:pPr>
      <w:r>
        <w:rPr>
          <w:rFonts w:hint="eastAsia" w:ascii="宋体" w:hAnsi="宋体" w:cs="宋体"/>
          <w:color w:val="auto"/>
          <w:szCs w:val="28"/>
        </w:rPr>
        <w:t>①本人有效身份证原件；</w:t>
      </w:r>
    </w:p>
    <w:p>
      <w:pPr>
        <w:pStyle w:val="50"/>
        <w:tabs>
          <w:tab w:val="left" w:pos="1260"/>
          <w:tab w:val="left" w:pos="1620"/>
        </w:tabs>
        <w:spacing w:line="520" w:lineRule="exact"/>
        <w:ind w:firstLine="1120" w:firstLineChars="400"/>
        <w:rPr>
          <w:rFonts w:ascii="宋体" w:hAnsi="宋体" w:cs="宋体"/>
          <w:color w:val="auto"/>
          <w:szCs w:val="28"/>
        </w:rPr>
      </w:pPr>
      <w:r>
        <w:rPr>
          <w:rFonts w:hint="eastAsia" w:ascii="宋体" w:hAnsi="宋体" w:cs="宋体"/>
          <w:color w:val="auto"/>
          <w:szCs w:val="28"/>
        </w:rPr>
        <w:t>②法定代表人证明书原件。</w:t>
      </w:r>
    </w:p>
    <w:p>
      <w:pPr>
        <w:pStyle w:val="50"/>
        <w:tabs>
          <w:tab w:val="left" w:pos="1260"/>
          <w:tab w:val="left" w:pos="1620"/>
        </w:tabs>
        <w:spacing w:line="520" w:lineRule="exact"/>
        <w:ind w:left="560" w:firstLine="0"/>
        <w:rPr>
          <w:rFonts w:ascii="宋体" w:hAnsi="宋体" w:cs="宋体"/>
          <w:color w:val="auto"/>
          <w:szCs w:val="28"/>
        </w:rPr>
      </w:pPr>
      <w:r>
        <w:rPr>
          <w:rFonts w:hint="eastAsia" w:ascii="宋体" w:hAnsi="宋体" w:cs="宋体"/>
          <w:color w:val="auto"/>
          <w:szCs w:val="28"/>
        </w:rPr>
        <w:t>7.2.2如授权委托人提交投标文件的，同时提供以下资料：</w:t>
      </w:r>
    </w:p>
    <w:p>
      <w:pPr>
        <w:pStyle w:val="50"/>
        <w:tabs>
          <w:tab w:val="left" w:pos="1260"/>
          <w:tab w:val="left" w:pos="1620"/>
        </w:tabs>
        <w:spacing w:line="520" w:lineRule="exact"/>
        <w:ind w:firstLine="1120" w:firstLineChars="400"/>
        <w:rPr>
          <w:rFonts w:ascii="宋体" w:hAnsi="宋体" w:cs="宋体"/>
          <w:color w:val="auto"/>
          <w:szCs w:val="28"/>
        </w:rPr>
      </w:pPr>
      <w:r>
        <w:rPr>
          <w:rFonts w:hint="eastAsia" w:ascii="宋体" w:hAnsi="宋体" w:cs="宋体"/>
          <w:color w:val="auto"/>
          <w:szCs w:val="28"/>
        </w:rPr>
        <w:t>①本人有效身份证原件；</w:t>
      </w:r>
    </w:p>
    <w:p>
      <w:pPr>
        <w:pStyle w:val="50"/>
        <w:tabs>
          <w:tab w:val="left" w:pos="1260"/>
          <w:tab w:val="left" w:pos="1620"/>
        </w:tabs>
        <w:spacing w:line="520" w:lineRule="exact"/>
        <w:ind w:firstLine="1120" w:firstLineChars="400"/>
        <w:rPr>
          <w:rFonts w:ascii="宋体" w:hAnsi="宋体" w:cs="宋体"/>
          <w:color w:val="auto"/>
          <w:szCs w:val="28"/>
        </w:rPr>
      </w:pPr>
      <w:r>
        <w:rPr>
          <w:rFonts w:hint="eastAsia" w:ascii="宋体" w:hAnsi="宋体" w:cs="宋体"/>
          <w:color w:val="auto"/>
          <w:szCs w:val="28"/>
        </w:rPr>
        <w:t>②法定代表人证明书原件；</w:t>
      </w:r>
    </w:p>
    <w:p>
      <w:pPr>
        <w:pStyle w:val="50"/>
        <w:tabs>
          <w:tab w:val="left" w:pos="1260"/>
          <w:tab w:val="left" w:pos="1620"/>
        </w:tabs>
        <w:spacing w:line="520" w:lineRule="exact"/>
        <w:ind w:firstLine="1120" w:firstLineChars="400"/>
        <w:rPr>
          <w:rFonts w:ascii="宋体" w:hAnsi="宋体" w:cs="宋体"/>
          <w:color w:val="auto"/>
          <w:szCs w:val="28"/>
        </w:rPr>
      </w:pPr>
      <w:r>
        <w:rPr>
          <w:rFonts w:hint="eastAsia" w:ascii="宋体" w:hAnsi="宋体" w:cs="宋体"/>
          <w:color w:val="auto"/>
          <w:szCs w:val="28"/>
        </w:rPr>
        <w:t>③被委托人有效授权书原件；</w:t>
      </w:r>
    </w:p>
    <w:p>
      <w:pPr>
        <w:pStyle w:val="50"/>
        <w:tabs>
          <w:tab w:val="left" w:pos="1260"/>
          <w:tab w:val="left" w:pos="1620"/>
        </w:tabs>
        <w:spacing w:line="520" w:lineRule="exact"/>
        <w:ind w:left="567" w:leftChars="270" w:firstLine="551" w:firstLineChars="197"/>
        <w:rPr>
          <w:rFonts w:ascii="宋体" w:hAnsi="宋体" w:cs="宋体"/>
          <w:color w:val="auto"/>
          <w:szCs w:val="28"/>
        </w:rPr>
      </w:pPr>
      <w:r>
        <w:rPr>
          <w:rFonts w:hint="eastAsia" w:ascii="宋体" w:hAnsi="宋体" w:cs="宋体"/>
          <w:color w:val="auto"/>
          <w:szCs w:val="28"/>
        </w:rPr>
        <w:t>④本人在投标单位缴纳社保的证明原件(注：</w:t>
      </w:r>
      <w:r>
        <w:rPr>
          <w:rFonts w:hint="eastAsia" w:ascii="华文行楷" w:hAnsi="宋体" w:eastAsia="华文行楷"/>
          <w:bCs/>
          <w:color w:val="auto"/>
          <w:szCs w:val="28"/>
          <w:u w:val="single"/>
          <w:lang w:val="zh-CN"/>
        </w:rPr>
        <w:t>202</w:t>
      </w:r>
      <w:r>
        <w:rPr>
          <w:rFonts w:hint="eastAsia" w:ascii="华文行楷" w:hAnsi="宋体" w:eastAsia="华文行楷"/>
          <w:bCs/>
          <w:color w:val="auto"/>
          <w:szCs w:val="28"/>
          <w:u w:val="single"/>
        </w:rPr>
        <w:t>2</w:t>
      </w:r>
      <w:r>
        <w:rPr>
          <w:rFonts w:hint="eastAsia" w:ascii="华文行楷" w:hAnsi="宋体" w:eastAsia="华文行楷"/>
          <w:bCs/>
          <w:color w:val="auto"/>
          <w:szCs w:val="28"/>
          <w:u w:val="single"/>
          <w:lang w:val="zh-CN"/>
        </w:rPr>
        <w:t>年</w:t>
      </w:r>
      <w:r>
        <w:rPr>
          <w:rFonts w:hint="eastAsia" w:ascii="华文行楷" w:hAnsi="宋体" w:eastAsia="华文行楷"/>
          <w:bCs/>
          <w:color w:val="auto"/>
          <w:szCs w:val="28"/>
          <w:u w:val="single"/>
        </w:rPr>
        <w:t>1</w:t>
      </w:r>
      <w:r>
        <w:rPr>
          <w:rFonts w:hint="eastAsia" w:ascii="华文行楷" w:hAnsi="宋体" w:eastAsia="华文行楷"/>
          <w:bCs/>
          <w:color w:val="auto"/>
          <w:szCs w:val="28"/>
          <w:u w:val="single"/>
          <w:lang w:val="zh-CN"/>
        </w:rPr>
        <w:t>月、</w:t>
      </w:r>
      <w:r>
        <w:rPr>
          <w:rFonts w:hint="eastAsia" w:ascii="华文行楷" w:hAnsi="宋体" w:eastAsia="华文行楷"/>
          <w:bCs/>
          <w:color w:val="auto"/>
          <w:szCs w:val="28"/>
          <w:u w:val="single"/>
        </w:rPr>
        <w:t>2</w:t>
      </w:r>
      <w:r>
        <w:rPr>
          <w:rFonts w:hint="eastAsia" w:ascii="华文行楷" w:hAnsi="宋体" w:eastAsia="华文行楷"/>
          <w:bCs/>
          <w:color w:val="auto"/>
          <w:szCs w:val="28"/>
          <w:u w:val="single"/>
          <w:lang w:val="zh-CN"/>
        </w:rPr>
        <w:t>月、</w:t>
      </w:r>
      <w:r>
        <w:rPr>
          <w:rFonts w:hint="eastAsia" w:ascii="华文行楷" w:hAnsi="宋体" w:eastAsia="华文行楷"/>
          <w:bCs/>
          <w:color w:val="auto"/>
          <w:szCs w:val="28"/>
          <w:u w:val="single"/>
        </w:rPr>
        <w:t>3月</w:t>
      </w:r>
      <w:r>
        <w:rPr>
          <w:rFonts w:hint="eastAsia" w:ascii="宋体" w:hAnsi="宋体" w:cs="宋体"/>
          <w:color w:val="auto"/>
          <w:szCs w:val="28"/>
        </w:rPr>
        <w:t>任意一个月的缴费凭证)，该证明文件需加盖当地社保局或税务局印章。如达到法定退休年龄,无法提供该社保证明的，须提供本人与投标单位劳动关系证明。</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7.3开标会议由招标人或招标代理机构组织主持。招标人和招标代理机构将当众检查、启封所有投标文件（暗标除外），对投标文件是否按要求密封及资料原件进行核对，当场公布核查结果，宣读并记录投标文件的主要内容。如果投标人法定代表人或其授权委托人提交投标文件后不参加开标会议的，则视同投标人默认开标会议结果。</w:t>
      </w:r>
    </w:p>
    <w:p>
      <w:pPr>
        <w:pStyle w:val="50"/>
        <w:tabs>
          <w:tab w:val="left" w:pos="1260"/>
        </w:tabs>
        <w:spacing w:line="520" w:lineRule="exact"/>
        <w:ind w:firstLine="560" w:firstLineChars="200"/>
        <w:rPr>
          <w:rFonts w:ascii="宋体" w:hAnsi="宋体" w:cs="宋体"/>
          <w:b/>
          <w:bCs/>
          <w:iCs/>
          <w:color w:val="auto"/>
          <w:szCs w:val="28"/>
        </w:rPr>
      </w:pPr>
      <w:r>
        <w:rPr>
          <w:rFonts w:hint="eastAsia" w:ascii="宋体" w:hAnsi="宋体" w:cs="宋体"/>
          <w:b/>
          <w:bCs/>
          <w:color w:val="auto"/>
          <w:szCs w:val="28"/>
        </w:rPr>
        <w:t>7.4</w:t>
      </w:r>
      <w:r>
        <w:rPr>
          <w:rFonts w:hint="eastAsia" w:ascii="宋体" w:hAnsi="宋体" w:cs="宋体"/>
          <w:b/>
          <w:bCs/>
          <w:iCs/>
          <w:color w:val="auto"/>
          <w:szCs w:val="28"/>
        </w:rPr>
        <w:t>投标文件未按本招标文件第5.10条“投标文件的份数和要求”提交投标文件、未按本招标文件第6条“ 投标文件的装订、密封与标志”进行装订密封与标志的。</w:t>
      </w:r>
      <w:r>
        <w:rPr>
          <w:rFonts w:hint="eastAsia" w:ascii="宋体" w:hAnsi="宋体" w:cs="宋体"/>
          <w:b/>
          <w:bCs/>
          <w:color w:val="auto"/>
          <w:szCs w:val="28"/>
        </w:rPr>
        <w:t>由招标代理机构当场宣布投标文件无效，不进入评标程序。</w:t>
      </w:r>
    </w:p>
    <w:p>
      <w:pPr>
        <w:pStyle w:val="50"/>
        <w:spacing w:line="520" w:lineRule="exact"/>
        <w:ind w:firstLine="560" w:firstLineChars="200"/>
        <w:rPr>
          <w:rFonts w:ascii="宋体" w:hAnsi="宋体" w:cs="宋体"/>
          <w:b/>
          <w:bCs/>
          <w:color w:val="auto"/>
          <w:szCs w:val="28"/>
        </w:rPr>
      </w:pPr>
      <w:r>
        <w:rPr>
          <w:rFonts w:hint="eastAsia" w:ascii="宋体" w:hAnsi="宋体" w:cs="宋体"/>
          <w:b/>
          <w:bCs/>
          <w:color w:val="auto"/>
          <w:szCs w:val="28"/>
        </w:rPr>
        <w:t>7.5投标文件有下列情况之一者由评标委员会确认为无效标：</w:t>
      </w:r>
    </w:p>
    <w:p>
      <w:pPr>
        <w:pStyle w:val="10"/>
        <w:tabs>
          <w:tab w:val="left" w:pos="1260"/>
        </w:tabs>
        <w:spacing w:line="520" w:lineRule="exact"/>
        <w:ind w:firstLine="565" w:firstLineChars="202"/>
        <w:rPr>
          <w:rFonts w:hAnsi="宋体" w:cs="宋体"/>
          <w:color w:val="auto"/>
          <w:sz w:val="28"/>
          <w:szCs w:val="28"/>
        </w:rPr>
      </w:pPr>
      <w:r>
        <w:rPr>
          <w:rFonts w:hint="eastAsia" w:hAnsi="宋体" w:cs="宋体"/>
          <w:color w:val="auto"/>
          <w:sz w:val="28"/>
          <w:szCs w:val="28"/>
        </w:rPr>
        <w:t>7.5.1需要年审的证件到期未年审，不能提供有关行政主管部门未组织年审的说明；</w:t>
      </w:r>
    </w:p>
    <w:p>
      <w:pPr>
        <w:pStyle w:val="10"/>
        <w:tabs>
          <w:tab w:val="left" w:pos="1260"/>
        </w:tabs>
        <w:spacing w:line="520" w:lineRule="exact"/>
        <w:ind w:firstLine="560" w:firstLineChars="200"/>
        <w:rPr>
          <w:rFonts w:hAnsi="宋体" w:cs="宋体"/>
          <w:color w:val="auto"/>
          <w:sz w:val="28"/>
          <w:szCs w:val="28"/>
        </w:rPr>
      </w:pPr>
      <w:r>
        <w:rPr>
          <w:rFonts w:hint="eastAsia" w:hAnsi="宋体" w:cs="宋体"/>
          <w:color w:val="auto"/>
          <w:sz w:val="28"/>
          <w:szCs w:val="28"/>
        </w:rPr>
        <w:t>7.5.2开标时无法按照本招标文件第5.4条款的要求提供所需资料原件核对；</w:t>
      </w:r>
    </w:p>
    <w:p>
      <w:pPr>
        <w:pStyle w:val="10"/>
        <w:tabs>
          <w:tab w:val="left" w:pos="1260"/>
        </w:tabs>
        <w:spacing w:line="520" w:lineRule="exact"/>
        <w:ind w:firstLine="560" w:firstLineChars="200"/>
        <w:rPr>
          <w:rFonts w:hAnsi="宋体" w:cs="宋体"/>
          <w:color w:val="auto"/>
          <w:sz w:val="28"/>
          <w:szCs w:val="28"/>
        </w:rPr>
      </w:pPr>
      <w:r>
        <w:rPr>
          <w:rFonts w:hint="eastAsia" w:hAnsi="宋体" w:cs="宋体"/>
          <w:color w:val="auto"/>
          <w:sz w:val="28"/>
          <w:szCs w:val="28"/>
        </w:rPr>
        <w:t>7.5.3投标报价高于招标控制价，或低于成本警示价但不能合理说明或者不能提供相应证明材料的，或低于工程成本价的；</w:t>
      </w:r>
    </w:p>
    <w:p>
      <w:pPr>
        <w:pStyle w:val="10"/>
        <w:tabs>
          <w:tab w:val="left" w:pos="1260"/>
        </w:tabs>
        <w:spacing w:line="520" w:lineRule="exact"/>
        <w:ind w:firstLine="560" w:firstLineChars="200"/>
        <w:rPr>
          <w:rFonts w:hAnsi="宋体" w:cs="宋体"/>
          <w:color w:val="auto"/>
          <w:sz w:val="28"/>
          <w:szCs w:val="28"/>
        </w:rPr>
      </w:pPr>
      <w:r>
        <w:rPr>
          <w:rFonts w:hint="eastAsia" w:hAnsi="宋体" w:cs="宋体"/>
          <w:color w:val="auto"/>
          <w:sz w:val="28"/>
          <w:szCs w:val="28"/>
        </w:rPr>
        <w:t>7.5.4招标文件中注明要求签字盖章却没有按要求签字盖章的，或能认定属冒充签名的；</w:t>
      </w:r>
    </w:p>
    <w:p>
      <w:pPr>
        <w:pStyle w:val="10"/>
        <w:tabs>
          <w:tab w:val="left" w:pos="1260"/>
        </w:tabs>
        <w:spacing w:line="520" w:lineRule="exact"/>
        <w:ind w:left="560"/>
        <w:rPr>
          <w:rFonts w:hAnsi="宋体" w:cs="宋体"/>
          <w:color w:val="auto"/>
          <w:sz w:val="28"/>
          <w:szCs w:val="28"/>
        </w:rPr>
      </w:pPr>
      <w:r>
        <w:rPr>
          <w:rFonts w:hint="eastAsia" w:hAnsi="宋体" w:cs="宋体"/>
          <w:color w:val="auto"/>
          <w:sz w:val="28"/>
          <w:szCs w:val="28"/>
        </w:rPr>
        <w:t>7.5.5投标文件载明的招标项目完成期限超过招标文件规定的期限；</w:t>
      </w:r>
    </w:p>
    <w:p>
      <w:pPr>
        <w:pStyle w:val="10"/>
        <w:tabs>
          <w:tab w:val="left" w:pos="1260"/>
          <w:tab w:val="left" w:pos="1440"/>
          <w:tab w:val="left" w:pos="1620"/>
        </w:tabs>
        <w:spacing w:line="520" w:lineRule="exact"/>
        <w:ind w:left="560"/>
        <w:rPr>
          <w:rFonts w:hAnsi="宋体" w:cs="宋体"/>
          <w:color w:val="auto"/>
          <w:sz w:val="28"/>
          <w:szCs w:val="28"/>
        </w:rPr>
      </w:pPr>
      <w:r>
        <w:rPr>
          <w:rFonts w:hint="eastAsia" w:hAnsi="宋体" w:cs="宋体"/>
          <w:color w:val="auto"/>
          <w:sz w:val="28"/>
          <w:szCs w:val="28"/>
        </w:rPr>
        <w:t>7.5.6投标文件附有招标人不能接受的条件；</w:t>
      </w:r>
    </w:p>
    <w:p>
      <w:pPr>
        <w:pStyle w:val="10"/>
        <w:tabs>
          <w:tab w:val="left" w:pos="1260"/>
          <w:tab w:val="left" w:pos="1440"/>
          <w:tab w:val="left" w:pos="1620"/>
        </w:tabs>
        <w:spacing w:line="520" w:lineRule="exact"/>
        <w:ind w:left="560"/>
        <w:rPr>
          <w:rFonts w:hAnsi="宋体" w:cs="宋体"/>
          <w:color w:val="auto"/>
          <w:sz w:val="28"/>
          <w:szCs w:val="28"/>
        </w:rPr>
      </w:pPr>
      <w:r>
        <w:rPr>
          <w:rFonts w:hint="eastAsia" w:hAnsi="宋体" w:cs="宋体"/>
          <w:color w:val="auto"/>
          <w:sz w:val="28"/>
          <w:szCs w:val="28"/>
        </w:rPr>
        <w:t>7.5.7质量等级填报不按招标文件规定填写的；</w:t>
      </w:r>
    </w:p>
    <w:p>
      <w:pPr>
        <w:pStyle w:val="10"/>
        <w:tabs>
          <w:tab w:val="left" w:pos="1260"/>
          <w:tab w:val="left" w:pos="1440"/>
        </w:tabs>
        <w:spacing w:line="520" w:lineRule="exact"/>
        <w:ind w:left="560"/>
        <w:rPr>
          <w:rFonts w:hAnsi="宋体" w:cs="宋体"/>
          <w:color w:val="auto"/>
          <w:sz w:val="28"/>
          <w:szCs w:val="28"/>
        </w:rPr>
      </w:pPr>
      <w:r>
        <w:rPr>
          <w:rFonts w:hint="eastAsia" w:hAnsi="宋体" w:cs="宋体"/>
          <w:color w:val="auto"/>
          <w:sz w:val="28"/>
          <w:szCs w:val="28"/>
        </w:rPr>
        <w:t>7.5.8投标文件没有实质性响应招标文件的；</w:t>
      </w:r>
    </w:p>
    <w:p>
      <w:pPr>
        <w:pStyle w:val="10"/>
        <w:tabs>
          <w:tab w:val="left" w:pos="1440"/>
        </w:tabs>
        <w:spacing w:line="520" w:lineRule="exact"/>
        <w:ind w:firstLine="560" w:firstLineChars="200"/>
        <w:rPr>
          <w:rFonts w:hAnsi="宋体" w:cs="宋体"/>
          <w:iCs/>
          <w:color w:val="auto"/>
          <w:sz w:val="28"/>
          <w:szCs w:val="28"/>
        </w:rPr>
      </w:pPr>
      <w:r>
        <w:rPr>
          <w:rFonts w:hint="eastAsia" w:hAnsi="宋体" w:cs="宋体"/>
          <w:iCs/>
          <w:color w:val="auto"/>
          <w:sz w:val="28"/>
          <w:szCs w:val="28"/>
        </w:rPr>
        <w:t>7.5.9未按照本招标文件要求编制投标文件，或在“投标文件的组成”中有缺项的；</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7.5.10违反有关法律法规及规定的，如投标文件互相雷同、投标人与招标人存在利害关系等涉嫌围标、串标等情况的；</w:t>
      </w:r>
    </w:p>
    <w:p>
      <w:pPr>
        <w:pStyle w:val="50"/>
        <w:spacing w:line="520" w:lineRule="exact"/>
        <w:ind w:left="560" w:firstLine="0"/>
        <w:rPr>
          <w:rFonts w:ascii="宋体" w:hAnsi="宋体" w:cs="宋体"/>
          <w:color w:val="auto"/>
          <w:szCs w:val="28"/>
        </w:rPr>
      </w:pPr>
      <w:r>
        <w:rPr>
          <w:rFonts w:hint="eastAsia" w:ascii="宋体" w:hAnsi="宋体" w:cs="宋体"/>
          <w:color w:val="auto"/>
          <w:szCs w:val="28"/>
        </w:rPr>
        <w:t>7.5.11未能按招标文件的规定提交投标保证金的；</w:t>
      </w:r>
    </w:p>
    <w:p>
      <w:pPr>
        <w:pStyle w:val="50"/>
        <w:spacing w:line="520" w:lineRule="exact"/>
        <w:ind w:left="560" w:firstLine="0"/>
        <w:rPr>
          <w:rFonts w:ascii="宋体" w:hAnsi="宋体" w:cs="宋体"/>
          <w:color w:val="auto"/>
          <w:szCs w:val="28"/>
        </w:rPr>
      </w:pPr>
      <w:r>
        <w:rPr>
          <w:rFonts w:hint="eastAsia" w:ascii="宋体" w:hAnsi="宋体" w:cs="宋体"/>
          <w:color w:val="auto"/>
          <w:szCs w:val="28"/>
        </w:rPr>
        <w:t>7.5.12未按照招标文件中报价说明要求进行报价的。</w:t>
      </w:r>
    </w:p>
    <w:p>
      <w:pPr>
        <w:pStyle w:val="10"/>
        <w:spacing w:line="520" w:lineRule="exact"/>
        <w:ind w:firstLine="560" w:firstLineChars="200"/>
        <w:rPr>
          <w:rFonts w:hAnsi="宋体" w:cs="宋体"/>
          <w:bCs/>
          <w:color w:val="auto"/>
          <w:sz w:val="30"/>
          <w:szCs w:val="30"/>
        </w:rPr>
      </w:pPr>
      <w:r>
        <w:rPr>
          <w:rFonts w:hint="eastAsia" w:hAnsi="宋体" w:cs="宋体"/>
          <w:bCs/>
          <w:color w:val="auto"/>
          <w:sz w:val="28"/>
          <w:szCs w:val="28"/>
        </w:rPr>
        <w:t>如果投标文件中存在缺陷或不足，但对投标文件的合法性、有效性不构成影响，评标委员会不得废标</w:t>
      </w:r>
      <w:r>
        <w:rPr>
          <w:rFonts w:hint="eastAsia" w:hAnsi="宋体" w:cs="宋体"/>
          <w:bCs/>
          <w:color w:val="auto"/>
          <w:sz w:val="30"/>
          <w:szCs w:val="30"/>
        </w:rPr>
        <w:t>。</w:t>
      </w:r>
    </w:p>
    <w:p>
      <w:pPr>
        <w:pStyle w:val="4"/>
        <w:spacing w:before="0" w:after="0" w:line="520" w:lineRule="exact"/>
        <w:ind w:firstLine="640" w:firstLineChars="200"/>
        <w:rPr>
          <w:rFonts w:ascii="宋体" w:hAnsi="宋体" w:eastAsia="宋体" w:cs="宋体"/>
          <w:color w:val="auto"/>
        </w:rPr>
      </w:pPr>
      <w:bookmarkStart w:id="20" w:name="_Toc48210817"/>
      <w:bookmarkStart w:id="21" w:name="_Toc10884"/>
      <w:r>
        <w:rPr>
          <w:rFonts w:hint="eastAsia" w:ascii="宋体" w:hAnsi="宋体" w:eastAsia="宋体" w:cs="宋体"/>
          <w:color w:val="auto"/>
        </w:rPr>
        <w:t>8.评标与定标办法和原则</w:t>
      </w:r>
      <w:bookmarkEnd w:id="20"/>
      <w:bookmarkEnd w:id="21"/>
    </w:p>
    <w:p>
      <w:pPr>
        <w:pStyle w:val="56"/>
        <w:spacing w:line="520" w:lineRule="exact"/>
        <w:ind w:firstLine="560" w:firstLineChars="200"/>
        <w:rPr>
          <w:rFonts w:ascii="宋体" w:hAnsi="宋体" w:cs="宋体"/>
          <w:b w:val="0"/>
          <w:bCs/>
          <w:color w:val="auto"/>
          <w:sz w:val="28"/>
          <w:szCs w:val="28"/>
        </w:rPr>
      </w:pPr>
      <w:r>
        <w:rPr>
          <w:rFonts w:hint="eastAsia" w:ascii="宋体" w:hAnsi="宋体" w:cs="宋体"/>
          <w:b w:val="0"/>
          <w:bCs/>
          <w:color w:val="auto"/>
          <w:sz w:val="28"/>
          <w:szCs w:val="28"/>
        </w:rPr>
        <w:t>8.1本项目使用经评审的最低投标价法</w:t>
      </w:r>
    </w:p>
    <w:p>
      <w:pPr>
        <w:pStyle w:val="56"/>
        <w:spacing w:line="520" w:lineRule="exact"/>
        <w:ind w:firstLine="560" w:firstLineChars="200"/>
        <w:rPr>
          <w:rFonts w:ascii="宋体" w:hAnsi="宋体" w:cs="宋体"/>
          <w:color w:val="auto"/>
          <w:sz w:val="28"/>
          <w:szCs w:val="28"/>
        </w:rPr>
      </w:pPr>
      <w:r>
        <w:rPr>
          <w:rFonts w:hint="eastAsia" w:ascii="宋体" w:hAnsi="宋体" w:cs="宋体"/>
          <w:color w:val="auto"/>
          <w:sz w:val="28"/>
          <w:szCs w:val="28"/>
        </w:rPr>
        <w:t>8.1.2经评审的最低投标价法</w:t>
      </w:r>
    </w:p>
    <w:p>
      <w:pPr>
        <w:pStyle w:val="56"/>
        <w:spacing w:line="520" w:lineRule="exact"/>
        <w:ind w:firstLine="560" w:firstLineChars="200"/>
        <w:rPr>
          <w:rFonts w:ascii="宋体" w:hAnsi="宋体" w:cs="仿宋_GB2312"/>
          <w:b w:val="0"/>
          <w:bCs/>
          <w:color w:val="auto"/>
          <w:sz w:val="28"/>
          <w:szCs w:val="28"/>
        </w:rPr>
      </w:pPr>
      <w:r>
        <w:rPr>
          <w:rFonts w:hint="eastAsia" w:ascii="宋体" w:hAnsi="宋体" w:cs="仿宋_GB2312"/>
          <w:b w:val="0"/>
          <w:bCs/>
          <w:color w:val="auto"/>
          <w:sz w:val="28"/>
          <w:szCs w:val="28"/>
        </w:rPr>
        <w:t>经评审的最低投标价法主要是通过对投标人的企业综合实力、业绩、质量、信用等方面制定量化因素及折算系数对投标报价进行折算，以经评审的最低投标价作为推荐中标候选人的依据，具体评审内容详见《投标报价折算标准表》。</w:t>
      </w:r>
    </w:p>
    <w:p>
      <w:pPr>
        <w:pStyle w:val="56"/>
        <w:spacing w:line="520" w:lineRule="exact"/>
        <w:ind w:firstLine="560" w:firstLineChars="200"/>
        <w:rPr>
          <w:rFonts w:ascii="宋体" w:hAnsi="宋体" w:cs="仿宋_GB2312"/>
          <w:bCs/>
          <w:color w:val="auto"/>
          <w:sz w:val="28"/>
          <w:szCs w:val="28"/>
        </w:rPr>
      </w:pPr>
      <w:r>
        <w:rPr>
          <w:rFonts w:hint="eastAsia" w:ascii="宋体" w:hAnsi="宋体" w:cs="仿宋_GB2312"/>
          <w:color w:val="auto"/>
          <w:sz w:val="28"/>
          <w:szCs w:val="28"/>
        </w:rPr>
        <w:t>8.1.2.1</w:t>
      </w:r>
      <w:r>
        <w:rPr>
          <w:rFonts w:hint="eastAsia" w:ascii="宋体" w:hAnsi="宋体" w:cs="仿宋_GB2312"/>
          <w:bCs/>
          <w:color w:val="auto"/>
          <w:sz w:val="28"/>
          <w:szCs w:val="28"/>
        </w:rPr>
        <w:t>成本警示价</w:t>
      </w:r>
    </w:p>
    <w:p>
      <w:pPr>
        <w:pStyle w:val="50"/>
        <w:spacing w:line="520" w:lineRule="exact"/>
        <w:ind w:firstLine="560" w:firstLineChars="200"/>
        <w:rPr>
          <w:rFonts w:ascii="宋体" w:hAnsi="宋体" w:cs="仿宋_GB2312"/>
          <w:b/>
          <w:color w:val="auto"/>
          <w:szCs w:val="28"/>
        </w:rPr>
      </w:pPr>
      <w:r>
        <w:rPr>
          <w:rFonts w:hint="eastAsia" w:ascii="宋体" w:hAnsi="宋体" w:cs="仿宋_GB2312"/>
          <w:b/>
          <w:color w:val="auto"/>
          <w:szCs w:val="28"/>
        </w:rPr>
        <w:t>本工程成本警示价为招标控制价的</w:t>
      </w:r>
      <w:r>
        <w:rPr>
          <w:rFonts w:hint="eastAsia" w:ascii="宋体" w:hAnsi="宋体" w:cs="仿宋_GB2312"/>
          <w:b/>
          <w:color w:val="auto"/>
          <w:szCs w:val="28"/>
          <w:u w:val="single"/>
        </w:rPr>
        <w:t xml:space="preserve"> 85 </w:t>
      </w:r>
      <w:r>
        <w:rPr>
          <w:rFonts w:hint="eastAsia" w:ascii="宋体" w:hAnsi="宋体" w:cs="仿宋_GB2312"/>
          <w:b/>
          <w:color w:val="auto"/>
          <w:szCs w:val="28"/>
        </w:rPr>
        <w:t>%。若评审投标价格低于投标人成本警示价时，评标委员会应当要求报价低于成本警示价的投标人对其报价作出不低于成本的书面说明并提供相关证明材料。投标人不能合理说明或者不能提供相应证明材料的，由评标委员会认定该投标人以低于成本报价竞标，其投标将被否决,并且招标监管部门可以给予不良投标行为通报。</w:t>
      </w:r>
    </w:p>
    <w:p>
      <w:pPr>
        <w:pStyle w:val="50"/>
        <w:spacing w:line="520" w:lineRule="exact"/>
        <w:ind w:firstLine="560" w:firstLineChars="200"/>
        <w:rPr>
          <w:rFonts w:ascii="宋体" w:hAnsi="宋体" w:cs="宋体"/>
          <w:b/>
          <w:bCs/>
          <w:color w:val="auto"/>
          <w:szCs w:val="28"/>
        </w:rPr>
      </w:pPr>
      <w:r>
        <w:rPr>
          <w:rFonts w:hint="eastAsia" w:ascii="宋体" w:hAnsi="宋体" w:cs="宋体"/>
          <w:b/>
          <w:bCs/>
          <w:color w:val="auto"/>
          <w:szCs w:val="28"/>
        </w:rPr>
        <w:t>8.1.2.2评审程序</w:t>
      </w:r>
    </w:p>
    <w:p>
      <w:pPr>
        <w:pStyle w:val="50"/>
        <w:spacing w:line="520" w:lineRule="exact"/>
        <w:ind w:firstLine="560" w:firstLineChars="200"/>
        <w:rPr>
          <w:rFonts w:ascii="宋体"/>
          <w:color w:val="auto"/>
          <w:szCs w:val="28"/>
        </w:rPr>
      </w:pPr>
      <w:r>
        <w:rPr>
          <w:rFonts w:hint="eastAsia" w:ascii="宋体"/>
          <w:color w:val="auto"/>
          <w:szCs w:val="28"/>
        </w:rPr>
        <w:t>（</w:t>
      </w:r>
      <w:r>
        <w:rPr>
          <w:rFonts w:ascii="宋体"/>
          <w:color w:val="auto"/>
          <w:szCs w:val="28"/>
        </w:rPr>
        <w:t>1</w:t>
      </w:r>
      <w:r>
        <w:rPr>
          <w:rFonts w:hint="eastAsia" w:ascii="宋体"/>
          <w:color w:val="auto"/>
          <w:szCs w:val="28"/>
        </w:rPr>
        <w:t>）初步评审</w:t>
      </w:r>
    </w:p>
    <w:p>
      <w:pPr>
        <w:pStyle w:val="50"/>
        <w:spacing w:line="520" w:lineRule="exact"/>
        <w:ind w:firstLine="560" w:firstLineChars="200"/>
        <w:rPr>
          <w:rFonts w:ascii="宋体"/>
          <w:color w:val="auto"/>
          <w:szCs w:val="28"/>
        </w:rPr>
      </w:pPr>
      <w:r>
        <w:rPr>
          <w:rFonts w:hint="eastAsia" w:ascii="宋体"/>
          <w:color w:val="auto"/>
          <w:szCs w:val="28"/>
        </w:rPr>
        <w:t>①初步评审主要是审查投标文件是否实质上响应招标文件要求。</w:t>
      </w:r>
    </w:p>
    <w:p>
      <w:pPr>
        <w:pStyle w:val="50"/>
        <w:spacing w:line="520" w:lineRule="exact"/>
        <w:ind w:firstLine="560" w:firstLineChars="200"/>
        <w:rPr>
          <w:rFonts w:ascii="宋体"/>
          <w:color w:val="auto"/>
          <w:szCs w:val="28"/>
        </w:rPr>
      </w:pPr>
      <w:r>
        <w:rPr>
          <w:rFonts w:hint="eastAsia" w:ascii="宋体"/>
          <w:color w:val="auto"/>
          <w:szCs w:val="28"/>
        </w:rPr>
        <w:t>②实质上响应招标文件要求的投标文件是指基本符合招标文件提出的要求，无重大偏离或保留。</w:t>
      </w:r>
    </w:p>
    <w:p>
      <w:pPr>
        <w:pStyle w:val="50"/>
        <w:spacing w:line="520" w:lineRule="exact"/>
        <w:ind w:firstLine="560" w:firstLineChars="200"/>
        <w:rPr>
          <w:rFonts w:ascii="宋体"/>
          <w:color w:val="auto"/>
          <w:szCs w:val="28"/>
        </w:rPr>
      </w:pPr>
      <w:r>
        <w:rPr>
          <w:rFonts w:hint="eastAsia" w:ascii="宋体"/>
          <w:color w:val="auto"/>
          <w:szCs w:val="28"/>
        </w:rPr>
        <w:t>③重大偏离或保留是指下列情况之一：</w:t>
      </w:r>
    </w:p>
    <w:p>
      <w:pPr>
        <w:pStyle w:val="50"/>
        <w:spacing w:line="520" w:lineRule="exact"/>
        <w:ind w:firstLine="560" w:firstLineChars="200"/>
        <w:rPr>
          <w:rFonts w:ascii="宋体"/>
          <w:color w:val="auto"/>
          <w:szCs w:val="28"/>
        </w:rPr>
      </w:pPr>
      <w:r>
        <w:rPr>
          <w:rFonts w:ascii="宋体"/>
          <w:color w:val="auto"/>
          <w:szCs w:val="28"/>
        </w:rPr>
        <w:t>A.</w:t>
      </w:r>
      <w:r>
        <w:rPr>
          <w:rFonts w:hint="eastAsia" w:ascii="宋体"/>
          <w:color w:val="auto"/>
          <w:szCs w:val="28"/>
        </w:rPr>
        <w:t>对投标的工作范围和工作内容有实质性修改；</w:t>
      </w:r>
    </w:p>
    <w:p>
      <w:pPr>
        <w:pStyle w:val="50"/>
        <w:spacing w:line="520" w:lineRule="exact"/>
        <w:ind w:firstLine="560" w:firstLineChars="200"/>
        <w:rPr>
          <w:rFonts w:ascii="宋体"/>
          <w:color w:val="auto"/>
          <w:szCs w:val="28"/>
        </w:rPr>
      </w:pPr>
      <w:r>
        <w:rPr>
          <w:rFonts w:ascii="宋体"/>
          <w:color w:val="auto"/>
          <w:szCs w:val="28"/>
        </w:rPr>
        <w:t>B.</w:t>
      </w:r>
      <w:r>
        <w:rPr>
          <w:rFonts w:hint="eastAsia" w:ascii="宋体"/>
          <w:color w:val="auto"/>
          <w:szCs w:val="28"/>
        </w:rPr>
        <w:t>对合同中规定的双方的权利和义务作实质性修改；</w:t>
      </w:r>
    </w:p>
    <w:p>
      <w:pPr>
        <w:pStyle w:val="50"/>
        <w:spacing w:line="520" w:lineRule="exact"/>
        <w:ind w:firstLine="560" w:firstLineChars="200"/>
        <w:rPr>
          <w:rFonts w:ascii="宋体"/>
          <w:color w:val="auto"/>
          <w:szCs w:val="28"/>
        </w:rPr>
      </w:pPr>
      <w:r>
        <w:rPr>
          <w:rFonts w:ascii="宋体"/>
          <w:color w:val="auto"/>
          <w:szCs w:val="28"/>
        </w:rPr>
        <w:t>C.</w:t>
      </w:r>
      <w:r>
        <w:rPr>
          <w:rFonts w:hint="eastAsia" w:ascii="宋体"/>
          <w:color w:val="auto"/>
          <w:szCs w:val="28"/>
        </w:rPr>
        <w:t>纠正这种偏差或保留将会投标竞争产生不公正的影响。</w:t>
      </w:r>
    </w:p>
    <w:p>
      <w:pPr>
        <w:pStyle w:val="50"/>
        <w:spacing w:line="520" w:lineRule="exact"/>
        <w:ind w:firstLine="560" w:firstLineChars="200"/>
        <w:rPr>
          <w:rFonts w:ascii="宋体"/>
          <w:color w:val="auto"/>
          <w:szCs w:val="28"/>
        </w:rPr>
      </w:pPr>
      <w:r>
        <w:rPr>
          <w:rFonts w:hint="eastAsia" w:ascii="宋体"/>
          <w:color w:val="auto"/>
          <w:szCs w:val="28"/>
        </w:rPr>
        <w:t>④实质上未响应招标文件的投标文件将作为无效标处理，也不允许投标人在开标后改正其不响应招标文件的偏离或保留。</w:t>
      </w:r>
    </w:p>
    <w:p>
      <w:pPr>
        <w:pStyle w:val="50"/>
        <w:spacing w:line="520" w:lineRule="exact"/>
        <w:ind w:firstLine="560" w:firstLineChars="200"/>
        <w:rPr>
          <w:rFonts w:ascii="宋体"/>
          <w:color w:val="auto"/>
          <w:szCs w:val="28"/>
        </w:rPr>
      </w:pPr>
      <w:r>
        <w:rPr>
          <w:rFonts w:ascii="宋体"/>
          <w:color w:val="auto"/>
          <w:szCs w:val="28"/>
        </w:rPr>
        <w:t xml:space="preserve"> (2)</w:t>
      </w:r>
      <w:r>
        <w:rPr>
          <w:rFonts w:hint="eastAsia" w:ascii="宋体"/>
          <w:color w:val="auto"/>
          <w:szCs w:val="28"/>
        </w:rPr>
        <w:t>详细评审</w:t>
      </w:r>
    </w:p>
    <w:p>
      <w:pPr>
        <w:pStyle w:val="50"/>
        <w:spacing w:line="520" w:lineRule="exact"/>
        <w:ind w:firstLine="480" w:firstLineChars="200"/>
        <w:rPr>
          <w:rFonts w:ascii="宋体"/>
          <w:color w:val="auto"/>
          <w:szCs w:val="28"/>
        </w:rPr>
      </w:pPr>
      <w:r>
        <w:rPr>
          <w:rFonts w:ascii="宋体" w:hAnsi="宋体"/>
          <w:color w:val="auto"/>
          <w:sz w:val="24"/>
          <w:szCs w:val="24"/>
        </w:rPr>
        <w:drawing>
          <wp:anchor distT="0" distB="0" distL="114300" distR="114300" simplePos="0" relativeHeight="251659264" behindDoc="0" locked="0" layoutInCell="1" allowOverlap="1">
            <wp:simplePos x="0" y="0"/>
            <wp:positionH relativeFrom="column">
              <wp:posOffset>2176780</wp:posOffset>
            </wp:positionH>
            <wp:positionV relativeFrom="paragraph">
              <wp:posOffset>31115</wp:posOffset>
            </wp:positionV>
            <wp:extent cx="163830" cy="332740"/>
            <wp:effectExtent l="0" t="0" r="0" b="11430"/>
            <wp:wrapNone/>
            <wp:docPr id="1"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5"/>
                    <pic:cNvPicPr>
                      <a:picLocks noChangeAspect="1"/>
                    </pic:cNvPicPr>
                  </pic:nvPicPr>
                  <pic:blipFill>
                    <a:blip r:embed="rId17"/>
                    <a:stretch>
                      <a:fillRect/>
                    </a:stretch>
                  </pic:blipFill>
                  <pic:spPr>
                    <a:xfrm>
                      <a:off x="0" y="0"/>
                      <a:ext cx="163830" cy="332740"/>
                    </a:xfrm>
                    <a:prstGeom prst="rect">
                      <a:avLst/>
                    </a:prstGeom>
                    <a:noFill/>
                    <a:ln>
                      <a:noFill/>
                    </a:ln>
                  </pic:spPr>
                </pic:pic>
              </a:graphicData>
            </a:graphic>
          </wp:anchor>
        </w:drawing>
      </w:r>
      <w:r>
        <w:rPr>
          <w:rFonts w:hint="eastAsia" w:ascii="宋体"/>
          <w:color w:val="auto"/>
          <w:szCs w:val="28"/>
        </w:rPr>
        <w:t>计算经评审的投标价=T+ （Ti-T）=T+（T1-T）+（T2-T）+…（Tn-T）；</w:t>
      </w:r>
    </w:p>
    <w:p>
      <w:pPr>
        <w:pStyle w:val="50"/>
        <w:spacing w:line="520" w:lineRule="exact"/>
        <w:ind w:firstLine="560" w:firstLineChars="200"/>
        <w:rPr>
          <w:rFonts w:ascii="宋体"/>
          <w:color w:val="auto"/>
          <w:szCs w:val="28"/>
        </w:rPr>
      </w:pPr>
      <w:r>
        <w:rPr>
          <w:rFonts w:hint="eastAsia" w:ascii="宋体"/>
          <w:color w:val="auto"/>
          <w:szCs w:val="28"/>
        </w:rPr>
        <w:t>①T为投标人报价，Ti为某项因素i的经评审投标价；</w:t>
      </w:r>
    </w:p>
    <w:p>
      <w:pPr>
        <w:pStyle w:val="50"/>
        <w:spacing w:line="520" w:lineRule="exact"/>
        <w:ind w:firstLine="560" w:firstLineChars="200"/>
        <w:rPr>
          <w:rFonts w:ascii="宋体"/>
          <w:color w:val="auto"/>
          <w:szCs w:val="28"/>
        </w:rPr>
      </w:pPr>
      <w:r>
        <w:rPr>
          <w:rFonts w:hint="eastAsia" w:ascii="宋体"/>
          <w:color w:val="auto"/>
          <w:szCs w:val="28"/>
        </w:rPr>
        <w:t>②Ti=T×某项因素i对应的折算系数，折算系数的设置区间为[0.95,1.05]；</w:t>
      </w:r>
    </w:p>
    <w:p>
      <w:pPr>
        <w:pStyle w:val="50"/>
        <w:spacing w:line="520" w:lineRule="exact"/>
        <w:ind w:firstLine="560" w:firstLineChars="200"/>
        <w:rPr>
          <w:rFonts w:ascii="宋体" w:hAnsi="宋体" w:cs="仿宋_GB2312"/>
          <w:b/>
          <w:color w:val="auto"/>
          <w:szCs w:val="28"/>
        </w:rPr>
      </w:pPr>
      <w:r>
        <w:rPr>
          <w:rFonts w:hint="eastAsia" w:ascii="宋体"/>
          <w:color w:val="auto"/>
          <w:szCs w:val="28"/>
        </w:rPr>
        <w:t>③对投标人的投标报价由低往高排序。投标人报价不得高于招标控制价，且不低于工程成本。若投标报价 &lt;（选取上述报价次序排在中间区域的三分之一数量投标人的报价，计算算术平均价）×</w:t>
      </w:r>
      <w:r>
        <w:rPr>
          <w:rFonts w:hint="eastAsia" w:ascii="宋体"/>
          <w:color w:val="auto"/>
          <w:szCs w:val="28"/>
          <w:u w:val="single"/>
        </w:rPr>
        <w:t xml:space="preserve"> 97 </w:t>
      </w:r>
      <w:r>
        <w:rPr>
          <w:rFonts w:hint="eastAsia" w:ascii="宋体"/>
          <w:color w:val="auto"/>
          <w:szCs w:val="28"/>
        </w:rPr>
        <w:t>%的，评委即认定为明显低于市场平均价（视同低于工程成本价），将其投标否决。</w:t>
      </w:r>
    </w:p>
    <w:p>
      <w:pPr>
        <w:spacing w:line="560" w:lineRule="exact"/>
        <w:jc w:val="center"/>
        <w:rPr>
          <w:rFonts w:ascii="仿宋_GB2312" w:hAnsi="仿宋_GB2312" w:eastAsia="仿宋_GB2312" w:cs="仿宋_GB2312"/>
          <w:b/>
          <w:bCs/>
          <w:color w:val="auto"/>
          <w:sz w:val="32"/>
          <w:szCs w:val="32"/>
        </w:rPr>
      </w:pPr>
      <w:r>
        <w:rPr>
          <w:rFonts w:hint="eastAsia" w:ascii="宋体" w:hAnsi="宋体" w:cs="仿宋_GB2312"/>
          <w:b/>
          <w:bCs/>
          <w:color w:val="auto"/>
          <w:sz w:val="32"/>
          <w:szCs w:val="32"/>
        </w:rPr>
        <w:t>投标报价折算标准表</w:t>
      </w:r>
    </w:p>
    <w:tbl>
      <w:tblPr>
        <w:tblStyle w:val="23"/>
        <w:tblW w:w="94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shd w:val="clear" w:color="auto" w:fill="FFFFFF"/>
            <w:noWrap w:val="0"/>
            <w:vAlign w:val="center"/>
          </w:tcPr>
          <w:p>
            <w:pPr>
              <w:spacing w:line="560" w:lineRule="exact"/>
              <w:jc w:val="center"/>
              <w:rPr>
                <w:rFonts w:ascii="宋体" w:hAnsi="宋体" w:cs="仿宋_GB2312"/>
                <w:b/>
                <w:color w:val="auto"/>
                <w:kern w:val="0"/>
                <w:sz w:val="24"/>
              </w:rPr>
            </w:pPr>
            <w:r>
              <w:rPr>
                <w:rFonts w:hint="eastAsia" w:ascii="宋体" w:hAnsi="宋体" w:cs="仿宋_GB2312"/>
                <w:b/>
                <w:color w:val="auto"/>
                <w:kern w:val="0"/>
                <w:sz w:val="24"/>
              </w:rPr>
              <w:t>序号</w:t>
            </w:r>
          </w:p>
        </w:tc>
        <w:tc>
          <w:tcPr>
            <w:tcW w:w="1701" w:type="dxa"/>
            <w:shd w:val="clear" w:color="auto" w:fill="FFFFFF"/>
            <w:noWrap w:val="0"/>
            <w:vAlign w:val="center"/>
          </w:tcPr>
          <w:p>
            <w:pPr>
              <w:spacing w:line="560" w:lineRule="exact"/>
              <w:jc w:val="center"/>
              <w:rPr>
                <w:rFonts w:ascii="宋体" w:hAnsi="宋体" w:cs="仿宋_GB2312"/>
                <w:b/>
                <w:color w:val="auto"/>
                <w:kern w:val="0"/>
                <w:sz w:val="24"/>
              </w:rPr>
            </w:pPr>
            <w:r>
              <w:rPr>
                <w:rFonts w:hint="eastAsia" w:ascii="宋体" w:hAnsi="宋体" w:cs="仿宋_GB2312"/>
                <w:b/>
                <w:color w:val="auto"/>
                <w:kern w:val="0"/>
                <w:sz w:val="24"/>
              </w:rPr>
              <w:t>评审因素</w:t>
            </w:r>
          </w:p>
        </w:tc>
        <w:tc>
          <w:tcPr>
            <w:tcW w:w="7043" w:type="dxa"/>
            <w:shd w:val="clear" w:color="auto" w:fill="FFFFFF"/>
            <w:noWrap w:val="0"/>
            <w:vAlign w:val="center"/>
          </w:tcPr>
          <w:p>
            <w:pPr>
              <w:spacing w:line="560" w:lineRule="exact"/>
              <w:jc w:val="center"/>
              <w:rPr>
                <w:rFonts w:ascii="宋体" w:hAnsi="宋体" w:cs="仿宋_GB2312"/>
                <w:b/>
                <w:color w:val="auto"/>
                <w:kern w:val="0"/>
                <w:sz w:val="24"/>
              </w:rPr>
            </w:pPr>
            <w:r>
              <w:rPr>
                <w:rFonts w:hint="eastAsia" w:ascii="宋体" w:hAnsi="宋体" w:cs="仿宋_GB2312"/>
                <w:b/>
                <w:color w:val="auto"/>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spacing w:line="400" w:lineRule="exact"/>
              <w:jc w:val="center"/>
              <w:rPr>
                <w:rFonts w:ascii="宋体" w:hAnsi="宋体" w:cs="仿宋_GB2312"/>
                <w:color w:val="auto"/>
                <w:kern w:val="0"/>
                <w:sz w:val="24"/>
              </w:rPr>
            </w:pPr>
            <w:r>
              <w:rPr>
                <w:rFonts w:hint="eastAsia" w:ascii="仿宋_GB2312" w:hAnsi="仿宋_GB2312" w:cs="仿宋_GB2312"/>
                <w:color w:val="auto"/>
                <w:kern w:val="0"/>
                <w:sz w:val="24"/>
              </w:rPr>
              <w:t>1</w:t>
            </w:r>
          </w:p>
        </w:tc>
        <w:tc>
          <w:tcPr>
            <w:tcW w:w="1701" w:type="dxa"/>
            <w:noWrap w:val="0"/>
            <w:vAlign w:val="center"/>
          </w:tcPr>
          <w:p>
            <w:pPr>
              <w:topLinePunct/>
              <w:autoSpaceDE w:val="0"/>
              <w:autoSpaceDN w:val="0"/>
              <w:spacing w:line="400" w:lineRule="exact"/>
              <w:ind w:right="147" w:rightChars="70"/>
              <w:jc w:val="center"/>
              <w:rPr>
                <w:rFonts w:hint="eastAsia" w:ascii="仿宋_GB2312" w:hAnsi="仿宋_GB2312" w:cs="仿宋_GB2312"/>
                <w:color w:val="auto"/>
                <w:sz w:val="24"/>
              </w:rPr>
            </w:pPr>
            <w:r>
              <w:rPr>
                <w:rFonts w:hint="eastAsia" w:ascii="仿宋_GB2312" w:hAnsi="仿宋_GB2312" w:cs="仿宋_GB2312"/>
                <w:color w:val="auto"/>
                <w:sz w:val="24"/>
              </w:rPr>
              <w:t>企业</w:t>
            </w:r>
          </w:p>
          <w:p>
            <w:pPr>
              <w:topLinePunct/>
              <w:autoSpaceDE w:val="0"/>
              <w:autoSpaceDN w:val="0"/>
              <w:spacing w:line="400" w:lineRule="exact"/>
              <w:ind w:right="147" w:rightChars="70"/>
              <w:jc w:val="center"/>
              <w:rPr>
                <w:rFonts w:ascii="宋体" w:hAnsi="宋体" w:cs="仿宋_GB2312"/>
                <w:color w:val="auto"/>
                <w:kern w:val="0"/>
                <w:sz w:val="24"/>
              </w:rPr>
            </w:pPr>
            <w:r>
              <w:rPr>
                <w:rFonts w:hint="eastAsia" w:ascii="仿宋_GB2312" w:hAnsi="仿宋_GB2312" w:cs="仿宋_GB2312"/>
                <w:color w:val="auto"/>
                <w:sz w:val="24"/>
              </w:rPr>
              <w:t>管理体系</w:t>
            </w:r>
          </w:p>
        </w:tc>
        <w:tc>
          <w:tcPr>
            <w:tcW w:w="7043" w:type="dxa"/>
            <w:noWrap w:val="0"/>
            <w:vAlign w:val="center"/>
          </w:tcPr>
          <w:p>
            <w:pPr>
              <w:topLinePunct/>
              <w:autoSpaceDE w:val="0"/>
              <w:autoSpaceDN w:val="0"/>
              <w:spacing w:line="400" w:lineRule="exact"/>
              <w:ind w:right="147" w:rightChars="70"/>
              <w:rPr>
                <w:rFonts w:hint="eastAsia" w:ascii="宋体" w:hAnsi="宋体" w:cs="宋体"/>
                <w:color w:val="auto"/>
                <w:sz w:val="24"/>
              </w:rPr>
            </w:pPr>
            <w:r>
              <w:rPr>
                <w:rFonts w:hint="eastAsia" w:ascii="宋体" w:hAnsi="宋体" w:cs="宋体"/>
                <w:color w:val="auto"/>
                <w:sz w:val="24"/>
              </w:rPr>
              <w:t>1.具备ISO9001质量管理体系认证证书，T1＝T×</w:t>
            </w:r>
            <w:r>
              <w:rPr>
                <w:rFonts w:hint="eastAsia" w:ascii="宋体" w:hAnsi="宋体" w:cs="宋体"/>
                <w:color w:val="auto"/>
                <w:sz w:val="24"/>
                <w:lang w:val="en-US" w:eastAsia="zh-CN"/>
              </w:rPr>
              <w:t>1.00</w:t>
            </w:r>
            <w:r>
              <w:rPr>
                <w:rFonts w:hint="eastAsia" w:ascii="宋体" w:hAnsi="宋体" w:cs="宋体"/>
                <w:color w:val="auto"/>
                <w:sz w:val="24"/>
              </w:rPr>
              <w:t>；</w:t>
            </w:r>
          </w:p>
          <w:p>
            <w:pPr>
              <w:rPr>
                <w:rFonts w:hint="eastAsia" w:ascii="宋体" w:hAnsi="宋体" w:cs="宋体"/>
                <w:color w:val="auto"/>
                <w:sz w:val="24"/>
              </w:rPr>
            </w:pPr>
            <w:r>
              <w:rPr>
                <w:rFonts w:hint="eastAsia" w:ascii="宋体" w:hAnsi="宋体" w:cs="宋体"/>
                <w:color w:val="auto"/>
                <w:sz w:val="24"/>
              </w:rPr>
              <w:t>2.不具备ISO9001质量管理体系认证证书，T1＝T×1.02；</w:t>
            </w:r>
          </w:p>
          <w:p>
            <w:pPr>
              <w:topLinePunct/>
              <w:autoSpaceDE w:val="0"/>
              <w:autoSpaceDN w:val="0"/>
              <w:spacing w:line="400" w:lineRule="exact"/>
              <w:ind w:right="147" w:rightChars="70"/>
              <w:rPr>
                <w:rFonts w:ascii="宋体" w:hAnsi="宋体" w:cs="仿宋_GB2312"/>
                <w:color w:val="auto"/>
                <w:kern w:val="0"/>
                <w:sz w:val="24"/>
              </w:rPr>
            </w:pPr>
            <w:r>
              <w:rPr>
                <w:rFonts w:hint="eastAsia" w:ascii="宋体" w:hAnsi="宋体" w:cs="宋体"/>
                <w:color w:val="auto"/>
                <w:sz w:val="24"/>
              </w:rPr>
              <w:t>注：需提供相关有效管理体系认证证书作为评审依据</w:t>
            </w:r>
            <w:r>
              <w:rPr>
                <w:rFonts w:hint="eastAsia" w:ascii="宋体" w:hAnsi="宋体" w:cs="宋体"/>
                <w:color w:val="auto"/>
                <w:kern w:val="0"/>
                <w:sz w:val="24"/>
              </w:rPr>
              <w:t>，并提供原件核对（提供电子证照打印证书的不需提供原件核对，可直接扫二维码验证），</w:t>
            </w:r>
            <w:r>
              <w:rPr>
                <w:rFonts w:hint="eastAsia" w:ascii="宋体" w:hAnsi="宋体" w:cs="宋体"/>
                <w:color w:val="auto"/>
                <w:sz w:val="24"/>
              </w:rPr>
              <w:t>否则按最不利于投标人的情形进行评审。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spacing w:line="400" w:lineRule="exact"/>
              <w:jc w:val="center"/>
              <w:rPr>
                <w:rFonts w:ascii="宋体" w:hAnsi="宋体" w:cs="仿宋_GB2312"/>
                <w:color w:val="auto"/>
                <w:kern w:val="0"/>
                <w:sz w:val="24"/>
              </w:rPr>
            </w:pPr>
            <w:r>
              <w:rPr>
                <w:rFonts w:hint="eastAsia" w:ascii="仿宋_GB2312" w:hAnsi="仿宋_GB2312" w:cs="仿宋_GB2312"/>
                <w:color w:val="auto"/>
                <w:kern w:val="0"/>
                <w:sz w:val="24"/>
              </w:rPr>
              <w:t>2</w:t>
            </w:r>
          </w:p>
        </w:tc>
        <w:tc>
          <w:tcPr>
            <w:tcW w:w="1701" w:type="dxa"/>
            <w:noWrap w:val="0"/>
            <w:vAlign w:val="center"/>
          </w:tcPr>
          <w:p>
            <w:pPr>
              <w:spacing w:line="400" w:lineRule="exact"/>
              <w:jc w:val="center"/>
              <w:rPr>
                <w:rFonts w:ascii="宋体" w:hAnsi="宋体" w:cs="仿宋_GB2312"/>
                <w:color w:val="auto"/>
                <w:sz w:val="24"/>
              </w:rPr>
            </w:pPr>
            <w:r>
              <w:rPr>
                <w:rFonts w:hint="eastAsia" w:ascii="仿宋_GB2312" w:hAnsi="仿宋_GB2312" w:cs="仿宋_GB2312"/>
                <w:color w:val="auto"/>
                <w:kern w:val="0"/>
                <w:sz w:val="24"/>
              </w:rPr>
              <w:t>财务状况</w:t>
            </w:r>
          </w:p>
        </w:tc>
        <w:tc>
          <w:tcPr>
            <w:tcW w:w="7043" w:type="dxa"/>
            <w:noWrap w:val="0"/>
            <w:vAlign w:val="top"/>
          </w:tcPr>
          <w:p>
            <w:pPr>
              <w:keepLines w:val="0"/>
              <w:pageBreakBefore w:val="0"/>
              <w:widowControl w:val="0"/>
              <w:kinsoku/>
              <w:wordWrap/>
              <w:overflowPunct/>
              <w:topLinePunct/>
              <w:autoSpaceDE w:val="0"/>
              <w:autoSpaceDN w:val="0"/>
              <w:bidi w:val="0"/>
              <w:adjustRightInd/>
              <w:snapToGrid/>
              <w:spacing w:line="400" w:lineRule="exact"/>
              <w:ind w:right="147" w:rightChars="70"/>
              <w:textAlignment w:val="auto"/>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w:t>
            </w:r>
            <w:r>
              <w:rPr>
                <w:rFonts w:hint="eastAsia" w:ascii="宋体" w:hAnsi="宋体" w:cs="宋体"/>
                <w:b w:val="0"/>
                <w:bCs w:val="0"/>
                <w:color w:val="auto"/>
                <w:kern w:val="0"/>
                <w:sz w:val="24"/>
                <w:szCs w:val="24"/>
              </w:rPr>
              <w:t>投标人近3年主营收入平均值大于20亿元且资产负债率平均值小于10%的，T2＝T×0.95；</w:t>
            </w:r>
          </w:p>
          <w:p>
            <w:pPr>
              <w:keepLines w:val="0"/>
              <w:pageBreakBefore w:val="0"/>
              <w:widowControl w:val="0"/>
              <w:kinsoku/>
              <w:wordWrap/>
              <w:overflowPunct/>
              <w:topLinePunct/>
              <w:autoSpaceDE w:val="0"/>
              <w:autoSpaceDN w:val="0"/>
              <w:bidi w:val="0"/>
              <w:adjustRightInd/>
              <w:snapToGrid/>
              <w:spacing w:line="400" w:lineRule="exact"/>
              <w:ind w:right="147" w:rightChars="70"/>
              <w:textAlignment w:val="auto"/>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2.</w:t>
            </w:r>
            <w:r>
              <w:rPr>
                <w:rFonts w:hint="eastAsia" w:ascii="宋体" w:hAnsi="宋体" w:cs="宋体"/>
                <w:b w:val="0"/>
                <w:bCs w:val="0"/>
                <w:color w:val="auto"/>
                <w:kern w:val="0"/>
                <w:sz w:val="24"/>
                <w:szCs w:val="24"/>
              </w:rPr>
              <w:t>投标人近3年主营收入平均值大于20亿元且资产负债率平均值</w:t>
            </w:r>
            <w:r>
              <w:rPr>
                <w:rFonts w:hint="eastAsia" w:ascii="宋体" w:hAnsi="宋体" w:cs="宋体"/>
                <w:b w:val="0"/>
                <w:bCs w:val="0"/>
                <w:color w:val="auto"/>
                <w:kern w:val="0"/>
                <w:sz w:val="24"/>
                <w:szCs w:val="24"/>
                <w:lang w:val="en-US" w:eastAsia="zh-CN"/>
              </w:rPr>
              <w:t>大</w:t>
            </w:r>
            <w:r>
              <w:rPr>
                <w:rFonts w:hint="eastAsia" w:ascii="宋体" w:hAnsi="宋体" w:cs="宋体"/>
                <w:b w:val="0"/>
                <w:bCs w:val="0"/>
                <w:color w:val="auto"/>
                <w:kern w:val="0"/>
                <w:sz w:val="24"/>
                <w:szCs w:val="24"/>
              </w:rPr>
              <w:t>于10%</w:t>
            </w:r>
            <w:r>
              <w:rPr>
                <w:rFonts w:hint="eastAsia" w:ascii="宋体" w:hAnsi="宋体" w:cs="宋体"/>
                <w:b w:val="0"/>
                <w:bCs w:val="0"/>
                <w:color w:val="auto"/>
                <w:kern w:val="0"/>
                <w:sz w:val="24"/>
                <w:szCs w:val="24"/>
                <w:lang w:val="en-US" w:eastAsia="zh-CN"/>
              </w:rPr>
              <w:t>小于或等于20%，</w:t>
            </w:r>
            <w:r>
              <w:rPr>
                <w:rFonts w:hint="eastAsia" w:ascii="宋体" w:hAnsi="宋体" w:cs="宋体"/>
                <w:b w:val="0"/>
                <w:bCs w:val="0"/>
                <w:color w:val="auto"/>
                <w:kern w:val="0"/>
                <w:sz w:val="24"/>
                <w:szCs w:val="24"/>
              </w:rPr>
              <w:t>T2＝T×</w:t>
            </w:r>
            <w:r>
              <w:rPr>
                <w:rFonts w:hint="eastAsia" w:ascii="宋体" w:hAnsi="宋体" w:cs="宋体"/>
                <w:b w:val="0"/>
                <w:bCs w:val="0"/>
                <w:color w:val="auto"/>
                <w:kern w:val="0"/>
                <w:sz w:val="24"/>
                <w:szCs w:val="24"/>
                <w:lang w:val="en-US" w:eastAsia="zh-CN"/>
              </w:rPr>
              <w:t>0.98</w:t>
            </w:r>
            <w:r>
              <w:rPr>
                <w:rFonts w:hint="eastAsia" w:ascii="宋体" w:hAnsi="宋体" w:cs="宋体"/>
                <w:b w:val="0"/>
                <w:bCs w:val="0"/>
                <w:color w:val="auto"/>
                <w:kern w:val="0"/>
                <w:sz w:val="24"/>
                <w:szCs w:val="24"/>
              </w:rPr>
              <w:t>；</w:t>
            </w:r>
          </w:p>
          <w:p>
            <w:pPr>
              <w:keepLines w:val="0"/>
              <w:pageBreakBefore w:val="0"/>
              <w:widowControl w:val="0"/>
              <w:kinsoku/>
              <w:wordWrap/>
              <w:overflowPunct/>
              <w:topLinePunct/>
              <w:autoSpaceDE w:val="0"/>
              <w:autoSpaceDN w:val="0"/>
              <w:bidi w:val="0"/>
              <w:adjustRightInd/>
              <w:snapToGrid/>
              <w:spacing w:line="400" w:lineRule="exact"/>
              <w:ind w:right="147" w:rightChars="70"/>
              <w:textAlignment w:val="auto"/>
              <w:rPr>
                <w:rFonts w:hint="default" w:eastAsia="宋体"/>
                <w:b w:val="0"/>
                <w:bCs w:val="0"/>
                <w:color w:val="auto"/>
                <w:sz w:val="24"/>
                <w:szCs w:val="24"/>
                <w:lang w:val="en-US" w:eastAsia="zh-CN"/>
              </w:rPr>
            </w:pPr>
            <w:r>
              <w:rPr>
                <w:rFonts w:hint="eastAsia" w:ascii="宋体" w:hAnsi="宋体" w:cs="宋体"/>
                <w:b w:val="0"/>
                <w:bCs w:val="0"/>
                <w:color w:val="auto"/>
                <w:kern w:val="0"/>
                <w:sz w:val="24"/>
                <w:szCs w:val="24"/>
                <w:lang w:val="en-US" w:eastAsia="zh-CN"/>
              </w:rPr>
              <w:t>3.</w:t>
            </w:r>
            <w:r>
              <w:rPr>
                <w:rFonts w:hint="eastAsia" w:ascii="宋体" w:hAnsi="宋体" w:cs="宋体"/>
                <w:b w:val="0"/>
                <w:bCs w:val="0"/>
                <w:color w:val="auto"/>
                <w:kern w:val="0"/>
                <w:sz w:val="24"/>
                <w:szCs w:val="24"/>
              </w:rPr>
              <w:t>投标人近3年主营收入平均值大于10亿元小于20亿元，且资产负债率平均值</w:t>
            </w:r>
            <w:r>
              <w:rPr>
                <w:rFonts w:hint="eastAsia" w:ascii="宋体" w:hAnsi="宋体" w:cs="宋体"/>
                <w:b w:val="0"/>
                <w:bCs w:val="0"/>
                <w:color w:val="auto"/>
                <w:kern w:val="0"/>
                <w:sz w:val="24"/>
                <w:szCs w:val="24"/>
                <w:lang w:val="en-US" w:eastAsia="zh-CN"/>
              </w:rPr>
              <w:t>大</w:t>
            </w:r>
            <w:r>
              <w:rPr>
                <w:rFonts w:hint="eastAsia" w:ascii="宋体" w:hAnsi="宋体" w:cs="宋体"/>
                <w:b w:val="0"/>
                <w:bCs w:val="0"/>
                <w:color w:val="auto"/>
                <w:kern w:val="0"/>
                <w:sz w:val="24"/>
                <w:szCs w:val="24"/>
              </w:rPr>
              <w:t>于10%</w:t>
            </w:r>
            <w:r>
              <w:rPr>
                <w:rFonts w:hint="eastAsia" w:ascii="宋体" w:hAnsi="宋体" w:cs="宋体"/>
                <w:b w:val="0"/>
                <w:bCs w:val="0"/>
                <w:color w:val="auto"/>
                <w:kern w:val="0"/>
                <w:sz w:val="24"/>
                <w:szCs w:val="24"/>
                <w:lang w:val="en-US" w:eastAsia="zh-CN"/>
              </w:rPr>
              <w:t>小于或等于20%，</w:t>
            </w:r>
            <w:r>
              <w:rPr>
                <w:rFonts w:hint="eastAsia" w:ascii="宋体" w:hAnsi="宋体" w:cs="宋体"/>
                <w:b w:val="0"/>
                <w:bCs w:val="0"/>
                <w:color w:val="auto"/>
                <w:kern w:val="0"/>
                <w:sz w:val="24"/>
                <w:szCs w:val="24"/>
              </w:rPr>
              <w:t>T2＝T×</w:t>
            </w:r>
            <w:r>
              <w:rPr>
                <w:rFonts w:hint="eastAsia" w:ascii="宋体" w:hAnsi="宋体" w:cs="宋体"/>
                <w:b w:val="0"/>
                <w:bCs w:val="0"/>
                <w:color w:val="auto"/>
                <w:kern w:val="0"/>
                <w:sz w:val="24"/>
                <w:szCs w:val="24"/>
                <w:lang w:val="en-US" w:eastAsia="zh-CN"/>
              </w:rPr>
              <w:t>1.00</w:t>
            </w:r>
            <w:r>
              <w:rPr>
                <w:rFonts w:hint="eastAsia" w:ascii="宋体" w:hAnsi="宋体" w:cs="宋体"/>
                <w:b w:val="0"/>
                <w:bCs w:val="0"/>
                <w:color w:val="auto"/>
                <w:kern w:val="0"/>
                <w:sz w:val="24"/>
                <w:szCs w:val="24"/>
              </w:rPr>
              <w:t>；</w:t>
            </w:r>
          </w:p>
          <w:p>
            <w:pPr>
              <w:keepLines w:val="0"/>
              <w:pageBreakBefore w:val="0"/>
              <w:widowControl w:val="0"/>
              <w:kinsoku/>
              <w:wordWrap/>
              <w:overflowPunct/>
              <w:bidi w:val="0"/>
              <w:adjustRightInd/>
              <w:snapToGrid/>
              <w:spacing w:line="400" w:lineRule="exact"/>
              <w:jc w:val="left"/>
              <w:textAlignment w:val="auto"/>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4</w:t>
            </w:r>
            <w:r>
              <w:rPr>
                <w:rFonts w:hint="eastAsia" w:ascii="宋体" w:hAnsi="宋体" w:cs="宋体"/>
                <w:b w:val="0"/>
                <w:bCs w:val="0"/>
                <w:color w:val="auto"/>
                <w:kern w:val="0"/>
                <w:sz w:val="24"/>
                <w:szCs w:val="24"/>
              </w:rPr>
              <w:t>.投标人不满足本栏目上述要求的，T2＝T×1.0</w:t>
            </w:r>
            <w:r>
              <w:rPr>
                <w:rFonts w:hint="eastAsia" w:ascii="宋体" w:hAnsi="宋体" w:cs="宋体"/>
                <w:b w:val="0"/>
                <w:bCs w:val="0"/>
                <w:color w:val="auto"/>
                <w:kern w:val="0"/>
                <w:sz w:val="24"/>
                <w:szCs w:val="24"/>
                <w:lang w:val="en-US" w:eastAsia="zh-CN"/>
              </w:rPr>
              <w:t>4</w:t>
            </w:r>
            <w:r>
              <w:rPr>
                <w:rFonts w:hint="eastAsia" w:ascii="宋体" w:hAnsi="宋体" w:cs="宋体"/>
                <w:b w:val="0"/>
                <w:bCs w:val="0"/>
                <w:color w:val="auto"/>
                <w:kern w:val="0"/>
                <w:sz w:val="24"/>
                <w:szCs w:val="24"/>
              </w:rPr>
              <w:t>；</w:t>
            </w:r>
          </w:p>
          <w:p>
            <w:pPr>
              <w:spacing w:line="400" w:lineRule="exact"/>
              <w:jc w:val="left"/>
              <w:rPr>
                <w:rFonts w:hint="eastAsia" w:ascii="宋体" w:hAnsi="宋体" w:cs="宋体"/>
                <w:color w:val="auto"/>
                <w:kern w:val="0"/>
                <w:sz w:val="24"/>
              </w:rPr>
            </w:pPr>
            <w:r>
              <w:rPr>
                <w:rFonts w:hint="eastAsia" w:ascii="宋体" w:hAnsi="宋体" w:cs="宋体"/>
                <w:color w:val="auto"/>
                <w:kern w:val="0"/>
                <w:sz w:val="24"/>
              </w:rPr>
              <w:t>注：①近3年是指以招标公告发布之日（含）为基准倒算3年期间。</w:t>
            </w:r>
          </w:p>
          <w:p>
            <w:pPr>
              <w:spacing w:line="400" w:lineRule="exact"/>
              <w:jc w:val="left"/>
              <w:rPr>
                <w:rFonts w:ascii="宋体" w:hAnsi="宋体" w:cs="仿宋_GB2312"/>
                <w:color w:val="auto"/>
                <w:sz w:val="24"/>
              </w:rPr>
            </w:pPr>
            <w:r>
              <w:rPr>
                <w:rFonts w:hint="eastAsia" w:ascii="宋体" w:hAnsi="宋体" w:cs="宋体"/>
                <w:color w:val="auto"/>
                <w:kern w:val="0"/>
                <w:sz w:val="24"/>
              </w:rPr>
              <w:t>②需提供近3年由会计事务所出具的财务报告复印件并加盖公章，提供原件核对，否则评标委员会按最不利于投标人的情形进行评审。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noWrap w:val="0"/>
            <w:vAlign w:val="center"/>
          </w:tcPr>
          <w:p>
            <w:pPr>
              <w:spacing w:line="400" w:lineRule="exact"/>
              <w:jc w:val="center"/>
              <w:rPr>
                <w:rFonts w:hint="eastAsia" w:ascii="宋体" w:hAnsi="宋体" w:eastAsia="宋体" w:cs="仿宋_GB2312"/>
                <w:color w:val="auto"/>
                <w:kern w:val="0"/>
                <w:sz w:val="24"/>
                <w:lang w:eastAsia="zh-CN"/>
              </w:rPr>
            </w:pPr>
            <w:r>
              <w:rPr>
                <w:rFonts w:hint="eastAsia" w:ascii="仿宋_GB2312" w:hAnsi="仿宋_GB2312" w:cs="仿宋_GB2312"/>
                <w:color w:val="auto"/>
                <w:kern w:val="0"/>
                <w:sz w:val="24"/>
                <w:lang w:val="en-US" w:eastAsia="zh-CN"/>
              </w:rPr>
              <w:t>3</w:t>
            </w:r>
          </w:p>
        </w:tc>
        <w:tc>
          <w:tcPr>
            <w:tcW w:w="1701" w:type="dxa"/>
            <w:noWrap w:val="0"/>
            <w:vAlign w:val="center"/>
          </w:tcPr>
          <w:p>
            <w:pPr>
              <w:snapToGrid w:val="0"/>
              <w:spacing w:line="360" w:lineRule="auto"/>
              <w:jc w:val="center"/>
              <w:rPr>
                <w:rFonts w:ascii="宋体" w:hAnsi="宋体" w:cs="仿宋_GB2312"/>
                <w:color w:val="auto"/>
                <w:kern w:val="0"/>
                <w:sz w:val="24"/>
              </w:rPr>
            </w:pPr>
            <w:r>
              <w:rPr>
                <w:rFonts w:hint="eastAsia" w:ascii="宋体" w:hAnsi="宋体" w:cs="宋体"/>
                <w:color w:val="auto"/>
                <w:sz w:val="24"/>
              </w:rPr>
              <w:t>企业获奖</w:t>
            </w:r>
          </w:p>
        </w:tc>
        <w:tc>
          <w:tcPr>
            <w:tcW w:w="7043" w:type="dxa"/>
            <w:noWrap w:val="0"/>
            <w:vAlign w:val="top"/>
          </w:tcPr>
          <w:p>
            <w:pPr>
              <w:snapToGrid w:val="0"/>
              <w:spacing w:line="360" w:lineRule="auto"/>
              <w:rPr>
                <w:rFonts w:hint="eastAsia" w:ascii="宋体" w:hAnsi="宋体" w:cs="宋体"/>
                <w:color w:val="auto"/>
                <w:sz w:val="24"/>
              </w:rPr>
            </w:pPr>
            <w:r>
              <w:rPr>
                <w:rFonts w:hint="eastAsia" w:ascii="宋体" w:hAnsi="宋体" w:cs="宋体"/>
                <w:color w:val="auto"/>
                <w:sz w:val="24"/>
              </w:rPr>
              <w:t>1.近</w:t>
            </w:r>
            <w:r>
              <w:rPr>
                <w:rFonts w:hint="eastAsia" w:ascii="宋体" w:hAnsi="宋体" w:cs="宋体"/>
                <w:color w:val="auto"/>
                <w:sz w:val="24"/>
                <w:lang w:val="en-US" w:eastAsia="zh-CN"/>
              </w:rPr>
              <w:t>5</w:t>
            </w:r>
            <w:r>
              <w:rPr>
                <w:rFonts w:hint="eastAsia" w:ascii="宋体" w:hAnsi="宋体" w:cs="宋体"/>
                <w:color w:val="auto"/>
                <w:sz w:val="24"/>
              </w:rPr>
              <w:t>年投标人承接的</w:t>
            </w:r>
            <w:r>
              <w:rPr>
                <w:rFonts w:hint="eastAsia" w:ascii="宋体" w:hAnsi="宋体" w:cs="宋体"/>
                <w:color w:val="auto"/>
                <w:sz w:val="24"/>
                <w:u w:val="single"/>
              </w:rPr>
              <w:t>市政公用工程</w:t>
            </w:r>
            <w:r>
              <w:rPr>
                <w:rFonts w:hint="eastAsia" w:ascii="宋体" w:hAnsi="宋体" w:cs="宋体"/>
                <w:color w:val="auto"/>
                <w:sz w:val="24"/>
              </w:rPr>
              <w:t>获得国奖的，T</w:t>
            </w:r>
            <w:r>
              <w:rPr>
                <w:rFonts w:hint="eastAsia" w:ascii="宋体" w:hAnsi="宋体" w:cs="宋体"/>
                <w:color w:val="auto"/>
                <w:sz w:val="24"/>
                <w:lang w:val="en-US" w:eastAsia="zh-CN"/>
              </w:rPr>
              <w:t>3</w:t>
            </w:r>
            <w:r>
              <w:rPr>
                <w:rFonts w:hint="eastAsia" w:ascii="宋体" w:hAnsi="宋体" w:cs="宋体"/>
                <w:color w:val="auto"/>
                <w:sz w:val="24"/>
              </w:rPr>
              <w:t>＝T×0.95；</w:t>
            </w:r>
          </w:p>
          <w:p>
            <w:pPr>
              <w:snapToGrid w:val="0"/>
              <w:spacing w:line="360" w:lineRule="auto"/>
              <w:rPr>
                <w:rFonts w:hint="eastAsia" w:ascii="宋体" w:hAnsi="宋体" w:cs="宋体"/>
                <w:color w:val="auto"/>
                <w:sz w:val="24"/>
              </w:rPr>
            </w:pPr>
            <w:r>
              <w:rPr>
                <w:rFonts w:hint="eastAsia" w:ascii="宋体" w:hAnsi="宋体" w:cs="宋体"/>
                <w:color w:val="auto"/>
                <w:sz w:val="24"/>
              </w:rPr>
              <w:t>2.近</w:t>
            </w:r>
            <w:r>
              <w:rPr>
                <w:rFonts w:hint="eastAsia" w:ascii="宋体" w:hAnsi="宋体" w:cs="宋体"/>
                <w:color w:val="auto"/>
                <w:sz w:val="24"/>
                <w:lang w:val="en-US" w:eastAsia="zh-CN"/>
              </w:rPr>
              <w:t>5</w:t>
            </w:r>
            <w:r>
              <w:rPr>
                <w:rFonts w:hint="eastAsia" w:ascii="宋体" w:hAnsi="宋体" w:cs="宋体"/>
                <w:color w:val="auto"/>
                <w:sz w:val="24"/>
              </w:rPr>
              <w:t>年投标人承接的</w:t>
            </w:r>
            <w:r>
              <w:rPr>
                <w:rFonts w:hint="eastAsia" w:ascii="宋体" w:hAnsi="宋体" w:cs="宋体"/>
                <w:color w:val="auto"/>
                <w:sz w:val="24"/>
                <w:u w:val="single"/>
              </w:rPr>
              <w:t>市政公用工程</w:t>
            </w:r>
            <w:r>
              <w:rPr>
                <w:rFonts w:hint="eastAsia" w:ascii="宋体" w:hAnsi="宋体" w:cs="宋体"/>
                <w:color w:val="auto"/>
                <w:sz w:val="24"/>
              </w:rPr>
              <w:t>获得省奖的，T</w:t>
            </w:r>
            <w:r>
              <w:rPr>
                <w:rFonts w:hint="eastAsia" w:ascii="宋体" w:hAnsi="宋体" w:cs="宋体"/>
                <w:color w:val="auto"/>
                <w:sz w:val="24"/>
                <w:lang w:val="en-US" w:eastAsia="zh-CN"/>
              </w:rPr>
              <w:t>3</w:t>
            </w:r>
            <w:r>
              <w:rPr>
                <w:rFonts w:hint="eastAsia" w:ascii="宋体" w:hAnsi="宋体" w:cs="宋体"/>
                <w:color w:val="auto"/>
                <w:sz w:val="24"/>
              </w:rPr>
              <w:t>＝T×</w:t>
            </w:r>
            <w:r>
              <w:rPr>
                <w:rFonts w:hint="eastAsia" w:ascii="宋体" w:hAnsi="宋体" w:cs="宋体"/>
                <w:color w:val="auto"/>
                <w:sz w:val="24"/>
                <w:lang w:val="en-US" w:eastAsia="zh-CN"/>
              </w:rPr>
              <w:t>0.98</w:t>
            </w:r>
            <w:r>
              <w:rPr>
                <w:rFonts w:hint="eastAsia" w:ascii="宋体" w:hAnsi="宋体" w:cs="宋体"/>
                <w:color w:val="auto"/>
                <w:sz w:val="24"/>
              </w:rPr>
              <w:t>；</w:t>
            </w:r>
          </w:p>
          <w:p>
            <w:pPr>
              <w:snapToGrid w:val="0"/>
              <w:spacing w:line="360" w:lineRule="auto"/>
              <w:rPr>
                <w:rFonts w:hint="eastAsia" w:ascii="宋体" w:hAnsi="宋体" w:cs="宋体"/>
                <w:color w:val="auto"/>
                <w:sz w:val="24"/>
              </w:rPr>
            </w:pPr>
            <w:r>
              <w:rPr>
                <w:rFonts w:hint="eastAsia" w:ascii="宋体" w:hAnsi="宋体" w:cs="宋体"/>
                <w:color w:val="auto"/>
                <w:sz w:val="24"/>
              </w:rPr>
              <w:t>3.近</w:t>
            </w:r>
            <w:r>
              <w:rPr>
                <w:rFonts w:hint="eastAsia" w:ascii="宋体" w:hAnsi="宋体" w:cs="宋体"/>
                <w:color w:val="auto"/>
                <w:sz w:val="24"/>
                <w:lang w:val="en-US" w:eastAsia="zh-CN"/>
              </w:rPr>
              <w:t>5</w:t>
            </w:r>
            <w:r>
              <w:rPr>
                <w:rFonts w:hint="eastAsia" w:ascii="宋体" w:hAnsi="宋体" w:cs="宋体"/>
                <w:color w:val="auto"/>
                <w:sz w:val="24"/>
              </w:rPr>
              <w:t>年投标人承接的</w:t>
            </w:r>
            <w:r>
              <w:rPr>
                <w:rFonts w:hint="eastAsia" w:ascii="宋体" w:hAnsi="宋体" w:cs="宋体"/>
                <w:color w:val="auto"/>
                <w:sz w:val="24"/>
                <w:u w:val="single"/>
              </w:rPr>
              <w:t>市政公用工程</w:t>
            </w:r>
            <w:r>
              <w:rPr>
                <w:rFonts w:hint="eastAsia" w:ascii="宋体" w:hAnsi="宋体" w:cs="宋体"/>
                <w:color w:val="auto"/>
                <w:sz w:val="24"/>
              </w:rPr>
              <w:t>获得市奖的，T</w:t>
            </w:r>
            <w:r>
              <w:rPr>
                <w:rFonts w:hint="eastAsia" w:ascii="宋体" w:hAnsi="宋体" w:cs="宋体"/>
                <w:color w:val="auto"/>
                <w:sz w:val="24"/>
                <w:lang w:val="en-US" w:eastAsia="zh-CN"/>
              </w:rPr>
              <w:t>3</w:t>
            </w:r>
            <w:r>
              <w:rPr>
                <w:rFonts w:hint="eastAsia" w:ascii="宋体" w:hAnsi="宋体" w:cs="宋体"/>
                <w:color w:val="auto"/>
                <w:sz w:val="24"/>
              </w:rPr>
              <w:t>＝T×1.02；</w:t>
            </w:r>
          </w:p>
          <w:p>
            <w:pPr>
              <w:snapToGrid w:val="0"/>
              <w:spacing w:line="360" w:lineRule="auto"/>
              <w:rPr>
                <w:rFonts w:hint="eastAsia" w:ascii="宋体" w:hAnsi="宋体" w:cs="宋体"/>
                <w:color w:val="auto"/>
                <w:sz w:val="24"/>
              </w:rPr>
            </w:pPr>
            <w:r>
              <w:rPr>
                <w:rFonts w:hint="eastAsia" w:ascii="宋体" w:hAnsi="宋体" w:cs="宋体"/>
                <w:color w:val="auto"/>
                <w:sz w:val="24"/>
              </w:rPr>
              <w:t>4.投标人不满足本栏目上述要求的，T</w:t>
            </w:r>
            <w:r>
              <w:rPr>
                <w:rFonts w:hint="eastAsia" w:ascii="宋体" w:hAnsi="宋体" w:cs="宋体"/>
                <w:color w:val="auto"/>
                <w:sz w:val="24"/>
                <w:lang w:val="en-US" w:eastAsia="zh-CN"/>
              </w:rPr>
              <w:t>3</w:t>
            </w:r>
            <w:r>
              <w:rPr>
                <w:rFonts w:hint="eastAsia" w:ascii="宋体" w:hAnsi="宋体" w:cs="宋体"/>
                <w:color w:val="auto"/>
                <w:sz w:val="24"/>
              </w:rPr>
              <w:t>＝T×1.0</w:t>
            </w:r>
            <w:r>
              <w:rPr>
                <w:rFonts w:hint="eastAsia" w:ascii="宋体" w:hAnsi="宋体" w:cs="宋体"/>
                <w:color w:val="auto"/>
                <w:sz w:val="24"/>
                <w:lang w:val="en-US" w:eastAsia="zh-CN"/>
              </w:rPr>
              <w:t>4</w:t>
            </w:r>
            <w:r>
              <w:rPr>
                <w:rFonts w:hint="eastAsia" w:ascii="宋体" w:hAnsi="宋体" w:cs="宋体"/>
                <w:color w:val="auto"/>
                <w:sz w:val="24"/>
              </w:rPr>
              <w:t>。</w:t>
            </w:r>
          </w:p>
          <w:p>
            <w:pPr>
              <w:snapToGrid w:val="0"/>
              <w:spacing w:line="360" w:lineRule="auto"/>
              <w:rPr>
                <w:rFonts w:hint="eastAsia" w:ascii="宋体" w:hAnsi="宋体" w:cs="宋体"/>
                <w:color w:val="auto"/>
                <w:sz w:val="24"/>
              </w:rPr>
            </w:pPr>
            <w:r>
              <w:rPr>
                <w:rFonts w:hint="eastAsia" w:ascii="宋体" w:hAnsi="宋体" w:cs="宋体"/>
                <w:color w:val="auto"/>
                <w:sz w:val="24"/>
              </w:rPr>
              <w:t>注：</w:t>
            </w:r>
          </w:p>
          <w:p>
            <w:pPr>
              <w:snapToGrid w:val="0"/>
              <w:spacing w:line="360" w:lineRule="auto"/>
              <w:rPr>
                <w:rFonts w:hint="eastAsia" w:ascii="宋体" w:hAnsi="宋体" w:cs="宋体"/>
                <w:color w:val="auto"/>
                <w:sz w:val="24"/>
              </w:rPr>
            </w:pPr>
            <w:r>
              <w:rPr>
                <w:rFonts w:hint="eastAsia" w:ascii="宋体" w:hAnsi="宋体" w:cs="宋体"/>
                <w:color w:val="auto"/>
                <w:sz w:val="24"/>
              </w:rPr>
              <w:t>①近</w:t>
            </w:r>
            <w:r>
              <w:rPr>
                <w:rFonts w:hint="eastAsia" w:ascii="宋体" w:hAnsi="宋体" w:cs="宋体"/>
                <w:color w:val="auto"/>
                <w:sz w:val="24"/>
                <w:lang w:val="en-US" w:eastAsia="zh-CN"/>
              </w:rPr>
              <w:t>5</w:t>
            </w:r>
            <w:r>
              <w:rPr>
                <w:rFonts w:hint="eastAsia" w:ascii="宋体" w:hAnsi="宋体" w:cs="宋体"/>
                <w:color w:val="auto"/>
                <w:sz w:val="24"/>
              </w:rPr>
              <w:t>年是指以招标公告发布之日（含）为基准倒算</w:t>
            </w:r>
            <w:r>
              <w:rPr>
                <w:rFonts w:hint="eastAsia" w:ascii="宋体" w:hAnsi="宋体" w:cs="宋体"/>
                <w:color w:val="auto"/>
                <w:sz w:val="24"/>
                <w:lang w:val="en-US" w:eastAsia="zh-CN"/>
              </w:rPr>
              <w:t>5</w:t>
            </w:r>
            <w:r>
              <w:rPr>
                <w:rFonts w:hint="eastAsia" w:ascii="宋体" w:hAnsi="宋体" w:cs="宋体"/>
                <w:color w:val="auto"/>
                <w:sz w:val="24"/>
              </w:rPr>
              <w:t>年期间；</w:t>
            </w:r>
          </w:p>
          <w:p>
            <w:pPr>
              <w:snapToGrid w:val="0"/>
              <w:spacing w:line="360" w:lineRule="auto"/>
              <w:rPr>
                <w:rFonts w:hint="eastAsia" w:ascii="宋体" w:hAnsi="宋体" w:cs="宋体"/>
                <w:color w:val="auto"/>
                <w:sz w:val="24"/>
              </w:rPr>
            </w:pPr>
            <w:r>
              <w:rPr>
                <w:rFonts w:hint="eastAsia" w:ascii="宋体" w:hAnsi="宋体" w:cs="宋体"/>
                <w:color w:val="auto"/>
                <w:sz w:val="24"/>
              </w:rPr>
              <w:t>②若投标人提供的工程奖项是以联合体形式承接的，投标人须为该工程的主办方，并提供作为主办方的证明材料；</w:t>
            </w:r>
          </w:p>
          <w:p>
            <w:pPr>
              <w:snapToGrid w:val="0"/>
              <w:spacing w:line="360" w:lineRule="auto"/>
              <w:rPr>
                <w:rFonts w:ascii="宋体" w:hAnsi="宋体" w:cs="仿宋_GB2312"/>
                <w:color w:val="auto"/>
                <w:kern w:val="0"/>
                <w:sz w:val="24"/>
              </w:rPr>
            </w:pPr>
            <w:r>
              <w:rPr>
                <w:rFonts w:hint="eastAsia" w:ascii="宋体" w:hAnsi="宋体" w:cs="宋体"/>
                <w:color w:val="auto"/>
                <w:sz w:val="24"/>
              </w:rPr>
              <w:t>③需提交获奖证书或网络公示截图证明复印件加盖公章，否则评标委员会按最不利于投标人的情形进行评审。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spacing w:line="400" w:lineRule="exact"/>
              <w:jc w:val="center"/>
              <w:rPr>
                <w:rFonts w:hint="eastAsia" w:ascii="宋体" w:hAnsi="宋体" w:eastAsia="宋体" w:cs="仿宋_GB2312"/>
                <w:color w:val="auto"/>
                <w:kern w:val="0"/>
                <w:sz w:val="24"/>
                <w:lang w:eastAsia="zh-CN"/>
              </w:rPr>
            </w:pPr>
            <w:r>
              <w:rPr>
                <w:rFonts w:hint="eastAsia" w:ascii="仿宋_GB2312" w:hAnsi="仿宋_GB2312" w:cs="仿宋_GB2312"/>
                <w:color w:val="auto"/>
                <w:kern w:val="0"/>
                <w:sz w:val="24"/>
                <w:lang w:val="en-US" w:eastAsia="zh-CN"/>
              </w:rPr>
              <w:t>4</w:t>
            </w:r>
          </w:p>
        </w:tc>
        <w:tc>
          <w:tcPr>
            <w:tcW w:w="1701" w:type="dxa"/>
            <w:noWrap w:val="0"/>
            <w:vAlign w:val="center"/>
          </w:tcPr>
          <w:p>
            <w:pPr>
              <w:spacing w:line="400" w:lineRule="exact"/>
              <w:jc w:val="center"/>
              <w:rPr>
                <w:rFonts w:ascii="宋体" w:hAnsi="宋体" w:cs="仿宋_GB2312"/>
                <w:color w:val="auto"/>
                <w:sz w:val="24"/>
              </w:rPr>
            </w:pPr>
            <w:r>
              <w:rPr>
                <w:rFonts w:hint="eastAsia" w:ascii="仿宋_GB2312" w:hAnsi="仿宋_GB2312" w:cs="仿宋_GB2312"/>
                <w:color w:val="auto"/>
                <w:sz w:val="24"/>
              </w:rPr>
              <w:t>拟派项目负责人参与开标</w:t>
            </w:r>
          </w:p>
        </w:tc>
        <w:tc>
          <w:tcPr>
            <w:tcW w:w="7043" w:type="dxa"/>
            <w:noWrap w:val="0"/>
            <w:vAlign w:val="top"/>
          </w:tcPr>
          <w:p>
            <w:pPr>
              <w:rPr>
                <w:rFonts w:hint="eastAsia"/>
                <w:color w:val="auto"/>
              </w:rPr>
            </w:pPr>
          </w:p>
          <w:p>
            <w:pPr>
              <w:snapToGrid w:val="0"/>
              <w:spacing w:line="360" w:lineRule="auto"/>
              <w:rPr>
                <w:rFonts w:hint="eastAsia" w:ascii="宋体" w:hAnsi="宋体" w:cs="宋体"/>
                <w:color w:val="auto"/>
                <w:sz w:val="24"/>
              </w:rPr>
            </w:pPr>
            <w:r>
              <w:rPr>
                <w:rFonts w:hint="eastAsia" w:ascii="宋体" w:hAnsi="宋体" w:cs="宋体"/>
                <w:color w:val="auto"/>
                <w:sz w:val="24"/>
              </w:rPr>
              <w:t>1.项目负责人参与开标，T</w:t>
            </w:r>
            <w:r>
              <w:rPr>
                <w:rFonts w:hint="eastAsia" w:ascii="宋体" w:hAnsi="宋体" w:cs="宋体"/>
                <w:color w:val="auto"/>
                <w:sz w:val="24"/>
                <w:lang w:val="en-US" w:eastAsia="zh-CN"/>
              </w:rPr>
              <w:t>4</w:t>
            </w:r>
            <w:r>
              <w:rPr>
                <w:rFonts w:hint="eastAsia" w:ascii="宋体" w:hAnsi="宋体" w:cs="宋体"/>
                <w:color w:val="auto"/>
                <w:sz w:val="24"/>
              </w:rPr>
              <w:t>＝T×0.9</w:t>
            </w:r>
            <w:r>
              <w:rPr>
                <w:rFonts w:hint="eastAsia" w:ascii="宋体" w:hAnsi="宋体" w:cs="宋体"/>
                <w:color w:val="auto"/>
                <w:sz w:val="24"/>
                <w:lang w:val="en-US" w:eastAsia="zh-CN"/>
              </w:rPr>
              <w:t>8</w:t>
            </w:r>
            <w:r>
              <w:rPr>
                <w:rFonts w:hint="eastAsia" w:ascii="宋体" w:hAnsi="宋体" w:cs="宋体"/>
                <w:color w:val="auto"/>
                <w:sz w:val="24"/>
              </w:rPr>
              <w:t>；</w:t>
            </w:r>
          </w:p>
          <w:p>
            <w:pPr>
              <w:snapToGrid w:val="0"/>
              <w:spacing w:line="360" w:lineRule="auto"/>
              <w:rPr>
                <w:rFonts w:ascii="宋体" w:hAnsi="宋体" w:cs="仿宋_GB2312"/>
                <w:color w:val="auto"/>
                <w:kern w:val="0"/>
                <w:sz w:val="24"/>
              </w:rPr>
            </w:pPr>
            <w:r>
              <w:rPr>
                <w:rFonts w:hint="eastAsia" w:ascii="宋体" w:hAnsi="宋体" w:cs="宋体"/>
                <w:color w:val="auto"/>
                <w:sz w:val="24"/>
              </w:rPr>
              <w:t>2.项目负责人未参与开标，T</w:t>
            </w:r>
            <w:r>
              <w:rPr>
                <w:rFonts w:hint="eastAsia" w:ascii="宋体" w:hAnsi="宋体" w:cs="宋体"/>
                <w:color w:val="auto"/>
                <w:sz w:val="24"/>
                <w:lang w:val="en-US" w:eastAsia="zh-CN"/>
              </w:rPr>
              <w:t>4</w:t>
            </w:r>
            <w:r>
              <w:rPr>
                <w:rFonts w:hint="eastAsia" w:ascii="宋体" w:hAnsi="宋体" w:cs="宋体"/>
                <w:color w:val="auto"/>
                <w:sz w:val="24"/>
              </w:rPr>
              <w:t>＝T×1.00。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spacing w:line="400" w:lineRule="exact"/>
              <w:jc w:val="center"/>
              <w:rPr>
                <w:rFonts w:hint="eastAsia" w:ascii="宋体" w:hAnsi="宋体" w:eastAsia="宋体" w:cs="仿宋_GB2312"/>
                <w:color w:val="auto"/>
                <w:kern w:val="0"/>
                <w:sz w:val="24"/>
                <w:lang w:eastAsia="zh-CN"/>
              </w:rPr>
            </w:pPr>
            <w:r>
              <w:rPr>
                <w:rFonts w:hint="eastAsia" w:ascii="仿宋_GB2312" w:hAnsi="仿宋_GB2312" w:cs="仿宋_GB2312"/>
                <w:color w:val="auto"/>
                <w:kern w:val="0"/>
                <w:sz w:val="24"/>
                <w:lang w:val="en-US" w:eastAsia="zh-CN"/>
              </w:rPr>
              <w:t>5</w:t>
            </w:r>
          </w:p>
        </w:tc>
        <w:tc>
          <w:tcPr>
            <w:tcW w:w="1701" w:type="dxa"/>
            <w:noWrap w:val="0"/>
            <w:vAlign w:val="center"/>
          </w:tcPr>
          <w:p>
            <w:pPr>
              <w:topLinePunct/>
              <w:autoSpaceDE w:val="0"/>
              <w:autoSpaceDN w:val="0"/>
              <w:spacing w:line="400" w:lineRule="exact"/>
              <w:ind w:right="147" w:rightChars="70"/>
              <w:jc w:val="center"/>
              <w:rPr>
                <w:rFonts w:hint="eastAsia" w:ascii="仿宋_GB2312" w:hAnsi="仿宋_GB2312" w:cs="仿宋_GB2312"/>
                <w:color w:val="auto"/>
                <w:sz w:val="24"/>
              </w:rPr>
            </w:pPr>
            <w:r>
              <w:rPr>
                <w:rFonts w:hint="eastAsia" w:ascii="仿宋_GB2312" w:hAnsi="仿宋_GB2312" w:cs="仿宋_GB2312"/>
                <w:color w:val="auto"/>
                <w:sz w:val="24"/>
              </w:rPr>
              <w:t>企业</w:t>
            </w:r>
          </w:p>
          <w:p>
            <w:pPr>
              <w:topLinePunct/>
              <w:autoSpaceDE w:val="0"/>
              <w:autoSpaceDN w:val="0"/>
              <w:spacing w:line="400" w:lineRule="exact"/>
              <w:ind w:right="147" w:rightChars="70"/>
              <w:jc w:val="center"/>
              <w:rPr>
                <w:rFonts w:ascii="宋体" w:hAnsi="宋体" w:cs="仿宋_GB2312"/>
                <w:color w:val="auto"/>
                <w:sz w:val="24"/>
              </w:rPr>
            </w:pPr>
            <w:r>
              <w:rPr>
                <w:rFonts w:hint="eastAsia" w:ascii="仿宋_GB2312" w:hAnsi="仿宋_GB2312" w:cs="仿宋_GB2312"/>
                <w:color w:val="auto"/>
                <w:sz w:val="24"/>
              </w:rPr>
              <w:t>类似业绩</w:t>
            </w:r>
          </w:p>
        </w:tc>
        <w:tc>
          <w:tcPr>
            <w:tcW w:w="7043" w:type="dxa"/>
            <w:noWrap w:val="0"/>
            <w:vAlign w:val="center"/>
          </w:tcPr>
          <w:p>
            <w:pPr>
              <w:topLinePunct/>
              <w:autoSpaceDE w:val="0"/>
              <w:autoSpaceDN w:val="0"/>
              <w:spacing w:line="400" w:lineRule="exact"/>
              <w:ind w:right="147" w:rightChars="70"/>
              <w:rPr>
                <w:rFonts w:hint="eastAsia" w:ascii="宋体" w:hAnsi="宋体" w:cs="宋体"/>
                <w:color w:val="auto"/>
                <w:sz w:val="24"/>
              </w:rPr>
            </w:pPr>
            <w:r>
              <w:rPr>
                <w:rFonts w:hint="eastAsia" w:ascii="宋体" w:hAnsi="宋体" w:cs="宋体"/>
                <w:color w:val="auto"/>
                <w:sz w:val="24"/>
              </w:rPr>
              <w:t>1.近</w:t>
            </w:r>
            <w:r>
              <w:rPr>
                <w:rFonts w:hint="eastAsia" w:ascii="宋体" w:hAnsi="宋体" w:cs="宋体"/>
                <w:color w:val="auto"/>
                <w:sz w:val="24"/>
                <w:lang w:val="en-US" w:eastAsia="zh-CN"/>
              </w:rPr>
              <w:t>5</w:t>
            </w:r>
            <w:r>
              <w:rPr>
                <w:rFonts w:hint="eastAsia" w:ascii="宋体" w:hAnsi="宋体" w:cs="宋体"/>
                <w:color w:val="auto"/>
                <w:sz w:val="24"/>
              </w:rPr>
              <w:t>年投标人完成1项合同金额≥</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1200</w:t>
            </w:r>
            <w:r>
              <w:rPr>
                <w:rFonts w:hint="eastAsia" w:ascii="宋体" w:hAnsi="宋体" w:cs="宋体"/>
                <w:color w:val="auto"/>
                <w:sz w:val="24"/>
                <w:u w:val="single"/>
              </w:rPr>
              <w:t xml:space="preserve"> </w:t>
            </w:r>
            <w:r>
              <w:rPr>
                <w:rFonts w:hint="eastAsia" w:ascii="宋体" w:hAnsi="宋体" w:cs="宋体"/>
                <w:color w:val="auto"/>
                <w:sz w:val="24"/>
              </w:rPr>
              <w:t>万元人民币的类似工程业绩的，T</w:t>
            </w:r>
            <w:r>
              <w:rPr>
                <w:rFonts w:hint="eastAsia" w:ascii="宋体" w:hAnsi="宋体" w:cs="宋体"/>
                <w:color w:val="auto"/>
                <w:sz w:val="24"/>
                <w:lang w:val="en-US" w:eastAsia="zh-CN"/>
              </w:rPr>
              <w:t>5</w:t>
            </w:r>
            <w:r>
              <w:rPr>
                <w:rFonts w:hint="eastAsia" w:ascii="宋体" w:hAnsi="宋体" w:cs="宋体"/>
                <w:color w:val="auto"/>
                <w:sz w:val="24"/>
              </w:rPr>
              <w:t>＝T×0.95；</w:t>
            </w:r>
          </w:p>
          <w:p>
            <w:pPr>
              <w:topLinePunct/>
              <w:autoSpaceDE w:val="0"/>
              <w:autoSpaceDN w:val="0"/>
              <w:spacing w:line="400" w:lineRule="exact"/>
              <w:ind w:right="147" w:rightChars="70"/>
              <w:rPr>
                <w:rFonts w:hint="eastAsia" w:ascii="宋体" w:hAnsi="宋体" w:cs="宋体"/>
                <w:color w:val="auto"/>
                <w:sz w:val="24"/>
              </w:rPr>
            </w:pPr>
            <w:r>
              <w:rPr>
                <w:rFonts w:hint="eastAsia" w:ascii="宋体" w:hAnsi="宋体" w:cs="宋体"/>
                <w:color w:val="auto"/>
                <w:sz w:val="24"/>
              </w:rPr>
              <w:t>2.近</w:t>
            </w:r>
            <w:r>
              <w:rPr>
                <w:rFonts w:hint="eastAsia" w:ascii="宋体" w:hAnsi="宋体" w:cs="宋体"/>
                <w:color w:val="auto"/>
                <w:sz w:val="24"/>
                <w:lang w:val="en-US" w:eastAsia="zh-CN"/>
              </w:rPr>
              <w:t>5</w:t>
            </w:r>
            <w:r>
              <w:rPr>
                <w:rFonts w:hint="eastAsia" w:ascii="宋体" w:hAnsi="宋体" w:cs="宋体"/>
                <w:color w:val="auto"/>
                <w:sz w:val="24"/>
              </w:rPr>
              <w:t>年投标人完成1项合同金额≥</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1000</w:t>
            </w:r>
            <w:r>
              <w:rPr>
                <w:rFonts w:hint="eastAsia" w:ascii="宋体" w:hAnsi="宋体" w:cs="宋体"/>
                <w:color w:val="auto"/>
                <w:sz w:val="24"/>
                <w:u w:val="single"/>
              </w:rPr>
              <w:t xml:space="preserve"> </w:t>
            </w:r>
            <w:r>
              <w:rPr>
                <w:rFonts w:hint="eastAsia" w:ascii="宋体" w:hAnsi="宋体" w:cs="宋体"/>
                <w:color w:val="auto"/>
                <w:sz w:val="24"/>
              </w:rPr>
              <w:t>万元人民币的类似工程业绩的，T</w:t>
            </w:r>
            <w:r>
              <w:rPr>
                <w:rFonts w:hint="eastAsia" w:ascii="宋体" w:hAnsi="宋体" w:cs="宋体"/>
                <w:color w:val="auto"/>
                <w:sz w:val="24"/>
                <w:lang w:val="en-US" w:eastAsia="zh-CN"/>
              </w:rPr>
              <w:t>5</w:t>
            </w:r>
            <w:r>
              <w:rPr>
                <w:rFonts w:hint="eastAsia" w:ascii="宋体" w:hAnsi="宋体" w:cs="宋体"/>
                <w:color w:val="auto"/>
                <w:sz w:val="24"/>
              </w:rPr>
              <w:t>＝T×1.00；</w:t>
            </w:r>
          </w:p>
          <w:p>
            <w:pPr>
              <w:topLinePunct/>
              <w:autoSpaceDE w:val="0"/>
              <w:autoSpaceDN w:val="0"/>
              <w:spacing w:line="400" w:lineRule="exact"/>
              <w:ind w:right="147" w:rightChars="70"/>
              <w:rPr>
                <w:rFonts w:hint="eastAsia" w:ascii="宋体" w:hAnsi="宋体" w:cs="宋体"/>
                <w:color w:val="auto"/>
                <w:sz w:val="24"/>
              </w:rPr>
            </w:pPr>
            <w:r>
              <w:rPr>
                <w:rFonts w:hint="eastAsia" w:ascii="宋体" w:hAnsi="宋体" w:cs="宋体"/>
                <w:color w:val="auto"/>
                <w:sz w:val="24"/>
              </w:rPr>
              <w:t>3.投标人不满足本栏目上述要求的，T</w:t>
            </w:r>
            <w:r>
              <w:rPr>
                <w:rFonts w:hint="eastAsia" w:ascii="宋体" w:hAnsi="宋体" w:cs="宋体"/>
                <w:color w:val="auto"/>
                <w:sz w:val="24"/>
                <w:lang w:val="en-US" w:eastAsia="zh-CN"/>
              </w:rPr>
              <w:t>5</w:t>
            </w:r>
            <w:r>
              <w:rPr>
                <w:rFonts w:hint="eastAsia" w:ascii="宋体" w:hAnsi="宋体" w:cs="宋体"/>
                <w:color w:val="auto"/>
                <w:sz w:val="24"/>
              </w:rPr>
              <w:t>＝T×1.0</w:t>
            </w:r>
            <w:r>
              <w:rPr>
                <w:rFonts w:hint="eastAsia" w:ascii="宋体" w:hAnsi="宋体" w:cs="宋体"/>
                <w:color w:val="auto"/>
                <w:sz w:val="24"/>
                <w:lang w:val="en-US" w:eastAsia="zh-CN"/>
              </w:rPr>
              <w:t>3</w:t>
            </w:r>
            <w:r>
              <w:rPr>
                <w:rFonts w:hint="eastAsia" w:ascii="宋体" w:hAnsi="宋体" w:cs="宋体"/>
                <w:color w:val="auto"/>
                <w:sz w:val="24"/>
              </w:rPr>
              <w:t>。</w:t>
            </w:r>
          </w:p>
          <w:p>
            <w:pPr>
              <w:topLinePunct/>
              <w:autoSpaceDE w:val="0"/>
              <w:autoSpaceDN w:val="0"/>
              <w:spacing w:line="400" w:lineRule="exact"/>
              <w:ind w:right="147" w:rightChars="70"/>
              <w:rPr>
                <w:rFonts w:hint="eastAsia" w:ascii="宋体" w:hAnsi="宋体" w:cs="宋体"/>
                <w:color w:val="auto"/>
                <w:sz w:val="24"/>
              </w:rPr>
            </w:pPr>
            <w:r>
              <w:rPr>
                <w:rFonts w:hint="eastAsia" w:ascii="宋体" w:hAnsi="宋体" w:cs="宋体"/>
                <w:color w:val="auto"/>
                <w:sz w:val="24"/>
              </w:rPr>
              <w:t>注：</w:t>
            </w:r>
          </w:p>
          <w:p>
            <w:pPr>
              <w:topLinePunct/>
              <w:autoSpaceDE w:val="0"/>
              <w:autoSpaceDN w:val="0"/>
              <w:spacing w:line="400" w:lineRule="exact"/>
              <w:ind w:right="147" w:rightChars="70"/>
              <w:rPr>
                <w:rFonts w:hint="eastAsia" w:ascii="宋体" w:hAnsi="宋体" w:cs="宋体"/>
                <w:color w:val="auto"/>
                <w:sz w:val="24"/>
              </w:rPr>
            </w:pPr>
            <w:r>
              <w:rPr>
                <w:rFonts w:hint="eastAsia" w:ascii="宋体" w:hAnsi="宋体" w:cs="宋体"/>
                <w:color w:val="auto"/>
                <w:sz w:val="24"/>
              </w:rPr>
              <w:t>①类似工程业绩是指</w:t>
            </w:r>
            <w:r>
              <w:rPr>
                <w:rFonts w:hint="eastAsia" w:ascii="宋体" w:hAnsi="宋体" w:cs="宋体"/>
                <w:color w:val="auto"/>
                <w:sz w:val="24"/>
                <w:u w:val="single"/>
              </w:rPr>
              <w:t xml:space="preserve"> 市政公用工程 </w:t>
            </w:r>
            <w:r>
              <w:rPr>
                <w:rFonts w:hint="eastAsia" w:ascii="宋体" w:hAnsi="宋体" w:cs="宋体"/>
                <w:color w:val="auto"/>
                <w:sz w:val="24"/>
              </w:rPr>
              <w:t>；</w:t>
            </w:r>
          </w:p>
          <w:p>
            <w:pPr>
              <w:topLinePunct/>
              <w:autoSpaceDE w:val="0"/>
              <w:autoSpaceDN w:val="0"/>
              <w:spacing w:line="400" w:lineRule="exact"/>
              <w:ind w:right="147" w:rightChars="70"/>
              <w:rPr>
                <w:rFonts w:hint="eastAsia" w:ascii="宋体" w:hAnsi="宋体" w:cs="宋体"/>
                <w:color w:val="auto"/>
                <w:sz w:val="24"/>
              </w:rPr>
            </w:pPr>
            <w:r>
              <w:rPr>
                <w:rFonts w:hint="eastAsia" w:ascii="宋体" w:hAnsi="宋体" w:cs="宋体"/>
                <w:color w:val="auto"/>
                <w:sz w:val="24"/>
              </w:rPr>
              <w:t>②</w:t>
            </w:r>
            <w:r>
              <w:rPr>
                <w:rFonts w:hint="eastAsia" w:ascii="宋体" w:hAnsi="宋体" w:cs="宋体"/>
                <w:color w:val="auto"/>
                <w:kern w:val="0"/>
                <w:sz w:val="24"/>
              </w:rPr>
              <w:t>近</w:t>
            </w:r>
            <w:r>
              <w:rPr>
                <w:rFonts w:hint="eastAsia" w:ascii="宋体" w:hAnsi="宋体" w:cs="宋体"/>
                <w:color w:val="auto"/>
                <w:kern w:val="0"/>
                <w:sz w:val="24"/>
                <w:lang w:val="en-US" w:eastAsia="zh-CN"/>
              </w:rPr>
              <w:t>5</w:t>
            </w:r>
            <w:r>
              <w:rPr>
                <w:rFonts w:hint="eastAsia" w:ascii="宋体" w:hAnsi="宋体" w:cs="宋体"/>
                <w:color w:val="auto"/>
                <w:kern w:val="0"/>
                <w:sz w:val="24"/>
              </w:rPr>
              <w:t>年是指以招标公告发布之日（含）为基准倒算</w:t>
            </w:r>
            <w:r>
              <w:rPr>
                <w:rFonts w:hint="eastAsia" w:ascii="宋体" w:hAnsi="宋体" w:cs="宋体"/>
                <w:color w:val="auto"/>
                <w:kern w:val="0"/>
                <w:sz w:val="24"/>
                <w:lang w:val="en-US" w:eastAsia="zh-CN"/>
              </w:rPr>
              <w:t>5</w:t>
            </w:r>
            <w:r>
              <w:rPr>
                <w:rFonts w:hint="eastAsia" w:ascii="宋体" w:hAnsi="宋体" w:cs="宋体"/>
                <w:color w:val="auto"/>
                <w:kern w:val="0"/>
                <w:sz w:val="24"/>
              </w:rPr>
              <w:t>年期间；</w:t>
            </w:r>
          </w:p>
          <w:p>
            <w:pPr>
              <w:topLinePunct/>
              <w:autoSpaceDE w:val="0"/>
              <w:autoSpaceDN w:val="0"/>
              <w:spacing w:line="400" w:lineRule="exact"/>
              <w:ind w:right="147" w:rightChars="70"/>
              <w:rPr>
                <w:rFonts w:hint="eastAsia" w:ascii="宋体" w:hAnsi="宋体" w:cs="宋体"/>
                <w:color w:val="auto"/>
                <w:sz w:val="24"/>
              </w:rPr>
            </w:pPr>
            <w:r>
              <w:rPr>
                <w:rFonts w:hint="eastAsia" w:ascii="宋体" w:hAnsi="宋体" w:cs="宋体"/>
                <w:color w:val="auto"/>
                <w:sz w:val="24"/>
              </w:rPr>
              <w:t>③提供合同和竣工验收备案表材料评审，取得业绩时间以竣工验收备案表的竣工验收时间为准；</w:t>
            </w:r>
          </w:p>
          <w:p>
            <w:pPr>
              <w:topLinePunct/>
              <w:autoSpaceDE w:val="0"/>
              <w:autoSpaceDN w:val="0"/>
              <w:spacing w:line="400" w:lineRule="exact"/>
              <w:ind w:right="147" w:rightChars="70"/>
              <w:rPr>
                <w:rFonts w:hint="eastAsia" w:ascii="宋体" w:hAnsi="宋体" w:cs="宋体"/>
                <w:color w:val="auto"/>
                <w:sz w:val="24"/>
              </w:rPr>
            </w:pPr>
            <w:r>
              <w:rPr>
                <w:rFonts w:hint="eastAsia" w:ascii="宋体" w:hAnsi="宋体" w:cs="宋体"/>
                <w:color w:val="auto"/>
                <w:sz w:val="24"/>
              </w:rPr>
              <w:t>④若投标人提供的工程业绩是以联合体形式承接的，投标人须为该工程业绩的主办方，并提供作为主办方的证明材料；</w:t>
            </w:r>
          </w:p>
          <w:p>
            <w:pPr>
              <w:topLinePunct/>
              <w:autoSpaceDE w:val="0"/>
              <w:autoSpaceDN w:val="0"/>
              <w:spacing w:line="400" w:lineRule="exact"/>
              <w:ind w:right="147" w:rightChars="70"/>
              <w:rPr>
                <w:rFonts w:ascii="宋体" w:hAnsi="宋体" w:cs="仿宋_GB2312"/>
                <w:color w:val="auto"/>
                <w:kern w:val="0"/>
                <w:sz w:val="24"/>
              </w:rPr>
            </w:pPr>
            <w:r>
              <w:rPr>
                <w:rFonts w:hint="eastAsia" w:ascii="宋体" w:hAnsi="宋体" w:cs="宋体"/>
                <w:color w:val="auto"/>
                <w:sz w:val="24"/>
              </w:rPr>
              <w:t>⑤应按招标文件相应条款提供业绩证明材料，并提供原件核对，否则按最不利于投标人的情形进行评审。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pPr>
              <w:spacing w:line="400" w:lineRule="exact"/>
              <w:jc w:val="center"/>
              <w:rPr>
                <w:rFonts w:hint="eastAsia" w:ascii="宋体" w:hAnsi="宋体" w:eastAsia="宋体" w:cs="仿宋_GB2312"/>
                <w:color w:val="auto"/>
                <w:kern w:val="0"/>
                <w:sz w:val="24"/>
                <w:lang w:eastAsia="zh-CN"/>
              </w:rPr>
            </w:pPr>
            <w:r>
              <w:rPr>
                <w:rFonts w:hint="eastAsia" w:ascii="仿宋_GB2312" w:hAnsi="仿宋_GB2312" w:cs="仿宋_GB2312"/>
                <w:color w:val="auto"/>
                <w:kern w:val="0"/>
                <w:sz w:val="24"/>
                <w:lang w:val="en-US" w:eastAsia="zh-CN"/>
              </w:rPr>
              <w:t>6</w:t>
            </w:r>
          </w:p>
        </w:tc>
        <w:tc>
          <w:tcPr>
            <w:tcW w:w="170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企业</w:t>
            </w:r>
          </w:p>
          <w:p>
            <w:pPr>
              <w:spacing w:line="400" w:lineRule="exact"/>
              <w:jc w:val="center"/>
              <w:rPr>
                <w:rFonts w:ascii="宋体" w:hAnsi="宋体" w:cs="仿宋_GB2312"/>
                <w:color w:val="auto"/>
                <w:sz w:val="24"/>
              </w:rPr>
            </w:pPr>
            <w:r>
              <w:rPr>
                <w:rFonts w:hint="eastAsia" w:ascii="宋体" w:hAnsi="宋体" w:cs="宋体"/>
                <w:color w:val="auto"/>
                <w:sz w:val="24"/>
              </w:rPr>
              <w:t>诚信情况</w:t>
            </w:r>
          </w:p>
        </w:tc>
        <w:tc>
          <w:tcPr>
            <w:tcW w:w="7043" w:type="dxa"/>
            <w:noWrap w:val="0"/>
            <w:vAlign w:val="top"/>
          </w:tcPr>
          <w:p>
            <w:pPr>
              <w:keepNext w:val="0"/>
              <w:keepLines w:val="0"/>
              <w:pageBreakBefore w:val="0"/>
              <w:widowControl w:val="0"/>
              <w:kinsoku/>
              <w:wordWrap/>
              <w:overflowPunct/>
              <w:topLinePunct/>
              <w:autoSpaceDE w:val="0"/>
              <w:autoSpaceDN w:val="0"/>
              <w:bidi w:val="0"/>
              <w:adjustRightInd/>
              <w:snapToGrid/>
              <w:spacing w:line="400" w:lineRule="exact"/>
              <w:ind w:right="147" w:rightChars="7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1.投标人信用分排名1至5名，T6＝T×0.9</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autoSpaceDE w:val="0"/>
              <w:autoSpaceDN w:val="0"/>
              <w:bidi w:val="0"/>
              <w:adjustRightInd/>
              <w:snapToGrid/>
              <w:spacing w:line="400" w:lineRule="exact"/>
              <w:ind w:right="147" w:rightChars="7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2.投标人信用分排名6至10名，T6＝T×</w:t>
            </w:r>
            <w:r>
              <w:rPr>
                <w:rFonts w:hint="eastAsia" w:ascii="宋体" w:hAnsi="宋体" w:eastAsia="宋体" w:cs="宋体"/>
                <w:b w:val="0"/>
                <w:bCs w:val="0"/>
                <w:color w:val="auto"/>
                <w:sz w:val="24"/>
                <w:szCs w:val="24"/>
                <w:lang w:val="en-US" w:eastAsia="zh-CN"/>
              </w:rPr>
              <w:t>0.98</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autoSpaceDE w:val="0"/>
              <w:autoSpaceDN w:val="0"/>
              <w:bidi w:val="0"/>
              <w:adjustRightInd/>
              <w:snapToGrid/>
              <w:spacing w:line="400" w:lineRule="exact"/>
              <w:ind w:right="147" w:rightChars="7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3.投标人信用分排名1</w:t>
            </w:r>
            <w:r>
              <w:rPr>
                <w:rFonts w:hint="eastAsia" w:ascii="宋体" w:hAnsi="宋体" w:eastAsia="宋体" w:cs="宋体"/>
                <w:b w:val="0"/>
                <w:bCs w:val="0"/>
                <w:color w:val="auto"/>
                <w:sz w:val="24"/>
                <w:szCs w:val="24"/>
                <w:lang w:val="en-US" w:eastAsia="zh-CN"/>
              </w:rPr>
              <w:t>1至15名</w:t>
            </w:r>
            <w:r>
              <w:rPr>
                <w:rFonts w:hint="eastAsia" w:ascii="宋体" w:hAnsi="宋体" w:eastAsia="宋体" w:cs="宋体"/>
                <w:b w:val="0"/>
                <w:bCs w:val="0"/>
                <w:color w:val="auto"/>
                <w:sz w:val="24"/>
                <w:szCs w:val="24"/>
              </w:rPr>
              <w:t>，T6＝T×1.0</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autoSpaceDE w:val="0"/>
              <w:autoSpaceDN w:val="0"/>
              <w:bidi w:val="0"/>
              <w:adjustRightInd/>
              <w:snapToGrid/>
              <w:spacing w:line="400" w:lineRule="exact"/>
              <w:ind w:right="147" w:rightChars="7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投标人信用分排名1</w:t>
            </w:r>
            <w:r>
              <w:rPr>
                <w:rFonts w:hint="eastAsia" w:ascii="宋体" w:hAnsi="宋体" w:eastAsia="宋体" w:cs="宋体"/>
                <w:b w:val="0"/>
                <w:bCs w:val="0"/>
                <w:color w:val="auto"/>
                <w:sz w:val="24"/>
                <w:szCs w:val="24"/>
                <w:lang w:val="en-US" w:eastAsia="zh-CN"/>
              </w:rPr>
              <w:t>6至20名，</w:t>
            </w:r>
            <w:r>
              <w:rPr>
                <w:rFonts w:hint="eastAsia" w:ascii="宋体" w:hAnsi="宋体" w:eastAsia="宋体" w:cs="宋体"/>
                <w:b w:val="0"/>
                <w:bCs w:val="0"/>
                <w:color w:val="auto"/>
                <w:sz w:val="24"/>
                <w:szCs w:val="24"/>
              </w:rPr>
              <w:t>T6＝T×1.0</w:t>
            </w:r>
            <w:r>
              <w:rPr>
                <w:rFonts w:hint="eastAsia" w:ascii="宋体" w:hAnsi="宋体" w:eastAsia="宋体" w:cs="宋体"/>
                <w:b w:val="0"/>
                <w:bCs w:val="0"/>
                <w:color w:val="auto"/>
                <w:sz w:val="24"/>
                <w:szCs w:val="24"/>
                <w:lang w:val="en-US" w:eastAsia="zh-CN"/>
              </w:rPr>
              <w:t>2；</w:t>
            </w:r>
          </w:p>
          <w:p>
            <w:pPr>
              <w:keepNext w:val="0"/>
              <w:keepLines w:val="0"/>
              <w:pageBreakBefore w:val="0"/>
              <w:widowControl w:val="0"/>
              <w:kinsoku/>
              <w:wordWrap/>
              <w:overflowPunct/>
              <w:bidi w:val="0"/>
              <w:adjustRightInd/>
              <w:snapToGrid/>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投标人信用分排名</w:t>
            </w:r>
            <w:r>
              <w:rPr>
                <w:rFonts w:hint="eastAsia" w:ascii="宋体" w:hAnsi="宋体" w:eastAsia="宋体" w:cs="宋体"/>
                <w:b w:val="0"/>
                <w:bCs w:val="0"/>
                <w:color w:val="auto"/>
                <w:sz w:val="24"/>
                <w:szCs w:val="24"/>
                <w:lang w:val="en-US" w:eastAsia="zh-CN"/>
              </w:rPr>
              <w:t>20名之外，</w:t>
            </w:r>
            <w:r>
              <w:rPr>
                <w:rFonts w:hint="eastAsia" w:ascii="宋体" w:hAnsi="宋体" w:eastAsia="宋体" w:cs="宋体"/>
                <w:b w:val="0"/>
                <w:bCs w:val="0"/>
                <w:color w:val="auto"/>
                <w:sz w:val="24"/>
                <w:szCs w:val="24"/>
              </w:rPr>
              <w:t>T6＝T×1.0</w:t>
            </w:r>
            <w:r>
              <w:rPr>
                <w:rFonts w:hint="eastAsia" w:ascii="宋体" w:hAnsi="宋体" w:eastAsia="宋体" w:cs="宋体"/>
                <w:b w:val="0"/>
                <w:bCs w:val="0"/>
                <w:color w:val="auto"/>
                <w:sz w:val="24"/>
                <w:szCs w:val="24"/>
                <w:lang w:val="en-US" w:eastAsia="zh-CN"/>
              </w:rPr>
              <w:t>4；</w:t>
            </w:r>
          </w:p>
          <w:p>
            <w:pPr>
              <w:keepNext w:val="0"/>
              <w:keepLines w:val="0"/>
              <w:pageBreakBefore w:val="0"/>
              <w:widowControl w:val="0"/>
              <w:kinsoku/>
              <w:wordWrap/>
              <w:overflowPunct/>
              <w:topLinePunct/>
              <w:autoSpaceDE w:val="0"/>
              <w:autoSpaceDN w:val="0"/>
              <w:bidi w:val="0"/>
              <w:adjustRightInd/>
              <w:snapToGrid/>
              <w:spacing w:line="400" w:lineRule="exact"/>
              <w:ind w:right="147" w:rightChars="70"/>
              <w:textAlignment w:val="auto"/>
              <w:rPr>
                <w:rFonts w:ascii="宋体" w:hAnsi="宋体" w:cs="仿宋_GB2312"/>
                <w:color w:val="auto"/>
                <w:kern w:val="0"/>
                <w:sz w:val="24"/>
              </w:rPr>
            </w:pPr>
            <w:r>
              <w:rPr>
                <w:rFonts w:hint="eastAsia" w:ascii="宋体" w:hAnsi="宋体" w:cs="宋体"/>
                <w:color w:val="auto"/>
                <w:sz w:val="24"/>
              </w:rPr>
              <w:t>注：信用分只对有效投标人由高往低排名，分值相同的并列相同排名，以湛江市住房和城乡建设局企业诚信平台显示投标人在（评标当日上午9点30分）的诚信排名情况为准。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09" w:type="dxa"/>
            <w:noWrap w:val="0"/>
            <w:vAlign w:val="center"/>
          </w:tcPr>
          <w:p>
            <w:pPr>
              <w:spacing w:line="400" w:lineRule="exact"/>
              <w:jc w:val="center"/>
              <w:rPr>
                <w:rFonts w:hint="eastAsia" w:ascii="宋体" w:hAnsi="宋体" w:eastAsia="宋体" w:cs="仿宋_GB2312"/>
                <w:color w:val="auto"/>
                <w:kern w:val="0"/>
                <w:sz w:val="24"/>
                <w:lang w:eastAsia="zh-CN"/>
              </w:rPr>
            </w:pPr>
            <w:r>
              <w:rPr>
                <w:rFonts w:hint="eastAsia" w:ascii="仿宋_GB2312" w:hAnsi="仿宋_GB2312" w:cs="仿宋_GB2312"/>
                <w:color w:val="auto"/>
                <w:kern w:val="0"/>
                <w:sz w:val="24"/>
                <w:lang w:val="en-US" w:eastAsia="zh-CN"/>
              </w:rPr>
              <w:t>7</w:t>
            </w:r>
          </w:p>
        </w:tc>
        <w:tc>
          <w:tcPr>
            <w:tcW w:w="1701" w:type="dxa"/>
            <w:noWrap w:val="0"/>
            <w:vAlign w:val="center"/>
          </w:tcPr>
          <w:p>
            <w:pPr>
              <w:spacing w:line="400" w:lineRule="exact"/>
              <w:jc w:val="center"/>
              <w:rPr>
                <w:rFonts w:ascii="宋体" w:hAnsi="宋体" w:cs="仿宋_GB2312"/>
                <w:color w:val="auto"/>
                <w:sz w:val="24"/>
              </w:rPr>
            </w:pPr>
            <w:r>
              <w:rPr>
                <w:rFonts w:hint="eastAsia" w:ascii="仿宋_GB2312" w:hAnsi="仿宋_GB2312" w:cs="仿宋_GB2312"/>
                <w:color w:val="auto"/>
                <w:kern w:val="0"/>
                <w:sz w:val="24"/>
              </w:rPr>
              <w:t>企业信誉</w:t>
            </w:r>
          </w:p>
        </w:tc>
        <w:tc>
          <w:tcPr>
            <w:tcW w:w="7043" w:type="dxa"/>
            <w:noWrap w:val="0"/>
            <w:vAlign w:val="top"/>
          </w:tcPr>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投标人获得省级或以上“守合同重信用企业”单位称号按连续年 </w:t>
            </w:r>
          </w:p>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限从高到低排序： </w:t>
            </w:r>
          </w:p>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1.投标人连续年限排在第1至第3名，T7＝T×0.95； </w:t>
            </w:r>
          </w:p>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2.投标人连续年限排在第4至第8名，T7＝T×0.98； </w:t>
            </w:r>
          </w:p>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3.投标人连续年限排在第9至第15名，T7＝T×1.02； </w:t>
            </w:r>
          </w:p>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4.投标人不满足本栏目上述要求的，T7＝T×1.0</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 xml:space="preserve">； </w:t>
            </w:r>
          </w:p>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注：①“守合同重信用企业”称号以市场监督管理部门颁发的为 </w:t>
            </w:r>
          </w:p>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准。投标人须提交相关证书复印件并加盖投标人公章，否则评标 </w:t>
            </w:r>
          </w:p>
          <w:p>
            <w:pPr>
              <w:keepNext w:val="0"/>
              <w:keepLines w:val="0"/>
              <w:widowControl/>
              <w:suppressLineNumbers w:val="0"/>
              <w:jc w:val="left"/>
              <w:rPr>
                <w:rFonts w:hint="default"/>
                <w:color w:val="auto"/>
                <w:lang w:val="en-US"/>
              </w:rPr>
            </w:pPr>
            <w:r>
              <w:rPr>
                <w:rFonts w:hint="eastAsia" w:ascii="宋体" w:hAnsi="宋体" w:eastAsia="宋体" w:cs="宋体"/>
                <w:color w:val="auto"/>
                <w:kern w:val="0"/>
                <w:sz w:val="24"/>
                <w:szCs w:val="24"/>
                <w:lang w:val="en-US" w:eastAsia="zh-CN" w:bidi="ar"/>
              </w:rPr>
              <w:t>委员会按最不利于投标人的情形进行评审 。</w:t>
            </w:r>
          </w:p>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②连续年限必须含2020年度。 </w:t>
            </w:r>
          </w:p>
          <w:p>
            <w:pPr>
              <w:keepNext w:val="0"/>
              <w:keepLines w:val="0"/>
              <w:widowControl/>
              <w:suppressLineNumbers w:val="0"/>
              <w:jc w:val="left"/>
              <w:rPr>
                <w:rFonts w:ascii="宋体" w:hAnsi="宋体" w:cs="仿宋_GB2312"/>
                <w:color w:val="auto"/>
                <w:sz w:val="24"/>
              </w:rPr>
            </w:pPr>
            <w:r>
              <w:rPr>
                <w:rFonts w:hint="eastAsia" w:ascii="宋体" w:hAnsi="宋体" w:eastAsia="宋体" w:cs="宋体"/>
                <w:color w:val="auto"/>
                <w:kern w:val="0"/>
                <w:sz w:val="24"/>
                <w:szCs w:val="24"/>
                <w:lang w:val="en-US" w:eastAsia="zh-CN" w:bidi="ar"/>
              </w:rPr>
              <w:t>③相同年限并列排序。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09" w:type="dxa"/>
            <w:noWrap w:val="0"/>
            <w:vAlign w:val="center"/>
          </w:tcPr>
          <w:p>
            <w:pPr>
              <w:spacing w:line="400" w:lineRule="exact"/>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8</w:t>
            </w:r>
          </w:p>
        </w:tc>
        <w:tc>
          <w:tcPr>
            <w:tcW w:w="1701" w:type="dxa"/>
            <w:noWrap w:val="0"/>
            <w:vAlign w:val="center"/>
          </w:tcPr>
          <w:p>
            <w:pPr>
              <w:widowControl/>
              <w:spacing w:line="400" w:lineRule="exact"/>
              <w:jc w:val="left"/>
              <w:rPr>
                <w:rFonts w:hint="eastAsia" w:ascii="宋体" w:hAnsi="宋体" w:cs="宋体"/>
                <w:color w:val="auto"/>
                <w:kern w:val="0"/>
                <w:sz w:val="24"/>
              </w:rPr>
            </w:pPr>
            <w:r>
              <w:rPr>
                <w:rFonts w:hint="eastAsia" w:ascii="仿宋_GB2312" w:hAnsi="仿宋_GB2312" w:cs="仿宋_GB2312"/>
                <w:color w:val="auto"/>
                <w:kern w:val="0"/>
                <w:sz w:val="24"/>
              </w:rPr>
              <w:t>纳税信用</w:t>
            </w:r>
          </w:p>
        </w:tc>
        <w:tc>
          <w:tcPr>
            <w:tcW w:w="7043" w:type="dxa"/>
            <w:noWrap w:val="0"/>
            <w:vAlign w:val="center"/>
          </w:tcPr>
          <w:p>
            <w:pPr>
              <w:topLinePunct/>
              <w:autoSpaceDE w:val="0"/>
              <w:autoSpaceDN w:val="0"/>
              <w:spacing w:line="420" w:lineRule="exact"/>
              <w:ind w:right="147" w:rightChars="70"/>
              <w:rPr>
                <w:rFonts w:ascii="宋体" w:hAnsi="宋体" w:cs="仿宋_GB2312"/>
                <w:color w:val="auto"/>
                <w:sz w:val="24"/>
              </w:rPr>
            </w:pPr>
            <w:r>
              <w:rPr>
                <w:rFonts w:hint="eastAsia" w:ascii="宋体" w:hAnsi="宋体" w:cs="仿宋_GB2312"/>
                <w:color w:val="auto"/>
                <w:sz w:val="24"/>
                <w:lang w:val="zh-CN"/>
              </w:rPr>
              <w:t>1</w:t>
            </w:r>
            <w:r>
              <w:rPr>
                <w:rFonts w:ascii="宋体" w:hAnsi="宋体" w:cs="仿宋_GB2312"/>
                <w:color w:val="auto"/>
                <w:sz w:val="24"/>
                <w:lang w:val="zh-CN"/>
              </w:rPr>
              <w:t>.2016年～2020年连续5个年度</w:t>
            </w:r>
            <w:r>
              <w:rPr>
                <w:rFonts w:hint="eastAsia" w:ascii="宋体" w:hAnsi="宋体" w:cs="仿宋_GB2312"/>
                <w:color w:val="auto"/>
                <w:sz w:val="24"/>
                <w:lang w:val="zh-CN"/>
              </w:rPr>
              <w:t>以上</w:t>
            </w:r>
            <w:r>
              <w:rPr>
                <w:rFonts w:ascii="宋体" w:hAnsi="宋体" w:cs="仿宋_GB2312"/>
                <w:color w:val="auto"/>
                <w:sz w:val="24"/>
                <w:lang w:val="zh-CN"/>
              </w:rPr>
              <w:t>（含5个年度</w:t>
            </w:r>
            <w:r>
              <w:rPr>
                <w:rFonts w:hint="eastAsia" w:ascii="宋体" w:hAnsi="宋体" w:cs="仿宋_GB2312"/>
                <w:color w:val="auto"/>
                <w:sz w:val="24"/>
                <w:lang w:val="zh-CN"/>
              </w:rPr>
              <w:t>）</w:t>
            </w:r>
            <w:r>
              <w:rPr>
                <w:rFonts w:ascii="宋体" w:hAnsi="宋体" w:cs="仿宋_GB2312"/>
                <w:color w:val="auto"/>
                <w:sz w:val="24"/>
                <w:lang w:val="zh-CN"/>
              </w:rPr>
              <w:t>被评定为“纳税信用A级纳税人”，T</w:t>
            </w:r>
            <w:r>
              <w:rPr>
                <w:rFonts w:hint="eastAsia" w:ascii="宋体" w:hAnsi="宋体" w:cs="仿宋_GB2312"/>
                <w:color w:val="auto"/>
                <w:sz w:val="24"/>
                <w:lang w:val="en-US" w:eastAsia="zh-CN"/>
              </w:rPr>
              <w:t>8</w:t>
            </w:r>
            <w:r>
              <w:rPr>
                <w:rFonts w:ascii="宋体" w:hAnsi="宋体" w:cs="仿宋_GB2312"/>
                <w:color w:val="auto"/>
                <w:sz w:val="24"/>
                <w:lang w:val="zh-CN"/>
              </w:rPr>
              <w:t>=T</w:t>
            </w:r>
            <w:r>
              <w:rPr>
                <w:rFonts w:hint="eastAsia" w:ascii="宋体" w:hAnsi="宋体" w:cs="仿宋_GB2312"/>
                <w:color w:val="auto"/>
                <w:sz w:val="24"/>
              </w:rPr>
              <w:t>×0</w:t>
            </w:r>
            <w:r>
              <w:rPr>
                <w:rFonts w:ascii="宋体" w:hAnsi="宋体" w:cs="仿宋_GB2312"/>
                <w:color w:val="auto"/>
                <w:sz w:val="24"/>
              </w:rPr>
              <w:t>.9</w:t>
            </w:r>
            <w:r>
              <w:rPr>
                <w:rFonts w:hint="eastAsia" w:ascii="宋体" w:hAnsi="宋体" w:cs="仿宋_GB2312"/>
                <w:color w:val="auto"/>
                <w:sz w:val="24"/>
                <w:lang w:val="en-US" w:eastAsia="zh-CN"/>
              </w:rPr>
              <w:t>5</w:t>
            </w:r>
            <w:r>
              <w:rPr>
                <w:rFonts w:ascii="宋体" w:hAnsi="宋体" w:cs="仿宋_GB2312"/>
                <w:color w:val="auto"/>
                <w:sz w:val="24"/>
              </w:rPr>
              <w:t>；</w:t>
            </w:r>
          </w:p>
          <w:p>
            <w:pPr>
              <w:topLinePunct/>
              <w:autoSpaceDE w:val="0"/>
              <w:autoSpaceDN w:val="0"/>
              <w:spacing w:line="420" w:lineRule="exact"/>
              <w:ind w:right="147" w:rightChars="70"/>
              <w:rPr>
                <w:rFonts w:ascii="宋体" w:hAnsi="宋体" w:cs="仿宋_GB2312"/>
                <w:color w:val="auto"/>
                <w:sz w:val="24"/>
              </w:rPr>
            </w:pPr>
            <w:r>
              <w:rPr>
                <w:rFonts w:ascii="宋体" w:hAnsi="宋体" w:cs="仿宋_GB2312"/>
                <w:color w:val="auto"/>
                <w:sz w:val="24"/>
                <w:lang w:val="zh-CN"/>
              </w:rPr>
              <w:t>2.2016年～2020年连续4个年度被评定为“纳税信用A级纳税人”，T</w:t>
            </w:r>
            <w:r>
              <w:rPr>
                <w:rFonts w:hint="eastAsia" w:ascii="宋体" w:hAnsi="宋体" w:cs="仿宋_GB2312"/>
                <w:color w:val="auto"/>
                <w:sz w:val="24"/>
                <w:lang w:val="en-US" w:eastAsia="zh-CN"/>
              </w:rPr>
              <w:t>8</w:t>
            </w:r>
            <w:r>
              <w:rPr>
                <w:rFonts w:ascii="宋体" w:hAnsi="宋体" w:cs="仿宋_GB2312"/>
                <w:color w:val="auto"/>
                <w:sz w:val="24"/>
                <w:lang w:val="zh-CN"/>
              </w:rPr>
              <w:t>=T</w:t>
            </w:r>
            <w:r>
              <w:rPr>
                <w:rFonts w:hint="eastAsia" w:ascii="宋体" w:hAnsi="宋体" w:cs="仿宋_GB2312"/>
                <w:color w:val="auto"/>
                <w:sz w:val="24"/>
              </w:rPr>
              <w:t>×0.98</w:t>
            </w:r>
            <w:r>
              <w:rPr>
                <w:rFonts w:ascii="宋体" w:hAnsi="宋体" w:cs="仿宋_GB2312"/>
                <w:color w:val="auto"/>
                <w:sz w:val="24"/>
              </w:rPr>
              <w:t>；</w:t>
            </w:r>
          </w:p>
          <w:p>
            <w:pPr>
              <w:topLinePunct/>
              <w:autoSpaceDE w:val="0"/>
              <w:autoSpaceDN w:val="0"/>
              <w:spacing w:line="420" w:lineRule="exact"/>
              <w:ind w:right="147" w:rightChars="70"/>
              <w:rPr>
                <w:rFonts w:hint="eastAsia" w:ascii="宋体" w:hAnsi="宋体" w:cs="仿宋_GB2312"/>
                <w:color w:val="auto"/>
                <w:sz w:val="24"/>
              </w:rPr>
            </w:pPr>
            <w:r>
              <w:rPr>
                <w:rFonts w:ascii="宋体" w:hAnsi="宋体" w:cs="仿宋_GB2312"/>
                <w:color w:val="auto"/>
                <w:sz w:val="24"/>
                <w:lang w:val="zh-CN"/>
              </w:rPr>
              <w:t>3.2016年～2020年连续3个年度</w:t>
            </w:r>
            <w:r>
              <w:rPr>
                <w:rFonts w:hint="eastAsia" w:ascii="宋体" w:hAnsi="宋体" w:cs="仿宋_GB2312"/>
                <w:color w:val="auto"/>
                <w:sz w:val="24"/>
                <w:lang w:val="zh-CN"/>
              </w:rPr>
              <w:t>以下</w:t>
            </w:r>
            <w:r>
              <w:rPr>
                <w:rFonts w:ascii="宋体" w:hAnsi="宋体" w:cs="仿宋_GB2312"/>
                <w:color w:val="auto"/>
                <w:sz w:val="24"/>
                <w:lang w:val="zh-CN"/>
              </w:rPr>
              <w:t>（含3个年度）被评定为“纳税信用A级纳税人”，T</w:t>
            </w:r>
            <w:r>
              <w:rPr>
                <w:rFonts w:hint="eastAsia" w:ascii="宋体" w:hAnsi="宋体" w:cs="仿宋_GB2312"/>
                <w:color w:val="auto"/>
                <w:sz w:val="24"/>
                <w:lang w:val="en-US" w:eastAsia="zh-CN"/>
              </w:rPr>
              <w:t>8</w:t>
            </w:r>
            <w:r>
              <w:rPr>
                <w:rFonts w:ascii="宋体" w:hAnsi="宋体" w:cs="仿宋_GB2312"/>
                <w:color w:val="auto"/>
                <w:sz w:val="24"/>
                <w:lang w:val="zh-CN"/>
              </w:rPr>
              <w:t>=T</w:t>
            </w:r>
            <w:r>
              <w:rPr>
                <w:rFonts w:hint="eastAsia" w:ascii="宋体" w:hAnsi="宋体" w:cs="仿宋_GB2312"/>
                <w:color w:val="auto"/>
                <w:sz w:val="24"/>
              </w:rPr>
              <w:t>×1.00；</w:t>
            </w:r>
          </w:p>
          <w:p>
            <w:pPr>
              <w:topLinePunct/>
              <w:autoSpaceDE w:val="0"/>
              <w:autoSpaceDN w:val="0"/>
              <w:spacing w:line="420" w:lineRule="exact"/>
              <w:ind w:right="147" w:rightChars="70"/>
              <w:rPr>
                <w:rFonts w:ascii="宋体" w:hAnsi="宋体" w:cs="仿宋_GB2312"/>
                <w:color w:val="auto"/>
                <w:sz w:val="24"/>
              </w:rPr>
            </w:pPr>
            <w:r>
              <w:rPr>
                <w:rFonts w:hint="eastAsia" w:ascii="宋体" w:hAnsi="宋体" w:cs="仿宋_GB2312"/>
                <w:color w:val="auto"/>
                <w:sz w:val="24"/>
              </w:rPr>
              <w:t>4.投标人不满足本栏目上述要求的，T</w:t>
            </w:r>
            <w:r>
              <w:rPr>
                <w:rFonts w:hint="eastAsia" w:ascii="宋体" w:hAnsi="宋体" w:cs="仿宋_GB2312"/>
                <w:color w:val="auto"/>
                <w:sz w:val="24"/>
                <w:lang w:val="en-US" w:eastAsia="zh-CN"/>
              </w:rPr>
              <w:t>8</w:t>
            </w:r>
            <w:r>
              <w:rPr>
                <w:rFonts w:hint="eastAsia" w:ascii="宋体" w:hAnsi="宋体" w:cs="仿宋_GB2312"/>
                <w:color w:val="auto"/>
                <w:sz w:val="24"/>
              </w:rPr>
              <w:t>＝T×1.03</w:t>
            </w:r>
            <w:r>
              <w:rPr>
                <w:rFonts w:ascii="宋体" w:hAnsi="宋体" w:cs="仿宋_GB2312"/>
                <w:color w:val="auto"/>
                <w:sz w:val="24"/>
              </w:rPr>
              <w:t>；</w:t>
            </w:r>
          </w:p>
          <w:p>
            <w:pPr>
              <w:spacing w:line="400" w:lineRule="exact"/>
              <w:jc w:val="left"/>
              <w:rPr>
                <w:rFonts w:hint="eastAsia" w:ascii="宋体" w:hAnsi="宋体" w:cs="宋体"/>
                <w:color w:val="auto"/>
                <w:kern w:val="0"/>
                <w:sz w:val="24"/>
              </w:rPr>
            </w:pPr>
            <w:r>
              <w:rPr>
                <w:rFonts w:hint="eastAsia" w:ascii="宋体" w:hAnsi="宋体" w:cs="仿宋_GB2312"/>
                <w:color w:val="auto"/>
                <w:sz w:val="24"/>
              </w:rPr>
              <w:t>注：A级</w:t>
            </w:r>
            <w:r>
              <w:rPr>
                <w:rFonts w:ascii="宋体" w:hAnsi="宋体" w:cs="仿宋_GB2312"/>
                <w:color w:val="auto"/>
                <w:sz w:val="24"/>
              </w:rPr>
              <w:t>纳税人以“国家税务总局”官网（</w:t>
            </w:r>
            <w:r>
              <w:rPr>
                <w:rFonts w:hint="eastAsia" w:ascii="宋体" w:hAnsi="宋体" w:cs="仿宋_GB2312"/>
                <w:color w:val="auto"/>
                <w:sz w:val="24"/>
              </w:rPr>
              <w:t>http://hd.chinatax.gov.cn/nszx/InitCredit.html</w:t>
            </w:r>
            <w:r>
              <w:rPr>
                <w:rFonts w:ascii="宋体" w:hAnsi="宋体" w:cs="仿宋_GB2312"/>
                <w:color w:val="auto"/>
                <w:sz w:val="24"/>
              </w:rPr>
              <w:t>）</w:t>
            </w:r>
            <w:r>
              <w:rPr>
                <w:rFonts w:hint="eastAsia" w:ascii="宋体" w:hAnsi="宋体" w:cs="仿宋_GB2312"/>
                <w:color w:val="auto"/>
                <w:sz w:val="24"/>
              </w:rPr>
              <w:t>查询</w:t>
            </w:r>
            <w:r>
              <w:rPr>
                <w:rFonts w:ascii="宋体" w:hAnsi="宋体" w:cs="仿宋_GB2312"/>
                <w:color w:val="auto"/>
                <w:sz w:val="24"/>
              </w:rPr>
              <w:t>结果为准，须提供在官网查询结果网</w:t>
            </w:r>
            <w:r>
              <w:rPr>
                <w:rFonts w:hint="eastAsia" w:ascii="宋体" w:hAnsi="宋体" w:cs="仿宋_GB2312"/>
                <w:color w:val="auto"/>
                <w:sz w:val="24"/>
              </w:rPr>
              <w:t>页</w:t>
            </w:r>
            <w:r>
              <w:rPr>
                <w:rFonts w:ascii="宋体" w:hAnsi="宋体" w:cs="仿宋_GB2312"/>
                <w:color w:val="auto"/>
                <w:sz w:val="24"/>
              </w:rPr>
              <w:t>的打印页。A</w:t>
            </w:r>
            <w:r>
              <w:rPr>
                <w:rFonts w:hint="eastAsia" w:ascii="宋体" w:hAnsi="宋体" w:cs="仿宋_GB2312"/>
                <w:color w:val="auto"/>
                <w:sz w:val="24"/>
              </w:rPr>
              <w:t>级</w:t>
            </w:r>
            <w:r>
              <w:rPr>
                <w:rFonts w:ascii="宋体" w:hAnsi="宋体" w:cs="仿宋_GB2312"/>
                <w:color w:val="auto"/>
                <w:sz w:val="24"/>
              </w:rPr>
              <w:t>纳税人只计投标人自身（上级公司、分公司或子公司的纳税</w:t>
            </w:r>
            <w:r>
              <w:rPr>
                <w:rFonts w:hint="eastAsia" w:ascii="宋体" w:hAnsi="宋体" w:cs="仿宋_GB2312"/>
                <w:color w:val="auto"/>
                <w:sz w:val="24"/>
              </w:rPr>
              <w:t>等级</w:t>
            </w:r>
            <w:r>
              <w:rPr>
                <w:rFonts w:ascii="宋体" w:hAnsi="宋体" w:cs="仿宋_GB2312"/>
                <w:color w:val="auto"/>
                <w:sz w:val="24"/>
              </w:rPr>
              <w:t>不计）</w:t>
            </w:r>
            <w:r>
              <w:rPr>
                <w:rStyle w:val="46"/>
                <w:rFonts w:hint="default"/>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09" w:type="dxa"/>
            <w:noWrap w:val="0"/>
            <w:vAlign w:val="center"/>
          </w:tcPr>
          <w:p>
            <w:pPr>
              <w:spacing w:line="400" w:lineRule="exact"/>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9</w:t>
            </w:r>
          </w:p>
        </w:tc>
        <w:tc>
          <w:tcPr>
            <w:tcW w:w="1701" w:type="dxa"/>
            <w:noWrap w:val="0"/>
            <w:vAlign w:val="center"/>
          </w:tcPr>
          <w:p>
            <w:pPr>
              <w:widowControl/>
              <w:spacing w:line="400" w:lineRule="exact"/>
              <w:jc w:val="left"/>
              <w:rPr>
                <w:rFonts w:hint="eastAsia" w:ascii="仿宋_GB2312" w:hAnsi="仿宋_GB2312" w:cs="仿宋_GB2312"/>
                <w:color w:val="auto"/>
                <w:kern w:val="0"/>
                <w:sz w:val="24"/>
              </w:rPr>
            </w:pPr>
            <w:r>
              <w:rPr>
                <w:rFonts w:hint="eastAsia" w:ascii="宋体" w:hAnsi="宋体" w:cs="宋体"/>
                <w:color w:val="auto"/>
                <w:kern w:val="0"/>
                <w:sz w:val="24"/>
              </w:rPr>
              <w:t>其他</w:t>
            </w:r>
          </w:p>
        </w:tc>
        <w:tc>
          <w:tcPr>
            <w:tcW w:w="7043" w:type="dxa"/>
            <w:noWrap w:val="0"/>
            <w:vAlign w:val="center"/>
          </w:tcPr>
          <w:p>
            <w:pPr>
              <w:spacing w:line="300" w:lineRule="auto"/>
              <w:jc w:val="left"/>
              <w:rPr>
                <w:rStyle w:val="46"/>
                <w:rFonts w:hint="default"/>
                <w:color w:val="auto"/>
              </w:rPr>
            </w:pPr>
            <w:r>
              <w:rPr>
                <w:rStyle w:val="46"/>
                <w:rFonts w:hint="default"/>
                <w:color w:val="auto"/>
              </w:rPr>
              <w:t>1、同时具备工程质量评价体系认证证书、工程施工安全标准化体系认证证书及社会责任体系认证证书，</w:t>
            </w:r>
            <w:r>
              <w:rPr>
                <w:rFonts w:hint="eastAsia" w:ascii="宋体" w:hAnsi="宋体" w:cs="仿宋_GB2312"/>
                <w:color w:val="auto"/>
                <w:sz w:val="24"/>
              </w:rPr>
              <w:t>T9</w:t>
            </w:r>
            <w:r>
              <w:rPr>
                <w:rFonts w:hint="default" w:ascii="宋体" w:hAnsi="宋体" w:cs="仿宋_GB2312"/>
                <w:color w:val="auto"/>
                <w:sz w:val="24"/>
              </w:rPr>
              <w:t>＝T×0.9</w:t>
            </w:r>
            <w:r>
              <w:rPr>
                <w:rFonts w:hint="eastAsia" w:ascii="宋体" w:hAnsi="宋体" w:cs="仿宋_GB2312"/>
                <w:color w:val="auto"/>
                <w:sz w:val="24"/>
                <w:lang w:val="en-US" w:eastAsia="zh-CN"/>
              </w:rPr>
              <w:t>6</w:t>
            </w:r>
            <w:r>
              <w:rPr>
                <w:rFonts w:hint="default" w:ascii="宋体" w:hAnsi="宋体" w:cs="仿宋_GB2312"/>
                <w:color w:val="auto"/>
                <w:sz w:val="24"/>
              </w:rPr>
              <w:t>；</w:t>
            </w:r>
          </w:p>
          <w:p>
            <w:pPr>
              <w:spacing w:line="300" w:lineRule="auto"/>
              <w:jc w:val="left"/>
              <w:rPr>
                <w:rStyle w:val="46"/>
                <w:rFonts w:hint="default" w:eastAsia="宋体"/>
                <w:color w:val="auto"/>
                <w:lang w:val="en-US" w:eastAsia="zh-CN"/>
              </w:rPr>
            </w:pPr>
            <w:r>
              <w:rPr>
                <w:rStyle w:val="46"/>
                <w:rFonts w:hint="default"/>
                <w:color w:val="auto"/>
              </w:rPr>
              <w:t>2、同时具备工程质量评价体系认证证书、工程施工安全标准化体系认证证书及社会责任体系认证证书中的任意二项认证证书的，</w:t>
            </w:r>
            <w:r>
              <w:rPr>
                <w:rFonts w:hint="eastAsia" w:ascii="宋体" w:hAnsi="宋体" w:cs="仿宋_GB2312"/>
                <w:color w:val="auto"/>
                <w:sz w:val="24"/>
              </w:rPr>
              <w:t>T9</w:t>
            </w:r>
            <w:r>
              <w:rPr>
                <w:rFonts w:hint="default" w:ascii="宋体" w:hAnsi="宋体" w:cs="仿宋_GB2312"/>
                <w:color w:val="auto"/>
                <w:sz w:val="24"/>
              </w:rPr>
              <w:t>＝T×</w:t>
            </w:r>
            <w:r>
              <w:rPr>
                <w:rFonts w:hint="eastAsia" w:ascii="宋体" w:hAnsi="宋体" w:cs="仿宋_GB2312"/>
                <w:color w:val="auto"/>
                <w:sz w:val="24"/>
                <w:lang w:val="en-US" w:eastAsia="zh-CN"/>
              </w:rPr>
              <w:t>0.98</w:t>
            </w:r>
            <w:r>
              <w:rPr>
                <w:rStyle w:val="46"/>
                <w:rFonts w:hint="eastAsia"/>
                <w:color w:val="auto"/>
                <w:lang w:val="en-US" w:eastAsia="zh-CN"/>
              </w:rPr>
              <w:t>；</w:t>
            </w:r>
          </w:p>
          <w:p>
            <w:pPr>
              <w:spacing w:line="300" w:lineRule="auto"/>
              <w:jc w:val="left"/>
              <w:rPr>
                <w:rFonts w:hint="eastAsia" w:eastAsia="宋体"/>
                <w:color w:val="auto"/>
                <w:lang w:val="en-US" w:eastAsia="zh-CN"/>
              </w:rPr>
            </w:pPr>
            <w:r>
              <w:rPr>
                <w:rStyle w:val="46"/>
                <w:rFonts w:hint="default"/>
                <w:color w:val="auto"/>
              </w:rPr>
              <w:t>3、具备工程质量评价体系认证证书、工程施工安全标准化体系认证证书及社会责任体系认证证书中的任意一项认证证书的，</w:t>
            </w:r>
            <w:r>
              <w:rPr>
                <w:rFonts w:hint="eastAsia" w:ascii="宋体" w:hAnsi="宋体" w:cs="仿宋_GB2312"/>
                <w:color w:val="auto"/>
                <w:sz w:val="24"/>
              </w:rPr>
              <w:t>T9</w:t>
            </w:r>
            <w:r>
              <w:rPr>
                <w:rFonts w:hint="default" w:ascii="宋体" w:hAnsi="宋体" w:cs="仿宋_GB2312"/>
                <w:color w:val="auto"/>
                <w:sz w:val="24"/>
              </w:rPr>
              <w:t>＝T×1.0</w:t>
            </w:r>
            <w:r>
              <w:rPr>
                <w:rFonts w:hint="eastAsia" w:ascii="宋体" w:hAnsi="宋体" w:cs="仿宋_GB2312"/>
                <w:color w:val="auto"/>
                <w:sz w:val="24"/>
                <w:lang w:val="en-US" w:eastAsia="zh-CN"/>
              </w:rPr>
              <w:t>2</w:t>
            </w:r>
            <w:r>
              <w:rPr>
                <w:rStyle w:val="46"/>
                <w:rFonts w:hint="eastAsia"/>
                <w:color w:val="auto"/>
                <w:lang w:val="en-US" w:eastAsia="zh-CN"/>
              </w:rPr>
              <w:t>；</w:t>
            </w:r>
          </w:p>
          <w:p>
            <w:pPr>
              <w:spacing w:line="300" w:lineRule="auto"/>
              <w:jc w:val="left"/>
              <w:rPr>
                <w:rStyle w:val="46"/>
                <w:rFonts w:hint="default"/>
                <w:color w:val="auto"/>
              </w:rPr>
            </w:pPr>
            <w:r>
              <w:rPr>
                <w:rStyle w:val="46"/>
                <w:rFonts w:hint="eastAsia"/>
                <w:color w:val="auto"/>
                <w:lang w:val="en-US" w:eastAsia="zh-CN"/>
              </w:rPr>
              <w:t>4</w:t>
            </w:r>
            <w:r>
              <w:rPr>
                <w:rStyle w:val="46"/>
                <w:rFonts w:hint="default"/>
                <w:color w:val="auto"/>
              </w:rPr>
              <w:t>、投标人不满足本栏目上述要求的</w:t>
            </w:r>
            <w:r>
              <w:rPr>
                <w:rFonts w:hint="eastAsia" w:ascii="宋体" w:hAnsi="宋体" w:cs="仿宋_GB2312"/>
                <w:color w:val="auto"/>
                <w:sz w:val="24"/>
              </w:rPr>
              <w:t>T9</w:t>
            </w:r>
            <w:r>
              <w:rPr>
                <w:rFonts w:hint="default" w:ascii="宋体" w:hAnsi="宋体" w:cs="仿宋_GB2312"/>
                <w:color w:val="auto"/>
                <w:sz w:val="24"/>
              </w:rPr>
              <w:t>＝T×1.0</w:t>
            </w:r>
            <w:r>
              <w:rPr>
                <w:rFonts w:hint="eastAsia" w:ascii="宋体" w:hAnsi="宋体" w:cs="仿宋_GB2312"/>
                <w:color w:val="auto"/>
                <w:sz w:val="24"/>
                <w:lang w:val="en-US" w:eastAsia="zh-CN"/>
              </w:rPr>
              <w:t>4</w:t>
            </w:r>
            <w:r>
              <w:rPr>
                <w:rStyle w:val="46"/>
                <w:rFonts w:hint="default"/>
                <w:color w:val="auto"/>
              </w:rPr>
              <w:t>；</w:t>
            </w:r>
            <w:bookmarkStart w:id="456" w:name="_GoBack"/>
            <w:bookmarkEnd w:id="456"/>
          </w:p>
          <w:p>
            <w:pPr>
              <w:spacing w:line="300" w:lineRule="auto"/>
              <w:jc w:val="left"/>
              <w:rPr>
                <w:rStyle w:val="46"/>
                <w:rFonts w:hint="default"/>
                <w:color w:val="auto"/>
              </w:rPr>
            </w:pPr>
            <w:r>
              <w:rPr>
                <w:rStyle w:val="46"/>
                <w:rFonts w:hint="default"/>
                <w:color w:val="auto"/>
              </w:rPr>
              <w:t>注：证书颁证日期需在招标公告发布日之前，证书编号需在国家认证认可监督管理委员会官方网站www.cnca.gov.cn查询，提供查询截图和链接，证书复印件加盖公章，否则按最不利于投标人的情形进行评审。</w:t>
            </w:r>
          </w:p>
        </w:tc>
      </w:tr>
    </w:tbl>
    <w:p>
      <w:pPr>
        <w:pStyle w:val="50"/>
        <w:spacing w:line="520" w:lineRule="exact"/>
        <w:ind w:firstLine="560" w:firstLineChars="200"/>
        <w:rPr>
          <w:rFonts w:hint="eastAsia" w:ascii="宋体"/>
          <w:color w:val="auto"/>
          <w:szCs w:val="28"/>
        </w:rPr>
      </w:pPr>
    </w:p>
    <w:p>
      <w:pPr>
        <w:pStyle w:val="50"/>
        <w:spacing w:line="520" w:lineRule="exact"/>
        <w:ind w:firstLine="560" w:firstLineChars="200"/>
        <w:rPr>
          <w:rFonts w:ascii="宋体"/>
          <w:color w:val="auto"/>
          <w:szCs w:val="28"/>
        </w:rPr>
      </w:pPr>
      <w:r>
        <w:rPr>
          <w:rFonts w:hint="eastAsia" w:ascii="宋体"/>
          <w:color w:val="auto"/>
          <w:szCs w:val="28"/>
        </w:rPr>
        <w:t>注：“三分之一数量投标人”为四舍五入保留整数；当“中间区域”存在两种方案选择时，取价低方案，例如共5家投标人时，选取第2、3名的投标报价。</w:t>
      </w:r>
    </w:p>
    <w:p>
      <w:pPr>
        <w:pStyle w:val="50"/>
        <w:spacing w:line="520" w:lineRule="exact"/>
        <w:ind w:firstLine="560" w:firstLineChars="200"/>
        <w:rPr>
          <w:rFonts w:ascii="宋体" w:hAnsi="宋体" w:cs="仿宋_GB2312"/>
          <w:b/>
          <w:color w:val="auto"/>
          <w:szCs w:val="28"/>
        </w:rPr>
      </w:pPr>
      <w:r>
        <w:rPr>
          <w:rFonts w:hint="eastAsia" w:ascii="宋体" w:hAnsi="宋体" w:cs="仿宋_GB2312"/>
          <w:b/>
          <w:color w:val="auto"/>
          <w:szCs w:val="28"/>
        </w:rPr>
        <w:t>8.1.2.3确定中标候选人：</w:t>
      </w:r>
    </w:p>
    <w:p>
      <w:pPr>
        <w:pStyle w:val="50"/>
        <w:spacing w:line="520" w:lineRule="exact"/>
        <w:ind w:firstLine="560" w:firstLineChars="200"/>
        <w:rPr>
          <w:rFonts w:ascii="宋体" w:hAnsi="宋体" w:cs="仿宋_GB2312"/>
          <w:color w:val="auto"/>
          <w:szCs w:val="28"/>
        </w:rPr>
      </w:pPr>
      <w:r>
        <w:rPr>
          <w:rFonts w:hint="eastAsia" w:ascii="宋体" w:hAnsi="宋体" w:cs="仿宋_GB2312"/>
          <w:b/>
          <w:color w:val="auto"/>
          <w:szCs w:val="28"/>
        </w:rPr>
        <w:t>由评标委员会推荐3名中标候选人。</w:t>
      </w:r>
      <w:r>
        <w:rPr>
          <w:rFonts w:hint="eastAsia" w:ascii="宋体" w:hAnsi="宋体" w:cs="仿宋_GB2312"/>
          <w:color w:val="auto"/>
          <w:szCs w:val="28"/>
        </w:rPr>
        <w:t>有效的投标人投标报价由评标委员会依据</w:t>
      </w:r>
      <w:r>
        <w:rPr>
          <w:rFonts w:hint="eastAsia" w:ascii="宋体" w:hAnsi="宋体" w:cs="仿宋_GB2312"/>
          <w:bCs/>
          <w:color w:val="auto"/>
          <w:szCs w:val="28"/>
        </w:rPr>
        <w:t>《投标报价折算标准表》</w:t>
      </w:r>
      <w:r>
        <w:rPr>
          <w:rFonts w:hint="eastAsia" w:ascii="宋体" w:hAnsi="宋体" w:cs="仿宋_GB2312"/>
          <w:color w:val="auto"/>
          <w:szCs w:val="28"/>
        </w:rPr>
        <w:t>折算后，折算价由低向高排列，最低折算价的投标人为第一中标候选人，次低折算价的投标人为第二中标候选人，依次类推；如果出现2个或2个以上相同折算价时（折算价计算值保留小数点后两位，第三位四舍五入），应以投标报价低的为第一中标候选人，次低的为第二中标候选人；如果投标报价也一样，则由评标委员会通过投票表决。任何人不得非法干预、影响投票表决过程，评标委员会以记名投票方式进行投票，按得票数量多的排名在前确定名次。</w:t>
      </w:r>
    </w:p>
    <w:p>
      <w:pPr>
        <w:pStyle w:val="50"/>
        <w:spacing w:line="520" w:lineRule="exact"/>
        <w:ind w:firstLine="560" w:firstLineChars="200"/>
        <w:rPr>
          <w:rFonts w:ascii="宋体"/>
          <w:color w:val="auto"/>
          <w:szCs w:val="28"/>
        </w:rPr>
      </w:pPr>
      <w:r>
        <w:rPr>
          <w:rFonts w:hint="eastAsia" w:ascii="宋体"/>
          <w:color w:val="auto"/>
          <w:szCs w:val="28"/>
        </w:rPr>
        <w:t>8.2若投标文件互相雷同，经评标委员会确认，可以认定投标人串通投标，作无效标处理。</w:t>
      </w:r>
    </w:p>
    <w:p>
      <w:pPr>
        <w:pStyle w:val="50"/>
        <w:spacing w:line="520" w:lineRule="exact"/>
        <w:ind w:firstLine="560" w:firstLineChars="200"/>
        <w:rPr>
          <w:rFonts w:ascii="宋体"/>
          <w:color w:val="auto"/>
          <w:szCs w:val="28"/>
        </w:rPr>
      </w:pPr>
      <w:r>
        <w:rPr>
          <w:rFonts w:hint="eastAsia" w:ascii="宋体"/>
          <w:color w:val="auto"/>
          <w:szCs w:val="28"/>
        </w:rPr>
        <w:t>8.3评标委员会完成评标后，应当向招标人提交书面评标报告。评标报告应当要求如实记载以下内容：</w:t>
      </w:r>
    </w:p>
    <w:p>
      <w:pPr>
        <w:pStyle w:val="50"/>
        <w:spacing w:line="520" w:lineRule="exact"/>
        <w:ind w:firstLine="560" w:firstLineChars="200"/>
        <w:rPr>
          <w:rFonts w:ascii="宋体"/>
          <w:color w:val="auto"/>
          <w:szCs w:val="28"/>
        </w:rPr>
      </w:pPr>
      <w:r>
        <w:rPr>
          <w:rFonts w:hint="eastAsia" w:ascii="宋体"/>
          <w:color w:val="auto"/>
          <w:szCs w:val="28"/>
        </w:rPr>
        <w:t>8.3.1基本情况和数据表；</w:t>
      </w:r>
    </w:p>
    <w:p>
      <w:pPr>
        <w:pStyle w:val="50"/>
        <w:spacing w:line="520" w:lineRule="exact"/>
        <w:ind w:firstLine="560" w:firstLineChars="200"/>
        <w:rPr>
          <w:rFonts w:ascii="宋体"/>
          <w:color w:val="auto"/>
          <w:szCs w:val="28"/>
        </w:rPr>
      </w:pPr>
      <w:r>
        <w:rPr>
          <w:rFonts w:hint="eastAsia" w:ascii="宋体"/>
          <w:color w:val="auto"/>
          <w:szCs w:val="28"/>
        </w:rPr>
        <w:t>8.3.2评标委员会成员名单；</w:t>
      </w:r>
    </w:p>
    <w:p>
      <w:pPr>
        <w:pStyle w:val="50"/>
        <w:spacing w:line="520" w:lineRule="exact"/>
        <w:ind w:firstLine="560" w:firstLineChars="200"/>
        <w:rPr>
          <w:rFonts w:ascii="宋体"/>
          <w:color w:val="auto"/>
          <w:szCs w:val="28"/>
        </w:rPr>
      </w:pPr>
      <w:r>
        <w:rPr>
          <w:rFonts w:hint="eastAsia" w:ascii="宋体"/>
          <w:color w:val="auto"/>
          <w:szCs w:val="28"/>
        </w:rPr>
        <w:t>8.3.3开标记录；</w:t>
      </w:r>
    </w:p>
    <w:p>
      <w:pPr>
        <w:pStyle w:val="50"/>
        <w:spacing w:line="520" w:lineRule="exact"/>
        <w:ind w:firstLine="560" w:firstLineChars="200"/>
        <w:rPr>
          <w:rFonts w:ascii="宋体"/>
          <w:color w:val="auto"/>
          <w:szCs w:val="28"/>
        </w:rPr>
      </w:pPr>
      <w:r>
        <w:rPr>
          <w:rFonts w:hint="eastAsia" w:ascii="宋体"/>
          <w:color w:val="auto"/>
          <w:szCs w:val="28"/>
        </w:rPr>
        <w:t>8.3.4符合要求的投标一览表；</w:t>
      </w:r>
    </w:p>
    <w:p>
      <w:pPr>
        <w:pStyle w:val="50"/>
        <w:spacing w:line="520" w:lineRule="exact"/>
        <w:ind w:firstLine="560" w:firstLineChars="200"/>
        <w:rPr>
          <w:rFonts w:ascii="宋体"/>
          <w:color w:val="auto"/>
          <w:szCs w:val="28"/>
        </w:rPr>
      </w:pPr>
      <w:r>
        <w:rPr>
          <w:rFonts w:hint="eastAsia" w:ascii="宋体"/>
          <w:color w:val="auto"/>
          <w:szCs w:val="28"/>
        </w:rPr>
        <w:t>8.3.5否决投标的情况说明；</w:t>
      </w:r>
    </w:p>
    <w:p>
      <w:pPr>
        <w:pStyle w:val="50"/>
        <w:spacing w:line="520" w:lineRule="exact"/>
        <w:ind w:firstLine="560" w:firstLineChars="200"/>
        <w:rPr>
          <w:rFonts w:ascii="宋体"/>
          <w:color w:val="auto"/>
          <w:szCs w:val="28"/>
        </w:rPr>
      </w:pPr>
      <w:r>
        <w:rPr>
          <w:rFonts w:hint="eastAsia" w:ascii="宋体"/>
          <w:color w:val="auto"/>
          <w:szCs w:val="28"/>
        </w:rPr>
        <w:t>8.3.6评标标准、评标办法或者评标因素一览表；</w:t>
      </w:r>
    </w:p>
    <w:p>
      <w:pPr>
        <w:pStyle w:val="50"/>
        <w:spacing w:line="520" w:lineRule="exact"/>
        <w:ind w:firstLine="560" w:firstLineChars="200"/>
        <w:rPr>
          <w:rFonts w:ascii="宋体"/>
          <w:color w:val="auto"/>
          <w:szCs w:val="28"/>
        </w:rPr>
      </w:pPr>
      <w:r>
        <w:rPr>
          <w:rFonts w:hint="eastAsia" w:ascii="宋体"/>
          <w:color w:val="auto"/>
          <w:szCs w:val="28"/>
        </w:rPr>
        <w:t>8.3.7经评审的价格或者评分比较一览表；</w:t>
      </w:r>
    </w:p>
    <w:p>
      <w:pPr>
        <w:pStyle w:val="50"/>
        <w:spacing w:line="520" w:lineRule="exact"/>
        <w:ind w:firstLine="560" w:firstLineChars="200"/>
        <w:rPr>
          <w:rFonts w:ascii="宋体"/>
          <w:color w:val="auto"/>
          <w:szCs w:val="28"/>
        </w:rPr>
      </w:pPr>
      <w:r>
        <w:rPr>
          <w:rFonts w:hint="eastAsia" w:ascii="宋体"/>
          <w:color w:val="auto"/>
          <w:szCs w:val="28"/>
        </w:rPr>
        <w:t>8.3.8经评审的投标人排序；</w:t>
      </w:r>
    </w:p>
    <w:p>
      <w:pPr>
        <w:pStyle w:val="50"/>
        <w:spacing w:line="520" w:lineRule="exact"/>
        <w:ind w:firstLine="560" w:firstLineChars="200"/>
        <w:rPr>
          <w:rFonts w:ascii="宋体"/>
          <w:color w:val="auto"/>
          <w:szCs w:val="28"/>
        </w:rPr>
      </w:pPr>
      <w:r>
        <w:rPr>
          <w:rFonts w:hint="eastAsia" w:ascii="宋体"/>
          <w:color w:val="auto"/>
          <w:szCs w:val="28"/>
        </w:rPr>
        <w:t>8.3.9推荐的中标候选人名单与签订合同前要处理的事宜；</w:t>
      </w:r>
    </w:p>
    <w:p>
      <w:pPr>
        <w:pStyle w:val="50"/>
        <w:spacing w:line="520" w:lineRule="exact"/>
        <w:ind w:firstLine="560" w:firstLineChars="200"/>
        <w:rPr>
          <w:rFonts w:ascii="宋体"/>
          <w:color w:val="auto"/>
          <w:szCs w:val="28"/>
        </w:rPr>
      </w:pPr>
      <w:r>
        <w:rPr>
          <w:rFonts w:hint="eastAsia" w:ascii="宋体"/>
          <w:color w:val="auto"/>
          <w:szCs w:val="28"/>
        </w:rPr>
        <w:t>8.3.10澄清、说明、补正事项纪要。</w:t>
      </w:r>
    </w:p>
    <w:p>
      <w:pPr>
        <w:pStyle w:val="50"/>
        <w:spacing w:line="520" w:lineRule="exact"/>
        <w:ind w:firstLine="560" w:firstLineChars="200"/>
        <w:rPr>
          <w:rFonts w:ascii="宋体"/>
          <w:color w:val="auto"/>
          <w:szCs w:val="28"/>
        </w:rPr>
      </w:pPr>
      <w:r>
        <w:rPr>
          <w:rFonts w:hint="eastAsia" w:ascii="宋体"/>
          <w:color w:val="auto"/>
          <w:szCs w:val="28"/>
        </w:rPr>
        <w:t>8.4评标委员会在评标报告签字后，本项目评标办法的标底价不因招投标当事人质疑、投诉、复议以及其他任何情形而改变，但评标过程中的计算错误可做调整。</w:t>
      </w:r>
    </w:p>
    <w:p>
      <w:pPr>
        <w:pStyle w:val="56"/>
        <w:spacing w:line="520" w:lineRule="exact"/>
        <w:ind w:firstLine="560" w:firstLineChars="200"/>
        <w:rPr>
          <w:rFonts w:ascii="宋体"/>
          <w:color w:val="auto"/>
          <w:sz w:val="28"/>
          <w:szCs w:val="28"/>
        </w:rPr>
      </w:pPr>
      <w:r>
        <w:rPr>
          <w:rFonts w:hint="eastAsia" w:ascii="宋体"/>
          <w:color w:val="auto"/>
          <w:sz w:val="28"/>
          <w:szCs w:val="28"/>
        </w:rPr>
        <w:t>8.5评标委员会的确定</w:t>
      </w:r>
    </w:p>
    <w:p>
      <w:pPr>
        <w:pStyle w:val="57"/>
        <w:spacing w:line="520" w:lineRule="exact"/>
        <w:ind w:firstLine="560" w:firstLineChars="200"/>
        <w:rPr>
          <w:rFonts w:ascii="宋体"/>
          <w:b w:val="0"/>
          <w:bCs/>
          <w:color w:val="auto"/>
          <w:sz w:val="28"/>
          <w:szCs w:val="28"/>
        </w:rPr>
      </w:pPr>
      <w:r>
        <w:rPr>
          <w:rFonts w:hint="eastAsia" w:ascii="宋体" w:hAnsi="宋体" w:cs="宋体"/>
          <w:b w:val="0"/>
          <w:bCs/>
          <w:color w:val="auto"/>
          <w:sz w:val="28"/>
          <w:szCs w:val="28"/>
        </w:rPr>
        <w:t>评标委员会由招标人组建，为</w:t>
      </w:r>
      <w:r>
        <w:rPr>
          <w:rFonts w:hint="eastAsia" w:ascii="宋体" w:hAnsi="宋体" w:cs="宋体"/>
          <w:b w:val="0"/>
          <w:bCs/>
          <w:color w:val="auto"/>
          <w:sz w:val="28"/>
          <w:szCs w:val="28"/>
          <w:u w:val="single"/>
        </w:rPr>
        <w:t>5</w:t>
      </w:r>
      <w:r>
        <w:rPr>
          <w:rFonts w:hint="eastAsia" w:ascii="宋体" w:hAnsi="宋体" w:cs="宋体"/>
          <w:b w:val="0"/>
          <w:bCs/>
          <w:color w:val="auto"/>
          <w:sz w:val="28"/>
          <w:szCs w:val="28"/>
        </w:rPr>
        <w:t>人组成，在开标前从广东省综合评标评审专家库随机抽取产生。</w:t>
      </w:r>
    </w:p>
    <w:p>
      <w:pPr>
        <w:pStyle w:val="4"/>
        <w:spacing w:before="0" w:after="0" w:line="520" w:lineRule="exact"/>
        <w:ind w:firstLine="640" w:firstLineChars="200"/>
        <w:rPr>
          <w:rFonts w:ascii="宋体" w:eastAsia="宋体"/>
          <w:color w:val="auto"/>
        </w:rPr>
      </w:pPr>
      <w:bookmarkStart w:id="22" w:name="_Toc14198"/>
      <w:bookmarkStart w:id="23" w:name="_Toc48210818"/>
      <w:r>
        <w:rPr>
          <w:rFonts w:hint="eastAsia" w:ascii="宋体" w:eastAsia="宋体"/>
          <w:color w:val="auto"/>
        </w:rPr>
        <w:t>9.确定中标单位</w:t>
      </w:r>
      <w:bookmarkEnd w:id="22"/>
      <w:bookmarkEnd w:id="23"/>
    </w:p>
    <w:p>
      <w:pPr>
        <w:pStyle w:val="50"/>
        <w:spacing w:line="520" w:lineRule="exact"/>
        <w:ind w:firstLine="560" w:firstLineChars="200"/>
        <w:rPr>
          <w:rFonts w:ascii="宋体"/>
          <w:color w:val="auto"/>
          <w:szCs w:val="28"/>
        </w:rPr>
      </w:pPr>
      <w:r>
        <w:rPr>
          <w:rFonts w:hint="eastAsia" w:ascii="宋体"/>
          <w:color w:val="auto"/>
          <w:szCs w:val="28"/>
        </w:rPr>
        <w:t>招标人根据评标委员会提供的评标报告和推荐的中标候选人排列的先后顺序确定排名第一的中标候选人为中标人，并在</w:t>
      </w:r>
      <w:r>
        <w:rPr>
          <w:rFonts w:hint="eastAsia" w:ascii="宋体"/>
          <w:color w:val="auto"/>
          <w:szCs w:val="28"/>
          <w:u w:val="single"/>
        </w:rPr>
        <w:t xml:space="preserve"> 广州</w:t>
      </w:r>
      <w:r>
        <w:rPr>
          <w:rFonts w:hint="eastAsia" w:ascii="宋体"/>
          <w:iCs/>
          <w:color w:val="auto"/>
          <w:szCs w:val="28"/>
          <w:u w:val="single"/>
        </w:rPr>
        <w:t xml:space="preserve">公共资源交易中心门户网站 </w:t>
      </w:r>
      <w:r>
        <w:rPr>
          <w:rFonts w:hint="eastAsia" w:ascii="宋体"/>
          <w:color w:val="auto"/>
          <w:szCs w:val="28"/>
        </w:rPr>
        <w:t>将中标候选人公示</w:t>
      </w:r>
      <w:r>
        <w:rPr>
          <w:rFonts w:hint="eastAsia" w:ascii="宋体"/>
          <w:color w:val="auto"/>
          <w:szCs w:val="28"/>
          <w:u w:val="single"/>
        </w:rPr>
        <w:t>3</w:t>
      </w:r>
      <w:r>
        <w:rPr>
          <w:rFonts w:hint="eastAsia" w:ascii="宋体"/>
          <w:color w:val="auto"/>
          <w:szCs w:val="28"/>
        </w:rPr>
        <w:t>日（最后一日须为工作日），如在公示期间有接到异议的，经核实若存在与本招标文件无效标条件相符的，可废除其中标资格</w:t>
      </w:r>
      <w:r>
        <w:rPr>
          <w:rFonts w:hint="eastAsia" w:ascii="宋体"/>
          <w:color w:val="auto"/>
        </w:rPr>
        <w:t>。</w:t>
      </w:r>
      <w:r>
        <w:rPr>
          <w:rFonts w:hint="eastAsia" w:ascii="宋体"/>
          <w:color w:val="auto"/>
          <w:szCs w:val="28"/>
        </w:rPr>
        <w:t>第一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人，也可以重新招标。招标人没有义务向未中标的投标人解释不中标的理由。</w:t>
      </w:r>
    </w:p>
    <w:p>
      <w:pPr>
        <w:pStyle w:val="50"/>
        <w:spacing w:line="520" w:lineRule="exact"/>
        <w:ind w:firstLine="640" w:firstLineChars="200"/>
        <w:rPr>
          <w:rFonts w:ascii="宋体"/>
          <w:b/>
          <w:bCs/>
          <w:color w:val="auto"/>
          <w:sz w:val="32"/>
          <w:szCs w:val="32"/>
        </w:rPr>
      </w:pPr>
      <w:r>
        <w:rPr>
          <w:rFonts w:hint="eastAsia" w:ascii="宋体"/>
          <w:b/>
          <w:bCs/>
          <w:color w:val="auto"/>
          <w:sz w:val="32"/>
          <w:szCs w:val="32"/>
        </w:rPr>
        <w:t>10.授予合同</w:t>
      </w:r>
    </w:p>
    <w:p>
      <w:pPr>
        <w:pStyle w:val="56"/>
        <w:spacing w:line="520" w:lineRule="exact"/>
        <w:ind w:firstLine="560" w:firstLineChars="200"/>
        <w:rPr>
          <w:rFonts w:ascii="宋体"/>
          <w:bCs/>
          <w:color w:val="auto"/>
          <w:sz w:val="28"/>
          <w:szCs w:val="28"/>
        </w:rPr>
      </w:pPr>
      <w:r>
        <w:rPr>
          <w:rFonts w:hint="eastAsia" w:ascii="宋体"/>
          <w:bCs/>
          <w:color w:val="auto"/>
          <w:sz w:val="28"/>
          <w:szCs w:val="28"/>
        </w:rPr>
        <w:t>10.1中标通知书</w:t>
      </w:r>
    </w:p>
    <w:p>
      <w:pPr>
        <w:pStyle w:val="50"/>
        <w:spacing w:line="520" w:lineRule="exact"/>
        <w:ind w:firstLine="560" w:firstLineChars="200"/>
        <w:rPr>
          <w:rFonts w:ascii="宋体"/>
          <w:color w:val="auto"/>
          <w:szCs w:val="28"/>
        </w:rPr>
      </w:pPr>
      <w:r>
        <w:rPr>
          <w:rFonts w:hint="eastAsia" w:ascii="宋体"/>
          <w:color w:val="auto"/>
          <w:szCs w:val="28"/>
        </w:rPr>
        <w:t>10.1.1评标结果经过</w:t>
      </w:r>
      <w:r>
        <w:rPr>
          <w:rFonts w:hint="eastAsia" w:ascii="宋体"/>
          <w:color w:val="auto"/>
          <w:szCs w:val="28"/>
          <w:u w:val="single"/>
        </w:rPr>
        <w:t>3</w:t>
      </w:r>
      <w:r>
        <w:rPr>
          <w:rFonts w:hint="eastAsia" w:ascii="宋体"/>
          <w:color w:val="auto"/>
          <w:szCs w:val="28"/>
        </w:rPr>
        <w:t>日（最后一日为工作日）公示后，</w:t>
      </w:r>
      <w:r>
        <w:rPr>
          <w:rFonts w:hint="eastAsia" w:ascii="宋体" w:hAnsi="宋体" w:cs="宋体"/>
          <w:color w:val="auto"/>
          <w:kern w:val="0"/>
          <w:szCs w:val="28"/>
        </w:rPr>
        <w:t>并确认不存在投诉以其他影响中标结果的情形</w:t>
      </w:r>
      <w:r>
        <w:rPr>
          <w:rFonts w:hint="eastAsia" w:ascii="宋体"/>
          <w:color w:val="auto"/>
          <w:szCs w:val="28"/>
        </w:rPr>
        <w:t>，招标人将以书面的形式向确定为中标的投标人发出中标通知书，中标通知书为合同的组成部分。</w:t>
      </w:r>
    </w:p>
    <w:p>
      <w:pPr>
        <w:pStyle w:val="50"/>
        <w:spacing w:line="520" w:lineRule="exact"/>
        <w:ind w:firstLine="560" w:firstLineChars="200"/>
        <w:rPr>
          <w:rFonts w:ascii="宋体"/>
          <w:color w:val="auto"/>
          <w:szCs w:val="28"/>
        </w:rPr>
      </w:pPr>
      <w:r>
        <w:rPr>
          <w:rFonts w:hint="eastAsia" w:ascii="宋体"/>
          <w:color w:val="auto"/>
          <w:szCs w:val="28"/>
        </w:rPr>
        <w:t>10.1.2招标人将及时将中标结果通知所有的投标人。</w:t>
      </w:r>
    </w:p>
    <w:p>
      <w:pPr>
        <w:pStyle w:val="50"/>
        <w:spacing w:line="520" w:lineRule="exact"/>
        <w:ind w:firstLine="560" w:firstLineChars="200"/>
        <w:rPr>
          <w:rFonts w:ascii="宋体"/>
          <w:color w:val="auto"/>
          <w:szCs w:val="28"/>
        </w:rPr>
      </w:pPr>
      <w:r>
        <w:rPr>
          <w:rFonts w:hint="eastAsia" w:ascii="宋体"/>
          <w:color w:val="auto"/>
          <w:szCs w:val="28"/>
        </w:rPr>
        <w:t>10.1.3中标通知书对招标人和中标人均具有法律效力。中标通知书发出后，招标人无合理原因而改变中标结果的，或中标人放弃中标的，应依法承担法律责任。</w:t>
      </w:r>
    </w:p>
    <w:p>
      <w:pPr>
        <w:pStyle w:val="56"/>
        <w:spacing w:line="520" w:lineRule="exact"/>
        <w:ind w:firstLine="560" w:firstLineChars="200"/>
        <w:rPr>
          <w:rFonts w:ascii="宋体"/>
          <w:bCs/>
          <w:color w:val="auto"/>
          <w:sz w:val="28"/>
          <w:szCs w:val="28"/>
        </w:rPr>
      </w:pPr>
      <w:r>
        <w:rPr>
          <w:rFonts w:hint="eastAsia" w:ascii="宋体"/>
          <w:bCs/>
          <w:color w:val="auto"/>
          <w:sz w:val="28"/>
          <w:szCs w:val="28"/>
        </w:rPr>
        <w:t>10.2签订合同</w:t>
      </w:r>
    </w:p>
    <w:p>
      <w:pPr>
        <w:spacing w:line="520" w:lineRule="exact"/>
        <w:ind w:firstLine="560" w:firstLineChars="200"/>
        <w:rPr>
          <w:color w:val="auto"/>
        </w:rPr>
      </w:pPr>
      <w:r>
        <w:rPr>
          <w:rFonts w:hint="eastAsia" w:ascii="宋体"/>
          <w:color w:val="auto"/>
          <w:sz w:val="28"/>
          <w:szCs w:val="28"/>
        </w:rPr>
        <w:t>10.2.1招标人和中标人应当自中标通知书发出之日起</w:t>
      </w:r>
      <w:r>
        <w:rPr>
          <w:rFonts w:hint="eastAsia" w:ascii="宋体"/>
          <w:color w:val="auto"/>
          <w:sz w:val="28"/>
          <w:szCs w:val="28"/>
          <w:u w:val="single"/>
        </w:rPr>
        <w:t xml:space="preserve"> 30 </w:t>
      </w:r>
      <w:r>
        <w:rPr>
          <w:rFonts w:hint="eastAsia" w:ascii="宋体"/>
          <w:color w:val="auto"/>
          <w:sz w:val="28"/>
          <w:szCs w:val="28"/>
        </w:rPr>
        <w:t>日内，根据招标文件和中标人的投标文件，参照</w:t>
      </w:r>
      <w:r>
        <w:rPr>
          <w:rFonts w:hint="eastAsia" w:ascii="宋体"/>
          <w:color w:val="auto"/>
          <w:sz w:val="28"/>
          <w:szCs w:val="28"/>
          <w:u w:val="single"/>
        </w:rPr>
        <w:t>住房和城乡建设部制定的《建设工程施工合同（示范文本）》（GF-2017-0201）</w:t>
      </w:r>
      <w:r>
        <w:rPr>
          <w:rFonts w:hint="eastAsia" w:ascii="宋体"/>
          <w:color w:val="auto"/>
          <w:sz w:val="28"/>
          <w:szCs w:val="28"/>
        </w:rPr>
        <w:t>（若国家建设行政主管部门有新示范文本，则按新示范文本执行）订立书面合同，不能再签订背离合同实质性内容的其他协议。政府投资工程项目禁止施工企业带资施工。</w:t>
      </w:r>
    </w:p>
    <w:p>
      <w:pPr>
        <w:pStyle w:val="50"/>
        <w:spacing w:line="520" w:lineRule="exact"/>
        <w:ind w:firstLine="560" w:firstLineChars="200"/>
        <w:rPr>
          <w:rFonts w:ascii="宋体"/>
          <w:color w:val="auto"/>
          <w:szCs w:val="28"/>
        </w:rPr>
      </w:pPr>
      <w:r>
        <w:rPr>
          <w:rFonts w:hint="eastAsia" w:ascii="宋体"/>
          <w:color w:val="auto"/>
          <w:szCs w:val="28"/>
        </w:rPr>
        <w:t>10.2.2招标人和中标人将在自中标通知书发出之日起</w:t>
      </w:r>
      <w:r>
        <w:rPr>
          <w:rFonts w:hint="eastAsia" w:ascii="宋体"/>
          <w:color w:val="auto"/>
          <w:szCs w:val="28"/>
          <w:u w:val="single"/>
        </w:rPr>
        <w:t xml:space="preserve"> 30 </w:t>
      </w:r>
      <w:r>
        <w:rPr>
          <w:rFonts w:hint="eastAsia" w:ascii="宋体"/>
          <w:color w:val="auto"/>
          <w:szCs w:val="28"/>
        </w:rPr>
        <w:t>日内，按照招标文件和中标人的投标文件订立书面合同，若因中标人原因(无正当理由或非不可抗力)不能在</w:t>
      </w:r>
      <w:r>
        <w:rPr>
          <w:rFonts w:hint="eastAsia" w:ascii="宋体"/>
          <w:color w:val="auto"/>
          <w:szCs w:val="28"/>
          <w:u w:val="single"/>
        </w:rPr>
        <w:t xml:space="preserve"> 30 </w:t>
      </w:r>
      <w:r>
        <w:rPr>
          <w:rFonts w:hint="eastAsia" w:ascii="宋体"/>
          <w:color w:val="auto"/>
          <w:szCs w:val="28"/>
        </w:rPr>
        <w:t>日内与招标人签订书面合同，或在签订合同时向招标人提出附加条件或不按照招标文件要求提交履约保证金的，招标人将取消其中标资格，投标保证金不予退还，招标人可以按照评标委员会提出的中标候选人名单排序依次确定其他中标候选人为中标人，也可以重新招标。</w:t>
      </w:r>
    </w:p>
    <w:p>
      <w:pPr>
        <w:spacing w:line="520" w:lineRule="exact"/>
        <w:rPr>
          <w:color w:val="auto"/>
        </w:rPr>
        <w:sectPr>
          <w:footerReference r:id="rId6" w:type="default"/>
          <w:pgSz w:w="11907" w:h="16840"/>
          <w:pgMar w:top="1418" w:right="1134" w:bottom="1418" w:left="1701" w:header="851" w:footer="992" w:gutter="0"/>
          <w:cols w:space="720" w:num="1"/>
          <w:docGrid w:type="linesAndChars" w:linePitch="312" w:charSpace="0"/>
        </w:sectPr>
      </w:pPr>
      <w:bookmarkStart w:id="24" w:name="_Toc438028549"/>
    </w:p>
    <w:p>
      <w:pPr>
        <w:pStyle w:val="2"/>
        <w:spacing w:before="0" w:beforeAutospacing="0" w:after="0" w:afterAutospacing="0" w:line="520" w:lineRule="exact"/>
        <w:jc w:val="center"/>
        <w:rPr>
          <w:rFonts w:hint="default" w:ascii="方正小标宋简体" w:hAnsi="方正小标宋简体" w:eastAsia="方正小标宋简体" w:cs="方正小标宋简体"/>
          <w:bCs w:val="0"/>
          <w:color w:val="auto"/>
          <w:sz w:val="44"/>
          <w:szCs w:val="44"/>
        </w:rPr>
      </w:pPr>
      <w:bookmarkStart w:id="25" w:name="_Toc26046"/>
      <w:bookmarkStart w:id="26" w:name="_Toc48210819"/>
      <w:r>
        <w:rPr>
          <w:rFonts w:ascii="方正小标宋简体" w:hAnsi="方正小标宋简体" w:eastAsia="方正小标宋简体" w:cs="方正小标宋简体"/>
          <w:bCs w:val="0"/>
          <w:color w:val="auto"/>
          <w:sz w:val="44"/>
          <w:szCs w:val="44"/>
        </w:rPr>
        <w:t>第三部分    投标格式</w:t>
      </w:r>
      <w:bookmarkEnd w:id="24"/>
      <w:bookmarkEnd w:id="25"/>
      <w:bookmarkEnd w:id="26"/>
    </w:p>
    <w:p>
      <w:pPr>
        <w:pStyle w:val="2"/>
        <w:spacing w:before="0" w:beforeAutospacing="0" w:after="0" w:afterAutospacing="0" w:line="520" w:lineRule="exact"/>
        <w:rPr>
          <w:rFonts w:hint="default"/>
          <w:color w:val="auto"/>
        </w:rPr>
      </w:pPr>
      <w:bookmarkStart w:id="27" w:name="_Toc48210820"/>
      <w:bookmarkStart w:id="28" w:name="_Toc438028550"/>
      <w:bookmarkStart w:id="29" w:name="_Toc252979587"/>
    </w:p>
    <w:p>
      <w:pPr>
        <w:pStyle w:val="2"/>
        <w:spacing w:before="0" w:beforeAutospacing="0" w:after="0" w:afterAutospacing="0" w:line="520" w:lineRule="exact"/>
        <w:rPr>
          <w:rFonts w:hint="default"/>
          <w:color w:val="auto"/>
          <w:sz w:val="28"/>
          <w:szCs w:val="28"/>
        </w:rPr>
      </w:pPr>
      <w:bookmarkStart w:id="30" w:name="_Toc32063"/>
      <w:r>
        <w:rPr>
          <w:color w:val="auto"/>
        </w:rPr>
        <w:t>投标格式一</w:t>
      </w:r>
      <w:bookmarkEnd w:id="27"/>
      <w:bookmarkEnd w:id="28"/>
      <w:bookmarkEnd w:id="29"/>
      <w:bookmarkEnd w:id="30"/>
      <w:bookmarkStart w:id="31" w:name="_Hlt251332089"/>
      <w:bookmarkEnd w:id="31"/>
    </w:p>
    <w:p>
      <w:pPr>
        <w:pStyle w:val="60"/>
        <w:spacing w:line="520" w:lineRule="exact"/>
        <w:ind w:left="-100" w:leftChars="-171" w:hanging="259" w:hangingChars="81"/>
        <w:rPr>
          <w:rFonts w:ascii="宋体"/>
          <w:color w:val="auto"/>
          <w:sz w:val="32"/>
          <w:szCs w:val="32"/>
        </w:rPr>
      </w:pPr>
      <w:r>
        <w:rPr>
          <w:rFonts w:hint="eastAsia" w:ascii="宋体"/>
          <w:color w:val="auto"/>
          <w:sz w:val="32"/>
          <w:szCs w:val="32"/>
        </w:rPr>
        <w:t>投 标 报 价 书</w:t>
      </w:r>
    </w:p>
    <w:p>
      <w:pPr>
        <w:pStyle w:val="60"/>
        <w:spacing w:line="520" w:lineRule="exact"/>
        <w:ind w:left="-116" w:leftChars="-171" w:hanging="243" w:hangingChars="81"/>
        <w:rPr>
          <w:rFonts w:ascii="宋体"/>
          <w:color w:val="auto"/>
          <w:sz w:val="30"/>
          <w:szCs w:val="30"/>
        </w:rPr>
      </w:pPr>
    </w:p>
    <w:p>
      <w:pPr>
        <w:spacing w:line="520" w:lineRule="exact"/>
        <w:rPr>
          <w:rFonts w:ascii="宋体"/>
          <w:color w:val="auto"/>
          <w:sz w:val="28"/>
          <w:szCs w:val="28"/>
        </w:rPr>
      </w:pPr>
      <w:r>
        <w:rPr>
          <w:rFonts w:hint="eastAsia" w:ascii="宋体"/>
          <w:color w:val="auto"/>
          <w:sz w:val="28"/>
          <w:szCs w:val="28"/>
          <w:u w:val="single"/>
        </w:rPr>
        <w:t>　　　　　　　　　　　    　　</w:t>
      </w:r>
      <w:r>
        <w:rPr>
          <w:rFonts w:hint="eastAsia" w:ascii="宋体"/>
          <w:color w:val="auto"/>
          <w:sz w:val="28"/>
          <w:szCs w:val="28"/>
        </w:rPr>
        <w:t>：</w:t>
      </w:r>
    </w:p>
    <w:p>
      <w:pPr>
        <w:pStyle w:val="50"/>
        <w:spacing w:line="520" w:lineRule="exact"/>
        <w:ind w:left="-119" w:leftChars="-57" w:firstLine="560" w:firstLineChars="200"/>
        <w:rPr>
          <w:rFonts w:ascii="宋体"/>
          <w:color w:val="auto"/>
          <w:szCs w:val="28"/>
          <w:u w:val="single"/>
        </w:rPr>
      </w:pPr>
      <w:r>
        <w:rPr>
          <w:rFonts w:hint="eastAsia" w:ascii="宋体"/>
          <w:color w:val="auto"/>
          <w:szCs w:val="28"/>
        </w:rPr>
        <w:t>一、根据你方工程的招标文件，经考察工程现场研究上述工程招标文件所有条款后，现投送该工程投标文件，我方愿以人民币（大写）</w:t>
      </w:r>
      <w:r>
        <w:rPr>
          <w:rFonts w:hint="eastAsia" w:ascii="宋体"/>
          <w:color w:val="auto"/>
          <w:szCs w:val="28"/>
          <w:u w:val="single"/>
        </w:rPr>
        <w:t xml:space="preserve">：  ,                           </w:t>
      </w:r>
      <w:r>
        <w:rPr>
          <w:rFonts w:hint="eastAsia" w:ascii="宋体"/>
          <w:color w:val="auto"/>
          <w:szCs w:val="28"/>
        </w:rPr>
        <w:t>（小写）:</w:t>
      </w:r>
      <w:r>
        <w:rPr>
          <w:rFonts w:hint="eastAsia" w:ascii="宋体"/>
          <w:color w:val="auto"/>
          <w:szCs w:val="28"/>
          <w:u w:val="single"/>
        </w:rPr>
        <w:t xml:space="preserve">       元</w:t>
      </w:r>
      <w:r>
        <w:rPr>
          <w:rFonts w:hint="eastAsia" w:ascii="宋体"/>
          <w:color w:val="auto"/>
          <w:szCs w:val="28"/>
        </w:rPr>
        <w:t>的报价，按招标文件之规定范围与条件以及投标文件所有条款的承诺，承担责任。</w:t>
      </w:r>
    </w:p>
    <w:p>
      <w:pPr>
        <w:pStyle w:val="50"/>
        <w:spacing w:line="520" w:lineRule="exact"/>
        <w:ind w:left="-119" w:leftChars="-57" w:firstLine="560" w:firstLineChars="200"/>
        <w:rPr>
          <w:rFonts w:ascii="宋体"/>
          <w:color w:val="auto"/>
          <w:szCs w:val="28"/>
        </w:rPr>
      </w:pPr>
      <w:r>
        <w:rPr>
          <w:rFonts w:hint="eastAsia" w:ascii="宋体"/>
          <w:color w:val="auto"/>
          <w:szCs w:val="28"/>
        </w:rPr>
        <w:t>二、一旦我公司中标，我方保证在收到中标通知书规定的期限内与你方签订合同协议书，并在接到开工令后在要求时间内开工，在限定工期</w:t>
      </w:r>
      <w:r>
        <w:rPr>
          <w:rFonts w:hint="eastAsia" w:ascii="宋体"/>
          <w:color w:val="auto"/>
          <w:szCs w:val="28"/>
          <w:u w:val="single"/>
          <w:lang w:val="en-US" w:eastAsia="zh-CN"/>
        </w:rPr>
        <w:t xml:space="preserve">    </w:t>
      </w:r>
      <w:r>
        <w:rPr>
          <w:rFonts w:hint="eastAsia" w:ascii="宋体"/>
          <w:color w:val="auto"/>
          <w:szCs w:val="28"/>
        </w:rPr>
        <w:t>日历天内完成并移交合同规定的全部工程。工程质量达到合格或以上等级。</w:t>
      </w:r>
    </w:p>
    <w:p>
      <w:pPr>
        <w:pStyle w:val="50"/>
        <w:spacing w:line="520" w:lineRule="exact"/>
        <w:ind w:left="-119" w:leftChars="-57" w:firstLine="560" w:firstLineChars="200"/>
        <w:rPr>
          <w:rFonts w:ascii="宋体"/>
          <w:color w:val="auto"/>
          <w:szCs w:val="28"/>
          <w:u w:val="single"/>
        </w:rPr>
      </w:pPr>
      <w:r>
        <w:rPr>
          <w:rFonts w:hint="eastAsia" w:ascii="宋体"/>
          <w:color w:val="auto"/>
          <w:szCs w:val="28"/>
        </w:rPr>
        <w:t>三、项目负责人姓名：</w:t>
      </w:r>
      <w:r>
        <w:rPr>
          <w:rFonts w:hint="eastAsia" w:ascii="宋体"/>
          <w:color w:val="auto"/>
          <w:szCs w:val="28"/>
          <w:u w:val="single"/>
          <w:lang w:val="en-US" w:eastAsia="zh-CN"/>
        </w:rPr>
        <w:t xml:space="preserve">      </w:t>
      </w:r>
      <w:r>
        <w:rPr>
          <w:rFonts w:hint="eastAsia" w:ascii="宋体"/>
          <w:color w:val="auto"/>
          <w:szCs w:val="28"/>
          <w:lang w:val="en-US" w:eastAsia="zh-CN"/>
        </w:rPr>
        <w:t xml:space="preserve"> </w:t>
      </w:r>
      <w:r>
        <w:rPr>
          <w:rFonts w:hint="eastAsia" w:ascii="宋体"/>
          <w:color w:val="auto"/>
          <w:szCs w:val="28"/>
        </w:rPr>
        <w:t>；资格等级:</w:t>
      </w:r>
      <w:r>
        <w:rPr>
          <w:rFonts w:hint="eastAsia" w:ascii="宋体"/>
          <w:color w:val="auto"/>
          <w:szCs w:val="28"/>
          <w:u w:val="single"/>
          <w:lang w:val="en-US" w:eastAsia="zh-CN"/>
        </w:rPr>
        <w:t xml:space="preserve">     </w:t>
      </w:r>
      <w:r>
        <w:rPr>
          <w:rFonts w:hint="eastAsia" w:ascii="宋体"/>
          <w:color w:val="auto"/>
          <w:szCs w:val="28"/>
        </w:rPr>
        <w:t>。</w:t>
      </w:r>
    </w:p>
    <w:p>
      <w:pPr>
        <w:pStyle w:val="50"/>
        <w:spacing w:line="520" w:lineRule="exact"/>
        <w:ind w:left="-119" w:leftChars="-57" w:firstLine="560" w:firstLineChars="200"/>
        <w:rPr>
          <w:rFonts w:ascii="宋体"/>
          <w:color w:val="auto"/>
          <w:szCs w:val="28"/>
          <w:u w:val="single"/>
        </w:rPr>
      </w:pPr>
      <w:r>
        <w:rPr>
          <w:rFonts w:hint="eastAsia" w:ascii="宋体"/>
          <w:color w:val="auto"/>
          <w:szCs w:val="28"/>
        </w:rPr>
        <w:t>四、除非另外达成协议并生效，你方的中标通知书和本投标书将构成约束我们双方的合同。</w:t>
      </w:r>
    </w:p>
    <w:p>
      <w:pPr>
        <w:pStyle w:val="50"/>
        <w:spacing w:line="520" w:lineRule="exact"/>
        <w:ind w:left="-119" w:leftChars="-57" w:firstLine="560" w:firstLineChars="200"/>
        <w:rPr>
          <w:rFonts w:ascii="宋体"/>
          <w:color w:val="auto"/>
          <w:szCs w:val="28"/>
          <w:u w:val="single"/>
        </w:rPr>
      </w:pPr>
      <w:r>
        <w:rPr>
          <w:rFonts w:hint="eastAsia" w:ascii="宋体"/>
          <w:color w:val="auto"/>
          <w:szCs w:val="28"/>
        </w:rPr>
        <w:t>五、我方理解：你方不必一定授标给最低报价的投标或收到的某一投标。</w:t>
      </w:r>
    </w:p>
    <w:p>
      <w:pPr>
        <w:spacing w:line="520" w:lineRule="exact"/>
        <w:ind w:firstLine="4513"/>
        <w:rPr>
          <w:rFonts w:ascii="宋体"/>
          <w:color w:val="auto"/>
          <w:sz w:val="28"/>
          <w:szCs w:val="28"/>
        </w:rPr>
      </w:pPr>
    </w:p>
    <w:p>
      <w:pPr>
        <w:spacing w:line="520" w:lineRule="exact"/>
        <w:ind w:firstLine="4513"/>
        <w:rPr>
          <w:rFonts w:ascii="宋体"/>
          <w:color w:val="auto"/>
          <w:sz w:val="28"/>
          <w:szCs w:val="28"/>
        </w:rPr>
      </w:pPr>
    </w:p>
    <w:p>
      <w:pPr>
        <w:spacing w:line="520" w:lineRule="exact"/>
        <w:ind w:firstLine="4387" w:firstLineChars="1567"/>
        <w:rPr>
          <w:rFonts w:ascii="宋体"/>
          <w:color w:val="auto"/>
          <w:sz w:val="28"/>
          <w:szCs w:val="28"/>
        </w:rPr>
      </w:pPr>
      <w:r>
        <w:rPr>
          <w:rFonts w:hint="eastAsia" w:ascii="宋体"/>
          <w:color w:val="auto"/>
          <w:sz w:val="28"/>
          <w:szCs w:val="28"/>
        </w:rPr>
        <w:t>投标人：（盖章）</w:t>
      </w:r>
    </w:p>
    <w:p>
      <w:pPr>
        <w:spacing w:line="520" w:lineRule="exact"/>
        <w:ind w:firstLine="4393" w:firstLineChars="1569"/>
        <w:rPr>
          <w:rFonts w:ascii="宋体"/>
          <w:color w:val="auto"/>
          <w:sz w:val="28"/>
          <w:szCs w:val="28"/>
        </w:rPr>
      </w:pPr>
      <w:r>
        <w:rPr>
          <w:rFonts w:hint="eastAsia" w:ascii="宋体"/>
          <w:color w:val="auto"/>
          <w:sz w:val="28"/>
          <w:szCs w:val="28"/>
        </w:rPr>
        <w:t>法定代表人：（亲笔签名）</w:t>
      </w:r>
    </w:p>
    <w:p>
      <w:pPr>
        <w:spacing w:line="520" w:lineRule="exact"/>
        <w:ind w:firstLine="4393" w:firstLineChars="1569"/>
        <w:rPr>
          <w:rFonts w:ascii="宋体"/>
          <w:color w:val="auto"/>
          <w:sz w:val="28"/>
          <w:szCs w:val="28"/>
        </w:rPr>
      </w:pPr>
      <w:r>
        <w:rPr>
          <w:rFonts w:hint="eastAsia" w:ascii="宋体"/>
          <w:color w:val="auto"/>
          <w:sz w:val="28"/>
          <w:szCs w:val="28"/>
        </w:rPr>
        <w:t>日期：</w:t>
      </w:r>
      <w:r>
        <w:rPr>
          <w:rFonts w:hint="eastAsia" w:ascii="宋体"/>
          <w:color w:val="auto"/>
          <w:sz w:val="28"/>
          <w:szCs w:val="28"/>
          <w:lang w:val="en-US" w:eastAsia="zh-CN"/>
        </w:rPr>
        <w:t xml:space="preserve">  </w:t>
      </w:r>
      <w:r>
        <w:rPr>
          <w:rFonts w:hint="eastAsia" w:ascii="宋体"/>
          <w:color w:val="auto"/>
          <w:sz w:val="28"/>
          <w:szCs w:val="28"/>
        </w:rPr>
        <w:t>年</w:t>
      </w:r>
      <w:r>
        <w:rPr>
          <w:rFonts w:hint="eastAsia" w:ascii="宋体"/>
          <w:color w:val="auto"/>
          <w:sz w:val="28"/>
          <w:szCs w:val="28"/>
          <w:lang w:val="en-US" w:eastAsia="zh-CN"/>
        </w:rPr>
        <w:t xml:space="preserve">   </w:t>
      </w:r>
      <w:r>
        <w:rPr>
          <w:rFonts w:hint="eastAsia" w:ascii="宋体"/>
          <w:color w:val="auto"/>
          <w:sz w:val="28"/>
          <w:szCs w:val="28"/>
        </w:rPr>
        <w:t>月</w:t>
      </w:r>
      <w:r>
        <w:rPr>
          <w:rFonts w:hint="eastAsia" w:ascii="宋体"/>
          <w:color w:val="auto"/>
          <w:sz w:val="28"/>
          <w:szCs w:val="28"/>
          <w:lang w:val="en-US" w:eastAsia="zh-CN"/>
        </w:rPr>
        <w:t xml:space="preserve">   </w:t>
      </w:r>
      <w:r>
        <w:rPr>
          <w:rFonts w:hint="eastAsia" w:ascii="宋体"/>
          <w:color w:val="auto"/>
          <w:sz w:val="28"/>
          <w:szCs w:val="28"/>
        </w:rPr>
        <w:t>日</w:t>
      </w:r>
    </w:p>
    <w:p>
      <w:pPr>
        <w:pStyle w:val="50"/>
        <w:spacing w:line="520" w:lineRule="exact"/>
        <w:ind w:right="1120" w:firstLine="0"/>
        <w:rPr>
          <w:rFonts w:ascii="宋体"/>
          <w:color w:val="auto"/>
          <w:szCs w:val="28"/>
        </w:rPr>
      </w:pPr>
      <w:bookmarkStart w:id="32" w:name="_Toc438028551"/>
      <w:bookmarkEnd w:id="32"/>
      <w:bookmarkStart w:id="33" w:name="_Toc252979588"/>
      <w:bookmarkEnd w:id="33"/>
      <w:bookmarkStart w:id="34" w:name="_Toc252979590"/>
      <w:bookmarkStart w:id="35" w:name="_Toc48210821"/>
      <w:bookmarkStart w:id="36" w:name="_Toc438028553"/>
    </w:p>
    <w:p>
      <w:pPr>
        <w:pStyle w:val="2"/>
        <w:spacing w:before="0" w:beforeAutospacing="0" w:after="0" w:afterAutospacing="0" w:line="520" w:lineRule="exact"/>
        <w:rPr>
          <w:rFonts w:hint="default"/>
          <w:color w:val="auto"/>
        </w:rPr>
        <w:sectPr>
          <w:footerReference r:id="rId9" w:type="first"/>
          <w:footerReference r:id="rId7" w:type="default"/>
          <w:footerReference r:id="rId8" w:type="even"/>
          <w:pgSz w:w="11907" w:h="16840"/>
          <w:pgMar w:top="1418" w:right="1588" w:bottom="1418" w:left="1701" w:header="851" w:footer="992" w:gutter="0"/>
          <w:cols w:space="720" w:num="1"/>
          <w:titlePg/>
          <w:docGrid w:type="linesAndChars" w:linePitch="312" w:charSpace="0"/>
        </w:sectPr>
      </w:pPr>
    </w:p>
    <w:p>
      <w:pPr>
        <w:pStyle w:val="2"/>
        <w:spacing w:before="0" w:beforeAutospacing="0" w:after="0" w:afterAutospacing="0" w:line="520" w:lineRule="exact"/>
        <w:rPr>
          <w:rFonts w:hint="default"/>
          <w:color w:val="auto"/>
          <w:sz w:val="28"/>
          <w:szCs w:val="28"/>
        </w:rPr>
      </w:pPr>
      <w:bookmarkStart w:id="37" w:name="_Toc10911"/>
      <w:r>
        <w:rPr>
          <w:color w:val="auto"/>
          <w:szCs w:val="32"/>
        </w:rPr>
        <w:t>投标格式</w:t>
      </w:r>
      <w:bookmarkEnd w:id="34"/>
      <w:bookmarkEnd w:id="35"/>
      <w:bookmarkEnd w:id="36"/>
      <w:r>
        <w:rPr>
          <w:color w:val="auto"/>
          <w:szCs w:val="32"/>
        </w:rPr>
        <w:t>二</w:t>
      </w:r>
      <w:bookmarkEnd w:id="37"/>
    </w:p>
    <w:p>
      <w:pPr>
        <w:pStyle w:val="16"/>
        <w:spacing w:line="520" w:lineRule="exact"/>
        <w:jc w:val="center"/>
        <w:rPr>
          <w:rFonts w:ascii="宋体"/>
          <w:b/>
          <w:color w:val="auto"/>
          <w:sz w:val="32"/>
          <w:szCs w:val="32"/>
        </w:rPr>
      </w:pPr>
      <w:r>
        <w:rPr>
          <w:rFonts w:hint="eastAsia" w:ascii="宋体"/>
          <w:b/>
          <w:color w:val="auto"/>
          <w:sz w:val="30"/>
          <w:szCs w:val="30"/>
        </w:rPr>
        <w:t>拟</w:t>
      </w:r>
      <w:r>
        <w:rPr>
          <w:rFonts w:hint="eastAsia" w:ascii="宋体"/>
          <w:b/>
          <w:color w:val="auto"/>
          <w:sz w:val="32"/>
          <w:szCs w:val="32"/>
        </w:rPr>
        <w:t>派驻本项目人员数量表</w:t>
      </w:r>
    </w:p>
    <w:p>
      <w:pPr>
        <w:pStyle w:val="16"/>
        <w:spacing w:line="520" w:lineRule="exact"/>
        <w:jc w:val="center"/>
        <w:rPr>
          <w:rFonts w:ascii="宋体"/>
          <w:b/>
          <w:color w:val="auto"/>
          <w:sz w:val="32"/>
          <w:szCs w:val="32"/>
        </w:rPr>
      </w:pPr>
      <w:r>
        <w:rPr>
          <w:rFonts w:hint="eastAsia" w:ascii="宋体"/>
          <w:bCs/>
          <w:color w:val="auto"/>
          <w:sz w:val="32"/>
          <w:szCs w:val="32"/>
        </w:rPr>
        <w:t>（例：房屋建筑工程）</w:t>
      </w:r>
    </w:p>
    <w:p>
      <w:pPr>
        <w:pStyle w:val="16"/>
        <w:spacing w:line="520" w:lineRule="exact"/>
        <w:ind w:firstLine="686" w:firstLineChars="245"/>
        <w:rPr>
          <w:rFonts w:ascii="宋体"/>
          <w:b/>
          <w:color w:val="auto"/>
          <w:sz w:val="28"/>
          <w:szCs w:val="28"/>
        </w:rPr>
      </w:pPr>
      <w:r>
        <w:rPr>
          <w:rFonts w:hint="eastAsia" w:ascii="宋体"/>
          <w:b/>
          <w:color w:val="auto"/>
          <w:sz w:val="28"/>
          <w:szCs w:val="28"/>
        </w:rPr>
        <w:t>工程名称：</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969"/>
        <w:gridCol w:w="48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exact"/>
          <w:jc w:val="center"/>
        </w:trPr>
        <w:tc>
          <w:tcPr>
            <w:tcW w:w="3969" w:type="dxa"/>
            <w:tcBorders>
              <w:top w:val="single" w:color="auto" w:sz="12" w:space="0"/>
              <w:bottom w:val="single" w:color="auto" w:sz="6" w:space="0"/>
              <w:right w:val="single" w:color="auto" w:sz="6" w:space="0"/>
            </w:tcBorders>
            <w:noWrap/>
            <w:vAlign w:val="center"/>
          </w:tcPr>
          <w:p>
            <w:pPr>
              <w:spacing w:line="520" w:lineRule="exact"/>
              <w:ind w:left="71" w:leftChars="34" w:firstLine="1260" w:firstLineChars="450"/>
              <w:rPr>
                <w:rFonts w:ascii="宋体"/>
                <w:b/>
                <w:color w:val="auto"/>
                <w:sz w:val="28"/>
                <w:szCs w:val="28"/>
              </w:rPr>
            </w:pPr>
            <w:r>
              <w:rPr>
                <w:rFonts w:hint="eastAsia" w:ascii="宋体"/>
                <w:b/>
                <w:color w:val="auto"/>
                <w:sz w:val="28"/>
                <w:szCs w:val="28"/>
              </w:rPr>
              <w:t>岗位名称</w:t>
            </w:r>
          </w:p>
        </w:tc>
        <w:tc>
          <w:tcPr>
            <w:tcW w:w="4819" w:type="dxa"/>
            <w:tcBorders>
              <w:top w:val="single" w:color="auto" w:sz="12" w:space="0"/>
              <w:left w:val="single" w:color="auto" w:sz="6" w:space="0"/>
              <w:bottom w:val="single" w:color="auto" w:sz="6" w:space="0"/>
            </w:tcBorders>
            <w:noWrap/>
            <w:vAlign w:val="center"/>
          </w:tcPr>
          <w:p>
            <w:pPr>
              <w:spacing w:line="520" w:lineRule="exact"/>
              <w:jc w:val="center"/>
              <w:rPr>
                <w:rFonts w:ascii="宋体"/>
                <w:b/>
                <w:color w:val="auto"/>
                <w:sz w:val="28"/>
                <w:szCs w:val="28"/>
              </w:rPr>
            </w:pPr>
            <w:r>
              <w:rPr>
                <w:rFonts w:hint="eastAsia" w:ascii="宋体"/>
                <w:b/>
                <w:color w:val="auto"/>
                <w:sz w:val="28"/>
                <w:szCs w:val="28"/>
              </w:rPr>
              <w:t>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exact"/>
          <w:jc w:val="center"/>
        </w:trPr>
        <w:tc>
          <w:tcPr>
            <w:tcW w:w="3969" w:type="dxa"/>
            <w:tcBorders>
              <w:top w:val="single" w:color="auto" w:sz="6" w:space="0"/>
              <w:bottom w:val="single" w:color="auto" w:sz="6" w:space="0"/>
              <w:right w:val="single" w:color="auto" w:sz="4" w:space="0"/>
            </w:tcBorders>
            <w:noWrap/>
            <w:vAlign w:val="center"/>
          </w:tcPr>
          <w:p>
            <w:pPr>
              <w:spacing w:line="520" w:lineRule="exact"/>
              <w:jc w:val="center"/>
              <w:rPr>
                <w:rFonts w:ascii="宋体"/>
                <w:color w:val="auto"/>
                <w:sz w:val="28"/>
                <w:szCs w:val="28"/>
              </w:rPr>
            </w:pPr>
            <w:r>
              <w:rPr>
                <w:rFonts w:hint="eastAsia" w:ascii="宋体"/>
                <w:color w:val="auto"/>
                <w:sz w:val="28"/>
                <w:szCs w:val="28"/>
              </w:rPr>
              <w:t>项目负责人</w:t>
            </w:r>
          </w:p>
        </w:tc>
        <w:tc>
          <w:tcPr>
            <w:tcW w:w="4819" w:type="dxa"/>
            <w:tcBorders>
              <w:top w:val="single" w:color="auto" w:sz="6" w:space="0"/>
              <w:left w:val="single" w:color="auto" w:sz="4" w:space="0"/>
              <w:bottom w:val="single" w:color="auto" w:sz="6" w:space="0"/>
            </w:tcBorders>
            <w:noWrap/>
            <w:vAlign w:val="center"/>
          </w:tcPr>
          <w:p>
            <w:pPr>
              <w:spacing w:line="520" w:lineRule="exact"/>
              <w:jc w:val="center"/>
              <w:rPr>
                <w:rFonts w:ascii="宋体"/>
                <w:color w:val="auto"/>
                <w:sz w:val="28"/>
                <w:szCs w:val="28"/>
              </w:rPr>
            </w:pPr>
            <w:r>
              <w:rPr>
                <w:rFonts w:hint="eastAsia" w:ascii="宋体"/>
                <w:color w:val="auto"/>
                <w:sz w:val="28"/>
                <w:szCs w:val="2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exact"/>
          <w:jc w:val="center"/>
        </w:trPr>
        <w:tc>
          <w:tcPr>
            <w:tcW w:w="3969" w:type="dxa"/>
            <w:tcBorders>
              <w:top w:val="single" w:color="auto" w:sz="6" w:space="0"/>
              <w:bottom w:val="single" w:color="auto" w:sz="4" w:space="0"/>
              <w:right w:val="single" w:color="auto" w:sz="4" w:space="0"/>
            </w:tcBorders>
            <w:noWrap/>
            <w:vAlign w:val="center"/>
          </w:tcPr>
          <w:p>
            <w:pPr>
              <w:spacing w:line="520" w:lineRule="exact"/>
              <w:ind w:left="72"/>
              <w:jc w:val="center"/>
              <w:rPr>
                <w:rFonts w:ascii="宋体"/>
                <w:color w:val="auto"/>
                <w:sz w:val="28"/>
                <w:szCs w:val="28"/>
              </w:rPr>
            </w:pPr>
            <w:r>
              <w:rPr>
                <w:rFonts w:hint="eastAsia" w:ascii="宋体"/>
                <w:color w:val="auto"/>
                <w:sz w:val="28"/>
                <w:szCs w:val="28"/>
              </w:rPr>
              <w:t>项目技术负责人</w:t>
            </w:r>
          </w:p>
        </w:tc>
        <w:tc>
          <w:tcPr>
            <w:tcW w:w="4819" w:type="dxa"/>
            <w:tcBorders>
              <w:top w:val="single" w:color="auto" w:sz="6" w:space="0"/>
              <w:left w:val="single" w:color="auto" w:sz="4" w:space="0"/>
              <w:bottom w:val="single" w:color="auto" w:sz="4" w:space="0"/>
            </w:tcBorders>
            <w:noWrap/>
          </w:tcPr>
          <w:p>
            <w:pPr>
              <w:spacing w:line="520" w:lineRule="exact"/>
              <w:jc w:val="center"/>
              <w:rPr>
                <w:color w:val="auto"/>
              </w:rPr>
            </w:pPr>
            <w:r>
              <w:rPr>
                <w:rFonts w:hint="eastAsia" w:ascii="宋体"/>
                <w:color w:val="auto"/>
                <w:sz w:val="28"/>
                <w:szCs w:val="2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exact"/>
          <w:jc w:val="center"/>
        </w:trPr>
        <w:tc>
          <w:tcPr>
            <w:tcW w:w="3969" w:type="dxa"/>
            <w:tcBorders>
              <w:top w:val="single" w:color="auto" w:sz="4" w:space="0"/>
              <w:bottom w:val="single" w:color="auto" w:sz="6" w:space="0"/>
              <w:right w:val="single" w:color="auto" w:sz="4" w:space="0"/>
            </w:tcBorders>
            <w:noWrap/>
            <w:vAlign w:val="center"/>
          </w:tcPr>
          <w:p>
            <w:pPr>
              <w:spacing w:line="520" w:lineRule="exact"/>
              <w:ind w:left="72"/>
              <w:jc w:val="center"/>
              <w:rPr>
                <w:rFonts w:ascii="宋体"/>
                <w:color w:val="auto"/>
                <w:sz w:val="28"/>
                <w:szCs w:val="28"/>
              </w:rPr>
            </w:pPr>
            <w:r>
              <w:rPr>
                <w:rFonts w:hint="eastAsia" w:ascii="宋体"/>
                <w:color w:val="auto"/>
                <w:sz w:val="28"/>
                <w:szCs w:val="28"/>
              </w:rPr>
              <w:t>施工员</w:t>
            </w:r>
          </w:p>
        </w:tc>
        <w:tc>
          <w:tcPr>
            <w:tcW w:w="4819" w:type="dxa"/>
            <w:tcBorders>
              <w:top w:val="single" w:color="auto" w:sz="4" w:space="0"/>
              <w:left w:val="single" w:color="auto" w:sz="4" w:space="0"/>
              <w:bottom w:val="single" w:color="auto" w:sz="6" w:space="0"/>
            </w:tcBorders>
            <w:noWrap/>
          </w:tcPr>
          <w:p>
            <w:pPr>
              <w:spacing w:line="520" w:lineRule="exact"/>
              <w:jc w:val="center"/>
              <w:rPr>
                <w:color w:val="auto"/>
              </w:rPr>
            </w:pPr>
            <w:r>
              <w:rPr>
                <w:rFonts w:hint="eastAsia" w:ascii="宋体" w:hAnsi="宋体"/>
                <w:color w:val="auto"/>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exact"/>
          <w:jc w:val="center"/>
        </w:trPr>
        <w:tc>
          <w:tcPr>
            <w:tcW w:w="3969" w:type="dxa"/>
            <w:tcBorders>
              <w:top w:val="single" w:color="auto" w:sz="6" w:space="0"/>
              <w:bottom w:val="single" w:color="auto" w:sz="4" w:space="0"/>
              <w:right w:val="single" w:color="auto" w:sz="6" w:space="0"/>
            </w:tcBorders>
            <w:noWrap/>
            <w:vAlign w:val="center"/>
          </w:tcPr>
          <w:p>
            <w:pPr>
              <w:spacing w:line="520" w:lineRule="exact"/>
              <w:ind w:left="72"/>
              <w:jc w:val="center"/>
              <w:rPr>
                <w:rFonts w:ascii="宋体"/>
                <w:color w:val="auto"/>
                <w:sz w:val="28"/>
                <w:szCs w:val="28"/>
              </w:rPr>
            </w:pPr>
            <w:r>
              <w:rPr>
                <w:rFonts w:hint="eastAsia" w:ascii="宋体"/>
                <w:color w:val="auto"/>
                <w:sz w:val="28"/>
                <w:szCs w:val="28"/>
              </w:rPr>
              <w:t>安全员</w:t>
            </w:r>
          </w:p>
        </w:tc>
        <w:tc>
          <w:tcPr>
            <w:tcW w:w="4819" w:type="dxa"/>
            <w:tcBorders>
              <w:top w:val="single" w:color="auto" w:sz="6" w:space="0"/>
              <w:left w:val="single" w:color="auto" w:sz="6" w:space="0"/>
              <w:bottom w:val="single" w:color="auto" w:sz="4" w:space="0"/>
            </w:tcBorders>
            <w:noWrap/>
          </w:tcPr>
          <w:p>
            <w:pPr>
              <w:spacing w:line="520" w:lineRule="exact"/>
              <w:jc w:val="center"/>
              <w:rPr>
                <w:color w:val="auto"/>
              </w:rPr>
            </w:pPr>
            <w:r>
              <w:rPr>
                <w:rFonts w:hint="eastAsia" w:ascii="宋体" w:hAnsi="宋体"/>
                <w:color w:val="auto"/>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exact"/>
          <w:jc w:val="center"/>
        </w:trPr>
        <w:tc>
          <w:tcPr>
            <w:tcW w:w="3969" w:type="dxa"/>
            <w:tcBorders>
              <w:top w:val="single" w:color="auto" w:sz="4" w:space="0"/>
              <w:bottom w:val="single" w:color="auto" w:sz="4" w:space="0"/>
              <w:right w:val="single" w:color="auto" w:sz="6" w:space="0"/>
            </w:tcBorders>
            <w:noWrap/>
            <w:vAlign w:val="center"/>
          </w:tcPr>
          <w:p>
            <w:pPr>
              <w:spacing w:line="520" w:lineRule="exact"/>
              <w:ind w:left="72"/>
              <w:jc w:val="center"/>
              <w:rPr>
                <w:rFonts w:ascii="宋体"/>
                <w:color w:val="auto"/>
                <w:sz w:val="28"/>
                <w:szCs w:val="28"/>
              </w:rPr>
            </w:pPr>
            <w:r>
              <w:rPr>
                <w:rFonts w:hint="eastAsia" w:ascii="宋体"/>
                <w:color w:val="auto"/>
                <w:sz w:val="28"/>
                <w:szCs w:val="28"/>
              </w:rPr>
              <w:t>质检员</w:t>
            </w:r>
          </w:p>
        </w:tc>
        <w:tc>
          <w:tcPr>
            <w:tcW w:w="4819" w:type="dxa"/>
            <w:tcBorders>
              <w:top w:val="single" w:color="auto" w:sz="4" w:space="0"/>
              <w:left w:val="single" w:color="auto" w:sz="6" w:space="0"/>
              <w:bottom w:val="single" w:color="auto" w:sz="4" w:space="0"/>
            </w:tcBorders>
            <w:noWrap/>
          </w:tcPr>
          <w:p>
            <w:pPr>
              <w:spacing w:line="520" w:lineRule="exact"/>
              <w:jc w:val="center"/>
              <w:rPr>
                <w:color w:val="auto"/>
              </w:rPr>
            </w:pPr>
            <w:r>
              <w:rPr>
                <w:rFonts w:hint="eastAsia" w:ascii="宋体" w:hAnsi="宋体"/>
                <w:color w:val="auto"/>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exact"/>
          <w:jc w:val="center"/>
        </w:trPr>
        <w:tc>
          <w:tcPr>
            <w:tcW w:w="3969" w:type="dxa"/>
            <w:tcBorders>
              <w:top w:val="single" w:color="auto" w:sz="4" w:space="0"/>
              <w:bottom w:val="single" w:color="auto" w:sz="4" w:space="0"/>
              <w:right w:val="single" w:color="auto" w:sz="6" w:space="0"/>
            </w:tcBorders>
            <w:noWrap/>
            <w:vAlign w:val="center"/>
          </w:tcPr>
          <w:p>
            <w:pPr>
              <w:spacing w:line="520" w:lineRule="exact"/>
              <w:ind w:left="72"/>
              <w:jc w:val="center"/>
              <w:rPr>
                <w:rFonts w:ascii="宋体"/>
                <w:color w:val="auto"/>
                <w:sz w:val="28"/>
                <w:szCs w:val="28"/>
              </w:rPr>
            </w:pPr>
            <w:r>
              <w:rPr>
                <w:rFonts w:hint="eastAsia" w:ascii="宋体"/>
                <w:color w:val="auto"/>
                <w:sz w:val="28"/>
                <w:szCs w:val="28"/>
              </w:rPr>
              <w:t>材料员</w:t>
            </w:r>
          </w:p>
        </w:tc>
        <w:tc>
          <w:tcPr>
            <w:tcW w:w="4819" w:type="dxa"/>
            <w:tcBorders>
              <w:top w:val="single" w:color="auto" w:sz="4" w:space="0"/>
              <w:left w:val="single" w:color="auto" w:sz="6" w:space="0"/>
              <w:bottom w:val="single" w:color="auto" w:sz="4" w:space="0"/>
            </w:tcBorders>
            <w:noWrap/>
          </w:tcPr>
          <w:p>
            <w:pPr>
              <w:spacing w:line="520" w:lineRule="exact"/>
              <w:jc w:val="center"/>
              <w:rPr>
                <w:color w:val="auto"/>
              </w:rPr>
            </w:pPr>
            <w:r>
              <w:rPr>
                <w:rFonts w:hint="eastAsia" w:ascii="宋体" w:hAnsi="宋体"/>
                <w:color w:val="auto"/>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exact"/>
          <w:jc w:val="center"/>
        </w:trPr>
        <w:tc>
          <w:tcPr>
            <w:tcW w:w="3969" w:type="dxa"/>
            <w:tcBorders>
              <w:top w:val="single" w:color="auto" w:sz="4" w:space="0"/>
              <w:bottom w:val="single" w:color="auto" w:sz="4" w:space="0"/>
              <w:right w:val="single" w:color="auto" w:sz="6" w:space="0"/>
            </w:tcBorders>
            <w:noWrap/>
            <w:vAlign w:val="center"/>
          </w:tcPr>
          <w:p>
            <w:pPr>
              <w:spacing w:line="520" w:lineRule="exact"/>
              <w:ind w:left="72"/>
              <w:jc w:val="center"/>
              <w:rPr>
                <w:rFonts w:ascii="宋体"/>
                <w:color w:val="auto"/>
                <w:sz w:val="28"/>
                <w:szCs w:val="28"/>
              </w:rPr>
            </w:pPr>
            <w:r>
              <w:rPr>
                <w:rFonts w:hint="eastAsia" w:ascii="宋体"/>
                <w:color w:val="auto"/>
                <w:sz w:val="28"/>
                <w:szCs w:val="28"/>
              </w:rPr>
              <w:t>资料员</w:t>
            </w:r>
          </w:p>
        </w:tc>
        <w:tc>
          <w:tcPr>
            <w:tcW w:w="4819" w:type="dxa"/>
            <w:tcBorders>
              <w:top w:val="single" w:color="auto" w:sz="4" w:space="0"/>
              <w:left w:val="single" w:color="auto" w:sz="6" w:space="0"/>
              <w:bottom w:val="single" w:color="auto" w:sz="4" w:space="0"/>
            </w:tcBorders>
            <w:noWrap/>
          </w:tcPr>
          <w:p>
            <w:pPr>
              <w:spacing w:line="520" w:lineRule="exact"/>
              <w:jc w:val="center"/>
              <w:rPr>
                <w:color w:val="auto"/>
              </w:rPr>
            </w:pPr>
            <w:r>
              <w:rPr>
                <w:rFonts w:hint="eastAsia" w:ascii="宋体" w:hAnsi="宋体"/>
                <w:color w:val="auto"/>
                <w:sz w:val="24"/>
              </w:rPr>
              <w:t>1</w:t>
            </w:r>
          </w:p>
        </w:tc>
      </w:tr>
    </w:tbl>
    <w:p>
      <w:pPr>
        <w:spacing w:line="440" w:lineRule="exact"/>
        <w:ind w:right="-210" w:firstLine="480" w:firstLineChars="200"/>
        <w:jc w:val="left"/>
        <w:rPr>
          <w:rFonts w:ascii="宋体"/>
          <w:color w:val="auto"/>
          <w:sz w:val="24"/>
        </w:rPr>
      </w:pPr>
      <w:r>
        <w:rPr>
          <w:rFonts w:hint="eastAsia" w:ascii="宋体"/>
          <w:color w:val="auto"/>
          <w:sz w:val="24"/>
        </w:rPr>
        <w:t>注：专职质量安全管理人员的配置要求：持初级岗位的施工员、质检员、安全员只能负责管理12层以下、21米跨度以下的房屋建筑和高度50米以下的水塔、烟囱等构筑物；1万平方米以下单位工程配备持证施工员、安全员、质检员各1名；1万平方米以上5万平方米以下单位工程配备持证施工员、安全员、质检员至少各2名；5万平方米以上单位工程配备持证施工员、安全员、质检员各3名以上。投标单位必须按照招标文件要求，填报合格的人员，中标后项目负责人不得变更。</w:t>
      </w:r>
    </w:p>
    <w:p>
      <w:pPr>
        <w:pStyle w:val="57"/>
        <w:spacing w:line="440" w:lineRule="exact"/>
        <w:ind w:firstLine="480" w:firstLineChars="200"/>
        <w:rPr>
          <w:rFonts w:ascii="宋体"/>
          <w:b w:val="0"/>
          <w:color w:val="auto"/>
          <w:sz w:val="24"/>
          <w:szCs w:val="24"/>
        </w:rPr>
      </w:pPr>
      <w:r>
        <w:rPr>
          <w:rFonts w:hint="eastAsia" w:ascii="宋体"/>
          <w:b w:val="0"/>
          <w:color w:val="auto"/>
          <w:sz w:val="24"/>
          <w:szCs w:val="24"/>
        </w:rPr>
        <w:t>我单位保证拟派出的驻场项目负责人由</w:t>
      </w:r>
      <w:r>
        <w:rPr>
          <w:rFonts w:hint="eastAsia" w:ascii="宋体"/>
          <w:b w:val="0"/>
          <w:color w:val="auto"/>
          <w:sz w:val="24"/>
          <w:szCs w:val="24"/>
          <w:u w:val="single"/>
          <w:lang w:val="en-US" w:eastAsia="zh-CN"/>
        </w:rPr>
        <w:t xml:space="preserve">     </w:t>
      </w:r>
      <w:r>
        <w:rPr>
          <w:rFonts w:hint="eastAsia" w:ascii="宋体"/>
          <w:b w:val="0"/>
          <w:color w:val="auto"/>
          <w:sz w:val="24"/>
          <w:szCs w:val="24"/>
        </w:rPr>
        <w:t>同志担任，自</w:t>
      </w:r>
      <w:r>
        <w:rPr>
          <w:rFonts w:hint="eastAsia" w:ascii="宋体"/>
          <w:b w:val="0"/>
          <w:color w:val="auto"/>
          <w:sz w:val="24"/>
          <w:szCs w:val="24"/>
          <w:u w:val="single"/>
          <w:lang w:val="en-US" w:eastAsia="zh-CN"/>
        </w:rPr>
        <w:t xml:space="preserve">    </w:t>
      </w:r>
      <w:r>
        <w:rPr>
          <w:rFonts w:hint="eastAsia" w:ascii="宋体"/>
          <w:b w:val="0"/>
          <w:color w:val="auto"/>
          <w:sz w:val="24"/>
          <w:szCs w:val="24"/>
        </w:rPr>
        <w:t>之日起没有担任其它工程项目负责人。如有弄虚作假的行为，除废除中标资格外，自愿接受在一年内不得进入湛江市公共资源交易市场投标的处理。</w:t>
      </w:r>
    </w:p>
    <w:p>
      <w:pPr>
        <w:spacing w:line="520" w:lineRule="exact"/>
        <w:ind w:firstLine="4480" w:firstLineChars="1600"/>
        <w:rPr>
          <w:rFonts w:ascii="宋体"/>
          <w:color w:val="auto"/>
          <w:sz w:val="28"/>
          <w:szCs w:val="28"/>
        </w:rPr>
      </w:pPr>
    </w:p>
    <w:p>
      <w:pPr>
        <w:spacing w:line="520" w:lineRule="exact"/>
        <w:ind w:firstLine="4480" w:firstLineChars="1600"/>
        <w:rPr>
          <w:rFonts w:ascii="宋体"/>
          <w:color w:val="auto"/>
          <w:sz w:val="24"/>
        </w:rPr>
      </w:pPr>
      <w:r>
        <w:rPr>
          <w:rFonts w:hint="eastAsia" w:ascii="宋体"/>
          <w:color w:val="auto"/>
          <w:sz w:val="28"/>
          <w:szCs w:val="28"/>
        </w:rPr>
        <w:t>投标人：（盖章）</w:t>
      </w:r>
    </w:p>
    <w:p>
      <w:pPr>
        <w:spacing w:line="520" w:lineRule="exact"/>
        <w:ind w:firstLine="4480" w:firstLineChars="1600"/>
        <w:rPr>
          <w:rFonts w:ascii="宋体"/>
          <w:color w:val="auto"/>
          <w:sz w:val="24"/>
        </w:rPr>
      </w:pPr>
      <w:r>
        <w:rPr>
          <w:rFonts w:hint="eastAsia" w:ascii="宋体"/>
          <w:color w:val="auto"/>
          <w:sz w:val="28"/>
          <w:szCs w:val="28"/>
        </w:rPr>
        <w:t>法定代表人：（亲笔签名）</w:t>
      </w:r>
    </w:p>
    <w:p>
      <w:pPr>
        <w:spacing w:line="520" w:lineRule="exact"/>
        <w:ind w:firstLine="4480" w:firstLineChars="1600"/>
        <w:rPr>
          <w:color w:val="auto"/>
        </w:rPr>
      </w:pPr>
      <w:r>
        <w:rPr>
          <w:rFonts w:hint="eastAsia" w:ascii="宋体"/>
          <w:color w:val="auto"/>
          <w:sz w:val="28"/>
          <w:szCs w:val="28"/>
        </w:rPr>
        <w:t>日期：</w:t>
      </w:r>
      <w:r>
        <w:rPr>
          <w:rFonts w:hint="eastAsia" w:ascii="宋体"/>
          <w:color w:val="auto"/>
          <w:sz w:val="28"/>
          <w:szCs w:val="28"/>
          <w:lang w:val="en-US" w:eastAsia="zh-CN"/>
        </w:rPr>
        <w:t xml:space="preserve">  </w:t>
      </w:r>
      <w:r>
        <w:rPr>
          <w:rFonts w:hint="eastAsia" w:ascii="宋体"/>
          <w:color w:val="auto"/>
          <w:sz w:val="28"/>
          <w:szCs w:val="28"/>
        </w:rPr>
        <w:t>年</w:t>
      </w:r>
      <w:r>
        <w:rPr>
          <w:rFonts w:hint="eastAsia" w:ascii="宋体"/>
          <w:color w:val="auto"/>
          <w:sz w:val="28"/>
          <w:szCs w:val="28"/>
          <w:lang w:val="en-US" w:eastAsia="zh-CN"/>
        </w:rPr>
        <w:t xml:space="preserve">   </w:t>
      </w:r>
      <w:r>
        <w:rPr>
          <w:rFonts w:hint="eastAsia" w:ascii="宋体"/>
          <w:color w:val="auto"/>
          <w:sz w:val="28"/>
          <w:szCs w:val="28"/>
        </w:rPr>
        <w:t>月</w:t>
      </w:r>
      <w:r>
        <w:rPr>
          <w:rFonts w:hint="eastAsia" w:ascii="宋体"/>
          <w:color w:val="auto"/>
          <w:sz w:val="28"/>
          <w:szCs w:val="28"/>
          <w:lang w:val="en-US" w:eastAsia="zh-CN"/>
        </w:rPr>
        <w:t xml:space="preserve">   </w:t>
      </w:r>
      <w:r>
        <w:rPr>
          <w:rFonts w:hint="eastAsia" w:ascii="宋体"/>
          <w:color w:val="auto"/>
          <w:sz w:val="28"/>
          <w:szCs w:val="28"/>
        </w:rPr>
        <w:t>日</w:t>
      </w:r>
      <w:bookmarkStart w:id="38" w:name="_Toc48210822"/>
      <w:bookmarkStart w:id="39" w:name="_Toc438028559"/>
      <w:bookmarkStart w:id="40" w:name="_Toc270928562"/>
      <w:bookmarkStart w:id="41" w:name="_Toc311106217"/>
      <w:bookmarkStart w:id="42" w:name="_Toc343531183"/>
    </w:p>
    <w:p>
      <w:pPr>
        <w:pStyle w:val="4"/>
        <w:spacing w:before="0" w:after="0" w:line="240" w:lineRule="auto"/>
        <w:jc w:val="left"/>
        <w:rPr>
          <w:rFonts w:ascii="宋体" w:hAnsi="宋体" w:eastAsia="宋体"/>
          <w:color w:val="auto"/>
        </w:rPr>
      </w:pPr>
      <w:bookmarkStart w:id="43" w:name="_Toc30216"/>
      <w:r>
        <w:rPr>
          <w:rFonts w:hint="eastAsia" w:ascii="宋体" w:hAnsi="宋体" w:eastAsia="宋体"/>
          <w:color w:val="auto"/>
        </w:rPr>
        <w:t>投标格式</w:t>
      </w:r>
      <w:bookmarkEnd w:id="38"/>
      <w:r>
        <w:rPr>
          <w:rFonts w:hint="eastAsia" w:ascii="宋体" w:hAnsi="宋体" w:eastAsia="宋体"/>
          <w:color w:val="auto"/>
        </w:rPr>
        <w:t>三</w:t>
      </w:r>
      <w:bookmarkEnd w:id="43"/>
    </w:p>
    <w:p>
      <w:pPr>
        <w:rPr>
          <w:color w:val="auto"/>
        </w:rPr>
      </w:pPr>
    </w:p>
    <w:p>
      <w:pPr>
        <w:jc w:val="center"/>
        <w:rPr>
          <w:b/>
          <w:color w:val="auto"/>
          <w:sz w:val="32"/>
          <w:szCs w:val="32"/>
        </w:rPr>
      </w:pPr>
      <w:bookmarkStart w:id="44" w:name="_Toc48210823"/>
      <w:bookmarkStart w:id="45" w:name="_Toc119303198"/>
      <w:bookmarkStart w:id="46" w:name="_Toc233434180"/>
      <w:bookmarkStart w:id="47" w:name="_Toc115711118"/>
      <w:bookmarkStart w:id="48" w:name="_Toc117917951"/>
      <w:r>
        <w:rPr>
          <w:rFonts w:hint="eastAsia"/>
          <w:b/>
          <w:color w:val="auto"/>
          <w:sz w:val="32"/>
          <w:szCs w:val="32"/>
        </w:rPr>
        <w:t>对本项目资金使用及保证不拖欠分包单位工程款和</w:t>
      </w:r>
    </w:p>
    <w:p>
      <w:pPr>
        <w:jc w:val="center"/>
        <w:rPr>
          <w:rFonts w:ascii="宋体" w:hAnsi="宋体"/>
          <w:b/>
          <w:color w:val="auto"/>
          <w:sz w:val="28"/>
          <w:szCs w:val="28"/>
        </w:rPr>
      </w:pPr>
      <w:r>
        <w:rPr>
          <w:rFonts w:hint="eastAsia"/>
          <w:b/>
          <w:color w:val="auto"/>
          <w:sz w:val="32"/>
          <w:szCs w:val="32"/>
        </w:rPr>
        <w:t>农民工工资的承诺书</w:t>
      </w:r>
      <w:bookmarkEnd w:id="39"/>
      <w:bookmarkEnd w:id="40"/>
      <w:bookmarkEnd w:id="41"/>
      <w:bookmarkEnd w:id="42"/>
      <w:bookmarkEnd w:id="44"/>
      <w:bookmarkEnd w:id="45"/>
      <w:bookmarkEnd w:id="46"/>
      <w:bookmarkEnd w:id="47"/>
      <w:bookmarkEnd w:id="48"/>
    </w:p>
    <w:p>
      <w:pPr>
        <w:spacing w:line="600" w:lineRule="exact"/>
        <w:rPr>
          <w:rFonts w:ascii="宋体" w:hAnsi="宋体"/>
          <w:b/>
          <w:color w:val="auto"/>
          <w:sz w:val="24"/>
        </w:rPr>
      </w:pPr>
      <w:r>
        <w:rPr>
          <w:rFonts w:hint="eastAsia" w:ascii="宋体" w:hAnsi="宋体"/>
          <w:b/>
          <w:color w:val="auto"/>
          <w:sz w:val="24"/>
        </w:rPr>
        <w:t>致</w:t>
      </w:r>
      <w:r>
        <w:rPr>
          <w:rFonts w:hint="eastAsia" w:ascii="宋体" w:hAnsi="宋体"/>
          <w:b/>
          <w:color w:val="auto"/>
          <w:sz w:val="24"/>
          <w:u w:val="single"/>
        </w:rPr>
        <w:t xml:space="preserve">   （招标人）    </w:t>
      </w:r>
      <w:r>
        <w:rPr>
          <w:rFonts w:hint="eastAsia" w:ascii="宋体" w:hAnsi="宋体"/>
          <w:b/>
          <w:color w:val="auto"/>
          <w:sz w:val="24"/>
        </w:rPr>
        <w:t xml:space="preserve">： </w:t>
      </w:r>
    </w:p>
    <w:p>
      <w:pPr>
        <w:spacing w:line="600" w:lineRule="exact"/>
        <w:rPr>
          <w:rFonts w:ascii="宋体" w:hAnsi="宋体" w:cs="宋体"/>
          <w:color w:val="auto"/>
          <w:sz w:val="24"/>
        </w:rPr>
      </w:pPr>
      <w:r>
        <w:rPr>
          <w:rFonts w:hint="eastAsia" w:ascii="宋体" w:hAnsi="宋体" w:cs="宋体"/>
          <w:color w:val="auto"/>
          <w:sz w:val="24"/>
        </w:rPr>
        <w:t xml:space="preserve">    如果我们的投标被接受，我们保证对本项目的工程款实行专款专用，保证所有工程款项均投入到本项目中。保证按专业工程资金使用计划及完成进度情况足额支付专业工程分包单位的工程款；并按国家的有关规定制订保证农民工工资支付的方案及保证措施，并在资金使用计划表中按月单列需支付的农民工工资计划，否则将无条件接受合同条款的处罚，弥补发包人的损失，直至解除合同。因我方未能履行对本承诺和《施工合同》条款的责任，在你方宣布解除合同时，解除合同前我方对项目建设投入的人工和材料、设备等的经济支出，视为我方对本项目的无偿贡献，不需你方追偿。并保证在你方宣布解除合同时的</w:t>
      </w:r>
      <w:r>
        <w:rPr>
          <w:rFonts w:hint="eastAsia" w:ascii="宋体" w:hAnsi="宋体" w:cs="宋体"/>
          <w:color w:val="auto"/>
          <w:sz w:val="24"/>
          <w:u w:val="single"/>
          <w:lang w:val="en-US" w:eastAsia="zh-CN"/>
        </w:rPr>
        <w:t xml:space="preserve"> 5 </w:t>
      </w:r>
      <w:r>
        <w:rPr>
          <w:rFonts w:hint="eastAsia" w:ascii="宋体" w:hAnsi="宋体" w:cs="宋体"/>
          <w:color w:val="auto"/>
          <w:sz w:val="24"/>
        </w:rPr>
        <w:t>日内自行撤离人员和设备，由你方选定的接替建设的工程队伍接替施工。若不自行撤离人员和设备，在工地的人员和设备由你方处置或使用，听任你方支配和使用的设备我方不收任何费用（包括：使用我方不撤离的设备不收取租赁费用、折旧费等）。</w:t>
      </w:r>
    </w:p>
    <w:p>
      <w:pPr>
        <w:spacing w:line="600" w:lineRule="exact"/>
        <w:ind w:firstLine="480" w:firstLineChars="200"/>
        <w:rPr>
          <w:rFonts w:ascii="宋体" w:hAnsi="宋体" w:cs="宋体"/>
          <w:color w:val="auto"/>
          <w:sz w:val="24"/>
        </w:rPr>
      </w:pPr>
      <w:r>
        <w:rPr>
          <w:rFonts w:hint="eastAsia" w:ascii="宋体" w:hAnsi="宋体" w:cs="宋体"/>
          <w:color w:val="auto"/>
          <w:sz w:val="24"/>
        </w:rPr>
        <w:t>如若中标，除合同规定的不可抗力和招标人认为的合理原因之外，我们承诺将按农民工工资及时发放方案及保证措施发放民工工资，否则，将无条件接受合同条款的处罚。</w:t>
      </w:r>
    </w:p>
    <w:p>
      <w:pPr>
        <w:spacing w:line="520" w:lineRule="exact"/>
        <w:ind w:firstLine="3720" w:firstLineChars="1550"/>
        <w:rPr>
          <w:rFonts w:ascii="宋体"/>
          <w:color w:val="auto"/>
          <w:sz w:val="28"/>
          <w:szCs w:val="28"/>
          <w:u w:val="single"/>
        </w:rPr>
      </w:pPr>
      <w:r>
        <w:rPr>
          <w:rFonts w:hint="eastAsia" w:ascii="宋体" w:hAnsi="宋体" w:cs="宋体"/>
          <w:color w:val="auto"/>
          <w:sz w:val="24"/>
        </w:rPr>
        <w:t>投 标 单 位（盖章）：</w:t>
      </w:r>
    </w:p>
    <w:p>
      <w:pPr>
        <w:spacing w:line="520" w:lineRule="exact"/>
        <w:ind w:firstLine="3720" w:firstLineChars="1550"/>
        <w:rPr>
          <w:rFonts w:ascii="宋体"/>
          <w:color w:val="auto"/>
          <w:sz w:val="28"/>
          <w:szCs w:val="28"/>
          <w:u w:val="single"/>
        </w:rPr>
      </w:pPr>
      <w:r>
        <w:rPr>
          <w:rFonts w:hint="eastAsia" w:ascii="宋体" w:hAnsi="宋体" w:cs="宋体"/>
          <w:color w:val="auto"/>
          <w:sz w:val="24"/>
        </w:rPr>
        <w:t>法定代表人（亲笔签名）：</w:t>
      </w:r>
    </w:p>
    <w:p>
      <w:pPr>
        <w:spacing w:line="520" w:lineRule="exact"/>
        <w:ind w:firstLine="3720" w:firstLineChars="155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pStyle w:val="57"/>
        <w:spacing w:line="520" w:lineRule="exact"/>
        <w:ind w:firstLine="0"/>
        <w:outlineLvl w:val="2"/>
        <w:rPr>
          <w:color w:val="auto"/>
        </w:rPr>
        <w:sectPr>
          <w:footerReference r:id="rId12" w:type="first"/>
          <w:footerReference r:id="rId10" w:type="default"/>
          <w:footerReference r:id="rId11" w:type="even"/>
          <w:pgSz w:w="11907" w:h="16840"/>
          <w:pgMar w:top="1418" w:right="1588" w:bottom="1418" w:left="1701" w:header="851" w:footer="992" w:gutter="0"/>
          <w:cols w:space="720" w:num="1"/>
          <w:titlePg/>
          <w:docGrid w:type="linesAndChars" w:linePitch="312" w:charSpace="0"/>
        </w:sectPr>
      </w:pPr>
    </w:p>
    <w:p>
      <w:pPr>
        <w:pStyle w:val="57"/>
        <w:spacing w:line="520" w:lineRule="exact"/>
        <w:ind w:firstLine="0"/>
        <w:outlineLvl w:val="2"/>
        <w:rPr>
          <w:rFonts w:ascii="宋体"/>
          <w:bCs/>
          <w:color w:val="auto"/>
          <w:szCs w:val="32"/>
        </w:rPr>
      </w:pPr>
      <w:bookmarkStart w:id="49" w:name="_Toc252979593"/>
      <w:bookmarkStart w:id="50" w:name="_Toc438028562"/>
      <w:bookmarkStart w:id="51" w:name="_Toc48210824"/>
      <w:r>
        <w:rPr>
          <w:rFonts w:hint="eastAsia" w:ascii="宋体"/>
          <w:bCs/>
          <w:color w:val="auto"/>
          <w:szCs w:val="32"/>
        </w:rPr>
        <w:t>投标格式</w:t>
      </w:r>
      <w:bookmarkEnd w:id="49"/>
      <w:bookmarkEnd w:id="50"/>
      <w:bookmarkEnd w:id="51"/>
      <w:r>
        <w:rPr>
          <w:rFonts w:hint="eastAsia" w:ascii="宋体"/>
          <w:bCs/>
          <w:color w:val="auto"/>
          <w:szCs w:val="32"/>
        </w:rPr>
        <w:t>四</w:t>
      </w:r>
    </w:p>
    <w:p>
      <w:pPr>
        <w:pStyle w:val="57"/>
        <w:spacing w:line="520" w:lineRule="exact"/>
        <w:ind w:hanging="180"/>
        <w:rPr>
          <w:rFonts w:ascii="宋体"/>
          <w:color w:val="auto"/>
          <w:sz w:val="28"/>
          <w:szCs w:val="28"/>
          <w:u w:val="single"/>
        </w:rPr>
      </w:pPr>
    </w:p>
    <w:p>
      <w:pPr>
        <w:pStyle w:val="57"/>
        <w:spacing w:line="520" w:lineRule="exact"/>
        <w:ind w:hanging="180"/>
        <w:rPr>
          <w:rFonts w:ascii="宋体"/>
          <w:color w:val="auto"/>
          <w:sz w:val="28"/>
          <w:szCs w:val="28"/>
          <w:u w:val="single"/>
        </w:rPr>
      </w:pPr>
    </w:p>
    <w:p>
      <w:pPr>
        <w:pStyle w:val="57"/>
        <w:spacing w:line="520" w:lineRule="exact"/>
        <w:ind w:hanging="180"/>
        <w:rPr>
          <w:rFonts w:ascii="宋体"/>
          <w:color w:val="auto"/>
          <w:sz w:val="28"/>
          <w:szCs w:val="28"/>
          <w:u w:val="single"/>
        </w:rPr>
      </w:pPr>
    </w:p>
    <w:p>
      <w:pPr>
        <w:spacing w:line="520" w:lineRule="exact"/>
        <w:jc w:val="center"/>
        <w:rPr>
          <w:rFonts w:ascii="宋体"/>
          <w:b/>
          <w:bCs/>
          <w:color w:val="auto"/>
          <w:sz w:val="44"/>
          <w:szCs w:val="44"/>
        </w:rPr>
      </w:pPr>
      <w:r>
        <w:rPr>
          <w:rFonts w:hint="eastAsia" w:ascii="宋体"/>
          <w:b/>
          <w:bCs/>
          <w:color w:val="auto"/>
          <w:sz w:val="44"/>
          <w:szCs w:val="44"/>
        </w:rPr>
        <w:t>工程</w:t>
      </w:r>
    </w:p>
    <w:p>
      <w:pPr>
        <w:spacing w:line="520" w:lineRule="exact"/>
        <w:rPr>
          <w:rFonts w:ascii="宋体"/>
          <w:color w:val="auto"/>
          <w:sz w:val="44"/>
          <w:szCs w:val="44"/>
        </w:rPr>
      </w:pPr>
    </w:p>
    <w:p>
      <w:pPr>
        <w:spacing w:line="520" w:lineRule="exact"/>
        <w:rPr>
          <w:rFonts w:ascii="宋体"/>
          <w:color w:val="auto"/>
          <w:sz w:val="44"/>
          <w:szCs w:val="44"/>
        </w:rPr>
      </w:pPr>
    </w:p>
    <w:p>
      <w:pPr>
        <w:spacing w:line="520" w:lineRule="exact"/>
        <w:rPr>
          <w:rFonts w:ascii="宋体"/>
          <w:color w:val="auto"/>
          <w:sz w:val="44"/>
          <w:szCs w:val="44"/>
        </w:rPr>
      </w:pPr>
    </w:p>
    <w:p>
      <w:pPr>
        <w:pStyle w:val="60"/>
        <w:spacing w:line="520" w:lineRule="exact"/>
        <w:rPr>
          <w:rFonts w:ascii="宋体"/>
          <w:bCs/>
          <w:color w:val="auto"/>
          <w:szCs w:val="44"/>
        </w:rPr>
      </w:pPr>
      <w:r>
        <w:rPr>
          <w:rFonts w:hint="eastAsia" w:ascii="宋体"/>
          <w:bCs/>
          <w:color w:val="auto"/>
          <w:szCs w:val="44"/>
        </w:rPr>
        <w:t>工程量清单报价表</w:t>
      </w:r>
    </w:p>
    <w:p>
      <w:pPr>
        <w:spacing w:line="520" w:lineRule="exact"/>
        <w:rPr>
          <w:rFonts w:ascii="宋体"/>
          <w:color w:val="auto"/>
          <w:sz w:val="44"/>
          <w:szCs w:val="44"/>
        </w:rPr>
      </w:pPr>
    </w:p>
    <w:p>
      <w:pPr>
        <w:spacing w:line="520" w:lineRule="exact"/>
        <w:rPr>
          <w:rFonts w:ascii="宋体"/>
          <w:color w:val="auto"/>
          <w:sz w:val="44"/>
          <w:szCs w:val="44"/>
        </w:rPr>
      </w:pPr>
    </w:p>
    <w:p>
      <w:pPr>
        <w:spacing w:line="520" w:lineRule="exact"/>
        <w:rPr>
          <w:rFonts w:ascii="宋体"/>
          <w:color w:val="auto"/>
          <w:sz w:val="44"/>
          <w:szCs w:val="44"/>
        </w:rPr>
      </w:pPr>
    </w:p>
    <w:p>
      <w:pPr>
        <w:spacing w:line="520" w:lineRule="exact"/>
        <w:rPr>
          <w:rFonts w:ascii="宋体"/>
          <w:color w:val="auto"/>
          <w:sz w:val="28"/>
          <w:szCs w:val="28"/>
        </w:rPr>
      </w:pPr>
    </w:p>
    <w:p>
      <w:pPr>
        <w:pStyle w:val="2"/>
        <w:rPr>
          <w:rFonts w:hint="default"/>
          <w:color w:val="auto"/>
        </w:rPr>
      </w:pPr>
    </w:p>
    <w:p>
      <w:pPr>
        <w:rPr>
          <w:color w:val="auto"/>
        </w:rPr>
      </w:pPr>
    </w:p>
    <w:p>
      <w:pPr>
        <w:spacing w:line="520" w:lineRule="exact"/>
        <w:rPr>
          <w:rFonts w:ascii="宋体"/>
          <w:color w:val="auto"/>
          <w:sz w:val="28"/>
          <w:szCs w:val="28"/>
        </w:rPr>
      </w:pPr>
    </w:p>
    <w:p>
      <w:pPr>
        <w:spacing w:line="520" w:lineRule="exact"/>
        <w:rPr>
          <w:rFonts w:ascii="宋体"/>
          <w:color w:val="auto"/>
          <w:sz w:val="28"/>
          <w:szCs w:val="28"/>
        </w:rPr>
      </w:pPr>
    </w:p>
    <w:p>
      <w:pPr>
        <w:spacing w:line="520" w:lineRule="exact"/>
        <w:rPr>
          <w:rFonts w:ascii="宋体"/>
          <w:color w:val="auto"/>
          <w:sz w:val="28"/>
          <w:szCs w:val="28"/>
        </w:rPr>
      </w:pPr>
    </w:p>
    <w:p>
      <w:pPr>
        <w:spacing w:line="520" w:lineRule="exact"/>
        <w:ind w:firstLine="422" w:firstLineChars="150"/>
        <w:rPr>
          <w:rFonts w:ascii="宋体"/>
          <w:b/>
          <w:color w:val="auto"/>
          <w:sz w:val="28"/>
          <w:szCs w:val="28"/>
          <w:u w:val="single"/>
        </w:rPr>
      </w:pPr>
      <w:r>
        <w:rPr>
          <w:rFonts w:hint="eastAsia" w:ascii="宋体"/>
          <w:b/>
          <w:color w:val="auto"/>
          <w:sz w:val="28"/>
          <w:szCs w:val="28"/>
        </w:rPr>
        <w:t>投  标  人：（单位盖章）</w:t>
      </w:r>
    </w:p>
    <w:p>
      <w:pPr>
        <w:spacing w:line="520" w:lineRule="exact"/>
        <w:rPr>
          <w:rFonts w:ascii="宋体"/>
          <w:b/>
          <w:color w:val="auto"/>
          <w:sz w:val="28"/>
          <w:szCs w:val="28"/>
        </w:rPr>
      </w:pPr>
    </w:p>
    <w:p>
      <w:pPr>
        <w:spacing w:line="520" w:lineRule="exact"/>
        <w:ind w:firstLine="422" w:firstLineChars="150"/>
        <w:rPr>
          <w:rFonts w:ascii="宋体"/>
          <w:b/>
          <w:color w:val="auto"/>
          <w:sz w:val="28"/>
          <w:szCs w:val="28"/>
        </w:rPr>
      </w:pPr>
      <w:r>
        <w:rPr>
          <w:rFonts w:hint="eastAsia" w:ascii="宋体"/>
          <w:b/>
          <w:color w:val="auto"/>
          <w:sz w:val="28"/>
          <w:szCs w:val="28"/>
        </w:rPr>
        <w:t>法定代表人：（亲笔签名）</w:t>
      </w:r>
    </w:p>
    <w:p>
      <w:pPr>
        <w:spacing w:line="520" w:lineRule="exact"/>
        <w:rPr>
          <w:rFonts w:ascii="宋体"/>
          <w:b/>
          <w:color w:val="auto"/>
          <w:sz w:val="28"/>
          <w:szCs w:val="28"/>
        </w:rPr>
      </w:pPr>
    </w:p>
    <w:p>
      <w:pPr>
        <w:spacing w:line="520" w:lineRule="exact"/>
        <w:ind w:firstLine="422" w:firstLineChars="150"/>
        <w:rPr>
          <w:rFonts w:ascii="宋体"/>
          <w:color w:val="auto"/>
          <w:sz w:val="28"/>
          <w:szCs w:val="28"/>
          <w:u w:val="single"/>
        </w:rPr>
      </w:pPr>
      <w:r>
        <w:rPr>
          <w:rFonts w:hint="eastAsia" w:ascii="宋体"/>
          <w:b/>
          <w:color w:val="auto"/>
          <w:sz w:val="28"/>
          <w:szCs w:val="28"/>
        </w:rPr>
        <w:t>编制时间：</w:t>
      </w:r>
      <w:r>
        <w:rPr>
          <w:rFonts w:hint="eastAsia" w:ascii="宋体"/>
          <w:b/>
          <w:color w:val="auto"/>
          <w:sz w:val="28"/>
          <w:szCs w:val="28"/>
          <w:lang w:val="en-US" w:eastAsia="zh-CN"/>
        </w:rPr>
        <w:t xml:space="preserve">   </w:t>
      </w:r>
      <w:r>
        <w:rPr>
          <w:rFonts w:hint="eastAsia"/>
          <w:b/>
          <w:color w:val="auto"/>
          <w:sz w:val="28"/>
          <w:szCs w:val="28"/>
        </w:rPr>
        <w:t>年</w:t>
      </w:r>
      <w:r>
        <w:rPr>
          <w:rFonts w:hint="eastAsia"/>
          <w:b/>
          <w:color w:val="auto"/>
          <w:sz w:val="28"/>
          <w:szCs w:val="28"/>
          <w:lang w:val="en-US" w:eastAsia="zh-CN"/>
        </w:rPr>
        <w:t xml:space="preserve">   </w:t>
      </w:r>
      <w:r>
        <w:rPr>
          <w:rFonts w:hint="eastAsia"/>
          <w:b/>
          <w:color w:val="auto"/>
          <w:sz w:val="28"/>
          <w:szCs w:val="28"/>
        </w:rPr>
        <w:t>月</w:t>
      </w:r>
      <w:r>
        <w:rPr>
          <w:rFonts w:hint="eastAsia"/>
          <w:b/>
          <w:color w:val="auto"/>
          <w:sz w:val="28"/>
          <w:szCs w:val="28"/>
          <w:lang w:val="en-US" w:eastAsia="zh-CN"/>
        </w:rPr>
        <w:t xml:space="preserve">   </w:t>
      </w:r>
      <w:r>
        <w:rPr>
          <w:rFonts w:hint="eastAsia"/>
          <w:b/>
          <w:color w:val="auto"/>
          <w:sz w:val="28"/>
          <w:szCs w:val="28"/>
        </w:rPr>
        <w:t>日</w:t>
      </w:r>
    </w:p>
    <w:p>
      <w:pPr>
        <w:pStyle w:val="10"/>
        <w:spacing w:line="520" w:lineRule="exact"/>
        <w:jc w:val="center"/>
        <w:rPr>
          <w:b/>
          <w:bCs/>
          <w:color w:val="auto"/>
          <w:sz w:val="28"/>
          <w:szCs w:val="28"/>
        </w:rPr>
      </w:pPr>
    </w:p>
    <w:p>
      <w:pPr>
        <w:pStyle w:val="10"/>
        <w:spacing w:line="520" w:lineRule="exact"/>
        <w:jc w:val="center"/>
        <w:rPr>
          <w:b/>
          <w:bCs/>
          <w:color w:val="auto"/>
          <w:sz w:val="28"/>
          <w:szCs w:val="28"/>
        </w:rPr>
      </w:pPr>
    </w:p>
    <w:p>
      <w:pPr>
        <w:pStyle w:val="10"/>
        <w:spacing w:line="520" w:lineRule="exact"/>
        <w:jc w:val="center"/>
        <w:rPr>
          <w:b/>
          <w:bCs/>
          <w:color w:val="auto"/>
          <w:sz w:val="28"/>
          <w:szCs w:val="28"/>
        </w:rPr>
      </w:pPr>
    </w:p>
    <w:p>
      <w:pPr>
        <w:pStyle w:val="2"/>
        <w:spacing w:before="0" w:beforeAutospacing="0" w:after="0" w:afterAutospacing="0" w:line="520" w:lineRule="exact"/>
        <w:rPr>
          <w:rFonts w:hint="default" w:hAnsi="Times New Roman"/>
          <w:color w:val="auto"/>
          <w:kern w:val="2"/>
          <w:szCs w:val="32"/>
        </w:rPr>
      </w:pPr>
      <w:bookmarkStart w:id="52" w:name="_Toc252979594"/>
      <w:bookmarkStart w:id="53" w:name="_Toc48210825"/>
      <w:bookmarkStart w:id="54" w:name="_Toc438028563"/>
      <w:bookmarkStart w:id="55" w:name="_Toc19359"/>
      <w:r>
        <w:rPr>
          <w:rFonts w:hAnsi="Times New Roman"/>
          <w:color w:val="auto"/>
          <w:kern w:val="2"/>
          <w:szCs w:val="32"/>
        </w:rPr>
        <w:t>投标格式</w:t>
      </w:r>
      <w:bookmarkEnd w:id="52"/>
      <w:bookmarkEnd w:id="53"/>
      <w:bookmarkEnd w:id="54"/>
      <w:r>
        <w:rPr>
          <w:rFonts w:hAnsi="Times New Roman"/>
          <w:color w:val="auto"/>
          <w:kern w:val="2"/>
          <w:szCs w:val="32"/>
        </w:rPr>
        <w:t>五</w:t>
      </w:r>
      <w:bookmarkEnd w:id="55"/>
    </w:p>
    <w:p>
      <w:pPr>
        <w:pStyle w:val="10"/>
        <w:spacing w:line="520" w:lineRule="exact"/>
        <w:rPr>
          <w:bCs/>
          <w:color w:val="auto"/>
          <w:sz w:val="28"/>
          <w:szCs w:val="28"/>
        </w:rPr>
      </w:pPr>
    </w:p>
    <w:p>
      <w:pPr>
        <w:pStyle w:val="10"/>
        <w:spacing w:line="520" w:lineRule="exact"/>
        <w:rPr>
          <w:b/>
          <w:bCs/>
          <w:color w:val="auto"/>
          <w:sz w:val="28"/>
          <w:szCs w:val="28"/>
        </w:rPr>
      </w:pPr>
    </w:p>
    <w:p>
      <w:pPr>
        <w:pStyle w:val="10"/>
        <w:spacing w:line="520" w:lineRule="exact"/>
        <w:jc w:val="center"/>
        <w:rPr>
          <w:b/>
          <w:bCs/>
          <w:color w:val="auto"/>
          <w:sz w:val="44"/>
          <w:szCs w:val="44"/>
        </w:rPr>
      </w:pPr>
      <w:r>
        <w:rPr>
          <w:rFonts w:hint="eastAsia"/>
          <w:b/>
          <w:bCs/>
          <w:color w:val="auto"/>
          <w:sz w:val="44"/>
          <w:szCs w:val="44"/>
        </w:rPr>
        <w:t xml:space="preserve"> 投 标 总 价</w:t>
      </w:r>
    </w:p>
    <w:p>
      <w:pPr>
        <w:pStyle w:val="10"/>
        <w:spacing w:line="520" w:lineRule="exact"/>
        <w:jc w:val="center"/>
        <w:rPr>
          <w:color w:val="auto"/>
          <w:sz w:val="28"/>
          <w:szCs w:val="28"/>
        </w:rPr>
      </w:pPr>
    </w:p>
    <w:p>
      <w:pPr>
        <w:pStyle w:val="10"/>
        <w:spacing w:line="520" w:lineRule="exact"/>
        <w:ind w:firstLine="560" w:firstLineChars="200"/>
        <w:rPr>
          <w:color w:val="auto"/>
          <w:sz w:val="28"/>
          <w:szCs w:val="28"/>
        </w:rPr>
      </w:pPr>
    </w:p>
    <w:p>
      <w:pPr>
        <w:pStyle w:val="10"/>
        <w:spacing w:line="520" w:lineRule="exact"/>
        <w:ind w:firstLine="700" w:firstLineChars="249"/>
        <w:rPr>
          <w:b/>
          <w:color w:val="auto"/>
          <w:sz w:val="28"/>
          <w:szCs w:val="28"/>
          <w:u w:val="single"/>
        </w:rPr>
      </w:pPr>
      <w:r>
        <w:rPr>
          <w:rFonts w:hint="eastAsia"/>
          <w:b/>
          <w:color w:val="auto"/>
          <w:sz w:val="28"/>
          <w:szCs w:val="28"/>
        </w:rPr>
        <w:t>招标人名称：</w:t>
      </w:r>
    </w:p>
    <w:p>
      <w:pPr>
        <w:pStyle w:val="10"/>
        <w:spacing w:line="520" w:lineRule="exact"/>
        <w:ind w:firstLine="1968" w:firstLineChars="700"/>
        <w:rPr>
          <w:b/>
          <w:color w:val="auto"/>
          <w:sz w:val="28"/>
          <w:szCs w:val="28"/>
        </w:rPr>
      </w:pPr>
    </w:p>
    <w:p>
      <w:pPr>
        <w:pStyle w:val="10"/>
        <w:spacing w:line="520" w:lineRule="exact"/>
        <w:ind w:firstLine="700" w:firstLineChars="249"/>
        <w:rPr>
          <w:b/>
          <w:color w:val="auto"/>
          <w:sz w:val="28"/>
          <w:szCs w:val="28"/>
          <w:u w:val="single"/>
        </w:rPr>
      </w:pPr>
      <w:r>
        <w:rPr>
          <w:rFonts w:hint="eastAsia"/>
          <w:b/>
          <w:color w:val="auto"/>
          <w:sz w:val="28"/>
          <w:szCs w:val="28"/>
        </w:rPr>
        <w:t>工程名称：</w:t>
      </w:r>
    </w:p>
    <w:p>
      <w:pPr>
        <w:pStyle w:val="10"/>
        <w:spacing w:line="520" w:lineRule="exact"/>
        <w:rPr>
          <w:b/>
          <w:color w:val="auto"/>
          <w:sz w:val="28"/>
          <w:szCs w:val="28"/>
        </w:rPr>
      </w:pPr>
    </w:p>
    <w:p>
      <w:pPr>
        <w:pStyle w:val="10"/>
        <w:spacing w:line="520" w:lineRule="exact"/>
        <w:ind w:firstLine="700" w:firstLineChars="249"/>
        <w:rPr>
          <w:b/>
          <w:color w:val="auto"/>
          <w:sz w:val="28"/>
          <w:szCs w:val="28"/>
          <w:u w:val="single"/>
        </w:rPr>
      </w:pPr>
      <w:r>
        <w:rPr>
          <w:rFonts w:hint="eastAsia"/>
          <w:b/>
          <w:color w:val="auto"/>
          <w:sz w:val="28"/>
          <w:szCs w:val="28"/>
        </w:rPr>
        <w:t>投标总价（小写）：</w:t>
      </w:r>
    </w:p>
    <w:p>
      <w:pPr>
        <w:pStyle w:val="10"/>
        <w:spacing w:line="520" w:lineRule="exact"/>
        <w:ind w:firstLine="1687" w:firstLineChars="600"/>
        <w:rPr>
          <w:b/>
          <w:color w:val="auto"/>
          <w:sz w:val="28"/>
          <w:szCs w:val="28"/>
        </w:rPr>
      </w:pPr>
    </w:p>
    <w:p>
      <w:pPr>
        <w:pStyle w:val="10"/>
        <w:spacing w:line="520" w:lineRule="exact"/>
        <w:ind w:firstLine="1827" w:firstLineChars="650"/>
        <w:rPr>
          <w:b/>
          <w:color w:val="auto"/>
          <w:sz w:val="28"/>
          <w:szCs w:val="28"/>
        </w:rPr>
      </w:pPr>
      <w:r>
        <w:rPr>
          <w:rFonts w:hint="eastAsia"/>
          <w:b/>
          <w:color w:val="auto"/>
          <w:sz w:val="28"/>
          <w:szCs w:val="28"/>
        </w:rPr>
        <w:t>（大写）：</w:t>
      </w:r>
    </w:p>
    <w:p>
      <w:pPr>
        <w:pStyle w:val="10"/>
        <w:spacing w:line="520" w:lineRule="exact"/>
        <w:ind w:firstLine="562" w:firstLineChars="200"/>
        <w:rPr>
          <w:b/>
          <w:color w:val="auto"/>
          <w:sz w:val="28"/>
          <w:szCs w:val="28"/>
        </w:rPr>
      </w:pPr>
    </w:p>
    <w:p>
      <w:pPr>
        <w:pStyle w:val="10"/>
        <w:spacing w:line="520" w:lineRule="exact"/>
        <w:ind w:firstLine="562" w:firstLineChars="200"/>
        <w:rPr>
          <w:b/>
          <w:color w:val="auto"/>
          <w:sz w:val="28"/>
          <w:szCs w:val="28"/>
        </w:rPr>
      </w:pPr>
    </w:p>
    <w:p>
      <w:pPr>
        <w:pStyle w:val="10"/>
        <w:spacing w:line="520" w:lineRule="exact"/>
        <w:ind w:firstLine="562" w:firstLineChars="200"/>
        <w:rPr>
          <w:b/>
          <w:color w:val="auto"/>
          <w:sz w:val="28"/>
          <w:szCs w:val="28"/>
        </w:rPr>
      </w:pPr>
    </w:p>
    <w:p>
      <w:pPr>
        <w:pStyle w:val="10"/>
        <w:spacing w:line="520" w:lineRule="exact"/>
        <w:ind w:firstLine="562" w:firstLineChars="200"/>
        <w:rPr>
          <w:b/>
          <w:color w:val="auto"/>
          <w:sz w:val="28"/>
          <w:szCs w:val="28"/>
        </w:rPr>
      </w:pPr>
    </w:p>
    <w:p>
      <w:pPr>
        <w:pStyle w:val="10"/>
        <w:spacing w:line="520" w:lineRule="exact"/>
        <w:ind w:firstLine="562" w:firstLineChars="200"/>
        <w:rPr>
          <w:b/>
          <w:color w:val="auto"/>
          <w:sz w:val="28"/>
          <w:szCs w:val="28"/>
        </w:rPr>
      </w:pPr>
    </w:p>
    <w:p>
      <w:pPr>
        <w:pStyle w:val="10"/>
        <w:spacing w:line="520" w:lineRule="exact"/>
        <w:ind w:firstLine="562" w:firstLineChars="200"/>
        <w:rPr>
          <w:b/>
          <w:color w:val="auto"/>
          <w:sz w:val="28"/>
          <w:szCs w:val="28"/>
        </w:rPr>
      </w:pPr>
    </w:p>
    <w:p>
      <w:pPr>
        <w:pStyle w:val="10"/>
        <w:spacing w:line="520" w:lineRule="exact"/>
        <w:ind w:firstLine="697" w:firstLineChars="248"/>
        <w:rPr>
          <w:b/>
          <w:color w:val="auto"/>
          <w:sz w:val="28"/>
          <w:szCs w:val="28"/>
        </w:rPr>
      </w:pPr>
      <w:r>
        <w:rPr>
          <w:rFonts w:hint="eastAsia"/>
          <w:b/>
          <w:color w:val="auto"/>
          <w:sz w:val="28"/>
          <w:szCs w:val="28"/>
        </w:rPr>
        <w:t>投  标  人：（单位盖章）</w:t>
      </w:r>
    </w:p>
    <w:p>
      <w:pPr>
        <w:pStyle w:val="10"/>
        <w:spacing w:line="520" w:lineRule="exact"/>
        <w:ind w:firstLine="281" w:firstLineChars="100"/>
        <w:rPr>
          <w:b/>
          <w:color w:val="auto"/>
          <w:sz w:val="28"/>
          <w:szCs w:val="28"/>
        </w:rPr>
      </w:pPr>
    </w:p>
    <w:p>
      <w:pPr>
        <w:pStyle w:val="10"/>
        <w:spacing w:line="520" w:lineRule="exact"/>
        <w:ind w:firstLine="697" w:firstLineChars="248"/>
        <w:rPr>
          <w:b/>
          <w:color w:val="auto"/>
          <w:sz w:val="28"/>
          <w:szCs w:val="28"/>
        </w:rPr>
      </w:pPr>
      <w:r>
        <w:rPr>
          <w:rFonts w:hint="eastAsia"/>
          <w:b/>
          <w:color w:val="auto"/>
          <w:sz w:val="28"/>
          <w:szCs w:val="28"/>
        </w:rPr>
        <w:t>法定代表人：（亲笔签名）</w:t>
      </w:r>
    </w:p>
    <w:p>
      <w:pPr>
        <w:pStyle w:val="10"/>
        <w:spacing w:line="520" w:lineRule="exact"/>
        <w:ind w:firstLine="281" w:firstLineChars="100"/>
        <w:rPr>
          <w:b/>
          <w:color w:val="auto"/>
          <w:sz w:val="28"/>
          <w:szCs w:val="28"/>
        </w:rPr>
      </w:pPr>
    </w:p>
    <w:p>
      <w:pPr>
        <w:pStyle w:val="10"/>
        <w:spacing w:line="520" w:lineRule="exact"/>
        <w:ind w:firstLine="697" w:firstLineChars="248"/>
        <w:rPr>
          <w:b/>
          <w:color w:val="auto"/>
          <w:sz w:val="28"/>
          <w:szCs w:val="28"/>
        </w:rPr>
      </w:pPr>
      <w:r>
        <w:rPr>
          <w:rFonts w:hint="eastAsia"/>
          <w:b/>
          <w:color w:val="auto"/>
          <w:sz w:val="28"/>
          <w:szCs w:val="28"/>
        </w:rPr>
        <w:t>编制时间：</w:t>
      </w:r>
      <w:r>
        <w:rPr>
          <w:rFonts w:hint="eastAsia"/>
          <w:b/>
          <w:color w:val="auto"/>
          <w:sz w:val="28"/>
          <w:szCs w:val="28"/>
          <w:lang w:val="en-US" w:eastAsia="zh-CN"/>
        </w:rPr>
        <w:t xml:space="preserve">   </w:t>
      </w:r>
      <w:r>
        <w:rPr>
          <w:rFonts w:hint="eastAsia"/>
          <w:b/>
          <w:color w:val="auto"/>
          <w:sz w:val="28"/>
          <w:szCs w:val="28"/>
        </w:rPr>
        <w:t>年</w:t>
      </w:r>
      <w:r>
        <w:rPr>
          <w:rFonts w:hint="eastAsia"/>
          <w:b/>
          <w:color w:val="auto"/>
          <w:sz w:val="28"/>
          <w:szCs w:val="28"/>
          <w:lang w:val="en-US" w:eastAsia="zh-CN"/>
        </w:rPr>
        <w:t xml:space="preserve">   </w:t>
      </w:r>
      <w:r>
        <w:rPr>
          <w:rFonts w:hint="eastAsia"/>
          <w:b/>
          <w:color w:val="auto"/>
          <w:sz w:val="28"/>
          <w:szCs w:val="28"/>
        </w:rPr>
        <w:t>月</w:t>
      </w:r>
      <w:r>
        <w:rPr>
          <w:rFonts w:hint="eastAsia"/>
          <w:b/>
          <w:color w:val="auto"/>
          <w:sz w:val="28"/>
          <w:szCs w:val="28"/>
          <w:lang w:val="en-US" w:eastAsia="zh-CN"/>
        </w:rPr>
        <w:t xml:space="preserve">    </w:t>
      </w:r>
      <w:r>
        <w:rPr>
          <w:rFonts w:hint="eastAsia"/>
          <w:b/>
          <w:color w:val="auto"/>
          <w:sz w:val="28"/>
          <w:szCs w:val="28"/>
        </w:rPr>
        <w:t>日</w:t>
      </w:r>
      <w:bookmarkStart w:id="56" w:name="_Toc48210826"/>
      <w:bookmarkStart w:id="57" w:name="_Toc438028564"/>
      <w:bookmarkStart w:id="58" w:name="_Toc118282776"/>
      <w:bookmarkStart w:id="59" w:name="_Toc230014773"/>
      <w:bookmarkStart w:id="60" w:name="_Toc252979595"/>
      <w:bookmarkStart w:id="61" w:name="_Toc172565031"/>
    </w:p>
    <w:p>
      <w:pPr>
        <w:pStyle w:val="57"/>
        <w:spacing w:line="520" w:lineRule="exact"/>
        <w:ind w:firstLine="0"/>
        <w:outlineLvl w:val="2"/>
        <w:rPr>
          <w:rFonts w:ascii="宋体"/>
          <w:bCs/>
          <w:color w:val="auto"/>
          <w:szCs w:val="32"/>
        </w:rPr>
      </w:pPr>
      <w:r>
        <w:rPr>
          <w:rFonts w:hint="eastAsia"/>
          <w:b w:val="0"/>
          <w:color w:val="auto"/>
          <w:sz w:val="28"/>
          <w:szCs w:val="28"/>
        </w:rPr>
        <w:br w:type="page"/>
      </w:r>
      <w:r>
        <w:rPr>
          <w:rFonts w:hint="eastAsia" w:ascii="宋体"/>
          <w:bCs/>
          <w:color w:val="auto"/>
          <w:szCs w:val="32"/>
        </w:rPr>
        <w:t>投标格式六</w:t>
      </w:r>
    </w:p>
    <w:p>
      <w:pPr>
        <w:pStyle w:val="57"/>
        <w:spacing w:line="520" w:lineRule="exact"/>
        <w:ind w:hanging="180"/>
        <w:rPr>
          <w:rFonts w:ascii="宋体"/>
          <w:color w:val="auto"/>
          <w:sz w:val="28"/>
          <w:szCs w:val="28"/>
          <w:u w:val="single"/>
        </w:rPr>
      </w:pPr>
    </w:p>
    <w:p>
      <w:pPr>
        <w:spacing w:line="520" w:lineRule="exact"/>
        <w:jc w:val="center"/>
        <w:rPr>
          <w:rFonts w:ascii="宋体"/>
          <w:b/>
          <w:bCs/>
          <w:color w:val="auto"/>
          <w:sz w:val="44"/>
          <w:szCs w:val="44"/>
        </w:rPr>
      </w:pPr>
      <w:r>
        <w:rPr>
          <w:rFonts w:hint="eastAsia" w:ascii="宋体"/>
          <w:b/>
          <w:bCs/>
          <w:color w:val="auto"/>
          <w:sz w:val="44"/>
          <w:szCs w:val="44"/>
        </w:rPr>
        <w:t>廉洁承诺书</w:t>
      </w:r>
    </w:p>
    <w:p>
      <w:pPr>
        <w:rPr>
          <w:rFonts w:ascii="华文行楷" w:hAnsi="华文行楷" w:eastAsia="华文行楷" w:cs="华文行楷"/>
          <w:color w:val="auto"/>
          <w:sz w:val="32"/>
          <w:szCs w:val="32"/>
        </w:rPr>
      </w:pPr>
    </w:p>
    <w:p>
      <w:pPr>
        <w:jc w:val="left"/>
        <w:rPr>
          <w:rFonts w:ascii="宋体" w:hAnsi="宋体" w:cs="宋体"/>
          <w:color w:val="auto"/>
          <w:sz w:val="28"/>
          <w:szCs w:val="28"/>
        </w:rPr>
      </w:pPr>
      <w:r>
        <w:rPr>
          <w:rFonts w:hint="eastAsia" w:ascii="宋体" w:hAnsi="宋体" w:cs="宋体"/>
          <w:color w:val="auto"/>
          <w:sz w:val="28"/>
          <w:szCs w:val="28"/>
        </w:rPr>
        <w:t>遂溪县纪委、遂溪县人民检察院、遂溪县住房和城乡建设局、湛江市遂溪县发展和改革局：</w:t>
      </w:r>
    </w:p>
    <w:p>
      <w:pPr>
        <w:ind w:firstLine="644" w:firstLineChars="230"/>
        <w:jc w:val="left"/>
        <w:rPr>
          <w:rFonts w:ascii="宋体" w:hAnsi="宋体" w:cs="宋体"/>
          <w:color w:val="auto"/>
          <w:sz w:val="28"/>
          <w:szCs w:val="28"/>
        </w:rPr>
      </w:pPr>
      <w:r>
        <w:rPr>
          <w:rFonts w:hint="eastAsia" w:ascii="宋体" w:hAnsi="宋体" w:cs="宋体"/>
          <w:color w:val="auto"/>
          <w:sz w:val="28"/>
          <w:szCs w:val="28"/>
        </w:rPr>
        <w:t>我司参加工程投标，承诺在投标的全过程中，遵守有关法律法规，廉洁投标。如有违反有关规定，自愿接受按相关规定处理，并在一年内不得进入湛江市遂溪县有形建筑市场。</w:t>
      </w:r>
    </w:p>
    <w:p>
      <w:pPr>
        <w:ind w:firstLine="420"/>
        <w:jc w:val="right"/>
        <w:rPr>
          <w:rFonts w:ascii="宋体" w:hAnsi="宋体" w:cs="宋体"/>
          <w:color w:val="auto"/>
          <w:sz w:val="28"/>
          <w:szCs w:val="28"/>
        </w:rPr>
      </w:pPr>
    </w:p>
    <w:p>
      <w:pPr>
        <w:ind w:firstLine="420"/>
        <w:jc w:val="center"/>
        <w:rPr>
          <w:rFonts w:ascii="宋体" w:hAnsi="宋体" w:cs="宋体"/>
          <w:color w:val="auto"/>
          <w:sz w:val="28"/>
          <w:szCs w:val="28"/>
        </w:rPr>
      </w:pPr>
      <w:r>
        <w:rPr>
          <w:rFonts w:hint="eastAsia" w:ascii="宋体" w:hAnsi="宋体" w:cs="宋体"/>
          <w:color w:val="auto"/>
          <w:sz w:val="28"/>
          <w:szCs w:val="28"/>
        </w:rPr>
        <w:t xml:space="preserve">                        投标人：（盖章）</w:t>
      </w:r>
    </w:p>
    <w:p>
      <w:pPr>
        <w:ind w:firstLine="420"/>
        <w:jc w:val="center"/>
        <w:rPr>
          <w:rFonts w:ascii="宋体" w:hAnsi="宋体" w:cs="宋体"/>
          <w:color w:val="auto"/>
          <w:sz w:val="28"/>
          <w:szCs w:val="28"/>
        </w:rPr>
      </w:pPr>
      <w:r>
        <w:rPr>
          <w:rFonts w:hint="eastAsia" w:ascii="宋体" w:hAnsi="宋体" w:cs="宋体"/>
          <w:color w:val="auto"/>
          <w:sz w:val="28"/>
          <w:szCs w:val="28"/>
        </w:rPr>
        <w:t xml:space="preserve">                                法定代表人：（亲笔签名）</w:t>
      </w:r>
    </w:p>
    <w:p>
      <w:pPr>
        <w:ind w:firstLine="420"/>
        <w:jc w:val="center"/>
        <w:rPr>
          <w:rFonts w:ascii="宋体" w:hAnsi="宋体" w:cs="宋体"/>
          <w:color w:val="auto"/>
          <w:sz w:val="32"/>
          <w:szCs w:val="32"/>
        </w:rPr>
      </w:pPr>
      <w:r>
        <w:rPr>
          <w:rFonts w:hint="eastAsia" w:ascii="宋体" w:hAnsi="宋体" w:cs="宋体"/>
          <w:color w:val="auto"/>
          <w:sz w:val="28"/>
          <w:szCs w:val="28"/>
        </w:rPr>
        <w:t xml:space="preserve">                             日期：   年   月   日</w:t>
      </w:r>
    </w:p>
    <w:p>
      <w:pPr>
        <w:pStyle w:val="10"/>
        <w:spacing w:line="520" w:lineRule="exact"/>
        <w:ind w:firstLine="697" w:firstLineChars="248"/>
        <w:rPr>
          <w:b/>
          <w:color w:val="auto"/>
          <w:sz w:val="28"/>
          <w:szCs w:val="28"/>
        </w:rPr>
      </w:pPr>
    </w:p>
    <w:p>
      <w:pPr>
        <w:pStyle w:val="10"/>
        <w:spacing w:line="520" w:lineRule="exact"/>
        <w:ind w:firstLine="697" w:firstLineChars="248"/>
        <w:rPr>
          <w:b/>
          <w:color w:val="auto"/>
          <w:sz w:val="28"/>
          <w:szCs w:val="28"/>
        </w:rPr>
      </w:pPr>
    </w:p>
    <w:bookmarkEnd w:id="56"/>
    <w:p>
      <w:pPr>
        <w:rPr>
          <w:b/>
          <w:color w:val="auto"/>
          <w:szCs w:val="32"/>
        </w:rPr>
      </w:pPr>
    </w:p>
    <w:p>
      <w:pPr>
        <w:rPr>
          <w:b/>
          <w:color w:val="auto"/>
          <w:szCs w:val="32"/>
        </w:rPr>
      </w:pPr>
    </w:p>
    <w:p>
      <w:pPr>
        <w:rPr>
          <w:b/>
          <w:color w:val="auto"/>
          <w:szCs w:val="32"/>
        </w:rPr>
      </w:pPr>
    </w:p>
    <w:p>
      <w:pPr>
        <w:pStyle w:val="2"/>
        <w:rPr>
          <w:rFonts w:hint="default" w:eastAsia="黑体"/>
          <w:bCs w:val="0"/>
          <w:color w:val="auto"/>
          <w:szCs w:val="32"/>
        </w:rPr>
      </w:pPr>
      <w:bookmarkStart w:id="62" w:name="_Toc23102"/>
      <w:bookmarkStart w:id="63" w:name="_Toc48210827"/>
      <w:r>
        <w:rPr>
          <w:bCs w:val="0"/>
          <w:color w:val="auto"/>
          <w:szCs w:val="32"/>
        </w:rPr>
        <w:br w:type="page"/>
      </w:r>
      <w:bookmarkStart w:id="64" w:name="_Toc19475"/>
      <w:r>
        <w:rPr>
          <w:bCs w:val="0"/>
          <w:color w:val="auto"/>
          <w:szCs w:val="32"/>
        </w:rPr>
        <w:t>投标格式七</w:t>
      </w:r>
      <w:bookmarkEnd w:id="62"/>
      <w:bookmarkEnd w:id="64"/>
    </w:p>
    <w:p>
      <w:pPr>
        <w:autoSpaceDE w:val="0"/>
        <w:autoSpaceDN w:val="0"/>
        <w:spacing w:line="520" w:lineRule="exact"/>
        <w:jc w:val="center"/>
        <w:rPr>
          <w:rFonts w:ascii="宋体" w:hAnsi="宋体" w:cs="宋体"/>
          <w:b/>
          <w:color w:val="auto"/>
          <w:sz w:val="44"/>
          <w:szCs w:val="44"/>
        </w:rPr>
      </w:pPr>
      <w:r>
        <w:rPr>
          <w:rFonts w:hint="eastAsia" w:ascii="宋体" w:hAnsi="宋体" w:cs="宋体"/>
          <w:b/>
          <w:color w:val="auto"/>
          <w:sz w:val="44"/>
          <w:szCs w:val="44"/>
        </w:rPr>
        <w:t>投标保证金银行保函（供招标人参考）</w:t>
      </w:r>
    </w:p>
    <w:p>
      <w:pPr>
        <w:wordWrap w:val="0"/>
        <w:autoSpaceDE w:val="0"/>
        <w:autoSpaceDN w:val="0"/>
        <w:spacing w:line="520" w:lineRule="exact"/>
        <w:ind w:left="114"/>
        <w:jc w:val="righ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保函编号：</w:t>
      </w:r>
    </w:p>
    <w:p>
      <w:pPr>
        <w:autoSpaceDE w:val="0"/>
        <w:autoSpaceDN w:val="0"/>
        <w:spacing w:line="52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autoSpaceDE w:val="0"/>
        <w:autoSpaceDN w:val="0"/>
        <w:spacing w:line="52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兹有（以下称“投标人”）在</w:t>
      </w:r>
      <w:r>
        <w:rPr>
          <w:rFonts w:hint="eastAsia" w:ascii="仿宋_GB2312" w:hAnsi="仿宋_GB2312" w:eastAsia="仿宋_GB2312" w:cs="仿宋_GB2312"/>
          <w:color w:val="auto"/>
          <w:spacing w:val="3"/>
          <w:sz w:val="28"/>
          <w:szCs w:val="28"/>
        </w:rPr>
        <w:t>（以下</w:t>
      </w:r>
      <w:r>
        <w:rPr>
          <w:rFonts w:hint="eastAsia" w:ascii="仿宋_GB2312" w:hAnsi="仿宋_GB2312" w:eastAsia="仿宋_GB2312" w:cs="仿宋_GB2312"/>
          <w:color w:val="auto"/>
          <w:sz w:val="28"/>
          <w:szCs w:val="28"/>
        </w:rPr>
        <w:t>简</w:t>
      </w:r>
      <w:r>
        <w:rPr>
          <w:rFonts w:hint="eastAsia" w:ascii="仿宋_GB2312" w:hAnsi="仿宋_GB2312" w:eastAsia="仿宋_GB2312" w:cs="仿宋_GB2312"/>
          <w:color w:val="auto"/>
          <w:spacing w:val="3"/>
          <w:sz w:val="28"/>
          <w:szCs w:val="28"/>
        </w:rPr>
        <w:t>称“我方”）</w:t>
      </w:r>
      <w:r>
        <w:rPr>
          <w:rFonts w:hint="eastAsia" w:ascii="仿宋_GB2312" w:hAnsi="仿宋_GB2312" w:eastAsia="仿宋_GB2312" w:cs="仿宋_GB2312"/>
          <w:color w:val="auto"/>
          <w:sz w:val="28"/>
          <w:szCs w:val="28"/>
        </w:rPr>
        <w:t>开</w:t>
      </w:r>
      <w:r>
        <w:rPr>
          <w:rFonts w:hint="eastAsia" w:ascii="仿宋_GB2312" w:hAnsi="仿宋_GB2312" w:eastAsia="仿宋_GB2312" w:cs="仿宋_GB2312"/>
          <w:color w:val="auto"/>
          <w:spacing w:val="3"/>
          <w:sz w:val="28"/>
          <w:szCs w:val="28"/>
        </w:rPr>
        <w:t>设基本存款账</w:t>
      </w:r>
      <w:r>
        <w:rPr>
          <w:rFonts w:hint="eastAsia" w:ascii="仿宋_GB2312" w:hAnsi="仿宋_GB2312" w:eastAsia="仿宋_GB2312" w:cs="仿宋_GB2312"/>
          <w:color w:val="auto"/>
          <w:sz w:val="28"/>
          <w:szCs w:val="28"/>
        </w:rPr>
        <w:t>户</w:t>
      </w:r>
      <w:r>
        <w:rPr>
          <w:rFonts w:hint="eastAsia" w:ascii="仿宋_GB2312" w:hAnsi="仿宋_GB2312" w:eastAsia="仿宋_GB2312" w:cs="仿宋_GB2312"/>
          <w:color w:val="auto"/>
          <w:spacing w:val="3"/>
          <w:sz w:val="28"/>
          <w:szCs w:val="28"/>
        </w:rPr>
        <w:t>，其账号为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pacing w:val="3"/>
          <w:sz w:val="28"/>
          <w:szCs w:val="28"/>
        </w:rPr>
        <w:t>。鉴于</w:t>
      </w:r>
      <w:r>
        <w:rPr>
          <w:rFonts w:hint="eastAsia" w:ascii="仿宋_GB2312" w:hAnsi="仿宋_GB2312" w:eastAsia="仿宋_GB2312" w:cs="仿宋_GB2312"/>
          <w:color w:val="auto"/>
          <w:spacing w:val="-18"/>
          <w:sz w:val="28"/>
          <w:szCs w:val="28"/>
        </w:rPr>
        <w:t>投</w:t>
      </w:r>
      <w:r>
        <w:rPr>
          <w:rFonts w:hint="eastAsia" w:ascii="仿宋_GB2312" w:hAnsi="仿宋_GB2312" w:eastAsia="仿宋_GB2312" w:cs="仿宋_GB2312"/>
          <w:color w:val="auto"/>
          <w:sz w:val="28"/>
          <w:szCs w:val="28"/>
        </w:rPr>
        <w:t>标人于年月日参加你方项目招标的投标</w:t>
      </w:r>
      <w:r>
        <w:rPr>
          <w:rFonts w:hint="eastAsia" w:ascii="仿宋_GB2312" w:hAnsi="仿宋_GB2312" w:eastAsia="仿宋_GB2312" w:cs="仿宋_GB2312"/>
          <w:color w:val="auto"/>
          <w:spacing w:val="-21"/>
          <w:sz w:val="28"/>
          <w:szCs w:val="28"/>
        </w:rPr>
        <w:t>，</w:t>
      </w:r>
      <w:r>
        <w:rPr>
          <w:rFonts w:hint="eastAsia" w:ascii="仿宋_GB2312" w:hAnsi="仿宋_GB2312" w:eastAsia="仿宋_GB2312" w:cs="仿宋_GB2312"/>
          <w:color w:val="auto"/>
          <w:sz w:val="28"/>
          <w:szCs w:val="28"/>
        </w:rPr>
        <w:t>我方在此无条件及不可撤销地具结保证并承诺，一旦收到你方提出的下述任何一种情形的书面通知之日起7个工作日内，</w:t>
      </w:r>
      <w:r>
        <w:rPr>
          <w:rFonts w:hint="eastAsia" w:ascii="仿宋_GB2312" w:hAnsi="仿宋_GB2312" w:eastAsia="仿宋_GB2312" w:cs="仿宋_GB2312"/>
          <w:color w:val="auto"/>
          <w:spacing w:val="3"/>
          <w:sz w:val="28"/>
          <w:szCs w:val="28"/>
        </w:rPr>
        <w:t>我方</w:t>
      </w:r>
      <w:r>
        <w:rPr>
          <w:rFonts w:hint="eastAsia" w:ascii="仿宋_GB2312" w:hAnsi="仿宋_GB2312" w:eastAsia="仿宋_GB2312" w:cs="仿宋_GB2312"/>
          <w:color w:val="auto"/>
          <w:sz w:val="28"/>
          <w:szCs w:val="28"/>
        </w:rPr>
        <w:t xml:space="preserve">无条件地向贵方支付人民币（大写）元整 [保证金金额]（（小写）￥元）：  </w:t>
      </w:r>
    </w:p>
    <w:p>
      <w:pPr>
        <w:numPr>
          <w:ilvl w:val="0"/>
          <w:numId w:val="1"/>
        </w:numPr>
        <w:tabs>
          <w:tab w:val="left" w:pos="955"/>
        </w:tabs>
        <w:autoSpaceDE w:val="0"/>
        <w:autoSpaceDN w:val="0"/>
        <w:spacing w:line="520" w:lineRule="exact"/>
        <w:rPr>
          <w:rFonts w:ascii="仿宋_GB2312" w:hAnsi="仿宋_GB2312" w:eastAsia="仿宋_GB2312" w:cs="仿宋_GB2312"/>
          <w:color w:val="auto"/>
          <w:sz w:val="28"/>
          <w:szCs w:val="28"/>
          <w:lang w:val="zh-CN" w:bidi="zh-CN"/>
        </w:rPr>
      </w:pPr>
      <w:r>
        <w:rPr>
          <w:rFonts w:hint="eastAsia" w:ascii="仿宋_GB2312" w:hAnsi="仿宋_GB2312" w:eastAsia="仿宋_GB2312" w:cs="仿宋_GB2312"/>
          <w:color w:val="auto"/>
          <w:sz w:val="28"/>
          <w:szCs w:val="28"/>
          <w:lang w:val="zh-CN" w:bidi="zh-CN"/>
        </w:rPr>
        <w:t>若投标人在投标有效期内撤销投标文件；</w:t>
      </w:r>
    </w:p>
    <w:p>
      <w:pPr>
        <w:numPr>
          <w:ilvl w:val="0"/>
          <w:numId w:val="1"/>
        </w:numPr>
        <w:tabs>
          <w:tab w:val="left" w:pos="955"/>
        </w:tabs>
        <w:autoSpaceDE w:val="0"/>
        <w:autoSpaceDN w:val="0"/>
        <w:spacing w:line="520" w:lineRule="exact"/>
        <w:rPr>
          <w:rFonts w:ascii="仿宋_GB2312" w:hAnsi="仿宋_GB2312" w:eastAsia="仿宋_GB2312" w:cs="仿宋_GB2312"/>
          <w:color w:val="auto"/>
          <w:sz w:val="28"/>
          <w:szCs w:val="28"/>
          <w:lang w:val="zh-CN" w:bidi="zh-CN"/>
        </w:rPr>
      </w:pPr>
      <w:r>
        <w:rPr>
          <w:rFonts w:hint="eastAsia" w:ascii="仿宋_GB2312" w:hAnsi="仿宋_GB2312" w:eastAsia="仿宋_GB2312" w:cs="仿宋_GB2312"/>
          <w:color w:val="auto"/>
          <w:sz w:val="28"/>
          <w:szCs w:val="28"/>
          <w:lang w:val="zh-CN" w:bidi="zh-CN"/>
        </w:rPr>
        <w:t>中标后无正当理由不与招标人订立合同；</w:t>
      </w:r>
    </w:p>
    <w:p>
      <w:pPr>
        <w:numPr>
          <w:ilvl w:val="0"/>
          <w:numId w:val="1"/>
        </w:numPr>
        <w:tabs>
          <w:tab w:val="left" w:pos="955"/>
        </w:tabs>
        <w:autoSpaceDE w:val="0"/>
        <w:autoSpaceDN w:val="0"/>
        <w:spacing w:line="520" w:lineRule="exact"/>
        <w:rPr>
          <w:rFonts w:ascii="仿宋_GB2312" w:hAnsi="仿宋_GB2312" w:eastAsia="仿宋_GB2312" w:cs="仿宋_GB2312"/>
          <w:color w:val="auto"/>
          <w:sz w:val="28"/>
          <w:szCs w:val="28"/>
          <w:lang w:val="zh-CN" w:bidi="zh-CN"/>
        </w:rPr>
      </w:pPr>
      <w:r>
        <w:rPr>
          <w:rFonts w:hint="eastAsia" w:ascii="仿宋_GB2312" w:hAnsi="仿宋_GB2312" w:eastAsia="仿宋_GB2312" w:cs="仿宋_GB2312"/>
          <w:color w:val="auto"/>
          <w:sz w:val="28"/>
          <w:szCs w:val="28"/>
          <w:lang w:val="zh-CN" w:bidi="zh-CN"/>
        </w:rPr>
        <w:t>在签订合同时向招标人提出附加条件；</w:t>
      </w:r>
    </w:p>
    <w:p>
      <w:pPr>
        <w:numPr>
          <w:ilvl w:val="0"/>
          <w:numId w:val="1"/>
        </w:numPr>
        <w:tabs>
          <w:tab w:val="left" w:pos="955"/>
        </w:tabs>
        <w:autoSpaceDE w:val="0"/>
        <w:autoSpaceDN w:val="0"/>
        <w:spacing w:line="520" w:lineRule="exact"/>
        <w:rPr>
          <w:rFonts w:ascii="仿宋_GB2312" w:hAnsi="仿宋_GB2312" w:eastAsia="仿宋_GB2312" w:cs="仿宋_GB2312"/>
          <w:color w:val="auto"/>
          <w:sz w:val="28"/>
          <w:szCs w:val="28"/>
          <w:lang w:val="zh-CN" w:bidi="zh-CN"/>
        </w:rPr>
      </w:pPr>
      <w:r>
        <w:rPr>
          <w:rFonts w:hint="eastAsia" w:ascii="仿宋_GB2312" w:hAnsi="仿宋_GB2312" w:eastAsia="仿宋_GB2312" w:cs="仿宋_GB2312"/>
          <w:color w:val="auto"/>
          <w:sz w:val="28"/>
          <w:szCs w:val="28"/>
          <w:lang w:val="zh-CN" w:bidi="zh-CN"/>
        </w:rPr>
        <w:t>不按照招标文件要求提交履约保证金；</w:t>
      </w:r>
    </w:p>
    <w:p>
      <w:pPr>
        <w:numPr>
          <w:ilvl w:val="0"/>
          <w:numId w:val="1"/>
        </w:numPr>
        <w:tabs>
          <w:tab w:val="left" w:pos="955"/>
        </w:tabs>
        <w:autoSpaceDE w:val="0"/>
        <w:autoSpaceDN w:val="0"/>
        <w:spacing w:line="520" w:lineRule="exact"/>
        <w:rPr>
          <w:rFonts w:ascii="仿宋_GB2312" w:hAnsi="仿宋_GB2312" w:eastAsia="仿宋_GB2312" w:cs="仿宋_GB2312"/>
          <w:color w:val="auto"/>
          <w:sz w:val="28"/>
          <w:szCs w:val="28"/>
          <w:lang w:val="zh-CN" w:bidi="zh-CN"/>
        </w:rPr>
      </w:pPr>
      <w:r>
        <w:rPr>
          <w:rFonts w:hint="eastAsia" w:ascii="仿宋_GB2312" w:hAnsi="仿宋_GB2312" w:eastAsia="仿宋_GB2312" w:cs="仿宋_GB2312"/>
          <w:color w:val="auto"/>
          <w:sz w:val="28"/>
          <w:szCs w:val="28"/>
          <w:lang w:val="zh-CN" w:bidi="zh-CN"/>
        </w:rPr>
        <w:t>发生招标文件明确规定可以不予退还投标保证金的其他情形。</w:t>
      </w:r>
    </w:p>
    <w:p>
      <w:pPr>
        <w:tabs>
          <w:tab w:val="left" w:pos="2353"/>
          <w:tab w:val="left" w:pos="4313"/>
        </w:tabs>
        <w:autoSpaceDE w:val="0"/>
        <w:autoSpaceDN w:val="0"/>
        <w:spacing w:line="52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本保函自开具之日起生效，有效期截止日期为年月日(注：有效期截止日期不得少于本项目的投标有效期)。到期后，无论你方是否将保函正本退回我方，本保函均自动失效。要求我方承担保</w:t>
      </w:r>
      <w:r>
        <w:rPr>
          <w:rFonts w:hint="eastAsia" w:ascii="仿宋_GB2312" w:hAnsi="仿宋_GB2312" w:eastAsia="仿宋_GB2312" w:cs="仿宋_GB2312"/>
          <w:color w:val="auto"/>
          <w:spacing w:val="-18"/>
          <w:sz w:val="28"/>
          <w:szCs w:val="28"/>
        </w:rPr>
        <w:t>证</w:t>
      </w:r>
      <w:r>
        <w:rPr>
          <w:rFonts w:hint="eastAsia" w:ascii="仿宋_GB2312" w:hAnsi="仿宋_GB2312" w:eastAsia="仿宋_GB2312" w:cs="仿宋_GB2312"/>
          <w:color w:val="auto"/>
          <w:sz w:val="28"/>
          <w:szCs w:val="28"/>
        </w:rPr>
        <w:t>责任的通知应在本保函有效期内送达我方。</w:t>
      </w:r>
    </w:p>
    <w:p>
      <w:pPr>
        <w:tabs>
          <w:tab w:val="left" w:pos="2353"/>
          <w:tab w:val="left" w:pos="4313"/>
        </w:tabs>
        <w:autoSpaceDE w:val="0"/>
        <w:autoSpaceDN w:val="0"/>
        <w:spacing w:line="520" w:lineRule="exact"/>
        <w:ind w:firstLine="560" w:firstLineChars="200"/>
        <w:jc w:val="left"/>
        <w:rPr>
          <w:rFonts w:ascii="仿宋_GB2312" w:hAnsi="仿宋_GB2312" w:eastAsia="仿宋_GB2312" w:cs="仿宋_GB2312"/>
          <w:color w:val="auto"/>
          <w:sz w:val="28"/>
          <w:szCs w:val="28"/>
        </w:rPr>
      </w:pPr>
    </w:p>
    <w:p>
      <w:pPr>
        <w:autoSpaceDE w:val="0"/>
        <w:autoSpaceDN w:val="0"/>
        <w:spacing w:line="520" w:lineRule="exact"/>
        <w:jc w:val="left"/>
        <w:rPr>
          <w:rFonts w:ascii="仿宋_GB2312" w:hAnsi="仿宋_GB2312" w:eastAsia="仿宋_GB2312" w:cs="仿宋_GB2312"/>
          <w:color w:val="auto"/>
          <w:spacing w:val="-18"/>
          <w:sz w:val="28"/>
          <w:szCs w:val="28"/>
        </w:rPr>
      </w:pPr>
      <w:r>
        <w:rPr>
          <w:rFonts w:hint="eastAsia" w:ascii="仿宋_GB2312" w:hAnsi="仿宋_GB2312" w:eastAsia="仿宋_GB2312" w:cs="仿宋_GB2312"/>
          <w:color w:val="auto"/>
          <w:sz w:val="28"/>
          <w:szCs w:val="28"/>
        </w:rPr>
        <w:t>担保人名称（投标人基本存款账户开户银行）（盖单位公章）</w:t>
      </w:r>
      <w:r>
        <w:rPr>
          <w:rFonts w:hint="eastAsia" w:ascii="仿宋_GB2312" w:hAnsi="仿宋_GB2312" w:eastAsia="仿宋_GB2312" w:cs="仿宋_GB2312"/>
          <w:color w:val="auto"/>
          <w:spacing w:val="-18"/>
          <w:sz w:val="28"/>
          <w:szCs w:val="28"/>
        </w:rPr>
        <w:t>：</w:t>
      </w:r>
    </w:p>
    <w:p>
      <w:pPr>
        <w:autoSpaceDE w:val="0"/>
        <w:autoSpaceDN w:val="0"/>
        <w:spacing w:line="520" w:lineRule="exact"/>
        <w:jc w:val="left"/>
        <w:rPr>
          <w:rFonts w:ascii="仿宋_GB2312" w:hAnsi="仿宋_GB2312" w:eastAsia="仿宋_GB2312" w:cs="仿宋_GB2312"/>
          <w:color w:val="auto"/>
          <w:sz w:val="28"/>
          <w:szCs w:val="28"/>
        </w:rPr>
      </w:pPr>
    </w:p>
    <w:p>
      <w:pPr>
        <w:autoSpaceDE w:val="0"/>
        <w:autoSpaceDN w:val="0"/>
        <w:spacing w:line="520" w:lineRule="exact"/>
        <w:jc w:val="left"/>
        <w:rPr>
          <w:rFonts w:ascii="宋体" w:hAnsi="宋体"/>
          <w:color w:val="auto"/>
          <w:sz w:val="28"/>
          <w:szCs w:val="28"/>
          <w:u w:val="single"/>
        </w:rPr>
      </w:pPr>
      <w:r>
        <w:rPr>
          <w:rFonts w:hint="eastAsia" w:ascii="仿宋_GB2312" w:hAnsi="仿宋_GB2312" w:eastAsia="仿宋_GB2312" w:cs="仿宋_GB2312"/>
          <w:color w:val="auto"/>
          <w:sz w:val="28"/>
          <w:szCs w:val="28"/>
        </w:rPr>
        <w:t>担保人法定代表人或委托代理人（签字</w:t>
      </w:r>
      <w:r>
        <w:rPr>
          <w:rFonts w:hint="eastAsia" w:ascii="仿宋_GB2312" w:hAnsi="仿宋_GB2312" w:eastAsia="仿宋_GB2312" w:cs="仿宋_GB2312"/>
          <w:color w:val="auto"/>
          <w:spacing w:val="-9"/>
          <w:sz w:val="28"/>
          <w:szCs w:val="28"/>
        </w:rPr>
        <w:t>）：</w:t>
      </w:r>
    </w:p>
    <w:p>
      <w:pPr>
        <w:tabs>
          <w:tab w:val="left" w:pos="2353"/>
          <w:tab w:val="left" w:pos="4313"/>
        </w:tabs>
        <w:autoSpaceDE w:val="0"/>
        <w:autoSpaceDN w:val="0"/>
        <w:spacing w:line="52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日期：年月日</w:t>
      </w:r>
    </w:p>
    <w:p>
      <w:pPr>
        <w:autoSpaceDE w:val="0"/>
        <w:autoSpaceDN w:val="0"/>
        <w:spacing w:line="520" w:lineRule="exact"/>
        <w:jc w:val="left"/>
        <w:rPr>
          <w:rFonts w:ascii="宋体" w:hAnsi="宋体"/>
          <w:color w:val="auto"/>
          <w:sz w:val="28"/>
          <w:szCs w:val="28"/>
          <w:u w:val="single"/>
        </w:rPr>
      </w:pPr>
      <w:r>
        <w:rPr>
          <w:rFonts w:hint="eastAsia" w:ascii="仿宋_GB2312" w:hAnsi="仿宋_GB2312" w:eastAsia="仿宋_GB2312" w:cs="仿宋_GB2312"/>
          <w:color w:val="auto"/>
          <w:sz w:val="28"/>
          <w:szCs w:val="28"/>
        </w:rPr>
        <w:t>担保人地址：</w:t>
      </w:r>
    </w:p>
    <w:p>
      <w:pPr>
        <w:autoSpaceDE w:val="0"/>
        <w:autoSpaceDN w:val="0"/>
        <w:spacing w:line="52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邮政编码：</w:t>
      </w:r>
    </w:p>
    <w:p>
      <w:pPr>
        <w:autoSpaceDE w:val="0"/>
        <w:autoSpaceDN w:val="0"/>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 系 人：</w:t>
      </w:r>
    </w:p>
    <w:p>
      <w:pPr>
        <w:autoSpaceDE w:val="0"/>
        <w:autoSpaceDN w:val="0"/>
        <w:spacing w:line="52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联系电话（手机）：</w:t>
      </w:r>
    </w:p>
    <w:p>
      <w:pPr>
        <w:autoSpaceDE w:val="0"/>
        <w:autoSpaceDN w:val="0"/>
        <w:spacing w:line="520" w:lineRule="exact"/>
        <w:jc w:val="left"/>
        <w:rPr>
          <w:rFonts w:ascii="宋体" w:hAnsi="宋体" w:cs="宋体"/>
          <w:color w:val="auto"/>
          <w:sz w:val="28"/>
          <w:szCs w:val="28"/>
        </w:rPr>
      </w:pPr>
    </w:p>
    <w:p>
      <w:pPr>
        <w:autoSpaceDE w:val="0"/>
        <w:autoSpaceDN w:val="0"/>
        <w:spacing w:line="520" w:lineRule="exact"/>
        <w:jc w:val="left"/>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注：1、本投标保证金银行保函为参考样本，各投标人可使用本参考样本或按其基本户开户银行出具的投标保证金银行保函样本（须涵盖本参考样本的所涉信息及要求）。</w:t>
      </w:r>
    </w:p>
    <w:p>
      <w:pPr>
        <w:autoSpaceDE w:val="0"/>
        <w:autoSpaceDN w:val="0"/>
        <w:spacing w:line="520" w:lineRule="exact"/>
        <w:ind w:firstLine="560" w:firstLineChars="200"/>
        <w:jc w:val="left"/>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2、各投标人须从其基本户开户银行出具投标保证金银行保函为招标人对本项目投标保证金银行保函的要求。</w:t>
      </w:r>
    </w:p>
    <w:p>
      <w:pPr>
        <w:pStyle w:val="2"/>
        <w:spacing w:before="0" w:beforeAutospacing="0" w:after="0" w:afterAutospacing="0" w:line="520" w:lineRule="exact"/>
        <w:rPr>
          <w:rFonts w:hint="default"/>
          <w:color w:val="auto"/>
          <w:szCs w:val="32"/>
        </w:rPr>
      </w:pPr>
      <w:r>
        <w:rPr>
          <w:color w:val="auto"/>
          <w:sz w:val="28"/>
          <w:szCs w:val="28"/>
        </w:rPr>
        <w:br w:type="page"/>
      </w:r>
      <w:bookmarkStart w:id="65" w:name="_Toc3326"/>
      <w:r>
        <w:rPr>
          <w:color w:val="auto"/>
          <w:szCs w:val="32"/>
        </w:rPr>
        <w:t>附件1：投标文件（正本）封面</w:t>
      </w:r>
      <w:bookmarkEnd w:id="57"/>
      <w:bookmarkEnd w:id="58"/>
      <w:bookmarkEnd w:id="59"/>
      <w:bookmarkEnd w:id="60"/>
      <w:bookmarkEnd w:id="61"/>
      <w:bookmarkEnd w:id="63"/>
      <w:bookmarkEnd w:id="65"/>
    </w:p>
    <w:p>
      <w:pPr>
        <w:spacing w:line="520" w:lineRule="exact"/>
        <w:jc w:val="left"/>
        <w:rPr>
          <w:rFonts w:ascii="宋体"/>
          <w:b/>
          <w:color w:val="auto"/>
          <w:sz w:val="28"/>
          <w:szCs w:val="28"/>
          <w:u w:val="single"/>
        </w:rPr>
      </w:pPr>
    </w:p>
    <w:p>
      <w:pPr>
        <w:spacing w:line="520" w:lineRule="exact"/>
        <w:jc w:val="center"/>
        <w:rPr>
          <w:rFonts w:ascii="宋体"/>
          <w:color w:val="auto"/>
          <w:sz w:val="30"/>
          <w:szCs w:val="30"/>
          <w:u w:val="single"/>
        </w:rPr>
      </w:pPr>
      <w:r>
        <w:rPr>
          <w:rFonts w:hint="eastAsia" w:ascii="宋体"/>
          <w:b/>
          <w:color w:val="auto"/>
          <w:sz w:val="52"/>
          <w:szCs w:val="52"/>
        </w:rPr>
        <w:t>工程施工招标</w:t>
      </w:r>
    </w:p>
    <w:p>
      <w:pPr>
        <w:spacing w:line="520" w:lineRule="exact"/>
        <w:jc w:val="center"/>
        <w:rPr>
          <w:rFonts w:ascii="宋体"/>
          <w:b/>
          <w:color w:val="auto"/>
          <w:sz w:val="52"/>
          <w:szCs w:val="52"/>
        </w:rPr>
      </w:pPr>
    </w:p>
    <w:p>
      <w:pPr>
        <w:spacing w:line="520" w:lineRule="exact"/>
        <w:jc w:val="center"/>
        <w:rPr>
          <w:rFonts w:ascii="宋体"/>
          <w:b/>
          <w:color w:val="auto"/>
          <w:sz w:val="52"/>
          <w:szCs w:val="52"/>
        </w:rPr>
      </w:pPr>
    </w:p>
    <w:p>
      <w:pPr>
        <w:spacing w:line="520" w:lineRule="exact"/>
        <w:jc w:val="center"/>
        <w:rPr>
          <w:rFonts w:ascii="宋体"/>
          <w:b/>
          <w:color w:val="auto"/>
          <w:spacing w:val="66"/>
          <w:sz w:val="52"/>
          <w:szCs w:val="52"/>
        </w:rPr>
      </w:pPr>
      <w:r>
        <w:rPr>
          <w:rFonts w:hint="eastAsia" w:ascii="宋体"/>
          <w:b/>
          <w:color w:val="auto"/>
          <w:spacing w:val="66"/>
          <w:sz w:val="52"/>
          <w:szCs w:val="52"/>
        </w:rPr>
        <w:t>投</w:t>
      </w:r>
    </w:p>
    <w:p>
      <w:pPr>
        <w:spacing w:line="520" w:lineRule="exact"/>
        <w:jc w:val="center"/>
        <w:rPr>
          <w:rFonts w:ascii="宋体"/>
          <w:b/>
          <w:color w:val="auto"/>
          <w:spacing w:val="66"/>
          <w:sz w:val="52"/>
          <w:szCs w:val="52"/>
        </w:rPr>
      </w:pPr>
    </w:p>
    <w:p>
      <w:pPr>
        <w:spacing w:line="520" w:lineRule="exact"/>
        <w:jc w:val="center"/>
        <w:rPr>
          <w:rFonts w:ascii="宋体"/>
          <w:b/>
          <w:color w:val="auto"/>
          <w:spacing w:val="66"/>
          <w:sz w:val="52"/>
          <w:szCs w:val="52"/>
        </w:rPr>
      </w:pPr>
      <w:r>
        <w:rPr>
          <w:rFonts w:hint="eastAsia" w:ascii="宋体"/>
          <w:b/>
          <w:color w:val="auto"/>
          <w:spacing w:val="66"/>
          <w:sz w:val="52"/>
          <w:szCs w:val="52"/>
        </w:rPr>
        <w:t>标</w:t>
      </w:r>
    </w:p>
    <w:p>
      <w:pPr>
        <w:spacing w:line="520" w:lineRule="exact"/>
        <w:jc w:val="center"/>
        <w:rPr>
          <w:rFonts w:ascii="宋体"/>
          <w:b/>
          <w:color w:val="auto"/>
          <w:spacing w:val="66"/>
          <w:sz w:val="52"/>
          <w:szCs w:val="52"/>
        </w:rPr>
      </w:pPr>
    </w:p>
    <w:p>
      <w:pPr>
        <w:spacing w:line="520" w:lineRule="exact"/>
        <w:jc w:val="center"/>
        <w:rPr>
          <w:rFonts w:ascii="宋体"/>
          <w:b/>
          <w:color w:val="auto"/>
          <w:spacing w:val="66"/>
          <w:sz w:val="52"/>
          <w:szCs w:val="52"/>
        </w:rPr>
      </w:pPr>
      <w:r>
        <w:rPr>
          <w:rFonts w:hint="eastAsia" w:ascii="宋体"/>
          <w:b/>
          <w:color w:val="auto"/>
          <w:spacing w:val="66"/>
          <w:sz w:val="52"/>
          <w:szCs w:val="52"/>
        </w:rPr>
        <w:t>文</w:t>
      </w:r>
    </w:p>
    <w:p>
      <w:pPr>
        <w:spacing w:line="520" w:lineRule="exact"/>
        <w:jc w:val="center"/>
        <w:rPr>
          <w:rFonts w:ascii="宋体"/>
          <w:b/>
          <w:color w:val="auto"/>
          <w:spacing w:val="66"/>
          <w:sz w:val="52"/>
          <w:szCs w:val="52"/>
        </w:rPr>
      </w:pPr>
    </w:p>
    <w:p>
      <w:pPr>
        <w:spacing w:line="520" w:lineRule="exact"/>
        <w:jc w:val="center"/>
        <w:rPr>
          <w:rFonts w:ascii="宋体"/>
          <w:b/>
          <w:color w:val="auto"/>
          <w:spacing w:val="66"/>
          <w:sz w:val="52"/>
          <w:szCs w:val="52"/>
        </w:rPr>
      </w:pPr>
      <w:r>
        <w:rPr>
          <w:rFonts w:hint="eastAsia" w:ascii="宋体"/>
          <w:b/>
          <w:color w:val="auto"/>
          <w:spacing w:val="66"/>
          <w:sz w:val="52"/>
          <w:szCs w:val="52"/>
        </w:rPr>
        <w:t>件</w:t>
      </w:r>
    </w:p>
    <w:p>
      <w:pPr>
        <w:spacing w:line="520" w:lineRule="exact"/>
        <w:jc w:val="center"/>
        <w:rPr>
          <w:rFonts w:ascii="宋体"/>
          <w:b/>
          <w:color w:val="auto"/>
          <w:spacing w:val="66"/>
          <w:sz w:val="52"/>
          <w:szCs w:val="52"/>
        </w:rPr>
      </w:pPr>
    </w:p>
    <w:p>
      <w:pPr>
        <w:spacing w:line="520" w:lineRule="exact"/>
        <w:jc w:val="center"/>
        <w:rPr>
          <w:rFonts w:ascii="宋体"/>
          <w:b/>
          <w:color w:val="auto"/>
          <w:spacing w:val="66"/>
          <w:sz w:val="52"/>
          <w:szCs w:val="52"/>
        </w:rPr>
      </w:pPr>
      <w:r>
        <w:rPr>
          <w:rFonts w:hint="eastAsia" w:ascii="宋体"/>
          <w:b/>
          <w:color w:val="auto"/>
          <w:spacing w:val="66"/>
          <w:sz w:val="52"/>
          <w:szCs w:val="52"/>
        </w:rPr>
        <w:t>正</w:t>
      </w:r>
    </w:p>
    <w:p>
      <w:pPr>
        <w:spacing w:line="520" w:lineRule="exact"/>
        <w:jc w:val="center"/>
        <w:rPr>
          <w:rFonts w:ascii="宋体"/>
          <w:b/>
          <w:color w:val="auto"/>
          <w:spacing w:val="66"/>
          <w:sz w:val="52"/>
          <w:szCs w:val="52"/>
        </w:rPr>
      </w:pPr>
    </w:p>
    <w:p>
      <w:pPr>
        <w:spacing w:line="520" w:lineRule="exact"/>
        <w:jc w:val="center"/>
        <w:rPr>
          <w:rFonts w:ascii="宋体"/>
          <w:b/>
          <w:color w:val="auto"/>
          <w:spacing w:val="66"/>
          <w:sz w:val="52"/>
          <w:szCs w:val="52"/>
        </w:rPr>
      </w:pPr>
      <w:r>
        <w:rPr>
          <w:rFonts w:hint="eastAsia" w:ascii="宋体"/>
          <w:b/>
          <w:color w:val="auto"/>
          <w:spacing w:val="66"/>
          <w:sz w:val="52"/>
          <w:szCs w:val="52"/>
        </w:rPr>
        <w:t>本</w:t>
      </w:r>
    </w:p>
    <w:p>
      <w:pPr>
        <w:spacing w:line="520" w:lineRule="exact"/>
        <w:rPr>
          <w:rFonts w:ascii="宋体"/>
          <w:b/>
          <w:color w:val="auto"/>
          <w:sz w:val="28"/>
          <w:szCs w:val="28"/>
        </w:rPr>
      </w:pPr>
    </w:p>
    <w:p>
      <w:pPr>
        <w:pStyle w:val="2"/>
        <w:rPr>
          <w:rFonts w:hint="default"/>
          <w:color w:val="auto"/>
        </w:rPr>
      </w:pPr>
    </w:p>
    <w:p>
      <w:pPr>
        <w:spacing w:line="480" w:lineRule="auto"/>
        <w:ind w:firstLine="275" w:firstLineChars="98"/>
        <w:rPr>
          <w:rFonts w:ascii="宋体"/>
          <w:b/>
          <w:color w:val="auto"/>
          <w:sz w:val="28"/>
          <w:szCs w:val="28"/>
        </w:rPr>
      </w:pPr>
      <w:r>
        <w:rPr>
          <w:rFonts w:hint="eastAsia" w:ascii="宋体"/>
          <w:b/>
          <w:color w:val="auto"/>
          <w:sz w:val="28"/>
          <w:szCs w:val="28"/>
        </w:rPr>
        <w:t>投  标  人：</w:t>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rPr>
        <w:t>（单位盖章）</w:t>
      </w:r>
    </w:p>
    <w:p>
      <w:pPr>
        <w:spacing w:line="480" w:lineRule="auto"/>
        <w:ind w:firstLine="275" w:firstLineChars="98"/>
        <w:rPr>
          <w:rFonts w:ascii="宋体"/>
          <w:b/>
          <w:color w:val="auto"/>
          <w:sz w:val="28"/>
          <w:szCs w:val="28"/>
        </w:rPr>
      </w:pPr>
      <w:r>
        <w:rPr>
          <w:rFonts w:hint="eastAsia" w:ascii="宋体"/>
          <w:b/>
          <w:color w:val="auto"/>
          <w:sz w:val="28"/>
          <w:szCs w:val="28"/>
        </w:rPr>
        <w:t>法定代表人 ：</w:t>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rPr>
        <w:t>（亲笔签名）</w:t>
      </w:r>
    </w:p>
    <w:p>
      <w:pPr>
        <w:spacing w:line="480" w:lineRule="auto"/>
        <w:ind w:firstLine="275" w:firstLineChars="98"/>
        <w:rPr>
          <w:rFonts w:ascii="宋体"/>
          <w:b/>
          <w:color w:val="auto"/>
          <w:sz w:val="28"/>
          <w:szCs w:val="28"/>
        </w:rPr>
      </w:pPr>
      <w:r>
        <w:rPr>
          <w:rFonts w:ascii="宋体"/>
          <w:b/>
          <w:color w:val="auto"/>
          <w:sz w:val="28"/>
          <w:szCs w:val="28"/>
        </w:rPr>
        <w:t>项目负责人：</w:t>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rPr>
        <w:t>（亲笔签名）</w:t>
      </w:r>
    </w:p>
    <w:p>
      <w:pPr>
        <w:spacing w:line="480" w:lineRule="auto"/>
        <w:ind w:firstLine="275" w:firstLineChars="98"/>
        <w:rPr>
          <w:color w:val="auto"/>
        </w:rPr>
      </w:pPr>
      <w:r>
        <w:rPr>
          <w:rFonts w:hint="eastAsia" w:ascii="宋体"/>
          <w:b/>
          <w:color w:val="auto"/>
          <w:sz w:val="28"/>
          <w:szCs w:val="28"/>
        </w:rPr>
        <w:t>项目技术负责人：</w:t>
      </w:r>
      <w:r>
        <w:rPr>
          <w:rFonts w:hint="eastAsia" w:ascii="宋体"/>
          <w:b/>
          <w:color w:val="auto"/>
          <w:sz w:val="28"/>
          <w:szCs w:val="28"/>
          <w:u w:val="single"/>
        </w:rPr>
        <w:tab/>
      </w:r>
      <w:r>
        <w:rPr>
          <w:rFonts w:hint="eastAsia" w:ascii="宋体"/>
          <w:b/>
          <w:color w:val="auto"/>
          <w:sz w:val="28"/>
          <w:szCs w:val="28"/>
        </w:rPr>
        <w:t>（亲笔签名）</w:t>
      </w:r>
    </w:p>
    <w:p>
      <w:pPr>
        <w:spacing w:line="480" w:lineRule="auto"/>
        <w:ind w:firstLine="275" w:firstLineChars="98"/>
        <w:rPr>
          <w:color w:val="auto"/>
        </w:rPr>
      </w:pPr>
      <w:r>
        <w:rPr>
          <w:rFonts w:hint="eastAsia" w:ascii="宋体"/>
          <w:b/>
          <w:color w:val="auto"/>
          <w:sz w:val="28"/>
          <w:szCs w:val="28"/>
        </w:rPr>
        <w:t>日  期 ：</w:t>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rPr>
        <w:t>年</w:t>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rPr>
        <w:t>月</w:t>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rPr>
        <w:t>日</w:t>
      </w:r>
    </w:p>
    <w:p>
      <w:pPr>
        <w:pStyle w:val="2"/>
        <w:spacing w:before="0" w:beforeAutospacing="0" w:after="0" w:afterAutospacing="0" w:line="520" w:lineRule="exact"/>
        <w:rPr>
          <w:rFonts w:hint="default"/>
          <w:color w:val="auto"/>
          <w:szCs w:val="32"/>
        </w:rPr>
      </w:pPr>
      <w:bookmarkStart w:id="66" w:name="_Hlt251227299"/>
      <w:bookmarkEnd w:id="66"/>
      <w:bookmarkStart w:id="67" w:name="_Hlt251225430"/>
      <w:bookmarkEnd w:id="67"/>
      <w:bookmarkStart w:id="68" w:name="_Toc48210828"/>
      <w:bookmarkStart w:id="69" w:name="_Toc252979596"/>
      <w:bookmarkStart w:id="70" w:name="_Toc438028565"/>
    </w:p>
    <w:p>
      <w:pPr>
        <w:pStyle w:val="2"/>
        <w:spacing w:before="0" w:beforeAutospacing="0" w:after="0" w:afterAutospacing="0" w:line="520" w:lineRule="exact"/>
        <w:rPr>
          <w:rFonts w:hint="default"/>
          <w:color w:val="auto"/>
          <w:szCs w:val="32"/>
        </w:rPr>
      </w:pPr>
      <w:bookmarkStart w:id="71" w:name="_Toc29082"/>
      <w:r>
        <w:rPr>
          <w:color w:val="auto"/>
          <w:szCs w:val="32"/>
        </w:rPr>
        <w:t>附件2：投标文件（副本）封面</w:t>
      </w:r>
      <w:bookmarkEnd w:id="68"/>
      <w:bookmarkEnd w:id="69"/>
      <w:bookmarkEnd w:id="70"/>
      <w:bookmarkEnd w:id="71"/>
    </w:p>
    <w:p>
      <w:pPr>
        <w:spacing w:line="520" w:lineRule="exact"/>
        <w:jc w:val="left"/>
        <w:rPr>
          <w:rFonts w:ascii="宋体"/>
          <w:b/>
          <w:color w:val="auto"/>
          <w:sz w:val="28"/>
          <w:szCs w:val="28"/>
          <w:u w:val="single"/>
        </w:rPr>
      </w:pPr>
    </w:p>
    <w:p>
      <w:pPr>
        <w:spacing w:line="520" w:lineRule="exact"/>
        <w:jc w:val="center"/>
        <w:rPr>
          <w:rFonts w:ascii="宋体"/>
          <w:color w:val="auto"/>
          <w:sz w:val="30"/>
          <w:szCs w:val="30"/>
          <w:u w:val="single"/>
        </w:rPr>
      </w:pPr>
      <w:r>
        <w:rPr>
          <w:rFonts w:hint="eastAsia" w:ascii="宋体"/>
          <w:b/>
          <w:color w:val="auto"/>
          <w:sz w:val="52"/>
          <w:szCs w:val="52"/>
        </w:rPr>
        <w:t>工程施工招标</w:t>
      </w:r>
    </w:p>
    <w:p>
      <w:pPr>
        <w:spacing w:line="520" w:lineRule="exact"/>
        <w:jc w:val="center"/>
        <w:rPr>
          <w:rFonts w:ascii="宋体"/>
          <w:b/>
          <w:color w:val="auto"/>
          <w:sz w:val="52"/>
          <w:szCs w:val="52"/>
        </w:rPr>
      </w:pPr>
    </w:p>
    <w:p>
      <w:pPr>
        <w:spacing w:line="520" w:lineRule="exact"/>
        <w:jc w:val="center"/>
        <w:rPr>
          <w:rFonts w:ascii="宋体"/>
          <w:b/>
          <w:color w:val="auto"/>
          <w:sz w:val="52"/>
          <w:szCs w:val="52"/>
        </w:rPr>
      </w:pPr>
    </w:p>
    <w:p>
      <w:pPr>
        <w:spacing w:line="520" w:lineRule="exact"/>
        <w:jc w:val="center"/>
        <w:rPr>
          <w:rFonts w:ascii="宋体"/>
          <w:b/>
          <w:color w:val="auto"/>
          <w:spacing w:val="66"/>
          <w:sz w:val="52"/>
          <w:szCs w:val="52"/>
        </w:rPr>
      </w:pPr>
      <w:r>
        <w:rPr>
          <w:rFonts w:hint="eastAsia" w:ascii="宋体"/>
          <w:b/>
          <w:color w:val="auto"/>
          <w:spacing w:val="66"/>
          <w:sz w:val="52"/>
          <w:szCs w:val="52"/>
        </w:rPr>
        <w:t>投</w:t>
      </w:r>
    </w:p>
    <w:p>
      <w:pPr>
        <w:spacing w:line="520" w:lineRule="exact"/>
        <w:jc w:val="center"/>
        <w:rPr>
          <w:rFonts w:ascii="宋体"/>
          <w:b/>
          <w:color w:val="auto"/>
          <w:spacing w:val="66"/>
          <w:sz w:val="52"/>
          <w:szCs w:val="52"/>
        </w:rPr>
      </w:pPr>
    </w:p>
    <w:p>
      <w:pPr>
        <w:spacing w:line="520" w:lineRule="exact"/>
        <w:jc w:val="center"/>
        <w:rPr>
          <w:rFonts w:ascii="宋体"/>
          <w:b/>
          <w:color w:val="auto"/>
          <w:spacing w:val="66"/>
          <w:sz w:val="52"/>
          <w:szCs w:val="52"/>
        </w:rPr>
      </w:pPr>
      <w:r>
        <w:rPr>
          <w:rFonts w:hint="eastAsia" w:ascii="宋体"/>
          <w:b/>
          <w:color w:val="auto"/>
          <w:spacing w:val="66"/>
          <w:sz w:val="52"/>
          <w:szCs w:val="52"/>
        </w:rPr>
        <w:t>标</w:t>
      </w:r>
    </w:p>
    <w:p>
      <w:pPr>
        <w:spacing w:line="520" w:lineRule="exact"/>
        <w:jc w:val="center"/>
        <w:rPr>
          <w:rFonts w:ascii="宋体"/>
          <w:b/>
          <w:color w:val="auto"/>
          <w:spacing w:val="66"/>
          <w:sz w:val="52"/>
          <w:szCs w:val="52"/>
        </w:rPr>
      </w:pPr>
    </w:p>
    <w:p>
      <w:pPr>
        <w:spacing w:line="520" w:lineRule="exact"/>
        <w:jc w:val="center"/>
        <w:rPr>
          <w:rFonts w:ascii="宋体"/>
          <w:b/>
          <w:color w:val="auto"/>
          <w:spacing w:val="66"/>
          <w:sz w:val="52"/>
          <w:szCs w:val="52"/>
        </w:rPr>
      </w:pPr>
      <w:r>
        <w:rPr>
          <w:rFonts w:hint="eastAsia" w:ascii="宋体"/>
          <w:b/>
          <w:color w:val="auto"/>
          <w:spacing w:val="66"/>
          <w:sz w:val="52"/>
          <w:szCs w:val="52"/>
        </w:rPr>
        <w:t>文</w:t>
      </w:r>
    </w:p>
    <w:p>
      <w:pPr>
        <w:spacing w:line="520" w:lineRule="exact"/>
        <w:jc w:val="center"/>
        <w:rPr>
          <w:rFonts w:ascii="宋体"/>
          <w:b/>
          <w:color w:val="auto"/>
          <w:spacing w:val="66"/>
          <w:sz w:val="52"/>
          <w:szCs w:val="52"/>
        </w:rPr>
      </w:pPr>
    </w:p>
    <w:p>
      <w:pPr>
        <w:spacing w:line="520" w:lineRule="exact"/>
        <w:jc w:val="center"/>
        <w:rPr>
          <w:rFonts w:ascii="宋体"/>
          <w:b/>
          <w:color w:val="auto"/>
          <w:spacing w:val="66"/>
          <w:sz w:val="52"/>
          <w:szCs w:val="52"/>
        </w:rPr>
      </w:pPr>
      <w:r>
        <w:rPr>
          <w:rFonts w:hint="eastAsia" w:ascii="宋体"/>
          <w:b/>
          <w:color w:val="auto"/>
          <w:spacing w:val="66"/>
          <w:sz w:val="52"/>
          <w:szCs w:val="52"/>
        </w:rPr>
        <w:t>件</w:t>
      </w:r>
    </w:p>
    <w:p>
      <w:pPr>
        <w:spacing w:line="520" w:lineRule="exact"/>
        <w:jc w:val="center"/>
        <w:rPr>
          <w:rFonts w:ascii="宋体"/>
          <w:b/>
          <w:color w:val="auto"/>
          <w:spacing w:val="66"/>
          <w:sz w:val="52"/>
          <w:szCs w:val="52"/>
        </w:rPr>
      </w:pPr>
    </w:p>
    <w:p>
      <w:pPr>
        <w:spacing w:line="520" w:lineRule="exact"/>
        <w:jc w:val="center"/>
        <w:rPr>
          <w:rFonts w:ascii="宋体"/>
          <w:b/>
          <w:color w:val="auto"/>
          <w:spacing w:val="66"/>
          <w:sz w:val="52"/>
          <w:szCs w:val="52"/>
        </w:rPr>
      </w:pPr>
      <w:r>
        <w:rPr>
          <w:rFonts w:hint="eastAsia" w:ascii="宋体"/>
          <w:b/>
          <w:color w:val="auto"/>
          <w:spacing w:val="66"/>
          <w:sz w:val="52"/>
          <w:szCs w:val="52"/>
        </w:rPr>
        <w:t>副</w:t>
      </w:r>
    </w:p>
    <w:p>
      <w:pPr>
        <w:spacing w:line="520" w:lineRule="exact"/>
        <w:jc w:val="center"/>
        <w:rPr>
          <w:rFonts w:ascii="宋体"/>
          <w:b/>
          <w:color w:val="auto"/>
          <w:spacing w:val="66"/>
          <w:sz w:val="52"/>
          <w:szCs w:val="52"/>
        </w:rPr>
      </w:pPr>
    </w:p>
    <w:p>
      <w:pPr>
        <w:spacing w:line="520" w:lineRule="exact"/>
        <w:jc w:val="center"/>
        <w:rPr>
          <w:color w:val="auto"/>
        </w:rPr>
      </w:pPr>
      <w:r>
        <w:rPr>
          <w:rFonts w:hint="eastAsia" w:ascii="宋体"/>
          <w:b/>
          <w:color w:val="auto"/>
          <w:spacing w:val="66"/>
          <w:sz w:val="52"/>
          <w:szCs w:val="52"/>
        </w:rPr>
        <w:t>本</w:t>
      </w:r>
    </w:p>
    <w:p>
      <w:pPr>
        <w:spacing w:line="520" w:lineRule="exact"/>
        <w:jc w:val="center"/>
        <w:rPr>
          <w:rFonts w:ascii="宋体"/>
          <w:color w:val="auto"/>
          <w:sz w:val="28"/>
          <w:szCs w:val="28"/>
        </w:rPr>
      </w:pPr>
    </w:p>
    <w:p>
      <w:pPr>
        <w:pStyle w:val="2"/>
        <w:rPr>
          <w:rFonts w:hint="default"/>
          <w:color w:val="auto"/>
        </w:rPr>
      </w:pPr>
    </w:p>
    <w:p>
      <w:pPr>
        <w:spacing w:line="480" w:lineRule="auto"/>
        <w:ind w:firstLine="275" w:firstLineChars="98"/>
        <w:rPr>
          <w:rFonts w:ascii="宋体"/>
          <w:b/>
          <w:color w:val="auto"/>
          <w:sz w:val="28"/>
          <w:szCs w:val="28"/>
        </w:rPr>
      </w:pPr>
      <w:r>
        <w:rPr>
          <w:rFonts w:hint="eastAsia" w:ascii="宋体"/>
          <w:b/>
          <w:color w:val="auto"/>
          <w:sz w:val="28"/>
          <w:szCs w:val="28"/>
        </w:rPr>
        <w:t>投  标  人：</w:t>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rPr>
        <w:t>（单位盖章）</w:t>
      </w:r>
    </w:p>
    <w:p>
      <w:pPr>
        <w:spacing w:line="480" w:lineRule="auto"/>
        <w:ind w:firstLine="275" w:firstLineChars="98"/>
        <w:rPr>
          <w:rFonts w:ascii="宋体"/>
          <w:b/>
          <w:color w:val="auto"/>
          <w:sz w:val="28"/>
          <w:szCs w:val="28"/>
        </w:rPr>
      </w:pPr>
      <w:r>
        <w:rPr>
          <w:rFonts w:hint="eastAsia" w:ascii="宋体"/>
          <w:b/>
          <w:color w:val="auto"/>
          <w:sz w:val="28"/>
          <w:szCs w:val="28"/>
        </w:rPr>
        <w:t>法定代表人 ：</w:t>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rPr>
        <w:t>（亲笔签名）</w:t>
      </w:r>
    </w:p>
    <w:p>
      <w:pPr>
        <w:spacing w:line="480" w:lineRule="auto"/>
        <w:ind w:firstLine="275" w:firstLineChars="98"/>
        <w:rPr>
          <w:rFonts w:ascii="宋体"/>
          <w:b/>
          <w:color w:val="auto"/>
          <w:sz w:val="28"/>
          <w:szCs w:val="28"/>
        </w:rPr>
      </w:pPr>
      <w:r>
        <w:rPr>
          <w:rFonts w:ascii="宋体"/>
          <w:b/>
          <w:color w:val="auto"/>
          <w:sz w:val="28"/>
          <w:szCs w:val="28"/>
        </w:rPr>
        <w:t>项目负责人：</w:t>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rPr>
        <w:t>（亲笔签名）</w:t>
      </w:r>
    </w:p>
    <w:p>
      <w:pPr>
        <w:spacing w:line="480" w:lineRule="auto"/>
        <w:ind w:firstLine="275" w:firstLineChars="98"/>
        <w:rPr>
          <w:color w:val="auto"/>
        </w:rPr>
      </w:pPr>
      <w:r>
        <w:rPr>
          <w:rFonts w:hint="eastAsia" w:ascii="宋体"/>
          <w:b/>
          <w:color w:val="auto"/>
          <w:sz w:val="28"/>
          <w:szCs w:val="28"/>
        </w:rPr>
        <w:t>项目技术负责人：</w:t>
      </w:r>
      <w:r>
        <w:rPr>
          <w:rFonts w:hint="eastAsia" w:ascii="宋体"/>
          <w:b/>
          <w:color w:val="auto"/>
          <w:sz w:val="28"/>
          <w:szCs w:val="28"/>
          <w:u w:val="single"/>
        </w:rPr>
        <w:tab/>
      </w:r>
      <w:r>
        <w:rPr>
          <w:rFonts w:hint="eastAsia" w:ascii="宋体"/>
          <w:b/>
          <w:color w:val="auto"/>
          <w:sz w:val="28"/>
          <w:szCs w:val="28"/>
        </w:rPr>
        <w:t>（亲笔签名）</w:t>
      </w:r>
    </w:p>
    <w:p>
      <w:pPr>
        <w:spacing w:line="480" w:lineRule="auto"/>
        <w:ind w:firstLine="275" w:firstLineChars="98"/>
        <w:rPr>
          <w:rFonts w:ascii="仿宋" w:hAnsi="仿宋" w:eastAsia="仿宋" w:cs="仿宋"/>
          <w:color w:val="auto"/>
        </w:rPr>
      </w:pPr>
      <w:r>
        <w:rPr>
          <w:rFonts w:hint="eastAsia" w:ascii="宋体"/>
          <w:b/>
          <w:color w:val="auto"/>
          <w:sz w:val="28"/>
          <w:szCs w:val="28"/>
        </w:rPr>
        <w:t>日  期 ：</w:t>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rPr>
        <w:t>年</w:t>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rPr>
        <w:t>月</w:t>
      </w:r>
      <w:r>
        <w:rPr>
          <w:rFonts w:hint="eastAsia" w:ascii="宋体"/>
          <w:b/>
          <w:color w:val="auto"/>
          <w:sz w:val="28"/>
          <w:szCs w:val="28"/>
          <w:u w:val="single"/>
        </w:rPr>
        <w:tab/>
      </w:r>
      <w:r>
        <w:rPr>
          <w:rFonts w:hint="eastAsia" w:ascii="宋体"/>
          <w:b/>
          <w:color w:val="auto"/>
          <w:sz w:val="28"/>
          <w:szCs w:val="28"/>
          <w:u w:val="single"/>
        </w:rPr>
        <w:tab/>
      </w:r>
      <w:r>
        <w:rPr>
          <w:rFonts w:hint="eastAsia" w:ascii="宋体"/>
          <w:b/>
          <w:color w:val="auto"/>
          <w:sz w:val="28"/>
          <w:szCs w:val="28"/>
        </w:rPr>
        <w:t>日</w:t>
      </w:r>
    </w:p>
    <w:p>
      <w:pPr>
        <w:pStyle w:val="2"/>
        <w:spacing w:before="0" w:beforeAutospacing="0" w:after="0" w:afterAutospacing="0" w:line="520" w:lineRule="exact"/>
        <w:jc w:val="center"/>
        <w:rPr>
          <w:rFonts w:hint="default" w:ascii="方正小标宋简体" w:hAnsi="方正小标宋简体" w:eastAsia="方正小标宋简体" w:cs="方正小标宋简体"/>
          <w:bCs w:val="0"/>
          <w:color w:val="auto"/>
          <w:sz w:val="44"/>
          <w:szCs w:val="44"/>
        </w:rPr>
      </w:pPr>
      <w:r>
        <w:rPr>
          <w:rFonts w:ascii="方正小标宋简体" w:hAnsi="方正小标宋简体" w:eastAsia="方正小标宋简体" w:cs="方正小标宋简体"/>
          <w:bCs w:val="0"/>
          <w:color w:val="auto"/>
          <w:sz w:val="44"/>
          <w:szCs w:val="44"/>
        </w:rPr>
        <w:t>第四部分    施工合同</w:t>
      </w:r>
      <w:bookmarkEnd w:id="0"/>
      <w:bookmarkEnd w:id="1"/>
      <w:bookmarkEnd w:id="2"/>
      <w:bookmarkEnd w:id="3"/>
    </w:p>
    <w:p>
      <w:pPr>
        <w:autoSpaceDE w:val="0"/>
        <w:autoSpaceDN w:val="0"/>
        <w:adjustRightInd w:val="0"/>
        <w:spacing w:line="360" w:lineRule="auto"/>
        <w:jc w:val="left"/>
        <w:rPr>
          <w:rFonts w:eastAsia="仿宋_GB2312"/>
          <w:bCs/>
          <w:color w:val="auto"/>
          <w:sz w:val="32"/>
          <w:szCs w:val="32"/>
        </w:rPr>
      </w:pPr>
    </w:p>
    <w:p>
      <w:pPr>
        <w:jc w:val="left"/>
        <w:rPr>
          <w:rFonts w:ascii="宋体" w:hAnsi="宋体" w:cs="宋体"/>
          <w:b/>
          <w:bCs/>
          <w:color w:val="auto"/>
          <w:sz w:val="32"/>
          <w:szCs w:val="32"/>
        </w:rPr>
      </w:pPr>
      <w:r>
        <w:rPr>
          <w:rFonts w:hint="eastAsia" w:ascii="宋体" w:hAnsi="宋体" w:cs="宋体"/>
          <w:b/>
          <w:bCs/>
          <w:color w:val="auto"/>
          <w:sz w:val="32"/>
          <w:szCs w:val="32"/>
        </w:rPr>
        <w:t>（GF—2017—0201）</w:t>
      </w:r>
    </w:p>
    <w:p>
      <w:pPr>
        <w:widowControl/>
        <w:rPr>
          <w:rFonts w:ascii="宋体" w:hAnsi="宋体" w:cs="宋体"/>
          <w:b/>
          <w:bCs/>
          <w:color w:val="auto"/>
          <w:kern w:val="0"/>
          <w:sz w:val="72"/>
          <w:szCs w:val="72"/>
        </w:rPr>
      </w:pPr>
    </w:p>
    <w:p>
      <w:pPr>
        <w:widowControl/>
        <w:jc w:val="center"/>
        <w:rPr>
          <w:rFonts w:ascii="宋体" w:hAnsi="宋体" w:cs="宋体"/>
          <w:b/>
          <w:bCs/>
          <w:color w:val="auto"/>
          <w:kern w:val="0"/>
          <w:sz w:val="72"/>
          <w:szCs w:val="72"/>
        </w:rPr>
      </w:pPr>
    </w:p>
    <w:p>
      <w:pPr>
        <w:widowControl/>
        <w:jc w:val="center"/>
        <w:rPr>
          <w:rFonts w:ascii="宋体" w:hAnsi="宋体" w:cs="宋体"/>
          <w:b/>
          <w:bCs/>
          <w:color w:val="auto"/>
        </w:rPr>
      </w:pPr>
      <w:r>
        <w:rPr>
          <w:rFonts w:hint="eastAsia" w:ascii="宋体" w:hAnsi="宋体" w:cs="宋体"/>
          <w:b/>
          <w:bCs/>
          <w:color w:val="auto"/>
          <w:kern w:val="0"/>
          <w:sz w:val="72"/>
          <w:szCs w:val="72"/>
        </w:rPr>
        <w:t>建设工程施工合同</w:t>
      </w:r>
    </w:p>
    <w:p>
      <w:pPr>
        <w:widowControl/>
        <w:jc w:val="center"/>
        <w:rPr>
          <w:rFonts w:ascii="宋体" w:hAnsi="宋体" w:cs="宋体"/>
          <w:b/>
          <w:bCs/>
          <w:color w:val="auto"/>
        </w:rPr>
      </w:pPr>
      <w:r>
        <w:rPr>
          <w:rFonts w:hint="eastAsia" w:ascii="宋体" w:hAnsi="宋体" w:cs="宋体"/>
          <w:b/>
          <w:bCs/>
          <w:color w:val="auto"/>
          <w:kern w:val="0"/>
          <w:sz w:val="52"/>
          <w:szCs w:val="52"/>
        </w:rPr>
        <w:t>（示范文本）</w:t>
      </w:r>
    </w:p>
    <w:p>
      <w:pPr>
        <w:jc w:val="center"/>
        <w:rPr>
          <w:rFonts w:ascii="宋体" w:hAnsi="宋体" w:cs="宋体"/>
          <w:b/>
          <w:color w:val="auto"/>
          <w:sz w:val="52"/>
          <w:szCs w:val="52"/>
        </w:rPr>
      </w:pPr>
    </w:p>
    <w:p>
      <w:pPr>
        <w:rPr>
          <w:color w:val="auto"/>
        </w:rPr>
      </w:pPr>
    </w:p>
    <w:p>
      <w:pPr>
        <w:widowControl/>
        <w:ind w:left="1807" w:hanging="1807" w:hangingChars="500"/>
        <w:jc w:val="left"/>
        <w:rPr>
          <w:rFonts w:hint="eastAsia" w:ascii="宋体" w:hAnsi="宋体" w:eastAsia="宋体" w:cs="宋体"/>
          <w:b/>
          <w:bCs/>
          <w:color w:val="auto"/>
          <w:lang w:eastAsia="zh-CN"/>
        </w:rPr>
      </w:pPr>
      <w:r>
        <w:rPr>
          <w:rFonts w:hint="eastAsia" w:ascii="宋体" w:hAnsi="宋体" w:cs="宋体"/>
          <w:b/>
          <w:bCs/>
          <w:color w:val="auto"/>
          <w:kern w:val="0"/>
          <w:sz w:val="36"/>
          <w:szCs w:val="36"/>
        </w:rPr>
        <w:t>工程名称：</w:t>
      </w:r>
      <w:r>
        <w:rPr>
          <w:rFonts w:hint="eastAsia" w:ascii="宋体" w:hAnsi="宋体" w:cs="宋体"/>
          <w:b/>
          <w:bCs/>
          <w:color w:val="auto"/>
          <w:kern w:val="0"/>
          <w:sz w:val="36"/>
          <w:szCs w:val="36"/>
          <w:lang w:eastAsia="zh-CN"/>
        </w:rPr>
        <w:t>遂溪县洋青镇城乡融合综合改造项目（</w:t>
      </w:r>
      <w:r>
        <w:rPr>
          <w:rFonts w:hint="eastAsia" w:ascii="宋体" w:hAnsi="宋体" w:cs="宋体"/>
          <w:b/>
          <w:bCs/>
          <w:color w:val="auto"/>
          <w:kern w:val="0"/>
          <w:sz w:val="36"/>
          <w:szCs w:val="36"/>
          <w:lang w:val="en-US" w:eastAsia="zh-CN"/>
        </w:rPr>
        <w:t>一期</w:t>
      </w:r>
      <w:r>
        <w:rPr>
          <w:rFonts w:hint="eastAsia" w:ascii="宋体" w:hAnsi="宋体" w:cs="宋体"/>
          <w:b/>
          <w:bCs/>
          <w:color w:val="auto"/>
          <w:kern w:val="0"/>
          <w:sz w:val="36"/>
          <w:szCs w:val="36"/>
          <w:lang w:eastAsia="zh-CN"/>
        </w:rPr>
        <w:t>）</w:t>
      </w:r>
    </w:p>
    <w:p>
      <w:pPr>
        <w:widowControl/>
        <w:jc w:val="left"/>
        <w:rPr>
          <w:rFonts w:ascii="宋体" w:hAnsi="宋体" w:cs="宋体"/>
          <w:b/>
          <w:bCs/>
          <w:color w:val="auto"/>
        </w:rPr>
      </w:pPr>
      <w:r>
        <w:rPr>
          <w:rFonts w:hint="eastAsia" w:ascii="宋体" w:hAnsi="宋体" w:cs="宋体"/>
          <w:b/>
          <w:bCs/>
          <w:color w:val="auto"/>
          <w:kern w:val="0"/>
          <w:sz w:val="36"/>
          <w:szCs w:val="36"/>
        </w:rPr>
        <w:t>工程地点：</w:t>
      </w:r>
      <w:r>
        <w:rPr>
          <w:rFonts w:hint="eastAsia" w:ascii="宋体" w:hAnsi="宋体" w:cs="宋体"/>
          <w:b/>
          <w:bCs/>
          <w:color w:val="auto"/>
          <w:kern w:val="0"/>
          <w:sz w:val="36"/>
          <w:szCs w:val="36"/>
          <w:lang w:eastAsia="zh-CN"/>
        </w:rPr>
        <w:t>遂溪县洋青镇</w:t>
      </w:r>
      <w:r>
        <w:rPr>
          <w:rFonts w:hint="eastAsia" w:ascii="宋体" w:hAnsi="宋体" w:cs="宋体"/>
          <w:b/>
          <w:bCs/>
          <w:color w:val="auto"/>
          <w:kern w:val="0"/>
          <w:sz w:val="36"/>
          <w:szCs w:val="36"/>
        </w:rPr>
        <w:t xml:space="preserve"> </w:t>
      </w:r>
    </w:p>
    <w:p>
      <w:pPr>
        <w:widowControl/>
        <w:jc w:val="left"/>
        <w:rPr>
          <w:rFonts w:ascii="宋体" w:hAnsi="宋体" w:cs="宋体"/>
          <w:b/>
          <w:bCs/>
          <w:color w:val="auto"/>
        </w:rPr>
      </w:pPr>
      <w:r>
        <w:rPr>
          <w:rFonts w:hint="eastAsia" w:ascii="宋体" w:hAnsi="宋体" w:cs="宋体"/>
          <w:b/>
          <w:bCs/>
          <w:color w:val="auto"/>
          <w:kern w:val="0"/>
          <w:sz w:val="36"/>
          <w:szCs w:val="36"/>
        </w:rPr>
        <w:t>发 包 人：</w:t>
      </w:r>
      <w:r>
        <w:rPr>
          <w:rFonts w:hint="eastAsia" w:ascii="宋体" w:hAnsi="宋体" w:cs="宋体"/>
          <w:b/>
          <w:bCs/>
          <w:color w:val="auto"/>
          <w:kern w:val="0"/>
          <w:sz w:val="36"/>
          <w:szCs w:val="36"/>
          <w:lang w:eastAsia="zh-CN"/>
        </w:rPr>
        <w:t>遂溪县洋青镇人民政府</w:t>
      </w:r>
      <w:r>
        <w:rPr>
          <w:rFonts w:hint="eastAsia" w:ascii="宋体" w:hAnsi="宋体" w:cs="宋体"/>
          <w:b/>
          <w:bCs/>
          <w:color w:val="auto"/>
          <w:kern w:val="0"/>
          <w:sz w:val="36"/>
          <w:szCs w:val="36"/>
        </w:rPr>
        <w:t xml:space="preserve"> </w:t>
      </w:r>
    </w:p>
    <w:p>
      <w:pPr>
        <w:widowControl/>
        <w:jc w:val="left"/>
        <w:rPr>
          <w:rFonts w:ascii="宋体" w:hAnsi="宋体" w:cs="宋体"/>
          <w:b/>
          <w:bCs/>
          <w:color w:val="auto"/>
        </w:rPr>
      </w:pPr>
      <w:r>
        <w:rPr>
          <w:rFonts w:hint="eastAsia" w:ascii="宋体" w:hAnsi="宋体" w:cs="宋体"/>
          <w:b/>
          <w:bCs/>
          <w:color w:val="auto"/>
          <w:kern w:val="0"/>
          <w:sz w:val="36"/>
          <w:szCs w:val="36"/>
        </w:rPr>
        <w:t>承 包 人：</w:t>
      </w:r>
    </w:p>
    <w:p>
      <w:pPr>
        <w:jc w:val="center"/>
        <w:rPr>
          <w:rFonts w:ascii="宋体" w:hAnsi="宋体" w:cs="宋体"/>
          <w:b/>
          <w:color w:val="auto"/>
          <w:sz w:val="72"/>
          <w:szCs w:val="72"/>
        </w:rPr>
      </w:pPr>
    </w:p>
    <w:p>
      <w:pPr>
        <w:jc w:val="center"/>
        <w:rPr>
          <w:rFonts w:ascii="宋体" w:hAnsi="宋体" w:cs="宋体"/>
          <w:b/>
          <w:color w:val="auto"/>
          <w:sz w:val="32"/>
          <w:szCs w:val="28"/>
        </w:rPr>
      </w:pPr>
      <w:r>
        <w:rPr>
          <w:rFonts w:ascii="宋体" w:hAnsi="宋体" w:cs="宋体"/>
          <w:color w:val="auto"/>
        </w:rPr>
        <mc:AlternateContent>
          <mc:Choice Requires="wps">
            <w:drawing>
              <wp:anchor distT="0" distB="0" distL="114300" distR="114300" simplePos="0" relativeHeight="251659264" behindDoc="0" locked="0" layoutInCell="1" allowOverlap="1">
                <wp:simplePos x="0" y="0"/>
                <wp:positionH relativeFrom="column">
                  <wp:posOffset>3964305</wp:posOffset>
                </wp:positionH>
                <wp:positionV relativeFrom="paragraph">
                  <wp:posOffset>210185</wp:posOffset>
                </wp:positionV>
                <wp:extent cx="723900" cy="457200"/>
                <wp:effectExtent l="4445" t="4445" r="14605" b="14605"/>
                <wp:wrapNone/>
                <wp:docPr id="2" name="文本框 1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wrap="square" upright="1"/>
                    </wps:wsp>
                  </a:graphicData>
                </a:graphic>
              </wp:anchor>
            </w:drawing>
          </mc:Choice>
          <mc:Fallback>
            <w:pict>
              <v:shape id="文本框 11" o:spid="_x0000_s1026" o:spt="202" type="#_x0000_t202" style="position:absolute;left:0pt;margin-left:312.15pt;margin-top:16.55pt;height:36pt;width:57pt;z-index:251659264;mso-width-relative:page;mso-height-relative:page;" filled="f" stroked="t" coordsize="21600,21600" o:gfxdata="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rKh2QAAAAoBAAAPAAAA&#10;AAAAAAEAIAAAACIAAABkcnMvZG93bnJldi54bWxQSwECFAAUAAAACACHTuJARo78RhQCAAApBAAA&#10;DgAAAAAAAAABACAAAAAoAQAAZHJzL2Uyb0RvYy54bWxQSwUGAAAAAAYABgBZAQAArgU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ascii="宋体" w:hAnsi="宋体" w:cs="宋体"/>
          <w:b/>
          <w:color w:val="auto"/>
          <w:sz w:val="32"/>
          <w:szCs w:val="28"/>
        </w:rPr>
        <w:t>住房城乡建设部</w:t>
      </w:r>
    </w:p>
    <w:p>
      <w:pPr>
        <w:tabs>
          <w:tab w:val="left" w:pos="6300"/>
        </w:tabs>
        <w:jc w:val="center"/>
        <w:rPr>
          <w:rFonts w:ascii="宋体" w:hAnsi="宋体" w:cs="宋体"/>
          <w:b/>
          <w:color w:val="auto"/>
          <w:sz w:val="32"/>
          <w:szCs w:val="28"/>
        </w:rPr>
      </w:pPr>
      <w:r>
        <w:rPr>
          <w:rFonts w:hint="eastAsia" w:ascii="宋体" w:hAnsi="宋体" w:cs="宋体"/>
          <w:b/>
          <w:color w:val="auto"/>
          <w:sz w:val="32"/>
          <w:szCs w:val="28"/>
        </w:rPr>
        <w:t>国家工商行政管理总局</w:t>
      </w:r>
    </w:p>
    <w:p>
      <w:pPr>
        <w:spacing w:line="520" w:lineRule="exact"/>
        <w:jc w:val="center"/>
        <w:rPr>
          <w:rFonts w:ascii="方正小标宋简体" w:hAnsi="方正小标宋简体" w:eastAsia="方正小标宋简体" w:cs="方正小标宋简体"/>
          <w:b/>
          <w:bCs/>
          <w:color w:val="auto"/>
          <w:sz w:val="32"/>
          <w:szCs w:val="32"/>
        </w:rPr>
      </w:pPr>
      <w:r>
        <w:rPr>
          <w:rFonts w:hint="eastAsia"/>
          <w:b/>
          <w:color w:val="auto"/>
          <w:sz w:val="32"/>
          <w:szCs w:val="28"/>
        </w:rPr>
        <w:br w:type="page"/>
      </w:r>
      <w:r>
        <w:rPr>
          <w:rFonts w:hint="eastAsia" w:ascii="方正小标宋简体" w:hAnsi="方正小标宋简体" w:eastAsia="方正小标宋简体" w:cs="方正小标宋简体"/>
          <w:b/>
          <w:bCs/>
          <w:color w:val="auto"/>
          <w:sz w:val="32"/>
          <w:szCs w:val="32"/>
        </w:rPr>
        <w:t>目 　  录</w:t>
      </w:r>
    </w:p>
    <w:p>
      <w:pPr>
        <w:pStyle w:val="9"/>
        <w:tabs>
          <w:tab w:val="right" w:leader="dot" w:pos="8820"/>
        </w:tabs>
        <w:spacing w:line="480" w:lineRule="auto"/>
        <w:ind w:left="836" w:leftChars="104" w:hanging="618" w:hangingChars="221"/>
        <w:rPr>
          <w:color w:val="auto"/>
          <w:sz w:val="28"/>
          <w:szCs w:val="28"/>
        </w:rPr>
      </w:pPr>
      <w:r>
        <w:rPr>
          <w:rFonts w:hint="eastAsia"/>
          <w:color w:val="auto"/>
          <w:sz w:val="28"/>
          <w:szCs w:val="28"/>
        </w:rPr>
        <w:fldChar w:fldCharType="begin"/>
      </w:r>
      <w:r>
        <w:rPr>
          <w:color w:val="auto"/>
          <w:sz w:val="28"/>
          <w:szCs w:val="28"/>
        </w:rPr>
        <w:instrText xml:space="preserve"> TOC \o "1-3" \h \z \u </w:instrText>
      </w:r>
      <w:r>
        <w:rPr>
          <w:rFonts w:hint="eastAsia"/>
          <w:color w:val="auto"/>
          <w:sz w:val="28"/>
          <w:szCs w:val="28"/>
        </w:rPr>
        <w:fldChar w:fldCharType="separate"/>
      </w:r>
      <w:r>
        <w:rPr>
          <w:color w:val="auto"/>
        </w:rPr>
        <w:fldChar w:fldCharType="begin"/>
      </w:r>
      <w:r>
        <w:rPr>
          <w:color w:val="auto"/>
        </w:rPr>
        <w:instrText xml:space="preserve"> HYPERLINK \l "_Toc7138" </w:instrText>
      </w:r>
      <w:r>
        <w:rPr>
          <w:color w:val="auto"/>
        </w:rPr>
        <w:fldChar w:fldCharType="separate"/>
      </w:r>
      <w:r>
        <w:rPr>
          <w:rFonts w:hint="eastAsia" w:ascii="宋体" w:hAnsi="宋体" w:cs="宋体"/>
          <w:color w:val="auto"/>
          <w:sz w:val="28"/>
          <w:szCs w:val="28"/>
        </w:rPr>
        <w:t>第一部分 合同协议书</w:t>
      </w:r>
      <w:r>
        <w:rPr>
          <w:color w:val="auto"/>
          <w:sz w:val="28"/>
          <w:szCs w:val="28"/>
        </w:rPr>
        <w:tab/>
      </w:r>
      <w:r>
        <w:rPr>
          <w:rFonts w:hint="eastAsia"/>
          <w:color w:val="auto"/>
          <w:sz w:val="28"/>
          <w:szCs w:val="28"/>
        </w:rPr>
        <w:t>4</w:t>
      </w:r>
      <w:r>
        <w:rPr>
          <w:rFonts w:hint="eastAsia"/>
          <w:color w:val="auto"/>
          <w:sz w:val="28"/>
          <w:szCs w:val="28"/>
        </w:rPr>
        <w:fldChar w:fldCharType="end"/>
      </w:r>
      <w:r>
        <w:rPr>
          <w:rFonts w:hint="eastAsia"/>
          <w:color w:val="auto"/>
          <w:sz w:val="28"/>
          <w:szCs w:val="28"/>
        </w:rPr>
        <w:t>9</w:t>
      </w:r>
    </w:p>
    <w:p>
      <w:pPr>
        <w:pStyle w:val="9"/>
        <w:tabs>
          <w:tab w:val="right" w:leader="dot" w:pos="8820"/>
        </w:tabs>
        <w:spacing w:line="480" w:lineRule="auto"/>
        <w:ind w:left="682" w:leftChars="104" w:hanging="464" w:hangingChars="221"/>
        <w:rPr>
          <w:color w:val="auto"/>
          <w:sz w:val="28"/>
          <w:szCs w:val="28"/>
        </w:rPr>
      </w:pPr>
      <w:r>
        <w:rPr>
          <w:color w:val="auto"/>
        </w:rPr>
        <w:fldChar w:fldCharType="begin"/>
      </w:r>
      <w:r>
        <w:rPr>
          <w:color w:val="auto"/>
        </w:rPr>
        <w:instrText xml:space="preserve"> HYPERLINK \l "_Toc2817" </w:instrText>
      </w:r>
      <w:r>
        <w:rPr>
          <w:color w:val="auto"/>
        </w:rPr>
        <w:fldChar w:fldCharType="separate"/>
      </w:r>
      <w:r>
        <w:rPr>
          <w:rFonts w:ascii="宋体" w:hAnsi="宋体" w:cs="宋体"/>
          <w:bCs/>
          <w:color w:val="auto"/>
          <w:sz w:val="28"/>
          <w:szCs w:val="28"/>
        </w:rPr>
        <w:t>第二部分 通用合同条款</w:t>
      </w:r>
      <w:r>
        <w:rPr>
          <w:color w:val="auto"/>
          <w:sz w:val="28"/>
          <w:szCs w:val="28"/>
        </w:rPr>
        <w:tab/>
      </w:r>
      <w:r>
        <w:rPr>
          <w:rFonts w:hint="eastAsia"/>
          <w:color w:val="auto"/>
          <w:sz w:val="28"/>
          <w:szCs w:val="28"/>
        </w:rPr>
        <w:t>5</w:t>
      </w:r>
      <w:r>
        <w:rPr>
          <w:rFonts w:hint="eastAsia"/>
          <w:color w:val="auto"/>
          <w:sz w:val="28"/>
          <w:szCs w:val="28"/>
        </w:rPr>
        <w:fldChar w:fldCharType="end"/>
      </w:r>
      <w:r>
        <w:rPr>
          <w:rFonts w:hint="eastAsia"/>
          <w:color w:val="auto"/>
          <w:sz w:val="28"/>
          <w:szCs w:val="28"/>
        </w:rPr>
        <w:t>5</w:t>
      </w:r>
    </w:p>
    <w:p>
      <w:pPr>
        <w:pStyle w:val="9"/>
        <w:tabs>
          <w:tab w:val="right" w:leader="dot" w:pos="8820"/>
        </w:tabs>
        <w:spacing w:line="480" w:lineRule="auto"/>
        <w:ind w:left="682" w:leftChars="104" w:hanging="464" w:hangingChars="221"/>
        <w:rPr>
          <w:color w:val="auto"/>
        </w:rPr>
      </w:pPr>
      <w:r>
        <w:rPr>
          <w:color w:val="auto"/>
        </w:rPr>
        <w:fldChar w:fldCharType="begin"/>
      </w:r>
      <w:r>
        <w:rPr>
          <w:color w:val="auto"/>
        </w:rPr>
        <w:instrText xml:space="preserve"> HYPERLINK \l "_Toc19156" </w:instrText>
      </w:r>
      <w:r>
        <w:rPr>
          <w:color w:val="auto"/>
        </w:rPr>
        <w:fldChar w:fldCharType="separate"/>
      </w:r>
      <w:r>
        <w:rPr>
          <w:rFonts w:ascii="宋体" w:hAnsi="宋体" w:cs="宋体"/>
          <w:color w:val="auto"/>
          <w:sz w:val="28"/>
          <w:szCs w:val="28"/>
        </w:rPr>
        <w:t xml:space="preserve">第三部分 </w:t>
      </w:r>
      <w:r>
        <w:rPr>
          <w:rFonts w:hint="eastAsia" w:ascii="宋体" w:hAnsi="宋体" w:cs="宋体"/>
          <w:color w:val="auto"/>
          <w:sz w:val="28"/>
          <w:szCs w:val="28"/>
        </w:rPr>
        <w:t>专用合同条款</w:t>
      </w:r>
      <w:r>
        <w:rPr>
          <w:color w:val="auto"/>
          <w:sz w:val="28"/>
          <w:szCs w:val="28"/>
        </w:rPr>
        <w:tab/>
      </w:r>
      <w:r>
        <w:rPr>
          <w:color w:val="auto"/>
          <w:sz w:val="28"/>
          <w:szCs w:val="28"/>
        </w:rPr>
        <w:fldChar w:fldCharType="end"/>
      </w:r>
      <w:r>
        <w:rPr>
          <w:rFonts w:hint="eastAsia"/>
          <w:color w:val="auto"/>
          <w:sz w:val="28"/>
          <w:szCs w:val="28"/>
        </w:rPr>
        <w:t>56</w:t>
      </w:r>
    </w:p>
    <w:p>
      <w:pPr>
        <w:pStyle w:val="15"/>
        <w:tabs>
          <w:tab w:val="right" w:leader="dot" w:pos="8820"/>
        </w:tabs>
        <w:spacing w:line="480" w:lineRule="auto"/>
        <w:rPr>
          <w:color w:val="auto"/>
        </w:rPr>
      </w:pPr>
    </w:p>
    <w:p>
      <w:pPr>
        <w:pStyle w:val="15"/>
        <w:tabs>
          <w:tab w:val="right" w:leader="dot" w:pos="8820"/>
        </w:tabs>
        <w:rPr>
          <w:color w:val="auto"/>
        </w:rPr>
      </w:pPr>
    </w:p>
    <w:p>
      <w:pPr>
        <w:pStyle w:val="15"/>
        <w:tabs>
          <w:tab w:val="right" w:leader="dot" w:pos="8820"/>
        </w:tabs>
        <w:rPr>
          <w:color w:val="auto"/>
        </w:rPr>
      </w:pPr>
    </w:p>
    <w:p>
      <w:pPr>
        <w:pStyle w:val="15"/>
        <w:tabs>
          <w:tab w:val="right" w:leader="dot" w:pos="9628"/>
        </w:tabs>
        <w:spacing w:line="360" w:lineRule="auto"/>
        <w:rPr>
          <w:rFonts w:ascii="宋体" w:hAnsi="宋体"/>
          <w:color w:val="auto"/>
          <w:sz w:val="24"/>
        </w:rPr>
      </w:pPr>
      <w:r>
        <w:rPr>
          <w:rFonts w:hint="eastAsia"/>
          <w:color w:val="auto"/>
          <w:szCs w:val="28"/>
        </w:rPr>
        <w:fldChar w:fldCharType="end"/>
      </w:r>
    </w:p>
    <w:p>
      <w:pPr>
        <w:pStyle w:val="3"/>
        <w:jc w:val="center"/>
        <w:rPr>
          <w:rFonts w:hint="default"/>
          <w:color w:val="auto"/>
          <w:sz w:val="32"/>
          <w:szCs w:val="28"/>
        </w:rPr>
        <w:sectPr>
          <w:footerReference r:id="rId14" w:type="first"/>
          <w:footerReference r:id="rId13" w:type="default"/>
          <w:pgSz w:w="11906" w:h="16838"/>
          <w:pgMar w:top="1418" w:right="1555" w:bottom="1418" w:left="1531" w:header="851" w:footer="992" w:gutter="0"/>
          <w:cols w:space="720" w:num="1"/>
          <w:titlePg/>
          <w:docGrid w:type="lines" w:linePitch="312" w:charSpace="0"/>
        </w:sectPr>
      </w:pPr>
    </w:p>
    <w:p>
      <w:pPr>
        <w:pStyle w:val="3"/>
        <w:jc w:val="center"/>
        <w:rPr>
          <w:rFonts w:hint="default" w:cs="宋体"/>
          <w:b w:val="0"/>
          <w:color w:val="auto"/>
          <w:sz w:val="44"/>
          <w:szCs w:val="44"/>
        </w:rPr>
      </w:pPr>
      <w:bookmarkStart w:id="72" w:name="_Toc31296"/>
      <w:bookmarkStart w:id="73" w:name="_Toc7138"/>
      <w:r>
        <w:rPr>
          <w:rFonts w:cs="宋体"/>
          <w:color w:val="auto"/>
          <w:sz w:val="44"/>
          <w:szCs w:val="44"/>
        </w:rPr>
        <w:t>第一部分 合同协议书</w:t>
      </w:r>
    </w:p>
    <w:p>
      <w:pPr>
        <w:spacing w:line="360" w:lineRule="auto"/>
        <w:rPr>
          <w:rStyle w:val="38"/>
          <w:rFonts w:hint="eastAsia" w:ascii="仿宋" w:hAnsi="仿宋" w:eastAsia="仿宋" w:cs="仿宋"/>
          <w:color w:val="auto"/>
          <w:u w:val="single"/>
          <w:lang w:eastAsia="zh-CN"/>
        </w:rPr>
      </w:pPr>
      <w:r>
        <w:rPr>
          <w:rFonts w:hint="eastAsia" w:ascii="仿宋" w:hAnsi="仿宋" w:eastAsia="仿宋" w:cs="仿宋"/>
          <w:b/>
          <w:bCs/>
          <w:color w:val="auto"/>
          <w:sz w:val="30"/>
          <w:szCs w:val="30"/>
        </w:rPr>
        <w:t>发包人（全称）：</w:t>
      </w:r>
      <w:r>
        <w:rPr>
          <w:rFonts w:hint="eastAsia" w:ascii="仿宋" w:hAnsi="仿宋" w:eastAsia="仿宋" w:cs="仿宋"/>
          <w:b/>
          <w:bCs/>
          <w:color w:val="auto"/>
          <w:sz w:val="30"/>
          <w:szCs w:val="30"/>
          <w:u w:val="single"/>
          <w:lang w:eastAsia="zh-CN"/>
        </w:rPr>
        <w:t>遂溪县洋青镇人民政府</w:t>
      </w:r>
    </w:p>
    <w:p>
      <w:pPr>
        <w:spacing w:line="360" w:lineRule="auto"/>
        <w:rPr>
          <w:rFonts w:ascii="仿宋" w:hAnsi="仿宋" w:eastAsia="仿宋" w:cs="仿宋"/>
          <w:b/>
          <w:bCs/>
          <w:color w:val="auto"/>
          <w:sz w:val="30"/>
          <w:szCs w:val="30"/>
          <w:u w:val="single"/>
        </w:rPr>
      </w:pPr>
      <w:r>
        <w:rPr>
          <w:rFonts w:hint="eastAsia" w:ascii="仿宋" w:hAnsi="仿宋" w:eastAsia="仿宋" w:cs="仿宋"/>
          <w:b/>
          <w:bCs/>
          <w:color w:val="auto"/>
          <w:sz w:val="30"/>
          <w:szCs w:val="30"/>
        </w:rPr>
        <w:t>承包人（全称）：</w:t>
      </w:r>
    </w:p>
    <w:p>
      <w:pPr>
        <w:snapToGrid w:val="0"/>
        <w:spacing w:line="520" w:lineRule="atLeas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根据《中华人民共和国民法典》、《中华人民共和国建筑法》及有关法律规定，遵循平等、自愿、公平和诚实信用的原则，双方就</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eastAsia="zh-CN"/>
        </w:rPr>
        <w:t>遂溪县洋青镇城乡融合综合改造项目（</w:t>
      </w:r>
      <w:r>
        <w:rPr>
          <w:rFonts w:hint="eastAsia" w:ascii="仿宋" w:hAnsi="仿宋" w:eastAsia="仿宋" w:cs="仿宋"/>
          <w:color w:val="auto"/>
          <w:sz w:val="28"/>
          <w:szCs w:val="28"/>
          <w:u w:val="single"/>
          <w:lang w:val="en-US" w:eastAsia="zh-CN"/>
        </w:rPr>
        <w:t>一期</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30"/>
          <w:szCs w:val="30"/>
        </w:rPr>
        <w:t>及有关事项协商一致，共同达成如下协议：</w:t>
      </w:r>
    </w:p>
    <w:p>
      <w:pPr>
        <w:pStyle w:val="5"/>
        <w:snapToGrid w:val="0"/>
        <w:spacing w:before="0" w:after="0" w:line="520" w:lineRule="atLeast"/>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 xml:space="preserve">    一、工程概况</w:t>
      </w:r>
    </w:p>
    <w:p>
      <w:pPr>
        <w:snapToGrid w:val="0"/>
        <w:spacing w:line="520" w:lineRule="atLeast"/>
        <w:ind w:firstLine="588" w:firstLineChars="196"/>
        <w:rPr>
          <w:rFonts w:ascii="仿宋" w:hAnsi="仿宋" w:eastAsia="仿宋" w:cs="仿宋"/>
          <w:color w:val="auto"/>
          <w:sz w:val="30"/>
          <w:szCs w:val="30"/>
        </w:rPr>
      </w:pPr>
      <w:r>
        <w:rPr>
          <w:rFonts w:hint="eastAsia" w:ascii="仿宋" w:hAnsi="仿宋" w:eastAsia="仿宋" w:cs="仿宋"/>
          <w:color w:val="auto"/>
          <w:sz w:val="30"/>
          <w:szCs w:val="30"/>
        </w:rPr>
        <w:t>1.工程名称：</w:t>
      </w:r>
      <w:r>
        <w:rPr>
          <w:rFonts w:hint="eastAsia" w:ascii="仿宋" w:hAnsi="仿宋" w:eastAsia="仿宋" w:cs="仿宋"/>
          <w:color w:val="auto"/>
          <w:sz w:val="28"/>
          <w:szCs w:val="28"/>
          <w:u w:val="single"/>
          <w:lang w:eastAsia="zh-CN"/>
        </w:rPr>
        <w:t>遂溪县洋青镇城乡融合综合改造项目（</w:t>
      </w:r>
      <w:r>
        <w:rPr>
          <w:rFonts w:hint="eastAsia" w:ascii="仿宋" w:hAnsi="仿宋" w:eastAsia="仿宋" w:cs="仿宋"/>
          <w:color w:val="auto"/>
          <w:sz w:val="28"/>
          <w:szCs w:val="28"/>
          <w:u w:val="single"/>
          <w:lang w:val="en-US" w:eastAsia="zh-CN"/>
        </w:rPr>
        <w:t>一期</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30"/>
          <w:szCs w:val="30"/>
        </w:rPr>
        <w:t>。</w:t>
      </w:r>
    </w:p>
    <w:p>
      <w:pPr>
        <w:snapToGrid w:val="0"/>
        <w:spacing w:line="520" w:lineRule="atLeast"/>
        <w:ind w:firstLine="588" w:firstLineChars="196"/>
        <w:rPr>
          <w:rFonts w:ascii="仿宋" w:hAnsi="仿宋" w:eastAsia="仿宋" w:cs="仿宋"/>
          <w:color w:val="auto"/>
          <w:sz w:val="30"/>
          <w:szCs w:val="30"/>
        </w:rPr>
      </w:pPr>
      <w:r>
        <w:rPr>
          <w:rFonts w:hint="eastAsia" w:ascii="仿宋" w:hAnsi="仿宋" w:eastAsia="仿宋" w:cs="仿宋"/>
          <w:color w:val="auto"/>
          <w:sz w:val="30"/>
          <w:szCs w:val="30"/>
        </w:rPr>
        <w:t>2.工程地点：</w:t>
      </w:r>
      <w:r>
        <w:rPr>
          <w:rFonts w:hint="eastAsia" w:ascii="仿宋" w:hAnsi="仿宋" w:eastAsia="仿宋" w:cs="仿宋"/>
          <w:color w:val="auto"/>
          <w:sz w:val="30"/>
          <w:szCs w:val="30"/>
          <w:u w:val="single"/>
          <w:lang w:eastAsia="zh-CN"/>
        </w:rPr>
        <w:t>遂溪县洋青镇</w:t>
      </w:r>
      <w:r>
        <w:rPr>
          <w:rFonts w:hint="eastAsia" w:ascii="仿宋" w:hAnsi="仿宋" w:eastAsia="仿宋" w:cs="仿宋"/>
          <w:color w:val="auto"/>
          <w:sz w:val="30"/>
          <w:szCs w:val="30"/>
        </w:rPr>
        <w:t>。</w:t>
      </w:r>
    </w:p>
    <w:p>
      <w:pPr>
        <w:pStyle w:val="55"/>
        <w:adjustRightInd/>
        <w:snapToGrid w:val="0"/>
        <w:spacing w:line="520" w:lineRule="atLeast"/>
        <w:ind w:firstLine="600" w:firstLineChars="200"/>
        <w:rPr>
          <w:rFonts w:eastAsia="仿宋"/>
          <w:color w:val="auto"/>
          <w:u w:val="single"/>
        </w:rPr>
      </w:pPr>
      <w:r>
        <w:rPr>
          <w:rFonts w:hint="eastAsia" w:ascii="仿宋" w:hAnsi="仿宋" w:eastAsia="仿宋" w:cs="仿宋"/>
          <w:color w:val="auto"/>
          <w:kern w:val="2"/>
          <w:sz w:val="30"/>
          <w:szCs w:val="30"/>
        </w:rPr>
        <w:t>3.工程立项、规划批文批准文号：</w:t>
      </w:r>
      <w:r>
        <w:rPr>
          <w:rFonts w:hint="eastAsia" w:ascii="仿宋" w:hAnsi="仿宋" w:eastAsia="仿宋" w:cs="仿宋"/>
          <w:color w:val="auto"/>
          <w:kern w:val="2"/>
          <w:sz w:val="30"/>
          <w:szCs w:val="30"/>
          <w:u w:val="single"/>
          <w:lang w:eastAsia="zh-CN"/>
        </w:rPr>
        <w:t>遂发改投审【2022】43 号</w:t>
      </w:r>
      <w:r>
        <w:rPr>
          <w:rFonts w:hint="eastAsia" w:ascii="仿宋" w:hAnsi="仿宋" w:eastAsia="仿宋" w:cs="仿宋"/>
          <w:color w:val="auto"/>
          <w:kern w:val="2"/>
          <w:sz w:val="30"/>
          <w:szCs w:val="30"/>
        </w:rPr>
        <w:t>。</w:t>
      </w:r>
    </w:p>
    <w:p>
      <w:pPr>
        <w:spacing w:line="520" w:lineRule="exact"/>
        <w:ind w:firstLine="588" w:firstLineChars="196"/>
        <w:rPr>
          <w:rFonts w:ascii="仿宋" w:hAnsi="仿宋" w:eastAsia="仿宋" w:cs="仿宋"/>
          <w:color w:val="auto"/>
          <w:sz w:val="30"/>
          <w:szCs w:val="30"/>
        </w:rPr>
      </w:pPr>
      <w:r>
        <w:rPr>
          <w:rFonts w:hint="eastAsia" w:ascii="仿宋" w:hAnsi="仿宋" w:eastAsia="仿宋" w:cs="仿宋"/>
          <w:color w:val="auto"/>
          <w:sz w:val="30"/>
          <w:szCs w:val="30"/>
        </w:rPr>
        <w:t>4.资金来源：</w:t>
      </w:r>
      <w:r>
        <w:rPr>
          <w:rFonts w:hint="eastAsia" w:ascii="仿宋" w:hAnsi="仿宋" w:eastAsia="仿宋" w:cs="仿宋"/>
          <w:color w:val="auto"/>
          <w:sz w:val="30"/>
          <w:szCs w:val="30"/>
          <w:u w:val="single"/>
        </w:rPr>
        <w:t>地方政府专项债券资金。</w:t>
      </w:r>
      <w:r>
        <w:rPr>
          <w:rFonts w:hint="eastAsia" w:ascii="仿宋" w:hAnsi="仿宋" w:eastAsia="仿宋" w:cs="仿宋"/>
          <w:color w:val="auto"/>
          <w:sz w:val="30"/>
          <w:szCs w:val="30"/>
        </w:rPr>
        <w:t xml:space="preserve"> </w:t>
      </w:r>
    </w:p>
    <w:p>
      <w:pPr>
        <w:spacing w:line="560" w:lineRule="exact"/>
        <w:ind w:firstLine="600" w:firstLineChars="200"/>
        <w:jc w:val="left"/>
        <w:rPr>
          <w:rFonts w:ascii="华文行楷" w:hAnsi="华文行楷" w:eastAsia="华文行楷" w:cs="华文行楷"/>
          <w:color w:val="auto"/>
          <w:sz w:val="28"/>
          <w:szCs w:val="28"/>
          <w:u w:val="single"/>
        </w:rPr>
      </w:pPr>
      <w:r>
        <w:rPr>
          <w:rFonts w:hint="eastAsia" w:ascii="仿宋" w:hAnsi="仿宋" w:eastAsia="仿宋" w:cs="仿宋"/>
          <w:color w:val="auto"/>
          <w:sz w:val="30"/>
          <w:szCs w:val="30"/>
        </w:rPr>
        <w:t>5.工程内容：</w:t>
      </w:r>
      <w:r>
        <w:rPr>
          <w:rFonts w:hint="eastAsia" w:ascii="华文行楷" w:hAnsi="华文行楷" w:eastAsia="华文行楷" w:cs="华文行楷"/>
          <w:color w:val="auto"/>
          <w:sz w:val="28"/>
          <w:szCs w:val="28"/>
          <w:u w:val="single"/>
        </w:rPr>
        <w:t>包括</w:t>
      </w:r>
      <w:r>
        <w:rPr>
          <w:rFonts w:hint="eastAsia" w:ascii="华文行楷" w:hAnsi="华文行楷" w:eastAsia="华文行楷" w:cs="华文行楷"/>
          <w:color w:val="auto"/>
          <w:sz w:val="28"/>
          <w:szCs w:val="28"/>
          <w:u w:val="single"/>
          <w:lang w:val="en-US" w:eastAsia="zh-CN"/>
        </w:rPr>
        <w:t>交通设施建设、雨污排水管网建设、供水设施及管网建设、马群藻渠改造工程和雷州青年运河边坡整治工程</w:t>
      </w:r>
      <w:r>
        <w:rPr>
          <w:rFonts w:hint="eastAsia" w:ascii="华文行楷" w:hAnsi="华文行楷" w:eastAsia="华文行楷" w:cs="华文行楷"/>
          <w:color w:val="auto"/>
          <w:sz w:val="28"/>
          <w:szCs w:val="28"/>
          <w:u w:val="single"/>
        </w:rPr>
        <w:t>等内容。</w:t>
      </w:r>
    </w:p>
    <w:p>
      <w:pPr>
        <w:spacing w:line="520" w:lineRule="exact"/>
        <w:ind w:firstLine="588" w:firstLineChars="196"/>
        <w:rPr>
          <w:rFonts w:ascii="仿宋" w:hAnsi="仿宋" w:eastAsia="仿宋" w:cs="仿宋"/>
          <w:color w:val="auto"/>
          <w:sz w:val="30"/>
          <w:szCs w:val="30"/>
          <w:u w:val="single"/>
        </w:rPr>
      </w:pPr>
      <w:r>
        <w:rPr>
          <w:rFonts w:hint="eastAsia" w:ascii="仿宋" w:hAnsi="仿宋" w:eastAsia="仿宋" w:cs="仿宋"/>
          <w:color w:val="auto"/>
          <w:sz w:val="30"/>
          <w:szCs w:val="30"/>
        </w:rPr>
        <w:t>6.工程承包范围：</w:t>
      </w:r>
      <w:r>
        <w:rPr>
          <w:rFonts w:hint="eastAsia" w:ascii="仿宋" w:hAnsi="仿宋" w:eastAsia="仿宋" w:cs="仿宋"/>
          <w:color w:val="auto"/>
          <w:sz w:val="30"/>
          <w:szCs w:val="30"/>
          <w:u w:val="single"/>
        </w:rPr>
        <w:t>工程量清单、工程设计图纸所包含的全部工程内容</w:t>
      </w:r>
    </w:p>
    <w:p>
      <w:pPr>
        <w:snapToGrid w:val="0"/>
        <w:spacing w:line="460" w:lineRule="atLeast"/>
        <w:ind w:firstLine="639" w:firstLineChars="213"/>
        <w:rPr>
          <w:rFonts w:ascii="仿宋" w:hAnsi="仿宋" w:eastAsia="仿宋" w:cs="仿宋"/>
          <w:color w:val="auto"/>
          <w:sz w:val="30"/>
          <w:szCs w:val="30"/>
        </w:rPr>
      </w:pPr>
      <w:r>
        <w:rPr>
          <w:rFonts w:hint="eastAsia" w:ascii="仿宋" w:hAnsi="仿宋" w:eastAsia="仿宋" w:cs="仿宋"/>
          <w:color w:val="auto"/>
          <w:sz w:val="30"/>
          <w:szCs w:val="30"/>
        </w:rPr>
        <w:t>7、结构形式：详见施工图纸。</w:t>
      </w:r>
    </w:p>
    <w:p>
      <w:pPr>
        <w:spacing w:line="520" w:lineRule="exact"/>
        <w:ind w:firstLine="639" w:firstLineChars="213"/>
        <w:outlineLvl w:val="0"/>
        <w:rPr>
          <w:rFonts w:ascii="仿宋" w:hAnsi="仿宋" w:eastAsia="仿宋" w:cs="仿宋"/>
          <w:color w:val="auto"/>
          <w:sz w:val="30"/>
          <w:szCs w:val="30"/>
        </w:rPr>
      </w:pPr>
      <w:bookmarkStart w:id="74" w:name="_Toc12362"/>
      <w:bookmarkStart w:id="75" w:name="_Toc29289"/>
      <w:r>
        <w:rPr>
          <w:rFonts w:hint="eastAsia" w:ascii="仿宋" w:hAnsi="仿宋" w:eastAsia="仿宋" w:cs="仿宋"/>
          <w:color w:val="auto"/>
          <w:sz w:val="30"/>
          <w:szCs w:val="30"/>
        </w:rPr>
        <w:t>二、工程承包范围及承包方式</w:t>
      </w:r>
      <w:bookmarkEnd w:id="74"/>
      <w:bookmarkEnd w:id="75"/>
    </w:p>
    <w:p>
      <w:pPr>
        <w:spacing w:line="520" w:lineRule="exact"/>
        <w:ind w:firstLine="639" w:firstLineChars="213"/>
        <w:rPr>
          <w:rFonts w:ascii="仿宋" w:hAnsi="仿宋" w:eastAsia="仿宋" w:cs="仿宋"/>
          <w:color w:val="auto"/>
          <w:sz w:val="30"/>
          <w:szCs w:val="30"/>
        </w:rPr>
      </w:pPr>
      <w:r>
        <w:rPr>
          <w:rFonts w:hint="eastAsia" w:ascii="仿宋" w:hAnsi="仿宋" w:eastAsia="仿宋" w:cs="仿宋"/>
          <w:color w:val="auto"/>
          <w:sz w:val="30"/>
          <w:szCs w:val="30"/>
        </w:rPr>
        <w:t>1、承包范围：招标文件、投标文件、本协议、施工图纸、工程量清单和有关资料所说明和涉及的标准、规范所涉及的全部工程内容；范围包括：工程量清单、工程设计图纸所包含的全部工程内容。为本工程的稳定、完整、安全、可靠、经济、高效率运行所必要的附加工程和供应。</w:t>
      </w:r>
    </w:p>
    <w:p>
      <w:pPr>
        <w:adjustRightInd w:val="0"/>
        <w:snapToGrid w:val="0"/>
        <w:spacing w:line="520" w:lineRule="atLeas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承包方式：根据发包人提供工程施工图、施工图说明、工程量清单等相关资料及说明按《建设工程工程量清单计价规范》（GB50500-2013）和《广东省建设工程计价依据》（2018）的规定，由承包人包材料、包施工、包质量、包工期、包安全，包文明施工措施、包工程材料及工程检测、包项目协调管理、包验收移交、包竣工资料收集整理移交档案、包保修。不允许转包，不允许分包，如确需分包的项目，必须与发包人协商并得到发包人的同意，分包方必须具备相应的专业资质方可分包。</w:t>
      </w:r>
    </w:p>
    <w:p>
      <w:pPr>
        <w:pStyle w:val="5"/>
        <w:adjustRightInd w:val="0"/>
        <w:snapToGrid w:val="0"/>
        <w:spacing w:before="120" w:after="120" w:line="520" w:lineRule="atLeast"/>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 xml:space="preserve">   二、合同工期：</w:t>
      </w:r>
    </w:p>
    <w:p>
      <w:pPr>
        <w:adjustRightInd w:val="0"/>
        <w:snapToGrid w:val="0"/>
        <w:spacing w:line="520" w:lineRule="atLeast"/>
        <w:ind w:left="-19" w:leftChars="-9" w:firstLine="612" w:firstLineChars="204"/>
        <w:rPr>
          <w:rFonts w:ascii="仿宋" w:hAnsi="仿宋" w:eastAsia="仿宋" w:cs="仿宋"/>
          <w:color w:val="auto"/>
          <w:sz w:val="30"/>
          <w:szCs w:val="30"/>
        </w:rPr>
      </w:pPr>
      <w:r>
        <w:rPr>
          <w:rFonts w:hint="eastAsia" w:ascii="仿宋" w:hAnsi="仿宋" w:eastAsia="仿宋" w:cs="仿宋"/>
          <w:color w:val="auto"/>
          <w:sz w:val="30"/>
          <w:szCs w:val="30"/>
        </w:rPr>
        <w:t>1、工程合同工期总日历天数：个日历天竣工完成。</w:t>
      </w:r>
    </w:p>
    <w:p>
      <w:pPr>
        <w:adjustRightInd w:val="0"/>
        <w:snapToGrid w:val="0"/>
        <w:spacing w:line="520" w:lineRule="atLeast"/>
        <w:ind w:left="-19" w:leftChars="-9" w:firstLine="612" w:firstLineChars="204"/>
        <w:rPr>
          <w:rFonts w:ascii="仿宋" w:hAnsi="仿宋" w:eastAsia="仿宋" w:cs="仿宋"/>
          <w:color w:val="auto"/>
          <w:sz w:val="30"/>
          <w:szCs w:val="30"/>
        </w:rPr>
      </w:pPr>
      <w:r>
        <w:rPr>
          <w:rFonts w:hint="eastAsia" w:ascii="仿宋" w:hAnsi="仿宋" w:eastAsia="仿宋" w:cs="仿宋"/>
          <w:color w:val="auto"/>
          <w:sz w:val="30"/>
          <w:szCs w:val="30"/>
        </w:rPr>
        <w:t>计划开工日期：</w:t>
      </w:r>
      <w:r>
        <w:rPr>
          <w:rFonts w:hint="eastAsia" w:ascii="仿宋" w:hAnsi="仿宋" w:eastAsia="仿宋" w:cs="仿宋"/>
          <w:color w:val="auto"/>
          <w:sz w:val="30"/>
          <w:szCs w:val="30"/>
          <w:u w:val="single"/>
        </w:rPr>
        <w:t></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w:t>
      </w:r>
      <w:r>
        <w:rPr>
          <w:rFonts w:hint="eastAsia" w:ascii="仿宋" w:hAnsi="仿宋" w:eastAsia="仿宋" w:cs="仿宋"/>
          <w:color w:val="auto"/>
          <w:sz w:val="30"/>
          <w:szCs w:val="30"/>
        </w:rPr>
        <w:t>日。</w:t>
      </w:r>
    </w:p>
    <w:p>
      <w:pPr>
        <w:adjustRightInd w:val="0"/>
        <w:snapToGrid w:val="0"/>
        <w:spacing w:line="520" w:lineRule="atLeast"/>
        <w:ind w:left="-19" w:leftChars="-9" w:firstLine="612" w:firstLineChars="204"/>
        <w:rPr>
          <w:rFonts w:ascii="仿宋" w:hAnsi="仿宋" w:eastAsia="仿宋" w:cs="仿宋"/>
          <w:color w:val="auto"/>
          <w:sz w:val="30"/>
          <w:szCs w:val="30"/>
        </w:rPr>
      </w:pPr>
      <w:r>
        <w:rPr>
          <w:rFonts w:hint="eastAsia" w:ascii="仿宋" w:hAnsi="仿宋" w:eastAsia="仿宋" w:cs="仿宋"/>
          <w:color w:val="auto"/>
          <w:sz w:val="30"/>
          <w:szCs w:val="30"/>
        </w:rPr>
        <w:t>计划竣工日期：</w:t>
      </w:r>
      <w:r>
        <w:rPr>
          <w:rFonts w:hint="eastAsia" w:ascii="仿宋" w:hAnsi="仿宋" w:eastAsia="仿宋" w:cs="仿宋"/>
          <w:color w:val="auto"/>
          <w:sz w:val="30"/>
          <w:szCs w:val="30"/>
          <w:u w:val="single"/>
        </w:rPr>
        <w:t></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w:t>
      </w:r>
      <w:r>
        <w:rPr>
          <w:rFonts w:hint="eastAsia" w:ascii="仿宋" w:hAnsi="仿宋" w:eastAsia="仿宋" w:cs="仿宋"/>
          <w:color w:val="auto"/>
          <w:sz w:val="30"/>
          <w:szCs w:val="30"/>
        </w:rPr>
        <w:t>日。</w:t>
      </w:r>
    </w:p>
    <w:p>
      <w:pPr>
        <w:adjustRightInd w:val="0"/>
        <w:snapToGrid w:val="0"/>
        <w:spacing w:line="520" w:lineRule="atLeas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具体开工时间，以总监理工程师签发的开工令中署名的开工时间为准，竣工时间以实际施工完成验收合格为止。工期总日历天数与根据前述计划开竣工日期计算的工期天数不一致的，以工期总日历天数为准。</w:t>
      </w:r>
    </w:p>
    <w:p>
      <w:pPr>
        <w:numPr>
          <w:ilvl w:val="0"/>
          <w:numId w:val="2"/>
        </w:numPr>
        <w:adjustRightInd w:val="0"/>
        <w:snapToGrid w:val="0"/>
        <w:spacing w:line="520" w:lineRule="atLeast"/>
        <w:ind w:left="30" w:firstLine="600"/>
        <w:rPr>
          <w:rFonts w:ascii="仿宋" w:hAnsi="仿宋" w:eastAsia="仿宋" w:cs="仿宋"/>
          <w:color w:val="auto"/>
          <w:sz w:val="30"/>
          <w:szCs w:val="30"/>
        </w:rPr>
      </w:pPr>
      <w:r>
        <w:rPr>
          <w:rFonts w:hint="eastAsia" w:ascii="仿宋" w:hAnsi="仿宋" w:eastAsia="仿宋" w:cs="仿宋"/>
          <w:color w:val="auto"/>
          <w:sz w:val="30"/>
          <w:szCs w:val="30"/>
        </w:rPr>
        <w:t>本招标工程要求中标人按中标工期完成。因承包人原因每延迟一天竣工，承包人应向发包人支付人民币500元/日历天赔偿费（非因承包人或不可抗力原因造成的工期延误除外）。</w:t>
      </w:r>
    </w:p>
    <w:p>
      <w:pPr>
        <w:numPr>
          <w:ilvl w:val="0"/>
          <w:numId w:val="2"/>
        </w:numPr>
        <w:spacing w:line="360" w:lineRule="auto"/>
        <w:ind w:left="30" w:firstLine="600"/>
        <w:rPr>
          <w:rFonts w:ascii="仿宋" w:hAnsi="仿宋" w:eastAsia="仿宋" w:cs="仿宋"/>
          <w:color w:val="auto"/>
          <w:sz w:val="30"/>
          <w:szCs w:val="30"/>
        </w:rPr>
      </w:pPr>
      <w:r>
        <w:rPr>
          <w:rFonts w:hint="eastAsia" w:ascii="仿宋" w:hAnsi="仿宋" w:eastAsia="仿宋" w:cs="仿宋"/>
          <w:color w:val="auto"/>
          <w:sz w:val="30"/>
          <w:szCs w:val="30"/>
        </w:rPr>
        <w:t>因发包人及不可抗力的原因造成的工期延误，在得到监理工程师和发包人的认可后，工期相应顺延，双方办理同意顺延工期手续。</w:t>
      </w:r>
    </w:p>
    <w:p>
      <w:pPr>
        <w:snapToGrid w:val="0"/>
        <w:spacing w:line="520" w:lineRule="exact"/>
        <w:ind w:firstLine="459"/>
        <w:rPr>
          <w:rFonts w:ascii="仿宋" w:hAnsi="仿宋" w:eastAsia="仿宋" w:cs="仿宋"/>
          <w:color w:val="auto"/>
          <w:sz w:val="30"/>
          <w:szCs w:val="30"/>
        </w:rPr>
      </w:pPr>
      <w:r>
        <w:rPr>
          <w:rFonts w:hint="eastAsia" w:ascii="仿宋" w:hAnsi="仿宋" w:eastAsia="仿宋" w:cs="仿宋"/>
          <w:color w:val="auto"/>
          <w:sz w:val="30"/>
          <w:szCs w:val="30"/>
        </w:rPr>
        <w:t>注：不可抗力的约定：经有关部门鉴定本地发生的五级以上地震，正面吹袭湛江市的十级以上台风和龙卷风及项目所在地（县、市）区出现降雨量大于200mm/d特大暴雨，雷击引起的火灾，并执行国家有关规定。</w:t>
      </w:r>
    </w:p>
    <w:p>
      <w:pPr>
        <w:snapToGrid w:val="0"/>
        <w:spacing w:line="520" w:lineRule="exact"/>
        <w:ind w:firstLine="459"/>
        <w:rPr>
          <w:rFonts w:ascii="仿宋" w:hAnsi="仿宋" w:eastAsia="仿宋" w:cs="仿宋"/>
          <w:color w:val="auto"/>
          <w:sz w:val="30"/>
          <w:szCs w:val="30"/>
        </w:rPr>
      </w:pPr>
      <w:r>
        <w:rPr>
          <w:rFonts w:hint="eastAsia" w:ascii="仿宋" w:hAnsi="仿宋" w:eastAsia="仿宋" w:cs="仿宋"/>
          <w:color w:val="auto"/>
          <w:sz w:val="30"/>
          <w:szCs w:val="30"/>
        </w:rPr>
        <w:t>三、质量标准</w:t>
      </w:r>
    </w:p>
    <w:p>
      <w:pPr>
        <w:snapToGrid w:val="0"/>
        <w:spacing w:line="520" w:lineRule="exact"/>
        <w:ind w:firstLine="459"/>
        <w:rPr>
          <w:rFonts w:ascii="仿宋" w:hAnsi="仿宋" w:eastAsia="仿宋" w:cs="仿宋"/>
          <w:color w:val="auto"/>
          <w:sz w:val="30"/>
          <w:szCs w:val="30"/>
        </w:rPr>
      </w:pPr>
      <w:r>
        <w:rPr>
          <w:rFonts w:hint="eastAsia" w:ascii="仿宋" w:hAnsi="仿宋" w:eastAsia="仿宋" w:cs="仿宋"/>
          <w:color w:val="auto"/>
          <w:sz w:val="30"/>
          <w:szCs w:val="30"/>
        </w:rPr>
        <w:t>工程质量符合国家现行技术标准和技术规范验收达到</w:t>
      </w:r>
      <w:r>
        <w:rPr>
          <w:rFonts w:hint="eastAsia" w:ascii="仿宋" w:hAnsi="仿宋" w:eastAsia="仿宋" w:cs="仿宋"/>
          <w:color w:val="auto"/>
          <w:sz w:val="30"/>
          <w:szCs w:val="30"/>
          <w:u w:val="single"/>
        </w:rPr>
        <w:t>合格或以上</w:t>
      </w:r>
      <w:r>
        <w:rPr>
          <w:rFonts w:hint="eastAsia" w:ascii="仿宋" w:hAnsi="仿宋" w:eastAsia="仿宋" w:cs="仿宋"/>
          <w:color w:val="auto"/>
          <w:sz w:val="30"/>
          <w:szCs w:val="30"/>
        </w:rPr>
        <w:t>等级标准。</w:t>
      </w:r>
    </w:p>
    <w:p>
      <w:pPr>
        <w:snapToGrid w:val="0"/>
        <w:spacing w:line="520" w:lineRule="exact"/>
        <w:ind w:firstLine="459"/>
        <w:rPr>
          <w:rFonts w:ascii="仿宋" w:hAnsi="仿宋" w:eastAsia="仿宋" w:cs="仿宋"/>
          <w:color w:val="auto"/>
          <w:sz w:val="30"/>
          <w:szCs w:val="30"/>
        </w:rPr>
      </w:pPr>
      <w:r>
        <w:rPr>
          <w:rFonts w:hint="eastAsia" w:ascii="仿宋" w:hAnsi="仿宋" w:eastAsia="仿宋" w:cs="仿宋"/>
          <w:color w:val="auto"/>
          <w:sz w:val="30"/>
          <w:szCs w:val="30"/>
        </w:rPr>
        <w:t>四、签约合同价与合同价格形式</w:t>
      </w:r>
      <w:r>
        <w:rPr>
          <w:rFonts w:hint="eastAsia" w:ascii="仿宋" w:hAnsi="仿宋" w:eastAsia="仿宋" w:cs="仿宋"/>
          <w:color w:val="auto"/>
          <w:sz w:val="30"/>
          <w:szCs w:val="30"/>
        </w:rPr>
        <w:tab/>
      </w:r>
    </w:p>
    <w:p>
      <w:pPr>
        <w:snapToGrid w:val="0"/>
        <w:spacing w:line="520" w:lineRule="exact"/>
        <w:ind w:firstLine="459"/>
        <w:rPr>
          <w:rFonts w:ascii="仿宋" w:hAnsi="仿宋" w:eastAsia="仿宋" w:cs="仿宋"/>
          <w:color w:val="auto"/>
          <w:sz w:val="30"/>
          <w:szCs w:val="30"/>
        </w:rPr>
      </w:pPr>
      <w:r>
        <w:rPr>
          <w:rFonts w:hint="eastAsia" w:ascii="仿宋" w:hAnsi="仿宋" w:eastAsia="仿宋" w:cs="仿宋"/>
          <w:color w:val="auto"/>
          <w:sz w:val="30"/>
          <w:szCs w:val="30"/>
        </w:rPr>
        <w:t>1.签约合同价为：</w:t>
      </w:r>
    </w:p>
    <w:p>
      <w:pPr>
        <w:snapToGrid w:val="0"/>
        <w:spacing w:line="520" w:lineRule="exact"/>
        <w:ind w:firstLine="459"/>
        <w:rPr>
          <w:rFonts w:ascii="仿宋" w:hAnsi="仿宋" w:eastAsia="仿宋" w:cs="仿宋"/>
          <w:color w:val="auto"/>
          <w:sz w:val="30"/>
          <w:szCs w:val="30"/>
        </w:rPr>
      </w:pPr>
      <w:r>
        <w:rPr>
          <w:rFonts w:hint="eastAsia" w:ascii="仿宋" w:hAnsi="仿宋" w:eastAsia="仿宋" w:cs="仿宋"/>
          <w:color w:val="auto"/>
          <w:sz w:val="30"/>
          <w:szCs w:val="30"/>
        </w:rPr>
        <w:t>人民币（大写）：</w:t>
      </w:r>
    </w:p>
    <w:p>
      <w:pPr>
        <w:snapToGrid w:val="0"/>
        <w:spacing w:line="520" w:lineRule="exact"/>
        <w:ind w:firstLine="459"/>
        <w:rPr>
          <w:rFonts w:ascii="仿宋" w:hAnsi="仿宋" w:eastAsia="仿宋" w:cs="仿宋"/>
          <w:color w:val="auto"/>
          <w:sz w:val="30"/>
          <w:szCs w:val="30"/>
        </w:rPr>
      </w:pPr>
      <w:r>
        <w:rPr>
          <w:rFonts w:hint="eastAsia" w:ascii="仿宋" w:hAnsi="仿宋" w:eastAsia="仿宋" w:cs="仿宋"/>
          <w:color w:val="auto"/>
          <w:sz w:val="30"/>
          <w:szCs w:val="30"/>
        </w:rPr>
        <w:t>其中：</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（1）安全文明施工费：</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人民币（大写）：</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（2）材料和工程设备暂估价金额：</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人民币（大写） ：              (¥          元)；</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（3）专业工程暂估价金额：</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人民币（大写）：</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（4）暂列金额：</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人民币（大写）：               (¥          元)。</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项目单价：详见承包人的投标报价书（招标工程）</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2.合同价格形式：</w:t>
      </w:r>
      <w:r>
        <w:rPr>
          <w:rFonts w:hint="eastAsia" w:ascii="仿宋_GB2312" w:eastAsia="仿宋_GB2312"/>
          <w:b/>
          <w:color w:val="auto"/>
          <w:sz w:val="24"/>
          <w:u w:val="single"/>
        </w:rPr>
        <w:t>本工程采用固定单价合同。工程量按施工图纸及批准的变更图纸计算。结算时综合单价按中标价中相应清单综合单价固定不变，以实际发生的工程量进行结算</w:t>
      </w:r>
      <w:r>
        <w:rPr>
          <w:rFonts w:eastAsia="仿宋_GB2312"/>
          <w:color w:val="auto"/>
          <w:sz w:val="24"/>
        </w:rPr>
        <w:t>。</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五、项目经理</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 xml:space="preserve">承包人项目经理：                   </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六、合同文件构成</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本协议书与下列文件一起构成合同文件：</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（1）中标通知书；</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 xml:space="preserve">（2）投标函及其附录（如果有）； </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（3）专用合同条款及其附件；</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（4）通用合同条款；</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（5）技术标准和要求；</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（6）图纸；</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（7）已标价工程量清单（含中标清单）或预算书；</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（8）其他合同文件。</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在合同订立及履行过程中形成的与合同有关的文件均构成合同文件组成部分。</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上述各项合同文件包括合同当事人就该项合同文件所作出的补充和修改，属于同一类内容的文件，应以最新签署的为准。专用合同条款及其附件须经合同当事人签字或盖章。</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七、承诺</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1.发包人承诺按照法律规定履行项目审批手续、筹集工程建设资金并按照合同约定的期限和方式支付合同价款。</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3.发包人和承包人通过招投标形式签订合同的，双方理解并承诺不再就同一工程另行签订与合同实质性内容相背离的协议。</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八、词语含义</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本协议书中词语含义与第二部分通用合同条款中赋予的含义相同。</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九、签订时间</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本合同于年月日签订。</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十、签订地点</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本合同在签订。</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十一、补充协议</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合同未尽事宜，合同当事人另行签订补充协议，补充协议是合同的组成部分。</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十二、合同生效</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本合同自双方签字盖章后生效。</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十三、合同份数</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本合同一式</w:t>
      </w:r>
      <w:r>
        <w:rPr>
          <w:rFonts w:hint="eastAsia" w:ascii="仿宋" w:hAnsi="仿宋" w:eastAsia="仿宋" w:cs="仿宋"/>
          <w:color w:val="auto"/>
          <w:sz w:val="30"/>
          <w:szCs w:val="30"/>
          <w:u w:val="single"/>
        </w:rPr>
        <w:t xml:space="preserve"> 十三 </w:t>
      </w:r>
      <w:r>
        <w:rPr>
          <w:rFonts w:hint="eastAsia" w:ascii="仿宋" w:hAnsi="仿宋" w:eastAsia="仿宋" w:cs="仿宋"/>
          <w:color w:val="auto"/>
          <w:sz w:val="30"/>
          <w:szCs w:val="30"/>
        </w:rPr>
        <w:t>份，均具有同等法律效力，发包人执</w:t>
      </w:r>
      <w:r>
        <w:rPr>
          <w:rFonts w:hint="eastAsia" w:ascii="仿宋" w:hAnsi="仿宋" w:eastAsia="仿宋" w:cs="仿宋"/>
          <w:color w:val="auto"/>
          <w:sz w:val="30"/>
          <w:szCs w:val="30"/>
          <w:u w:val="single"/>
        </w:rPr>
        <w:t xml:space="preserve"> 八  </w:t>
      </w:r>
      <w:r>
        <w:rPr>
          <w:rFonts w:hint="eastAsia" w:ascii="仿宋" w:hAnsi="仿宋" w:eastAsia="仿宋" w:cs="仿宋"/>
          <w:color w:val="auto"/>
          <w:sz w:val="30"/>
          <w:szCs w:val="30"/>
        </w:rPr>
        <w:t>份，承包人执</w:t>
      </w:r>
      <w:r>
        <w:rPr>
          <w:rFonts w:hint="eastAsia" w:ascii="仿宋" w:hAnsi="仿宋" w:eastAsia="仿宋" w:cs="仿宋"/>
          <w:color w:val="auto"/>
          <w:sz w:val="30"/>
          <w:szCs w:val="30"/>
          <w:u w:val="single"/>
        </w:rPr>
        <w:t xml:space="preserve">  五  </w:t>
      </w:r>
      <w:r>
        <w:rPr>
          <w:rFonts w:hint="eastAsia" w:ascii="仿宋" w:hAnsi="仿宋" w:eastAsia="仿宋" w:cs="仿宋"/>
          <w:color w:val="auto"/>
          <w:sz w:val="30"/>
          <w:szCs w:val="30"/>
        </w:rPr>
        <w:t xml:space="preserve">份。 </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发包人：  (公章)             承包人：  (公章)</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法定代表人或其委托代理人：  法定代表人或其委托代理人：</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（签字或盖章）               （签字或盖章）</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 xml:space="preserve">组织机构代码：         组织机构代码：        </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 xml:space="preserve">地  址：      地  址：      </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邮政编码：       邮政编码：</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 xml:space="preserve">法定代表人：             法定代表人：             </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 xml:space="preserve">委托代理人：             委托代理人：             </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 xml:space="preserve">电  话：     电  话：     </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 xml:space="preserve">传  真：     传  真：     </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 xml:space="preserve">电子信箱：                   电子信箱：   </w:t>
      </w:r>
    </w:p>
    <w:p>
      <w:pPr>
        <w:spacing w:line="360" w:lineRule="auto"/>
        <w:ind w:firstLine="459"/>
        <w:rPr>
          <w:rFonts w:ascii="仿宋" w:hAnsi="仿宋" w:eastAsia="仿宋" w:cs="仿宋"/>
          <w:color w:val="auto"/>
          <w:sz w:val="30"/>
          <w:szCs w:val="30"/>
        </w:rPr>
      </w:pPr>
      <w:r>
        <w:rPr>
          <w:rFonts w:hint="eastAsia" w:ascii="仿宋" w:hAnsi="仿宋" w:eastAsia="仿宋" w:cs="仿宋"/>
          <w:color w:val="auto"/>
          <w:sz w:val="30"/>
          <w:szCs w:val="30"/>
        </w:rPr>
        <w:t xml:space="preserve">开户银行：     开户银行：   </w:t>
      </w:r>
    </w:p>
    <w:p>
      <w:pPr>
        <w:tabs>
          <w:tab w:val="left" w:pos="6300"/>
        </w:tabs>
        <w:jc w:val="left"/>
        <w:rPr>
          <w:rFonts w:ascii="仿宋_GB2312" w:eastAsia="仿宋_GB2312"/>
          <w:color w:val="auto"/>
          <w:sz w:val="30"/>
          <w:szCs w:val="30"/>
        </w:rPr>
      </w:pPr>
      <w:r>
        <w:rPr>
          <w:rFonts w:hint="eastAsia" w:ascii="仿宋" w:hAnsi="仿宋" w:eastAsia="仿宋" w:cs="仿宋"/>
          <w:color w:val="auto"/>
          <w:sz w:val="30"/>
          <w:szCs w:val="30"/>
        </w:rPr>
        <w:t xml:space="preserve">   账  号：         账  号：</w:t>
      </w:r>
    </w:p>
    <w:p>
      <w:pPr>
        <w:tabs>
          <w:tab w:val="left" w:pos="6300"/>
        </w:tabs>
        <w:ind w:right="2316" w:rightChars="1103"/>
        <w:jc w:val="left"/>
        <w:rPr>
          <w:rFonts w:ascii="仿宋" w:hAnsi="仿宋" w:eastAsia="仿宋" w:cs="仿宋"/>
          <w:color w:val="auto"/>
          <w:sz w:val="30"/>
          <w:szCs w:val="30"/>
        </w:rPr>
      </w:pPr>
    </w:p>
    <w:p>
      <w:pPr>
        <w:pStyle w:val="3"/>
        <w:jc w:val="center"/>
        <w:rPr>
          <w:rFonts w:hint="default" w:ascii="华文中宋" w:hAnsi="华文中宋" w:eastAsia="华文中宋"/>
          <w:color w:val="auto"/>
          <w:sz w:val="44"/>
          <w:szCs w:val="44"/>
        </w:rPr>
      </w:pPr>
      <w:r>
        <w:rPr>
          <w:rFonts w:ascii="仿宋_GB2312" w:hAnsi="Times New Roman" w:eastAsia="仿宋_GB2312"/>
          <w:color w:val="auto"/>
          <w:sz w:val="30"/>
          <w:szCs w:val="30"/>
        </w:rPr>
        <w:br w:type="page"/>
      </w:r>
      <w:bookmarkStart w:id="76" w:name="_Toc29668"/>
      <w:r>
        <w:rPr>
          <w:rFonts w:hint="default" w:cs="宋体"/>
          <w:bCs/>
          <w:color w:val="auto"/>
          <w:sz w:val="44"/>
          <w:szCs w:val="44"/>
        </w:rPr>
        <w:t>第二部分 通用合同条款</w:t>
      </w:r>
      <w:bookmarkEnd w:id="76"/>
    </w:p>
    <w:p>
      <w:pPr>
        <w:pStyle w:val="3"/>
        <w:jc w:val="center"/>
        <w:rPr>
          <w:rFonts w:hint="default" w:ascii="华文中宋" w:hAnsi="华文中宋" w:eastAsia="华文中宋"/>
          <w:color w:val="auto"/>
          <w:sz w:val="44"/>
          <w:szCs w:val="44"/>
        </w:rPr>
      </w:pPr>
      <w:bookmarkStart w:id="77" w:name="_Toc8912"/>
      <w:r>
        <w:rPr>
          <w:rFonts w:ascii="Bold" w:hAnsi="Bold" w:eastAsia="Bold" w:cs="Bold"/>
          <w:bCs/>
          <w:color w:val="auto"/>
          <w:sz w:val="30"/>
          <w:szCs w:val="30"/>
        </w:rPr>
        <w:t>通用合同条款部分参见</w:t>
      </w:r>
      <w:r>
        <w:rPr>
          <w:color w:val="auto"/>
          <w:szCs w:val="28"/>
        </w:rPr>
        <w:t>《</w:t>
      </w:r>
      <w:r>
        <w:rPr>
          <w:rFonts w:ascii="Bold" w:hAnsi="Bold" w:eastAsia="Bold" w:cs="Bold"/>
          <w:bCs/>
          <w:color w:val="auto"/>
          <w:sz w:val="30"/>
          <w:szCs w:val="30"/>
        </w:rPr>
        <w:t>建设工程施工合同（</w:t>
      </w:r>
      <w:r>
        <w:rPr>
          <w:rFonts w:ascii="华文行楷" w:hAnsi="华文行楷" w:eastAsia="华文行楷" w:cs="华文行楷"/>
          <w:color w:val="auto"/>
          <w:szCs w:val="28"/>
        </w:rPr>
        <w:t>示范文本）》（GF-2017-0201）</w:t>
      </w:r>
      <w:r>
        <w:rPr>
          <w:rFonts w:hint="default" w:ascii="Bold" w:hAnsi="Bold" w:eastAsia="Bold" w:cs="Bold"/>
          <w:bCs/>
          <w:color w:val="auto"/>
          <w:sz w:val="30"/>
          <w:szCs w:val="30"/>
        </w:rPr>
        <w:br w:type="page"/>
      </w:r>
      <w:r>
        <w:rPr>
          <w:rFonts w:cs="宋体"/>
          <w:color w:val="auto"/>
          <w:sz w:val="44"/>
          <w:szCs w:val="44"/>
        </w:rPr>
        <w:t>第三部分 专用合同条款</w:t>
      </w:r>
      <w:bookmarkEnd w:id="77"/>
    </w:p>
    <w:p>
      <w:pPr>
        <w:pStyle w:val="5"/>
        <w:spacing w:before="120" w:after="120" w:line="360" w:lineRule="auto"/>
        <w:rPr>
          <w:rFonts w:ascii="仿宋" w:hAnsi="仿宋" w:eastAsia="仿宋" w:cs="仿宋"/>
          <w:b w:val="0"/>
          <w:color w:val="auto"/>
          <w:sz w:val="32"/>
          <w:szCs w:val="32"/>
        </w:rPr>
      </w:pPr>
      <w:r>
        <w:rPr>
          <w:rFonts w:hint="eastAsia" w:ascii="仿宋" w:hAnsi="仿宋" w:eastAsia="仿宋" w:cs="仿宋"/>
          <w:b w:val="0"/>
          <w:color w:val="auto"/>
          <w:sz w:val="32"/>
          <w:szCs w:val="32"/>
        </w:rPr>
        <w:t>1</w:t>
      </w:r>
      <w:bookmarkStart w:id="78" w:name="_Toc296503156"/>
      <w:bookmarkStart w:id="79" w:name="_Toc296891196"/>
      <w:bookmarkStart w:id="80" w:name="_Toc292559361"/>
      <w:bookmarkStart w:id="81" w:name="_Toc292559866"/>
      <w:bookmarkStart w:id="82" w:name="_Toc296346657"/>
      <w:bookmarkStart w:id="83" w:name="_Toc297120456"/>
      <w:bookmarkStart w:id="84" w:name="_Toc296347155"/>
      <w:bookmarkStart w:id="85" w:name="_Toc297048342"/>
      <w:bookmarkStart w:id="86" w:name="_Toc296944495"/>
      <w:bookmarkStart w:id="87" w:name="_Toc296890984"/>
      <w:r>
        <w:rPr>
          <w:rFonts w:hint="eastAsia" w:ascii="仿宋" w:hAnsi="仿宋" w:eastAsia="仿宋" w:cs="仿宋"/>
          <w:b w:val="0"/>
          <w:color w:val="auto"/>
          <w:sz w:val="32"/>
          <w:szCs w:val="32"/>
        </w:rPr>
        <w:t>. 一般约定</w:t>
      </w:r>
    </w:p>
    <w:bookmarkEnd w:id="78"/>
    <w:bookmarkEnd w:id="79"/>
    <w:bookmarkEnd w:id="80"/>
    <w:bookmarkEnd w:id="81"/>
    <w:bookmarkEnd w:id="82"/>
    <w:bookmarkEnd w:id="83"/>
    <w:bookmarkEnd w:id="84"/>
    <w:bookmarkEnd w:id="85"/>
    <w:bookmarkEnd w:id="86"/>
    <w:bookmarkEnd w:id="87"/>
    <w:p>
      <w:pPr>
        <w:spacing w:after="120" w:line="360" w:lineRule="auto"/>
        <w:ind w:firstLine="600" w:firstLineChars="200"/>
        <w:outlineLvl w:val="0"/>
        <w:rPr>
          <w:rFonts w:ascii="仿宋" w:hAnsi="仿宋" w:eastAsia="仿宋" w:cs="仿宋"/>
          <w:color w:val="auto"/>
          <w:sz w:val="30"/>
          <w:szCs w:val="32"/>
        </w:rPr>
      </w:pPr>
      <w:bookmarkStart w:id="88" w:name="_Toc25747"/>
      <w:bookmarkStart w:id="89" w:name="_Toc8932"/>
      <w:r>
        <w:rPr>
          <w:rFonts w:hint="eastAsia" w:ascii="仿宋" w:hAnsi="仿宋" w:eastAsia="仿宋" w:cs="仿宋"/>
          <w:color w:val="auto"/>
          <w:sz w:val="30"/>
          <w:szCs w:val="32"/>
        </w:rPr>
        <w:t>1.1 词语定义</w:t>
      </w:r>
      <w:bookmarkEnd w:id="88"/>
      <w:bookmarkEnd w:id="89"/>
    </w:p>
    <w:p>
      <w:pPr>
        <w:spacing w:line="520" w:lineRule="exact"/>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1.1.1合同</w:t>
      </w:r>
    </w:p>
    <w:p>
      <w:pPr>
        <w:spacing w:line="520" w:lineRule="exact"/>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1.1.1.10其他合同文件包括：</w:t>
      </w:r>
    </w:p>
    <w:p>
      <w:pPr>
        <w:spacing w:line="520" w:lineRule="exact"/>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①本合同协议书；</w:t>
      </w:r>
    </w:p>
    <w:p>
      <w:pPr>
        <w:spacing w:line="520" w:lineRule="exact"/>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②履行本合同的相关补充协议（含工程洽商记录、会议纪要、工程变更、现场签证、索赔和合同价款调整报告等修正文件）。</w:t>
      </w:r>
    </w:p>
    <w:p>
      <w:pPr>
        <w:spacing w:line="520" w:lineRule="exact"/>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③招标文件；</w:t>
      </w:r>
    </w:p>
    <w:p>
      <w:pPr>
        <w:spacing w:line="520" w:lineRule="exact"/>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④中标通知书；</w:t>
      </w:r>
    </w:p>
    <w:p>
      <w:pPr>
        <w:spacing w:line="520" w:lineRule="exact"/>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⑤投标文件及其附件（含评标期间的澄清文件和补充资料）；</w:t>
      </w:r>
    </w:p>
    <w:p>
      <w:pPr>
        <w:spacing w:line="520" w:lineRule="exact"/>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⑥本合同专用条款；</w:t>
      </w:r>
    </w:p>
    <w:p>
      <w:pPr>
        <w:spacing w:line="520" w:lineRule="exact"/>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⑦本合同通用条款；</w:t>
      </w:r>
    </w:p>
    <w:p>
      <w:pPr>
        <w:spacing w:line="520" w:lineRule="exact"/>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⑧标准、规范及有关技术文件；</w:t>
      </w:r>
    </w:p>
    <w:p>
      <w:pPr>
        <w:spacing w:line="520" w:lineRule="exact"/>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⑨施工设计图纸；</w:t>
      </w:r>
    </w:p>
    <w:p>
      <w:pPr>
        <w:spacing w:line="520" w:lineRule="exact"/>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⑩工程量清单；</w:t>
      </w:r>
    </w:p>
    <w:p>
      <w:pPr>
        <w:spacing w:line="520" w:lineRule="exact"/>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⑪专用条款约定的其他文件。 </w:t>
      </w:r>
    </w:p>
    <w:p>
      <w:pPr>
        <w:spacing w:line="520" w:lineRule="exact"/>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1.1.2 合同当事人及其他相关方</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1.1.2.4监理人：</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名    称：</w:t>
      </w:r>
      <w:r>
        <w:rPr>
          <w:rFonts w:hint="eastAsia" w:ascii="仿宋" w:hAnsi="仿宋" w:eastAsia="仿宋" w:cs="仿宋"/>
          <w:color w:val="auto"/>
          <w:sz w:val="30"/>
          <w:szCs w:val="32"/>
          <w:u w:val="single"/>
        </w:rPr>
        <w:t xml:space="preserve">           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资质类别和等级：</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联系电话：</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电子信箱：</w:t>
      </w:r>
      <w:r>
        <w:rPr>
          <w:rFonts w:hint="eastAsia" w:ascii="仿宋" w:hAnsi="仿宋" w:eastAsia="仿宋" w:cs="仿宋"/>
          <w:color w:val="auto"/>
          <w:sz w:val="30"/>
          <w:szCs w:val="32"/>
          <w:u w:val="single"/>
        </w:rPr>
        <w:t>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通信地址：</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1.1.2.5 设计人：</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名    称：；</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资质类别和等级：；</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联系电话：；</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电子信箱：；</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通信地址：</w:t>
      </w:r>
      <w:r>
        <w:rPr>
          <w:rFonts w:hint="eastAsia" w:ascii="仿宋" w:hAnsi="仿宋" w:eastAsia="仿宋" w:cs="仿宋"/>
          <w:color w:val="auto"/>
          <w:sz w:val="30"/>
          <w:szCs w:val="32"/>
          <w:u w:val="single"/>
        </w:rPr>
        <w:t xml:space="preserve">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1.1.3 工程和设备</w:t>
      </w:r>
    </w:p>
    <w:p>
      <w:pPr>
        <w:spacing w:line="360" w:lineRule="auto"/>
        <w:ind w:firstLine="600" w:firstLineChars="200"/>
        <w:rPr>
          <w:rFonts w:ascii="仿宋" w:hAnsi="仿宋" w:eastAsia="仿宋" w:cs="仿宋"/>
          <w:color w:val="auto"/>
          <w:sz w:val="30"/>
          <w:szCs w:val="32"/>
          <w:u w:val="single"/>
        </w:rPr>
      </w:pPr>
      <w:r>
        <w:rPr>
          <w:rFonts w:hint="eastAsia" w:ascii="仿宋" w:hAnsi="仿宋" w:eastAsia="仿宋" w:cs="仿宋"/>
          <w:color w:val="auto"/>
          <w:sz w:val="30"/>
          <w:szCs w:val="32"/>
        </w:rPr>
        <w:t>1.1.3.7 作为施工现场组成部分的其他场所包括：</w:t>
      </w:r>
      <w:r>
        <w:rPr>
          <w:rFonts w:hint="eastAsia" w:ascii="仿宋" w:hAnsi="仿宋" w:eastAsia="仿宋" w:cs="仿宋"/>
          <w:color w:val="auto"/>
          <w:sz w:val="30"/>
          <w:szCs w:val="32"/>
          <w:u w:val="single"/>
        </w:rPr>
        <w:t xml:space="preserve">    /    </w:t>
      </w:r>
    </w:p>
    <w:p>
      <w:pPr>
        <w:spacing w:line="360" w:lineRule="auto"/>
        <w:ind w:firstLine="600" w:firstLineChars="200"/>
        <w:jc w:val="left"/>
        <w:rPr>
          <w:rFonts w:ascii="仿宋" w:hAnsi="仿宋" w:eastAsia="仿宋" w:cs="仿宋"/>
          <w:color w:val="auto"/>
          <w:kern w:val="0"/>
          <w:sz w:val="30"/>
          <w:szCs w:val="32"/>
        </w:rPr>
      </w:pPr>
      <w:r>
        <w:rPr>
          <w:rFonts w:hint="eastAsia" w:ascii="仿宋" w:hAnsi="仿宋" w:eastAsia="仿宋" w:cs="仿宋"/>
          <w:color w:val="auto"/>
          <w:kern w:val="0"/>
          <w:sz w:val="30"/>
          <w:szCs w:val="32"/>
        </w:rPr>
        <w:t>1.1.3.9 永久占地包括：</w:t>
      </w:r>
      <w:r>
        <w:rPr>
          <w:rFonts w:hint="eastAsia" w:ascii="仿宋" w:hAnsi="仿宋" w:eastAsia="仿宋" w:cs="仿宋"/>
          <w:color w:val="auto"/>
          <w:sz w:val="30"/>
          <w:szCs w:val="32"/>
          <w:u w:val="single"/>
        </w:rPr>
        <w:t xml:space="preserve">            /         </w:t>
      </w:r>
      <w:r>
        <w:rPr>
          <w:rFonts w:hint="eastAsia" w:ascii="仿宋" w:hAnsi="仿宋" w:eastAsia="仿宋" w:cs="仿宋"/>
          <w:color w:val="auto"/>
          <w:kern w:val="0"/>
          <w:sz w:val="30"/>
          <w:szCs w:val="32"/>
        </w:rPr>
        <w:t>。</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kern w:val="0"/>
          <w:sz w:val="30"/>
          <w:szCs w:val="32"/>
        </w:rPr>
        <w:t>1.1.3.10 临时占地包括：</w:t>
      </w:r>
      <w:r>
        <w:rPr>
          <w:rFonts w:hint="eastAsia" w:ascii="仿宋" w:hAnsi="仿宋" w:eastAsia="仿宋" w:cs="仿宋"/>
          <w:color w:val="auto"/>
          <w:sz w:val="30"/>
          <w:szCs w:val="32"/>
          <w:u w:val="single"/>
        </w:rPr>
        <w:t xml:space="preserve">           /         </w:t>
      </w:r>
      <w:r>
        <w:rPr>
          <w:rFonts w:hint="eastAsia" w:ascii="仿宋" w:hAnsi="仿宋" w:eastAsia="仿宋" w:cs="仿宋"/>
          <w:color w:val="auto"/>
          <w:kern w:val="0"/>
          <w:sz w:val="30"/>
          <w:szCs w:val="32"/>
        </w:rPr>
        <w:t>。</w:t>
      </w:r>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 xml:space="preserve">1.3法律 </w:t>
      </w:r>
    </w:p>
    <w:p>
      <w:pPr>
        <w:autoSpaceDE w:val="0"/>
        <w:autoSpaceDN w:val="0"/>
        <w:adjustRightInd w:val="0"/>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适用于合同的其他规范性文件：《</w:t>
      </w:r>
      <w:r>
        <w:rPr>
          <w:rFonts w:hint="eastAsia" w:ascii="仿宋" w:hAnsi="仿宋" w:eastAsia="仿宋" w:cs="仿宋"/>
          <w:color w:val="auto"/>
          <w:sz w:val="30"/>
          <w:szCs w:val="30"/>
        </w:rPr>
        <w:t>中华人民共和国民法典</w:t>
      </w:r>
      <w:r>
        <w:rPr>
          <w:rFonts w:hint="eastAsia" w:ascii="仿宋" w:hAnsi="仿宋" w:eastAsia="仿宋" w:cs="仿宋"/>
          <w:color w:val="auto"/>
          <w:sz w:val="30"/>
          <w:szCs w:val="32"/>
        </w:rPr>
        <w:t>》、《中华人民共和国建筑法》、《中华人民共和国招标投标法》、《建设工程质量管理条例》、《建设工程安全生产管理条例》、《建筑工程施工质量验收统一标准》、《湛江市房屋建筑工程和市政基础设施工程竣工验收及备案管理实施意见》、《建筑安装工程承包合同条例》以及国家、省、市有关法律法规。</w:t>
      </w:r>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1.4 标准和规范</w:t>
      </w:r>
    </w:p>
    <w:p>
      <w:pPr>
        <w:spacing w:line="360" w:lineRule="auto"/>
        <w:ind w:firstLine="600" w:firstLineChars="200"/>
        <w:rPr>
          <w:rFonts w:eastAsia="仿宋_GB2312"/>
          <w:color w:val="auto"/>
          <w:sz w:val="24"/>
        </w:rPr>
      </w:pPr>
      <w:r>
        <w:rPr>
          <w:rFonts w:hint="eastAsia" w:ascii="仿宋" w:hAnsi="仿宋" w:eastAsia="仿宋" w:cs="仿宋"/>
          <w:color w:val="auto"/>
          <w:sz w:val="30"/>
          <w:szCs w:val="32"/>
        </w:rPr>
        <w:t>1.4.1适用于工程的标准规范包括：</w:t>
      </w:r>
      <w:r>
        <w:rPr>
          <w:rFonts w:hint="eastAsia" w:eastAsia="仿宋_GB2312"/>
          <w:b/>
          <w:color w:val="auto"/>
          <w:sz w:val="24"/>
          <w:u w:val="single"/>
        </w:rPr>
        <w:t>国家、行业、广东省和湛江市的有关标准与规范或规程</w:t>
      </w:r>
      <w:r>
        <w:rPr>
          <w:rFonts w:eastAsia="仿宋_GB2312"/>
          <w:color w:val="auto"/>
          <w:sz w:val="24"/>
        </w:rPr>
        <w:t>。</w:t>
      </w:r>
      <w:bookmarkStart w:id="90" w:name="_Toc18253"/>
      <w:bookmarkStart w:id="91" w:name="_Toc12649"/>
    </w:p>
    <w:p>
      <w:pPr>
        <w:spacing w:line="360" w:lineRule="auto"/>
        <w:ind w:firstLine="600" w:firstLineChars="200"/>
        <w:rPr>
          <w:rFonts w:ascii="仿宋" w:hAnsi="仿宋" w:eastAsia="仿宋" w:cs="仿宋"/>
          <w:dstrike/>
          <w:color w:val="auto"/>
          <w:kern w:val="0"/>
          <w:sz w:val="30"/>
          <w:szCs w:val="32"/>
          <w:u w:val="single"/>
        </w:rPr>
      </w:pPr>
      <w:r>
        <w:rPr>
          <w:rFonts w:hint="eastAsia" w:ascii="仿宋" w:hAnsi="仿宋" w:eastAsia="仿宋" w:cs="仿宋"/>
          <w:color w:val="auto"/>
          <w:sz w:val="30"/>
          <w:szCs w:val="32"/>
        </w:rPr>
        <w:t>1.4.2发包人提供施工技术要求，承包人提供施工工艺及施工方案，经发包人及监理单位认可后执行。</w:t>
      </w:r>
      <w:bookmarkEnd w:id="90"/>
      <w:bookmarkEnd w:id="91"/>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适用国内标准、规范的名称：国家现行建设工程的有关标准、规范以及其他与本工程相关的现行国家和行业规范及验收标准。</w:t>
      </w:r>
    </w:p>
    <w:p>
      <w:pPr>
        <w:spacing w:after="120" w:line="360" w:lineRule="auto"/>
        <w:ind w:firstLine="600" w:firstLineChars="200"/>
        <w:outlineLvl w:val="0"/>
        <w:rPr>
          <w:rFonts w:ascii="仿宋" w:hAnsi="仿宋" w:eastAsia="仿宋" w:cs="仿宋"/>
          <w:color w:val="auto"/>
          <w:sz w:val="30"/>
          <w:szCs w:val="32"/>
        </w:rPr>
      </w:pPr>
      <w:bookmarkStart w:id="92" w:name="_Toc11313"/>
      <w:bookmarkStart w:id="93" w:name="_Toc19090"/>
      <w:r>
        <w:rPr>
          <w:rFonts w:hint="eastAsia" w:ascii="仿宋" w:hAnsi="仿宋" w:eastAsia="仿宋" w:cs="仿宋"/>
          <w:color w:val="auto"/>
          <w:sz w:val="30"/>
          <w:szCs w:val="32"/>
        </w:rPr>
        <w:t>1.5 合同文件的优先顺序</w:t>
      </w:r>
      <w:bookmarkEnd w:id="92"/>
      <w:bookmarkEnd w:id="93"/>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合同文件组成及优先顺序为：</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（1）协议书；</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（2）履行本合同的相关补充协议（含工程洽商记录、会议纪要、工程变更、现场签证、索赔和合同价款调整报告等修正文件）；</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（3）中标通知书；</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（4）承包人投标文件及其附件（含评标期间的澄清文件和补充资料）；湛江市遂溪县财政部门审定预算；</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（5）本合同补充条款；</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（6）本合同专用条款；</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（7）本合同通用条款；</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（8）招标文件（含招标文件补充文件、澄清文件、答疑文件等）；</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（9）标准、规范及有关技术文件；</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（10）发包人针对本工程建设管理的各项制度、规定；</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（11）施工设计图纸；</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（12）组成合同的其他文件：本合同的附件及其他文件。</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通过上述顺序解释仍无法明确的事项，由发包人与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一步的决定。如承包人还不服的，可按合同的约定向湛江市遂溪县人民法院提起诉讼，但在有关部门没有作出正式裁决之前，承包人必须无条件先行执行发包人的决定，待正式裁决后按有关部门的裁决执行。</w:t>
      </w:r>
    </w:p>
    <w:p>
      <w:pPr>
        <w:spacing w:after="120" w:line="360" w:lineRule="auto"/>
        <w:ind w:firstLine="600" w:firstLineChars="200"/>
        <w:outlineLvl w:val="0"/>
        <w:rPr>
          <w:rFonts w:ascii="仿宋" w:hAnsi="仿宋" w:eastAsia="仿宋" w:cs="仿宋"/>
          <w:color w:val="auto"/>
          <w:sz w:val="30"/>
          <w:szCs w:val="32"/>
        </w:rPr>
      </w:pPr>
      <w:bookmarkStart w:id="94" w:name="_Toc5103"/>
      <w:bookmarkStart w:id="95" w:name="_Toc10443"/>
      <w:r>
        <w:rPr>
          <w:rFonts w:hint="eastAsia" w:ascii="仿宋" w:hAnsi="仿宋" w:eastAsia="仿宋" w:cs="仿宋"/>
          <w:color w:val="auto"/>
          <w:sz w:val="30"/>
          <w:szCs w:val="32"/>
        </w:rPr>
        <w:t>1.6 图纸和承包人文件</w:t>
      </w:r>
      <w:bookmarkEnd w:id="94"/>
      <w:bookmarkEnd w:id="95"/>
      <w:r>
        <w:rPr>
          <w:rFonts w:hint="eastAsia" w:ascii="仿宋" w:hAnsi="仿宋" w:eastAsia="仿宋" w:cs="仿宋"/>
          <w:color w:val="auto"/>
          <w:sz w:val="30"/>
          <w:szCs w:val="32"/>
        </w:rPr>
        <w:tab/>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1.6.1 图纸的提供</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发包人向承包人提供图纸的期限：合同签订后3天内；</w:t>
      </w:r>
    </w:p>
    <w:p>
      <w:pPr>
        <w:spacing w:line="360" w:lineRule="auto"/>
        <w:ind w:firstLine="600" w:firstLineChars="200"/>
        <w:rPr>
          <w:rFonts w:hint="eastAsia" w:ascii="仿宋" w:hAnsi="仿宋" w:eastAsia="仿宋" w:cs="仿宋"/>
          <w:color w:val="auto"/>
          <w:sz w:val="30"/>
          <w:szCs w:val="30"/>
          <w:u w:val="single"/>
        </w:rPr>
      </w:pPr>
      <w:r>
        <w:rPr>
          <w:rFonts w:hint="eastAsia" w:ascii="仿宋" w:hAnsi="仿宋" w:eastAsia="仿宋" w:cs="仿宋"/>
          <w:color w:val="auto"/>
          <w:sz w:val="30"/>
          <w:szCs w:val="32"/>
        </w:rPr>
        <w:t>发包人向承包人提供图纸的数量：壹式叁份，</w:t>
      </w:r>
      <w:r>
        <w:rPr>
          <w:rFonts w:hint="eastAsia" w:ascii="仿宋" w:hAnsi="仿宋" w:eastAsia="仿宋" w:cs="仿宋"/>
          <w:color w:val="auto"/>
          <w:sz w:val="30"/>
          <w:szCs w:val="30"/>
          <w:u w:val="single"/>
        </w:rPr>
        <w:t>承包人需要增加份数的，发包人予以协助，费用由承包人承担；；</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1.6.4 承包人文件</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需要由承包人提供的文件，包括：</w:t>
      </w:r>
      <w:r>
        <w:rPr>
          <w:rFonts w:hint="eastAsia" w:ascii="仿宋" w:hAnsi="仿宋" w:eastAsia="仿宋" w:cs="仿宋"/>
          <w:color w:val="auto"/>
          <w:sz w:val="30"/>
          <w:szCs w:val="30"/>
          <w:u w:val="single"/>
        </w:rPr>
        <w:t>施工组织设计、项目管理组织机构和根据工程实际情况及发包人需要提供的其他文件</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承包人提供的文件的期限为：合同签订后7天内；</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承包人提供的文件的数量为：</w:t>
      </w:r>
      <w:r>
        <w:rPr>
          <w:rFonts w:hint="eastAsia" w:ascii="仿宋" w:hAnsi="仿宋" w:eastAsia="仿宋" w:cs="仿宋"/>
          <w:color w:val="auto"/>
          <w:sz w:val="30"/>
          <w:szCs w:val="30"/>
          <w:u w:val="single"/>
        </w:rPr>
        <w:t>根据发包人实际情况需要提供；</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承包人提供的文件的形式为：</w:t>
      </w:r>
      <w:r>
        <w:rPr>
          <w:rFonts w:hint="eastAsia" w:ascii="仿宋" w:hAnsi="仿宋" w:eastAsia="仿宋" w:cs="仿宋"/>
          <w:color w:val="auto"/>
          <w:sz w:val="30"/>
          <w:szCs w:val="30"/>
          <w:u w:val="single"/>
        </w:rPr>
        <w:t>纸质版和电子版</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发包人审批承包人文件的期限：</w:t>
      </w:r>
      <w:r>
        <w:rPr>
          <w:rFonts w:hint="eastAsia" w:ascii="仿宋" w:hAnsi="仿宋" w:eastAsia="仿宋" w:cs="仿宋"/>
          <w:color w:val="auto"/>
          <w:sz w:val="30"/>
          <w:szCs w:val="30"/>
          <w:u w:val="single"/>
        </w:rPr>
        <w:t>收到文件符合要求的文件后10天</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1.6.5 现场图纸准备</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关于现场图纸准备的约定：</w:t>
      </w:r>
      <w:r>
        <w:rPr>
          <w:rFonts w:hint="eastAsia" w:ascii="仿宋" w:hAnsi="仿宋" w:eastAsia="仿宋" w:cs="仿宋"/>
          <w:color w:val="auto"/>
          <w:sz w:val="30"/>
          <w:szCs w:val="32"/>
          <w:u w:val="single"/>
        </w:rPr>
        <w:t>承包人应在施工现场保留一套完整的施工图纸，供监理工程师和有关人员进行工程检查时使用。</w:t>
      </w:r>
    </w:p>
    <w:p>
      <w:pPr>
        <w:spacing w:after="120" w:line="360" w:lineRule="auto"/>
        <w:ind w:firstLine="600" w:firstLineChars="200"/>
        <w:outlineLvl w:val="0"/>
        <w:rPr>
          <w:rFonts w:ascii="仿宋" w:hAnsi="仿宋" w:eastAsia="仿宋" w:cs="仿宋"/>
          <w:color w:val="auto"/>
          <w:sz w:val="30"/>
          <w:szCs w:val="32"/>
        </w:rPr>
      </w:pPr>
      <w:bookmarkStart w:id="96" w:name="_Toc5178"/>
      <w:bookmarkStart w:id="97" w:name="_Toc4166"/>
      <w:r>
        <w:rPr>
          <w:rFonts w:hint="eastAsia" w:ascii="仿宋" w:hAnsi="仿宋" w:eastAsia="仿宋" w:cs="仿宋"/>
          <w:color w:val="auto"/>
          <w:sz w:val="30"/>
          <w:szCs w:val="32"/>
        </w:rPr>
        <w:t>1.7 联络</w:t>
      </w:r>
      <w:bookmarkEnd w:id="96"/>
      <w:bookmarkEnd w:id="97"/>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1.7.1发包人和承包人应当在</w:t>
      </w:r>
      <w:r>
        <w:rPr>
          <w:rFonts w:hint="eastAsia" w:ascii="仿宋" w:hAnsi="仿宋" w:eastAsia="仿宋" w:cs="仿宋"/>
          <w:color w:val="auto"/>
          <w:sz w:val="30"/>
          <w:szCs w:val="32"/>
          <w:u w:val="single"/>
        </w:rPr>
        <w:t>3</w:t>
      </w:r>
      <w:r>
        <w:rPr>
          <w:rFonts w:hint="eastAsia" w:ascii="仿宋" w:hAnsi="仿宋" w:eastAsia="仿宋" w:cs="仿宋"/>
          <w:color w:val="auto"/>
          <w:kern w:val="0"/>
          <w:sz w:val="30"/>
          <w:szCs w:val="32"/>
        </w:rPr>
        <w:t>天内将与合同有关的通知、批准、证明、证书、指示、指令、要求、请求、同意、意见、确定和决定等书面函件送达对方当事人。</w:t>
      </w:r>
    </w:p>
    <w:p>
      <w:pPr>
        <w:spacing w:line="360" w:lineRule="auto"/>
        <w:ind w:firstLine="600" w:firstLineChars="200"/>
        <w:rPr>
          <w:rFonts w:hint="eastAsia" w:ascii="仿宋" w:hAnsi="仿宋" w:eastAsia="仿宋" w:cs="仿宋"/>
          <w:color w:val="auto"/>
          <w:sz w:val="30"/>
          <w:szCs w:val="30"/>
          <w:u w:val="single"/>
        </w:rPr>
      </w:pPr>
      <w:r>
        <w:rPr>
          <w:rFonts w:hint="eastAsia" w:ascii="仿宋" w:hAnsi="仿宋" w:eastAsia="仿宋" w:cs="仿宋"/>
          <w:color w:val="auto"/>
          <w:kern w:val="0"/>
          <w:sz w:val="30"/>
          <w:szCs w:val="32"/>
        </w:rPr>
        <w:t>1.7.2 发包人接收文件的地点：</w:t>
      </w:r>
      <w:r>
        <w:rPr>
          <w:rFonts w:hint="eastAsia" w:ascii="仿宋" w:hAnsi="仿宋" w:eastAsia="仿宋" w:cs="仿宋"/>
          <w:color w:val="auto"/>
          <w:sz w:val="30"/>
          <w:szCs w:val="30"/>
          <w:u w:val="single"/>
        </w:rPr>
        <w:t>广东省湛江市</w:t>
      </w:r>
      <w:r>
        <w:rPr>
          <w:rFonts w:hint="eastAsia" w:ascii="仿宋" w:hAnsi="仿宋" w:eastAsia="仿宋" w:cs="仿宋"/>
          <w:color w:val="auto"/>
          <w:sz w:val="30"/>
          <w:szCs w:val="30"/>
          <w:u w:val="single"/>
          <w:lang w:eastAsia="zh-CN"/>
        </w:rPr>
        <w:t>遂溪县洋青镇</w:t>
      </w:r>
      <w:r>
        <w:rPr>
          <w:rFonts w:hint="eastAsia" w:ascii="仿宋" w:hAnsi="仿宋" w:eastAsia="仿宋" w:cs="仿宋"/>
          <w:color w:val="auto"/>
          <w:sz w:val="30"/>
          <w:szCs w:val="30"/>
          <w:u w:val="single"/>
        </w:rPr>
        <w:t>遂江路12号；</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发包人指定的接收人为：</w:t>
      </w:r>
      <w:r>
        <w:rPr>
          <w:rFonts w:hint="eastAsia" w:ascii="仿宋" w:hAnsi="仿宋" w:eastAsia="仿宋" w:cs="仿宋"/>
          <w:color w:val="auto"/>
          <w:sz w:val="30"/>
          <w:szCs w:val="32"/>
          <w:u w:val="single"/>
        </w:rPr>
        <w:t xml:space="preserve">               </w:t>
      </w:r>
      <w:r>
        <w:rPr>
          <w:rFonts w:hint="eastAsia" w:ascii="仿宋" w:hAnsi="仿宋" w:eastAsia="仿宋" w:cs="仿宋"/>
          <w:color w:val="auto"/>
          <w:kern w:val="0"/>
          <w:sz w:val="30"/>
          <w:szCs w:val="32"/>
        </w:rPr>
        <w:t>。</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承包人接收文件的地点：</w:t>
      </w:r>
      <w:r>
        <w:rPr>
          <w:rFonts w:hint="eastAsia" w:ascii="仿宋" w:hAnsi="仿宋" w:eastAsia="仿宋" w:cs="仿宋"/>
          <w:color w:val="auto"/>
          <w:sz w:val="30"/>
          <w:szCs w:val="32"/>
          <w:u w:val="single"/>
        </w:rPr>
        <w:t>             </w:t>
      </w:r>
      <w:r>
        <w:rPr>
          <w:rFonts w:hint="eastAsia" w:ascii="仿宋" w:hAnsi="仿宋" w:eastAsia="仿宋" w:cs="仿宋"/>
          <w:color w:val="auto"/>
          <w:kern w:val="0"/>
          <w:sz w:val="30"/>
          <w:szCs w:val="32"/>
        </w:rPr>
        <w:t>；</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承包人指定的接收人为：</w:t>
      </w:r>
      <w:r>
        <w:rPr>
          <w:rFonts w:hint="eastAsia" w:ascii="仿宋" w:hAnsi="仿宋" w:eastAsia="仿宋" w:cs="仿宋"/>
          <w:color w:val="auto"/>
          <w:sz w:val="30"/>
          <w:szCs w:val="32"/>
          <w:u w:val="single"/>
        </w:rPr>
        <w:t>             </w:t>
      </w:r>
      <w:r>
        <w:rPr>
          <w:rFonts w:hint="eastAsia" w:ascii="仿宋" w:hAnsi="仿宋" w:eastAsia="仿宋" w:cs="仿宋"/>
          <w:color w:val="auto"/>
          <w:kern w:val="0"/>
          <w:sz w:val="30"/>
          <w:szCs w:val="32"/>
        </w:rPr>
        <w:t>。</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监理人接收文件的地点：</w:t>
      </w:r>
      <w:r>
        <w:rPr>
          <w:rFonts w:hint="eastAsia" w:ascii="仿宋" w:hAnsi="仿宋" w:eastAsia="仿宋" w:cs="仿宋"/>
          <w:color w:val="auto"/>
          <w:sz w:val="30"/>
          <w:szCs w:val="32"/>
          <w:u w:val="single"/>
        </w:rPr>
        <w:t>           </w:t>
      </w:r>
      <w:r>
        <w:rPr>
          <w:rFonts w:hint="eastAsia" w:ascii="仿宋" w:hAnsi="仿宋" w:eastAsia="仿宋" w:cs="仿宋"/>
          <w:color w:val="auto"/>
          <w:kern w:val="0"/>
          <w:sz w:val="30"/>
          <w:szCs w:val="32"/>
        </w:rPr>
        <w:t>；</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监理人指定的接收人为：</w:t>
      </w:r>
      <w:r>
        <w:rPr>
          <w:rFonts w:hint="eastAsia" w:ascii="仿宋" w:hAnsi="仿宋" w:eastAsia="仿宋" w:cs="仿宋"/>
          <w:color w:val="auto"/>
          <w:sz w:val="30"/>
          <w:szCs w:val="32"/>
          <w:u w:val="single"/>
        </w:rPr>
        <w:t xml:space="preserve">             </w:t>
      </w:r>
      <w:r>
        <w:rPr>
          <w:rFonts w:hint="eastAsia" w:ascii="仿宋" w:hAnsi="仿宋" w:eastAsia="仿宋" w:cs="仿宋"/>
          <w:color w:val="auto"/>
          <w:kern w:val="0"/>
          <w:sz w:val="30"/>
          <w:szCs w:val="32"/>
        </w:rPr>
        <w:t>。</w:t>
      </w:r>
    </w:p>
    <w:p>
      <w:pPr>
        <w:spacing w:after="120" w:line="360" w:lineRule="auto"/>
        <w:ind w:firstLine="600" w:firstLineChars="200"/>
        <w:outlineLvl w:val="0"/>
        <w:rPr>
          <w:rFonts w:ascii="仿宋" w:hAnsi="仿宋" w:eastAsia="仿宋" w:cs="仿宋"/>
          <w:color w:val="auto"/>
          <w:sz w:val="30"/>
          <w:szCs w:val="32"/>
        </w:rPr>
      </w:pPr>
      <w:bookmarkStart w:id="98" w:name="_Toc23596"/>
      <w:bookmarkStart w:id="99" w:name="_Toc31143"/>
      <w:r>
        <w:rPr>
          <w:rFonts w:hint="eastAsia" w:ascii="仿宋" w:hAnsi="仿宋" w:eastAsia="仿宋" w:cs="仿宋"/>
          <w:color w:val="auto"/>
          <w:sz w:val="30"/>
          <w:szCs w:val="32"/>
        </w:rPr>
        <w:t>1.10 交通运输</w:t>
      </w:r>
      <w:bookmarkEnd w:id="98"/>
      <w:bookmarkEnd w:id="99"/>
    </w:p>
    <w:p>
      <w:pPr>
        <w:spacing w:line="360" w:lineRule="auto"/>
        <w:ind w:firstLine="600" w:firstLineChars="200"/>
        <w:outlineLvl w:val="0"/>
        <w:rPr>
          <w:rFonts w:ascii="仿宋" w:hAnsi="仿宋" w:eastAsia="仿宋" w:cs="仿宋"/>
          <w:color w:val="auto"/>
          <w:sz w:val="30"/>
          <w:szCs w:val="32"/>
        </w:rPr>
      </w:pPr>
      <w:bookmarkStart w:id="100" w:name="_Toc12253"/>
      <w:bookmarkStart w:id="101" w:name="_Toc5933"/>
      <w:r>
        <w:rPr>
          <w:rFonts w:hint="eastAsia" w:ascii="仿宋" w:hAnsi="仿宋" w:eastAsia="仿宋" w:cs="仿宋"/>
          <w:color w:val="auto"/>
          <w:sz w:val="30"/>
          <w:szCs w:val="32"/>
        </w:rPr>
        <w:t>1</w:t>
      </w:r>
      <w:bookmarkStart w:id="102" w:name="_Toc318581155"/>
      <w:bookmarkStart w:id="103" w:name="_Toc300934943"/>
      <w:bookmarkStart w:id="104" w:name="_Toc304295521"/>
      <w:bookmarkStart w:id="105" w:name="_Toc303539100"/>
      <w:bookmarkStart w:id="106" w:name="_Toc312677986"/>
      <w:r>
        <w:rPr>
          <w:rFonts w:hint="eastAsia" w:ascii="仿宋" w:hAnsi="仿宋" w:eastAsia="仿宋" w:cs="仿宋"/>
          <w:color w:val="auto"/>
          <w:sz w:val="30"/>
          <w:szCs w:val="32"/>
        </w:rPr>
        <w:t>.10.1 出入现场的权利</w:t>
      </w:r>
      <w:bookmarkEnd w:id="100"/>
      <w:bookmarkEnd w:id="101"/>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关于出入现场的权利的约定：承包人自行解决，发包人协助。</w:t>
      </w:r>
    </w:p>
    <w:bookmarkEnd w:id="102"/>
    <w:bookmarkEnd w:id="103"/>
    <w:bookmarkEnd w:id="104"/>
    <w:bookmarkEnd w:id="105"/>
    <w:bookmarkEnd w:id="106"/>
    <w:p>
      <w:pPr>
        <w:spacing w:line="360" w:lineRule="auto"/>
        <w:ind w:firstLine="600" w:firstLineChars="200"/>
        <w:jc w:val="left"/>
        <w:outlineLvl w:val="0"/>
        <w:rPr>
          <w:rFonts w:ascii="仿宋" w:hAnsi="仿宋" w:eastAsia="仿宋" w:cs="仿宋"/>
          <w:color w:val="auto"/>
          <w:sz w:val="30"/>
          <w:szCs w:val="32"/>
        </w:rPr>
      </w:pPr>
      <w:bookmarkStart w:id="107" w:name="_Toc181"/>
      <w:bookmarkStart w:id="108" w:name="_Toc9663"/>
      <w:r>
        <w:rPr>
          <w:rFonts w:hint="eastAsia" w:ascii="仿宋" w:hAnsi="仿宋" w:eastAsia="仿宋" w:cs="仿宋"/>
          <w:color w:val="auto"/>
          <w:sz w:val="30"/>
          <w:szCs w:val="32"/>
        </w:rPr>
        <w:t>1</w:t>
      </w:r>
      <w:bookmarkStart w:id="109" w:name="_Toc318581156"/>
      <w:bookmarkStart w:id="110" w:name="_Toc312677987"/>
      <w:bookmarkStart w:id="111" w:name="_Toc300934944"/>
      <w:bookmarkStart w:id="112" w:name="_Toc304295522"/>
      <w:bookmarkStart w:id="113" w:name="_Toc303539101"/>
      <w:r>
        <w:rPr>
          <w:rFonts w:hint="eastAsia" w:ascii="仿宋" w:hAnsi="仿宋" w:eastAsia="仿宋" w:cs="仿宋"/>
          <w:color w:val="auto"/>
          <w:sz w:val="30"/>
          <w:szCs w:val="32"/>
        </w:rPr>
        <w:t>.10.3 场内交通</w:t>
      </w:r>
      <w:bookmarkEnd w:id="107"/>
      <w:bookmarkEnd w:id="108"/>
    </w:p>
    <w:p>
      <w:pPr>
        <w:spacing w:line="360" w:lineRule="auto"/>
        <w:ind w:firstLine="600" w:firstLineChars="200"/>
        <w:jc w:val="left"/>
        <w:rPr>
          <w:rFonts w:ascii="仿宋" w:hAnsi="仿宋" w:eastAsia="仿宋" w:cs="仿宋"/>
          <w:color w:val="auto"/>
          <w:kern w:val="0"/>
          <w:sz w:val="30"/>
          <w:szCs w:val="32"/>
        </w:rPr>
      </w:pPr>
      <w:r>
        <w:rPr>
          <w:rFonts w:hint="eastAsia" w:ascii="仿宋" w:hAnsi="仿宋" w:eastAsia="仿宋" w:cs="仿宋"/>
          <w:color w:val="auto"/>
          <w:kern w:val="0"/>
          <w:sz w:val="30"/>
          <w:szCs w:val="32"/>
        </w:rPr>
        <w:t>关于场外交通和场内交通的边界的约定：</w:t>
      </w:r>
      <w:r>
        <w:rPr>
          <w:rFonts w:hint="eastAsia" w:ascii="仿宋" w:hAnsi="仿宋" w:eastAsia="仿宋" w:cs="仿宋"/>
          <w:color w:val="auto"/>
          <w:sz w:val="30"/>
          <w:szCs w:val="32"/>
        </w:rPr>
        <w:t>承包人自行解决，发包人协助。</w:t>
      </w:r>
    </w:p>
    <w:bookmarkEnd w:id="109"/>
    <w:bookmarkEnd w:id="110"/>
    <w:bookmarkEnd w:id="111"/>
    <w:bookmarkEnd w:id="112"/>
    <w:bookmarkEnd w:id="113"/>
    <w:p>
      <w:pPr>
        <w:spacing w:line="360" w:lineRule="auto"/>
        <w:ind w:firstLine="600" w:firstLineChars="200"/>
        <w:jc w:val="left"/>
        <w:rPr>
          <w:rFonts w:ascii="仿宋" w:hAnsi="仿宋" w:eastAsia="仿宋" w:cs="仿宋"/>
          <w:color w:val="auto"/>
          <w:sz w:val="30"/>
          <w:szCs w:val="32"/>
        </w:rPr>
      </w:pPr>
      <w:bookmarkStart w:id="114" w:name="_Toc318581157"/>
      <w:r>
        <w:rPr>
          <w:rFonts w:hint="eastAsia" w:ascii="仿宋" w:hAnsi="仿宋" w:eastAsia="仿宋" w:cs="仿宋"/>
          <w:color w:val="auto"/>
          <w:sz w:val="30"/>
          <w:szCs w:val="32"/>
        </w:rPr>
        <w:t>1.10.4超大件和超重件的运输</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运输超大件或超重件所需的道路和桥梁临时加固改造费用和其他有关费用由承包人自行解决承担。</w:t>
      </w:r>
    </w:p>
    <w:bookmarkEnd w:id="114"/>
    <w:p>
      <w:pPr>
        <w:spacing w:after="120" w:line="360" w:lineRule="auto"/>
        <w:ind w:firstLine="600" w:firstLineChars="200"/>
        <w:outlineLvl w:val="0"/>
        <w:rPr>
          <w:rFonts w:ascii="仿宋" w:hAnsi="仿宋" w:eastAsia="仿宋" w:cs="仿宋"/>
          <w:color w:val="auto"/>
          <w:sz w:val="30"/>
          <w:szCs w:val="32"/>
        </w:rPr>
      </w:pPr>
      <w:bookmarkStart w:id="115" w:name="_Toc32497"/>
      <w:bookmarkStart w:id="116" w:name="_Toc10294"/>
      <w:r>
        <w:rPr>
          <w:rFonts w:hint="eastAsia" w:ascii="仿宋" w:hAnsi="仿宋" w:eastAsia="仿宋" w:cs="仿宋"/>
          <w:color w:val="auto"/>
          <w:sz w:val="30"/>
          <w:szCs w:val="32"/>
        </w:rPr>
        <w:t>1.11 知识产权</w:t>
      </w:r>
      <w:bookmarkEnd w:id="115"/>
      <w:bookmarkEnd w:id="116"/>
    </w:p>
    <w:p>
      <w:pPr>
        <w:spacing w:line="360" w:lineRule="auto"/>
        <w:rPr>
          <w:rFonts w:ascii="仿宋" w:hAnsi="仿宋" w:eastAsia="仿宋" w:cs="仿宋"/>
          <w:color w:val="auto"/>
          <w:sz w:val="30"/>
          <w:szCs w:val="32"/>
        </w:rPr>
      </w:pPr>
      <w:r>
        <w:rPr>
          <w:rFonts w:hint="eastAsia" w:ascii="仿宋" w:hAnsi="仿宋" w:eastAsia="仿宋" w:cs="仿宋"/>
          <w:color w:val="auto"/>
          <w:sz w:val="30"/>
          <w:szCs w:val="32"/>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30"/>
          <w:szCs w:val="32"/>
          <w:u w:val="single"/>
        </w:rPr>
        <w:t xml:space="preserve">发包人 </w:t>
      </w:r>
      <w:r>
        <w:rPr>
          <w:rFonts w:hint="eastAsia" w:ascii="仿宋" w:hAnsi="仿宋" w:eastAsia="仿宋" w:cs="仿宋"/>
          <w:color w:val="auto"/>
          <w:sz w:val="30"/>
          <w:szCs w:val="32"/>
        </w:rPr>
        <w:t>。</w:t>
      </w:r>
    </w:p>
    <w:p>
      <w:pPr>
        <w:spacing w:line="360" w:lineRule="auto"/>
        <w:ind w:firstLine="639" w:firstLineChars="213"/>
        <w:rPr>
          <w:rFonts w:ascii="仿宋" w:hAnsi="仿宋" w:eastAsia="仿宋" w:cs="仿宋"/>
          <w:color w:val="auto"/>
          <w:sz w:val="30"/>
          <w:szCs w:val="32"/>
          <w:u w:val="single"/>
        </w:rPr>
      </w:pPr>
      <w:r>
        <w:rPr>
          <w:rFonts w:hint="eastAsia" w:ascii="仿宋" w:hAnsi="仿宋" w:eastAsia="仿宋" w:cs="仿宋"/>
          <w:color w:val="auto"/>
          <w:sz w:val="30"/>
          <w:szCs w:val="32"/>
        </w:rPr>
        <w:t>关于发包人提供的上述文件的使用限制的要求：</w:t>
      </w:r>
      <w:r>
        <w:rPr>
          <w:rFonts w:hint="eastAsia" w:ascii="仿宋" w:hAnsi="仿宋" w:eastAsia="仿宋" w:cs="仿宋"/>
          <w:color w:val="auto"/>
          <w:sz w:val="30"/>
          <w:szCs w:val="32"/>
          <w:u w:val="single"/>
        </w:rPr>
        <w:t>只限于本项目施工时使用，未经发包人书面同意，承包人不得擅自复印和用于非本项目所需的其他目的。</w:t>
      </w:r>
    </w:p>
    <w:p>
      <w:pPr>
        <w:spacing w:line="360" w:lineRule="auto"/>
        <w:ind w:firstLine="600" w:firstLineChars="200"/>
        <w:outlineLvl w:val="0"/>
        <w:rPr>
          <w:rFonts w:ascii="仿宋" w:hAnsi="仿宋" w:eastAsia="仿宋" w:cs="仿宋"/>
          <w:color w:val="auto"/>
          <w:sz w:val="30"/>
          <w:szCs w:val="32"/>
        </w:rPr>
      </w:pPr>
      <w:bookmarkStart w:id="117" w:name="_Toc3962"/>
      <w:bookmarkStart w:id="118" w:name="_Toc4191"/>
      <w:r>
        <w:rPr>
          <w:rFonts w:hint="eastAsia" w:ascii="仿宋" w:hAnsi="仿宋" w:eastAsia="仿宋" w:cs="仿宋"/>
          <w:color w:val="auto"/>
          <w:sz w:val="30"/>
          <w:szCs w:val="32"/>
        </w:rPr>
        <w:t>1.11.2 关于承包人为实施工程所编制文件的著作权的归属：</w:t>
      </w:r>
      <w:r>
        <w:rPr>
          <w:rFonts w:hint="eastAsia" w:ascii="仿宋" w:hAnsi="仿宋" w:eastAsia="仿宋" w:cs="仿宋"/>
          <w:color w:val="auto"/>
          <w:sz w:val="30"/>
          <w:szCs w:val="32"/>
          <w:u w:val="single"/>
        </w:rPr>
        <w:t xml:space="preserve">承包人 </w:t>
      </w:r>
      <w:r>
        <w:rPr>
          <w:rFonts w:hint="eastAsia" w:ascii="仿宋" w:hAnsi="仿宋" w:eastAsia="仿宋" w:cs="仿宋"/>
          <w:color w:val="auto"/>
          <w:sz w:val="30"/>
          <w:szCs w:val="32"/>
        </w:rPr>
        <w:t>。</w:t>
      </w:r>
      <w:bookmarkEnd w:id="117"/>
      <w:bookmarkEnd w:id="118"/>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关于承包人提供的上述文件的使用限制的要求：</w:t>
      </w:r>
      <w:r>
        <w:rPr>
          <w:rFonts w:hint="eastAsia" w:ascii="仿宋" w:hAnsi="仿宋" w:eastAsia="仿宋" w:cs="仿宋"/>
          <w:color w:val="auto"/>
          <w:sz w:val="30"/>
          <w:szCs w:val="32"/>
          <w:u w:val="single"/>
        </w:rPr>
        <w:t xml:space="preserve">仅作为本工使用  </w:t>
      </w:r>
      <w:r>
        <w:rPr>
          <w:rFonts w:hint="eastAsia" w:ascii="仿宋" w:hAnsi="仿宋" w:eastAsia="仿宋" w:cs="仿宋"/>
          <w:color w:val="auto"/>
          <w:sz w:val="30"/>
          <w:szCs w:val="32"/>
        </w:rPr>
        <w:t>。</w:t>
      </w:r>
    </w:p>
    <w:p>
      <w:pPr>
        <w:spacing w:line="360" w:lineRule="auto"/>
        <w:ind w:firstLine="600" w:firstLineChars="200"/>
        <w:outlineLvl w:val="0"/>
        <w:rPr>
          <w:rFonts w:hint="eastAsia" w:ascii="仿宋" w:hAnsi="仿宋" w:eastAsia="仿宋" w:cs="仿宋"/>
          <w:color w:val="auto"/>
          <w:sz w:val="30"/>
          <w:szCs w:val="32"/>
          <w:u w:val="single"/>
        </w:rPr>
      </w:pPr>
      <w:bookmarkStart w:id="119" w:name="_Toc25120"/>
      <w:bookmarkStart w:id="120" w:name="_Toc23649"/>
      <w:r>
        <w:rPr>
          <w:rFonts w:hint="eastAsia" w:ascii="仿宋" w:hAnsi="仿宋" w:eastAsia="仿宋" w:cs="仿宋"/>
          <w:color w:val="auto"/>
          <w:sz w:val="30"/>
          <w:szCs w:val="32"/>
        </w:rPr>
        <w:t>1.11.4 承包人在施工过程中所采用的专利、专有技术、技术秘密的使用费的承担方式：</w:t>
      </w:r>
      <w:r>
        <w:rPr>
          <w:rFonts w:hint="eastAsia" w:ascii="仿宋" w:hAnsi="仿宋" w:eastAsia="仿宋" w:cs="仿宋"/>
          <w:color w:val="auto"/>
          <w:sz w:val="30"/>
          <w:szCs w:val="32"/>
          <w:u w:val="single"/>
        </w:rPr>
        <w:t>已包含在签约合同价中，不另行计取，均由承包人负责。</w:t>
      </w:r>
      <w:bookmarkEnd w:id="119"/>
      <w:bookmarkEnd w:id="120"/>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1.13工程量清单错误的修正</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出现工程量清单错误时，是否调整合同价格：</w:t>
      </w:r>
      <w:r>
        <w:rPr>
          <w:rFonts w:hint="eastAsia" w:ascii="仿宋" w:hAnsi="仿宋" w:eastAsia="仿宋" w:cs="仿宋"/>
          <w:color w:val="auto"/>
          <w:sz w:val="30"/>
          <w:szCs w:val="30"/>
          <w:u w:val="single"/>
        </w:rPr>
        <w:t>经建设单位、监理、设计单位及湛江市遂溪县鉴证组确认后按实际施工工程量调整合同造价</w:t>
      </w:r>
      <w:r>
        <w:rPr>
          <w:rFonts w:hint="eastAsia" w:ascii="仿宋" w:hAnsi="仿宋" w:eastAsia="仿宋" w:cs="仿宋"/>
          <w:color w:val="auto"/>
          <w:kern w:val="0"/>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允许调整合同价格的工程量偏差范围：</w:t>
      </w:r>
      <w:r>
        <w:rPr>
          <w:rFonts w:hint="eastAsia" w:ascii="仿宋" w:hAnsi="仿宋" w:eastAsia="仿宋" w:cs="仿宋"/>
          <w:color w:val="auto"/>
          <w:sz w:val="30"/>
          <w:szCs w:val="30"/>
          <w:u w:val="single"/>
        </w:rPr>
        <w:t>超过±15%范围即调增或调整</w:t>
      </w:r>
      <w:r>
        <w:rPr>
          <w:rFonts w:hint="eastAsia" w:ascii="仿宋" w:hAnsi="仿宋" w:eastAsia="仿宋" w:cs="仿宋"/>
          <w:color w:val="auto"/>
          <w:kern w:val="0"/>
          <w:sz w:val="30"/>
          <w:szCs w:val="32"/>
        </w:rPr>
        <w:t>。</w:t>
      </w:r>
    </w:p>
    <w:p>
      <w:pPr>
        <w:pStyle w:val="5"/>
        <w:spacing w:before="120" w:after="120" w:line="360" w:lineRule="auto"/>
        <w:rPr>
          <w:rFonts w:ascii="仿宋" w:hAnsi="仿宋" w:eastAsia="仿宋" w:cs="仿宋"/>
          <w:b w:val="0"/>
          <w:color w:val="auto"/>
          <w:sz w:val="32"/>
          <w:szCs w:val="32"/>
        </w:rPr>
      </w:pPr>
      <w:r>
        <w:rPr>
          <w:rFonts w:hint="eastAsia" w:ascii="仿宋" w:hAnsi="仿宋" w:eastAsia="仿宋" w:cs="仿宋"/>
          <w:b w:val="0"/>
          <w:color w:val="auto"/>
          <w:sz w:val="32"/>
          <w:szCs w:val="32"/>
        </w:rPr>
        <w:t>2</w:t>
      </w:r>
      <w:bookmarkStart w:id="121" w:name="_Toc296346658"/>
      <w:bookmarkStart w:id="122" w:name="_Toc296503157"/>
      <w:bookmarkStart w:id="123" w:name="_Toc297048343"/>
      <w:bookmarkStart w:id="124" w:name="_Toc296891197"/>
      <w:bookmarkStart w:id="125" w:name="_Toc296944496"/>
      <w:bookmarkStart w:id="126" w:name="_Toc297120457"/>
      <w:bookmarkStart w:id="127" w:name="_Toc296347156"/>
      <w:bookmarkStart w:id="128" w:name="_Toc296890985"/>
      <w:bookmarkStart w:id="129" w:name="_Toc292559867"/>
      <w:bookmarkStart w:id="130" w:name="_Toc292559362"/>
      <w:r>
        <w:rPr>
          <w:rFonts w:hint="eastAsia" w:ascii="仿宋" w:hAnsi="仿宋" w:eastAsia="仿宋" w:cs="仿宋"/>
          <w:b w:val="0"/>
          <w:color w:val="auto"/>
          <w:sz w:val="32"/>
          <w:szCs w:val="32"/>
        </w:rPr>
        <w:t>. 发包人</w:t>
      </w:r>
    </w:p>
    <w:bookmarkEnd w:id="121"/>
    <w:bookmarkEnd w:id="122"/>
    <w:bookmarkEnd w:id="123"/>
    <w:bookmarkEnd w:id="124"/>
    <w:bookmarkEnd w:id="125"/>
    <w:bookmarkEnd w:id="126"/>
    <w:bookmarkEnd w:id="127"/>
    <w:bookmarkEnd w:id="128"/>
    <w:bookmarkEnd w:id="129"/>
    <w:bookmarkEnd w:id="130"/>
    <w:p>
      <w:pPr>
        <w:spacing w:after="120" w:line="360" w:lineRule="auto"/>
        <w:ind w:firstLine="600" w:firstLineChars="200"/>
        <w:outlineLvl w:val="0"/>
        <w:rPr>
          <w:rFonts w:ascii="仿宋" w:hAnsi="仿宋" w:eastAsia="仿宋" w:cs="仿宋"/>
          <w:color w:val="auto"/>
          <w:sz w:val="30"/>
          <w:szCs w:val="32"/>
        </w:rPr>
      </w:pPr>
      <w:bookmarkStart w:id="131" w:name="_Toc18791"/>
      <w:bookmarkStart w:id="132" w:name="_Toc5004"/>
      <w:r>
        <w:rPr>
          <w:rFonts w:hint="eastAsia" w:ascii="仿宋" w:hAnsi="仿宋" w:eastAsia="仿宋" w:cs="仿宋"/>
          <w:color w:val="auto"/>
          <w:sz w:val="30"/>
          <w:szCs w:val="32"/>
        </w:rPr>
        <w:t>2.2 发包人代表</w:t>
      </w:r>
      <w:bookmarkEnd w:id="131"/>
      <w:bookmarkEnd w:id="132"/>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发包人代表：</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姓    名：</w:t>
      </w:r>
      <w:r>
        <w:rPr>
          <w:rFonts w:hint="eastAsia" w:ascii="仿宋" w:hAnsi="仿宋" w:eastAsia="仿宋" w:cs="仿宋"/>
          <w:color w:val="auto"/>
          <w:sz w:val="30"/>
          <w:szCs w:val="32"/>
          <w:u w:val="single"/>
        </w:rPr>
        <w:t> 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身份证号：</w:t>
      </w:r>
      <w:r>
        <w:rPr>
          <w:rFonts w:hint="eastAsia" w:ascii="仿宋" w:hAnsi="仿宋" w:eastAsia="仿宋" w:cs="仿宋"/>
          <w:color w:val="auto"/>
          <w:sz w:val="30"/>
          <w:szCs w:val="32"/>
          <w:u w:val="single"/>
        </w:rPr>
        <w:t> 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职    务：</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联系电话：</w:t>
      </w:r>
      <w:r>
        <w:rPr>
          <w:rFonts w:hint="eastAsia" w:ascii="仿宋" w:hAnsi="仿宋" w:eastAsia="仿宋" w:cs="仿宋"/>
          <w:color w:val="auto"/>
          <w:sz w:val="30"/>
          <w:szCs w:val="32"/>
          <w:u w:val="single"/>
        </w:rPr>
        <w:t>   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电子信箱：</w:t>
      </w:r>
      <w:r>
        <w:rPr>
          <w:rFonts w:hint="eastAsia" w:ascii="仿宋" w:hAnsi="仿宋" w:eastAsia="仿宋" w:cs="仿宋"/>
          <w:color w:val="auto"/>
          <w:sz w:val="30"/>
          <w:szCs w:val="32"/>
          <w:u w:val="single"/>
        </w:rPr>
        <w:t>   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通信地址：</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b/>
          <w:color w:val="auto"/>
          <w:sz w:val="30"/>
          <w:szCs w:val="32"/>
        </w:rPr>
      </w:pPr>
      <w:r>
        <w:rPr>
          <w:rFonts w:hint="eastAsia" w:ascii="仿宋" w:hAnsi="仿宋" w:eastAsia="仿宋" w:cs="仿宋"/>
          <w:color w:val="auto"/>
          <w:sz w:val="30"/>
          <w:szCs w:val="32"/>
        </w:rPr>
        <w:t>发包人对发包人代表的授权范围如下：作为现场管理代表，负责现场协调衔事宜。</w:t>
      </w:r>
    </w:p>
    <w:p>
      <w:pPr>
        <w:spacing w:after="120" w:line="360" w:lineRule="auto"/>
        <w:ind w:firstLine="600" w:firstLineChars="200"/>
        <w:outlineLvl w:val="0"/>
        <w:rPr>
          <w:rFonts w:ascii="仿宋" w:hAnsi="仿宋" w:eastAsia="仿宋" w:cs="仿宋"/>
          <w:color w:val="auto"/>
          <w:sz w:val="30"/>
          <w:szCs w:val="32"/>
        </w:rPr>
      </w:pPr>
      <w:bookmarkStart w:id="133" w:name="_Toc31521"/>
      <w:bookmarkStart w:id="134" w:name="_Toc22880"/>
      <w:r>
        <w:rPr>
          <w:rFonts w:hint="eastAsia" w:ascii="仿宋" w:hAnsi="仿宋" w:eastAsia="仿宋" w:cs="仿宋"/>
          <w:color w:val="auto"/>
          <w:sz w:val="30"/>
          <w:szCs w:val="32"/>
        </w:rPr>
        <w:t>2.4 施工现场、施工条件和基础资料的提供</w:t>
      </w:r>
      <w:bookmarkEnd w:id="133"/>
      <w:bookmarkEnd w:id="134"/>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2.4.1 提供施工现场</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关于发包人移交施工现场的期限要求：</w:t>
      </w:r>
      <w:r>
        <w:rPr>
          <w:rFonts w:hint="eastAsia" w:ascii="仿宋" w:hAnsi="仿宋" w:eastAsia="仿宋" w:cs="仿宋"/>
          <w:color w:val="auto"/>
          <w:sz w:val="30"/>
          <w:szCs w:val="30"/>
          <w:u w:val="single"/>
        </w:rPr>
        <w:t>签订合同合同后3天内</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2.4.2 提供施工条件</w:t>
      </w:r>
    </w:p>
    <w:p>
      <w:pPr>
        <w:spacing w:line="360" w:lineRule="auto"/>
        <w:ind w:firstLine="600" w:firstLineChars="200"/>
        <w:rPr>
          <w:rFonts w:ascii="仿宋" w:hAnsi="仿宋" w:eastAsia="仿宋" w:cs="仿宋"/>
          <w:color w:val="auto"/>
          <w:sz w:val="30"/>
          <w:szCs w:val="32"/>
          <w:u w:val="single"/>
        </w:rPr>
      </w:pPr>
      <w:r>
        <w:rPr>
          <w:rFonts w:hint="eastAsia" w:ascii="仿宋" w:hAnsi="仿宋" w:eastAsia="仿宋" w:cs="仿宋"/>
          <w:color w:val="auto"/>
          <w:sz w:val="30"/>
          <w:szCs w:val="32"/>
        </w:rPr>
        <w:t>关于发包人应负责提供施工所需要的条件，包括：</w:t>
      </w:r>
      <w:r>
        <w:rPr>
          <w:rFonts w:hint="eastAsia" w:ascii="仿宋_GB2312" w:hAnsi="仿宋" w:eastAsia="仿宋_GB2312" w:cs="宋体"/>
          <w:b/>
          <w:color w:val="auto"/>
          <w:sz w:val="24"/>
          <w:u w:val="single"/>
        </w:rPr>
        <w:t>协助承包人办理工程质量监督手续、开工报告及其它施工所需证件、批件和临时用地、接水、接电、中断道路交通等的申请批准手续（证明承包人自身资质的证件除外）</w:t>
      </w:r>
      <w:r>
        <w:rPr>
          <w:rFonts w:hint="eastAsia" w:ascii="仿宋_GB2312" w:hAnsi="仿宋" w:eastAsia="仿宋_GB2312"/>
          <w:b/>
          <w:color w:val="auto"/>
          <w:sz w:val="24"/>
          <w:u w:val="single"/>
        </w:rPr>
        <w:t>，主管部门规定缴交费用按相关规定各自承担，属于发包人作为报办主体的相关费用由发包人负担</w:t>
      </w:r>
      <w:r>
        <w:rPr>
          <w:rFonts w:ascii="仿宋" w:hAnsi="仿宋" w:eastAsia="仿宋"/>
          <w:b/>
          <w:color w:val="auto"/>
          <w:sz w:val="24"/>
        </w:rPr>
        <w:t>。</w:t>
      </w:r>
    </w:p>
    <w:p>
      <w:pPr>
        <w:spacing w:after="120" w:line="360" w:lineRule="auto"/>
        <w:ind w:firstLine="600" w:firstLineChars="200"/>
        <w:outlineLvl w:val="0"/>
        <w:rPr>
          <w:rFonts w:ascii="仿宋" w:hAnsi="仿宋" w:eastAsia="仿宋" w:cs="仿宋"/>
          <w:color w:val="auto"/>
          <w:sz w:val="30"/>
          <w:szCs w:val="32"/>
        </w:rPr>
      </w:pPr>
      <w:bookmarkStart w:id="135" w:name="_Toc10504"/>
      <w:bookmarkStart w:id="136" w:name="_Toc1481"/>
      <w:r>
        <w:rPr>
          <w:rFonts w:hint="eastAsia" w:ascii="仿宋" w:hAnsi="仿宋" w:eastAsia="仿宋" w:cs="仿宋"/>
          <w:color w:val="auto"/>
          <w:sz w:val="30"/>
          <w:szCs w:val="32"/>
        </w:rPr>
        <w:t>2.5 资金来源证明及支付担保</w:t>
      </w:r>
      <w:bookmarkEnd w:id="135"/>
      <w:bookmarkEnd w:id="136"/>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发包人提供资金来源证明的期限要求：</w:t>
      </w:r>
      <w:r>
        <w:rPr>
          <w:rFonts w:hint="eastAsia" w:ascii="仿宋" w:hAnsi="仿宋" w:eastAsia="仿宋" w:cs="仿宋"/>
          <w:color w:val="auto"/>
          <w:sz w:val="30"/>
          <w:szCs w:val="30"/>
          <w:u w:val="single"/>
        </w:rPr>
        <w:t>签订合同合同后3天内</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发包人是否提供支付担保：</w:t>
      </w:r>
      <w:r>
        <w:rPr>
          <w:rFonts w:hint="eastAsia" w:ascii="仿宋" w:hAnsi="仿宋" w:eastAsia="仿宋" w:cs="仿宋"/>
          <w:color w:val="auto"/>
          <w:sz w:val="30"/>
          <w:szCs w:val="32"/>
          <w:u w:val="single"/>
        </w:rPr>
        <w:t>无</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u w:val="single"/>
        </w:rPr>
      </w:pPr>
      <w:r>
        <w:rPr>
          <w:rFonts w:hint="eastAsia" w:ascii="仿宋" w:hAnsi="仿宋" w:eastAsia="仿宋" w:cs="仿宋"/>
          <w:color w:val="auto"/>
          <w:sz w:val="30"/>
          <w:szCs w:val="32"/>
        </w:rPr>
        <w:t>发包人提供支付担保的形式：</w:t>
      </w:r>
      <w:r>
        <w:rPr>
          <w:rFonts w:hint="eastAsia" w:ascii="仿宋" w:hAnsi="仿宋" w:eastAsia="仿宋" w:cs="仿宋"/>
          <w:color w:val="auto"/>
          <w:sz w:val="30"/>
          <w:szCs w:val="32"/>
          <w:u w:val="single"/>
        </w:rPr>
        <w:t>无</w:t>
      </w:r>
      <w:r>
        <w:rPr>
          <w:rFonts w:hint="eastAsia" w:ascii="仿宋" w:hAnsi="仿宋" w:eastAsia="仿宋" w:cs="仿宋"/>
          <w:color w:val="auto"/>
          <w:sz w:val="30"/>
          <w:szCs w:val="32"/>
        </w:rPr>
        <w:t>。</w:t>
      </w:r>
    </w:p>
    <w:p>
      <w:pPr>
        <w:pStyle w:val="5"/>
        <w:spacing w:before="120" w:after="120" w:line="360" w:lineRule="auto"/>
        <w:rPr>
          <w:rFonts w:ascii="仿宋" w:hAnsi="仿宋" w:eastAsia="仿宋" w:cs="仿宋"/>
          <w:b w:val="0"/>
          <w:color w:val="auto"/>
          <w:sz w:val="32"/>
          <w:szCs w:val="32"/>
        </w:rPr>
      </w:pPr>
      <w:r>
        <w:rPr>
          <w:rFonts w:hint="eastAsia" w:ascii="仿宋" w:hAnsi="仿宋" w:eastAsia="仿宋" w:cs="仿宋"/>
          <w:b w:val="0"/>
          <w:color w:val="auto"/>
          <w:sz w:val="32"/>
          <w:szCs w:val="32"/>
        </w:rPr>
        <w:t>3</w:t>
      </w:r>
      <w:bookmarkStart w:id="137" w:name="_Toc292559868"/>
      <w:bookmarkStart w:id="138" w:name="_Toc297120458"/>
      <w:bookmarkStart w:id="139" w:name="_Toc296347157"/>
      <w:bookmarkStart w:id="140" w:name="_Toc292559363"/>
      <w:bookmarkStart w:id="141" w:name="_Toc296503158"/>
      <w:bookmarkStart w:id="142" w:name="_Toc296346659"/>
      <w:bookmarkStart w:id="143" w:name="_Toc296891198"/>
      <w:bookmarkStart w:id="144" w:name="_Toc297048344"/>
      <w:bookmarkStart w:id="145" w:name="_Toc296944497"/>
      <w:bookmarkStart w:id="146" w:name="_Toc296890986"/>
      <w:r>
        <w:rPr>
          <w:rFonts w:hint="eastAsia" w:ascii="仿宋" w:hAnsi="仿宋" w:eastAsia="仿宋" w:cs="仿宋"/>
          <w:b w:val="0"/>
          <w:color w:val="auto"/>
          <w:sz w:val="32"/>
          <w:szCs w:val="32"/>
        </w:rPr>
        <w:t>. 承包人</w:t>
      </w:r>
    </w:p>
    <w:bookmarkEnd w:id="137"/>
    <w:bookmarkEnd w:id="138"/>
    <w:bookmarkEnd w:id="139"/>
    <w:bookmarkEnd w:id="140"/>
    <w:bookmarkEnd w:id="141"/>
    <w:bookmarkEnd w:id="142"/>
    <w:bookmarkEnd w:id="143"/>
    <w:bookmarkEnd w:id="144"/>
    <w:bookmarkEnd w:id="145"/>
    <w:bookmarkEnd w:id="146"/>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3.1 承包人的一般义务</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kern w:val="0"/>
          <w:sz w:val="30"/>
          <w:szCs w:val="32"/>
        </w:rPr>
        <w:t>（9）</w:t>
      </w:r>
      <w:r>
        <w:rPr>
          <w:rFonts w:hint="eastAsia" w:ascii="仿宋" w:hAnsi="仿宋" w:eastAsia="仿宋" w:cs="仿宋"/>
          <w:color w:val="auto"/>
          <w:sz w:val="30"/>
          <w:szCs w:val="32"/>
        </w:rPr>
        <w:t>承包人提交的竣工资料的内容：承包人应在工程竣工验收前按《湛江市房屋建筑工程和市政基础设施工程竣工验收及备案管理实施意见》（若市建设行政主管部门有新规定，则按新规定执行）的有关规定提供工程资料 ，含竣工图、施工过程影像资料、竣工结算资料等。</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2"/>
        </w:rPr>
        <w:t>承包人需要提交的竣工资料套数：</w:t>
      </w:r>
      <w:r>
        <w:rPr>
          <w:rFonts w:hint="eastAsia" w:ascii="仿宋" w:hAnsi="仿宋" w:eastAsia="仿宋" w:cs="仿宋"/>
          <w:color w:val="auto"/>
          <w:sz w:val="30"/>
          <w:szCs w:val="30"/>
          <w:u w:val="single"/>
        </w:rPr>
        <w:t>完整竣工资料一式六份（包含竣工图及竣工图CAD 版和扫描件）及竣工验收报告。</w:t>
      </w:r>
    </w:p>
    <w:p>
      <w:pPr>
        <w:spacing w:line="360" w:lineRule="auto"/>
        <w:ind w:left="638" w:leftChars="304"/>
        <w:jc w:val="left"/>
        <w:rPr>
          <w:rFonts w:ascii="仿宋" w:hAnsi="仿宋" w:eastAsia="仿宋" w:cs="仿宋"/>
          <w:color w:val="auto"/>
          <w:sz w:val="30"/>
          <w:szCs w:val="32"/>
        </w:rPr>
      </w:pPr>
      <w:r>
        <w:rPr>
          <w:rFonts w:hint="eastAsia" w:ascii="仿宋" w:hAnsi="仿宋" w:eastAsia="仿宋" w:cs="仿宋"/>
          <w:color w:val="auto"/>
          <w:sz w:val="30"/>
          <w:szCs w:val="32"/>
        </w:rPr>
        <w:t>承包人提交的竣工资料的费用承担：</w:t>
      </w:r>
      <w:r>
        <w:rPr>
          <w:rFonts w:hint="eastAsia" w:ascii="仿宋" w:hAnsi="仿宋" w:eastAsia="仿宋" w:cs="仿宋"/>
          <w:color w:val="auto"/>
          <w:sz w:val="30"/>
          <w:szCs w:val="30"/>
          <w:u w:val="single"/>
        </w:rPr>
        <w:t xml:space="preserve">由承包人承担 </w:t>
      </w:r>
      <w:r>
        <w:rPr>
          <w:rFonts w:hint="eastAsia" w:ascii="仿宋" w:hAnsi="仿宋" w:eastAsia="仿宋" w:cs="仿宋"/>
          <w:color w:val="auto"/>
          <w:sz w:val="30"/>
          <w:szCs w:val="32"/>
        </w:rPr>
        <w:t>。</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承包人提交的竣工资料移交时间：竣工验收合格后，工程结算完成终审后20天内，承包人应向发包人提交符合市档案局要求的工程技术档案资料，并协助发包人到市档案局办理档案移交手续。</w:t>
      </w:r>
    </w:p>
    <w:p>
      <w:pPr>
        <w:autoSpaceDE w:val="0"/>
        <w:autoSpaceDN w:val="0"/>
        <w:adjustRightInd w:val="0"/>
        <w:jc w:val="left"/>
        <w:rPr>
          <w:rFonts w:ascii="仿宋" w:hAnsi="仿宋" w:eastAsia="仿宋" w:cs="仿宋"/>
          <w:color w:val="auto"/>
          <w:sz w:val="30"/>
          <w:szCs w:val="30"/>
          <w:u w:val="single"/>
        </w:rPr>
      </w:pPr>
      <w:r>
        <w:rPr>
          <w:rFonts w:hint="eastAsia" w:ascii="仿宋" w:hAnsi="仿宋" w:eastAsia="仿宋" w:cs="仿宋"/>
          <w:color w:val="auto"/>
          <w:sz w:val="30"/>
          <w:szCs w:val="32"/>
        </w:rPr>
        <w:t>承包人提交的竣工资料形式要求：</w:t>
      </w:r>
      <w:r>
        <w:rPr>
          <w:rFonts w:hint="eastAsia" w:ascii="仿宋" w:hAnsi="仿宋" w:eastAsia="仿宋" w:cs="仿宋"/>
          <w:color w:val="auto"/>
          <w:sz w:val="30"/>
          <w:szCs w:val="30"/>
          <w:u w:val="single"/>
        </w:rPr>
        <w:t>纸质版和电子版</w:t>
      </w:r>
      <w:r>
        <w:rPr>
          <w:rFonts w:hint="eastAsia" w:ascii="仿宋" w:hAnsi="仿宋" w:eastAsia="仿宋" w:cs="仿宋"/>
          <w:color w:val="auto"/>
          <w:kern w:val="0"/>
          <w:sz w:val="24"/>
        </w:rPr>
        <w:t>，</w:t>
      </w:r>
      <w:r>
        <w:rPr>
          <w:rFonts w:hint="eastAsia" w:ascii="仿宋" w:hAnsi="仿宋" w:eastAsia="仿宋" w:cs="仿宋"/>
          <w:color w:val="auto"/>
          <w:sz w:val="30"/>
          <w:szCs w:val="30"/>
          <w:u w:val="single"/>
        </w:rPr>
        <w:t>按照国家《城市建设档案管理规定》、湛江市档案馆对工程档案资料的规定和发包人的具体要求进行收集、整理、编制、汇总。</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（10）承包人应履行的其他义务：</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3.1.2.1 应提供计划、报表的名称及完成时间：每月28日前提供月度工程进度报表和下月进度计划，以及相应进度统计表。</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3.1.2.2 施工安全保卫工作及非夜间施工照明的责任和要求：根据工程需要，承担施工安全保卫工作及非夜间施工照明、交通围栏、施工和交通警告牌、疏导交通、维护交通通畅、警卫及交通协管等，并提供相应的条件和所需费用。</w:t>
      </w:r>
    </w:p>
    <w:p>
      <w:pPr>
        <w:autoSpaceDE w:val="0"/>
        <w:autoSpaceDN w:val="0"/>
        <w:adjustRightInd w:val="0"/>
        <w:ind w:firstLine="600" w:firstLineChars="200"/>
        <w:jc w:val="left"/>
        <w:rPr>
          <w:rFonts w:ascii="仿宋" w:hAnsi="仿宋" w:eastAsia="仿宋" w:cs="仿宋"/>
          <w:color w:val="auto"/>
          <w:kern w:val="0"/>
          <w:sz w:val="30"/>
          <w:szCs w:val="32"/>
        </w:rPr>
      </w:pPr>
      <w:r>
        <w:rPr>
          <w:rFonts w:hint="eastAsia" w:ascii="仿宋" w:hAnsi="仿宋" w:eastAsia="仿宋" w:cs="仿宋"/>
          <w:color w:val="auto"/>
          <w:kern w:val="0"/>
          <w:sz w:val="30"/>
          <w:szCs w:val="32"/>
        </w:rPr>
        <w:t>3.1.2.3向发包人提供施工现场办公和生活的房屋设施的时间和要求：场地由承包人自行解决,承包人自行搭建临时房屋（或租屋），并免费向发包人、施工监理提供办公室，办公桌椅，睡床，床上用品，电脑、打印机（可联网）。</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3.1.2.4 需承包人办理的有关施工场地交通、环卫和施工噪音管理等手续：按照湛江市建设施工现场、交通环卫和施工噪音管理规定办理，发布交通管制信息。</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3.1.2.5 已完工程成品保护的特殊要求及费用承担：已竣工工程未交付发包人之前，由承包人负责对其的保护工作，费用由承包人负责。</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 3.1.2.6 施工场地周围地下管理线和邻近建筑物、构筑物（含文物保护建筑）、古树名木的保护要求：各种文物均属国家所有，承包人在土石方工程施工过程中若遇有文物，应采取必要的保护措施并即时报请发包人处理，任何人不得隐瞒或私自占有。</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3.1.2.7该工程施工场地地下管线缺少有关资料，施工前承包人负责勘察清楚，并负责所有费用；施工过程，如由于承包人原因造成破坏的，由承包人负责修复并支付所需费用。如需特殊保护，承包人根据发包人的要求进行保护。</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3.1.2.8 施工场地清洁卫生的要求：保证施工场地清洁有序，符合环境卫生有关规定，承担因自身原因违反有关规定造成的损失和罚款。</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3.1.2.9承包人应做的其他工作及要求：做好围蔽施工措施和安全措施工作，做好施工期间的交通导流措施，确保交通畅通和安全，派专人负责维护交通秩序，保证工程顺利施工。围蔽施工措施和交通导流实施方案须报湛江市交警部门批准后才能实施，做好安全文明施工的各种措施并承担相应的责任，落实相关工作的责任人，并在开工前提交给发包人备案，与沿路各单位、村庄及村民协调好并处理好各种关系，确保工程施工顺利。</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3.1.2.10承包人的工程档案资料必须符合有关规范要求并符合湛江市档案馆对工程档案资料的规定，在工程施工过程中应及时收集、汇总、整理工程档案。</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3.1.2.11承包人应在工程竣工验收前按《湛江市房屋建筑工程和市政基础设施工程竣工验收及备案管理实施意见》（若市建设行政主管部门有新规定，则按新规定执行）的有关规定提供工程资料，若工程资料不全或承包人不按规定提供工程资料，则不予进行工程质量验收及工程竣工验收，一切损失由承包人负责，工期不予顺延。承包人应在工程竣工验收通过后协助发包人完成工程备案手续。</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3.1.2.12若本工程按湛财综[2003]38号文的要求使用新型材料，承包人需按湛财综[2003]38号文的要求预留足够的时间通知发包人组织有关部门进行验收。承包人还需按湛财综[2003]38号文的要求向发包人提供完整的资料。若因承包人原因遂溪县住房和城乡建设局未将预收金额全额退还发包人，未退还部分的金额由承包人承担，由发包人在应支付的工程款中扣出。</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3.1.2.13承包人在投标文件中言及之项目负责人、技术负责人及主要施工机械等必须按投标书所述到位，否则发包人有权终止合同。</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3.1.2.14施工过程中，承包方自身人员或第三人受到人身伤亡、财产损失的，应由承包方自行处理，并承担所有责任，与发包方无关。</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3.1.2.15负责及时办理施工临时占用道路、施工过程中所需证件（包括夜间施工证、余泥渣土排放证、余泥排放许可证和质量安全监督登记）等合法手续。代表发包人办理开工证件（含施工许可证等）合法手续及缴交相关专项基金等费用，承包人应按发包人或相关职能部门要求及时办理，除依规定应由发包人承担的费用之外，其余所产生的费用均由承包人承担及支付（承包人应根据设计和施工进度需要提前报建报批和申请相关证件，因上述审批延误或处罚由承包人承担）。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3.1.2.16委托给承包人负责的部分工作有：（1）办理施工许可证及竣工备案。（2）协调处理施工场地与周围场地、当地村（居）民的关系；协助发包人协调与工程施工有关的政府部门、地方管理机构的关系，并承担相关费用；做好邻近建筑物、构筑物等保护工作。（3）如尚有需要，另行协商。</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3.1.2.17承包人负责施工用水用电、通信线路由施工单位自行安装，临时设施的场地由施工单位负责，临时设施由施工单位自行搭设，费用由承包人负责。</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3.1.2.18承包人负责施工现场临时道路铺筑、施工期间的维护，并保证安全施工期间使用，费用由承包人负责。</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3.1.2.19 开工前应向监理人或招标人代表提供有关人员上岗证、有关设备合格证、年审证等证件。承包人在投标文件中言及之项目负责人、设计负责人、施工负责人、技术负责人、安全员等施工人员及主要施工机械等必须按投标书所述到位，否则招标人有权终止合同。</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3.1.2.20发包人将施工场地移交给承包人后，承包人应负责管理施工场地（包括施工安全、环境污染、扰民和民扰等），若发生非不可抗力或非发包人及监理人错误指令原因而影响施工导致的工期拖延及财产损失，由承包人承担相应责任及费用。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3.1.2.21负责施工场地临时道路、管线等设施的施工、保养和保护，费用已含在本工程投标报价中，由承包人承担，发包人不再另行支付，并采取必要措施避免工程施工对红线范围内外综合管线（含地上、地下）和邻近建筑物、构筑物等设施造成破坏，如果在施工过程中发现综合管线和邻近建筑物、构筑物等地下设施，承包人应立即停止施工、做好相应保护工作，并及时报告监理人或专门机构进行处理。承包人根据发包人、监理人或专门机构有关指示，负责保护、修理和恢复那些被破坏的设施，所发生的费用均由承包人负责。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3.1.2.22施工过程中如发生扰民和民扰，由承包人负责妥善处理并承担由此发生的费用（因发包人征地拆迁原因除外）。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3.1.2.23遵守地方政府和有关部门对施工场地交通和施工噪音等管理规定，按规定办理有关手续，由此发生的费用由承包人承担。并以书面形式知会发包人、监理人。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3.1.2.24严格遵守有关环境保护法律法规，加强施工现场的环境管理，在施工过程中严格落实粉尘、废水等污染防治措施及生态保护、水土保持措施。由此发生的费用及罚款由承包人负责。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3.1.2.25施工过程中，承包人应严格按《安全文明施工条例》、及《湛江市建设工程现场文明施工管理办法及检查评定标准》执行，搞好文明施工，树立企业形象。负责做好施工现场安全保卫和组织管理工作，创建文明施工工地及标准化管理。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3.1.2.26施工过程中，承包人须做好施工记录、检验批、隐蔽工程记录、汇集整理施工资料（包括摄影、录像等）。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3.1.2.27施工过程中，承包人不得擅自对原批准的工程设计进行变更。因承包人擅自变更设计发生的费用和由此导致的损失，由承包人承担，延误的工期不予顺延。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3.1.2.28自行解决本工程所需资源，包括施工所需足够量的材料设备，并自行妥善看管，丢失、损坏由承包人自理。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3.1.2.29实行《周报》和《月报》制度。《周报》在每周例会前一天报送发包人和监理人，《周报》包括下周计划和本周已完成的工作、未完成情况说明（包括拟采取措施、最终完成时间）；《月报》在每月二十五日前报送发包人和监理人，《月报》包括次月施工进度计划和当月工作总结，月施工进度计划必须具体、详细，应对设计、施工总承包项目的综合进度、投资、质量、安全、环保、安全文明施工、存在问题及需发包人协调解决的问题等进行全面阐述，并且必须按本合同约定的进度要求编制。如不按时、按要求报送，承包人应承担违约责任。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3.1.2.30按本合同规定应由承包人完成的工作（包括合同、会议纪要约定内容以及设计变更等），如承包人拒绝完成或不能按合同要求完成，发包人有权安排第三方完成，并按实际发生费用从承包人当期应付工程款中代扣代付，影响工期的责任由承包人负责。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3.1.2.31在施工过程中，承包人必须遵守发包人和监理人制定的管理制度，对于在实施过程中由监理人或发包人下发的各项指令，承包人应及时予以及时书面回复并无条件予以执行。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3.1.2.32已竣工工程未交付发包人验收使用之前，由承包人负责成品保护，保护期间发生的损坏、损失等风险由承包人承担，承包人应自费予以修复。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3.1.2.33开工前，承包人应按照施工图编写实施性施工组织设计和施工进度计划，并按规定程序报监理人审批。承包人应严格按照经发包人审查批准的施工组织设计精心组织施工，未经发包人批准同意不得更改施工组织设计和自行组织施工，并承担因此发生的所有责任和费用。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 3.1.2.34 对达到一定规模的危险性较大的分部分项工程，应编写专项方案，进行审查和论证并承担费用。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3.1.2.35在施工过程中，因客观原因引起工程变更时，承包人应在24小时内向发包人提出书面报告，并明确告知变更引起工期及费用变化情况，如因承包人报告不及时或未告知，发包人有权不予办理工期和费用签证。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3.1.2.36承包人应当清楚地预计到施工期间对外界可能产生的不可避免的干扰，并为此保证主动努力减少这些干扰对外界的影响，且应当积极主动与外界进行协调</w:t>
      </w:r>
      <w:r>
        <w:rPr>
          <w:rFonts w:hint="eastAsia" w:eastAsia="仿宋_GB2312"/>
          <w:b/>
          <w:color w:val="auto"/>
          <w:sz w:val="24"/>
          <w:u w:val="single"/>
        </w:rPr>
        <w:t>，并尽量创造各种条件和采取各种有效措施，以确保工程顺利推进及工期目标的实现。这种困难或影响不能免除承包人对工期目标未能实现的责任，并不得以此为理由要求顺延工期或增加各种费用</w:t>
      </w:r>
      <w:r>
        <w:rPr>
          <w:rFonts w:hint="eastAsia" w:ascii="仿宋" w:hAnsi="仿宋" w:eastAsia="仿宋" w:cs="仿宋"/>
          <w:color w:val="auto"/>
          <w:kern w:val="0"/>
          <w:sz w:val="30"/>
          <w:szCs w:val="32"/>
        </w:rPr>
        <w:t xml:space="preserve">。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3.1.2.39在承包人的配合下，发包人可根据情况协助协调外界对工程的干扰。这种协调并不解除承包人的各项责任与义务。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3.1.2.40本工程使用的主材及发包人在实施工过程中有相应要求的材料、设备，订货前，承包人应提供不少于三家生产厂家的产品合格证书及检验试验报告。在发包人规定的时间内必须按要求提交所有样板，并经发包人及监理工程师确认和封存，进场后必须按规定抽样送检，符合工程使用要求后，方可使用，如未经发包人及监理工程师同意，发生货不对板，发包人及监理工程师有权拒用，并由承包人承担损失。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3.1.2.41承包人应</w:t>
      </w:r>
      <w:r>
        <w:rPr>
          <w:rFonts w:hint="eastAsia" w:eastAsia="仿宋_GB2312"/>
          <w:b/>
          <w:color w:val="auto"/>
          <w:sz w:val="24"/>
          <w:u w:val="single"/>
        </w:rPr>
        <w:t xml:space="preserve">   /                       </w:t>
      </w:r>
      <w:r>
        <w:rPr>
          <w:rFonts w:hint="eastAsia" w:ascii="仿宋" w:hAnsi="仿宋" w:eastAsia="仿宋" w:cs="仿宋"/>
          <w:color w:val="auto"/>
          <w:kern w:val="0"/>
          <w:sz w:val="30"/>
          <w:szCs w:val="32"/>
        </w:rPr>
        <w:t xml:space="preserve">保证每期所获进度款优先安排民工工资的发放，否则，发包人有权在下一期支付给承包人的款项中扣除一定款项作为民工工资保证金，必要时直接支付给民工个人。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3.1.2.42承包人须根据劳动合同约定的民工工资标准等内容，按照依法签订的集体合同或劳动合同约定的日期按月支付工资，并不得低于当地最低工资标准。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3.1.2.43承包人支付民工工资应编制工资支付表，如实记录工资支付表，支付时间、支付对象、支付数额等工资支付情况，并保存备查，发包人保留随时对承包人的民工工资支付情况进行审查的权利。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3.1.2.44承包人应对其专业分包或劳务分包单位工资支付情况进行监督，督促其依法支付民工工资。 项目要配备劳资管员，加强项目现场人员的聘用文件管理以备检查；项目总包单位要严格加强施工人员进出工地现场考勤，做到进出项目必考勤。</w:t>
      </w:r>
    </w:p>
    <w:p>
      <w:pPr>
        <w:pStyle w:val="2"/>
        <w:ind w:firstLine="420"/>
        <w:rPr>
          <w:rFonts w:hint="default"/>
          <w:color w:val="auto"/>
        </w:rPr>
      </w:pPr>
      <w:r>
        <w:rPr>
          <w:color w:val="auto"/>
        </w:rPr>
        <w:t>承包人要在工地醒目位置竖立维权信息告示牌，告示牌上要每月张贴上一个月的劳务用工考勤情况和工资足额发放情况，保障劳务工人的知情权，主动接受劳务工人的监督。</w:t>
      </w:r>
    </w:p>
    <w:p>
      <w:pPr>
        <w:spacing w:line="360" w:lineRule="auto"/>
        <w:ind w:firstLine="420" w:firstLineChars="200"/>
        <w:rPr>
          <w:rFonts w:ascii="仿宋" w:hAnsi="仿宋" w:eastAsia="仿宋" w:cs="仿宋"/>
          <w:color w:val="auto"/>
          <w:kern w:val="0"/>
          <w:sz w:val="30"/>
          <w:szCs w:val="32"/>
        </w:rPr>
      </w:pPr>
      <w:r>
        <w:rPr>
          <w:rFonts w:hint="eastAsia"/>
          <w:color w:val="auto"/>
        </w:rPr>
        <w:t>承包人未及时支付劳务工资，造成集访或极端讨薪事件，经认定负有主要责任的单位或个人，一律列入建筑市场“不良信用信息”并予以公布，实现失信单位或个人“一处违法、处处受制”。</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3.1.2.45.承包人应按上述要求及国家、地方有关规定按时支付民工工资.如果承包人或其分包人拖欠、克扣本工程劳动者工资，造成发包人承担连带责任垫付工人工资，则发包人有权在工程款中扣除并保留进一步向承包人索偿的权利。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3.1.2.46承包人负责组织工人进行上岗培训和安全教育，并负责办理工人相关上岗证件，保证工人持证上岗并执行当地建设主管部门其他管理规定，费用已包含在合同价内，发包人不另行或单列结算支付。</w:t>
      </w:r>
    </w:p>
    <w:p>
      <w:pPr>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3.1.2.47承包人雇用农民工仅限于劳务作业，并应对劳务人员进行安全培训和管理，并加入到承包人的施工班组统一管理。有关施工质量、施工安全、施工进度、环境保护、技术方案、试验检测、材料保管与供应、机械设备等都必须由承包人管理与调配，不得以包代管</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 xml:space="preserve">3.1.2.48承包人应充分预计到承包范围界面对承包人工期和费用的影响和各种风险，承包人不得以承包范围界面不清或存在费用双方未确定或资源受限为理由，不按发包人或监理工程师指令进行施工，在发包人发出通知5日内，承包人应按要求进行施工的，否则发包人有权单方委托第三人进行实施，所发生的费用由承包人承担，发包人可在应付的合同费用或履约保证金内直接抵扣。 </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3.1.2.49本项目的基坑、沟槽开挖土方堆放处置由承包人自行解决，费用视已含在合同总控价中，发包人不另外结算支付；如发包人要求另指定调配堆放,承包须无条件接受，不再计取任何费用。</w:t>
      </w:r>
    </w:p>
    <w:p>
      <w:pPr>
        <w:spacing w:line="360" w:lineRule="auto"/>
        <w:ind w:firstLine="600" w:firstLineChars="200"/>
        <w:rPr>
          <w:rFonts w:ascii="仿宋" w:hAnsi="仿宋" w:eastAsia="仿宋" w:cs="仿宋"/>
          <w:color w:val="auto"/>
          <w:kern w:val="0"/>
          <w:sz w:val="30"/>
          <w:szCs w:val="32"/>
        </w:rPr>
      </w:pPr>
      <w:r>
        <w:rPr>
          <w:rFonts w:hint="eastAsia" w:ascii="仿宋" w:hAnsi="仿宋" w:eastAsia="仿宋" w:cs="仿宋"/>
          <w:color w:val="auto"/>
          <w:kern w:val="0"/>
          <w:sz w:val="30"/>
          <w:szCs w:val="32"/>
        </w:rPr>
        <w:t>3.1.2.50施工过程中，承包人自身人员人身或第三人受到人身伤亡、财产损失的，应由承包人自行处理，并承担所有责任，与发包人无关。</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3.2 项目经理</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kern w:val="0"/>
          <w:sz w:val="30"/>
          <w:szCs w:val="32"/>
        </w:rPr>
        <w:t xml:space="preserve">3.2.1 </w:t>
      </w:r>
      <w:r>
        <w:rPr>
          <w:rFonts w:hint="eastAsia" w:ascii="仿宋" w:hAnsi="仿宋" w:eastAsia="仿宋" w:cs="仿宋"/>
          <w:color w:val="auto"/>
          <w:sz w:val="30"/>
          <w:szCs w:val="32"/>
        </w:rPr>
        <w:t>项目经理：</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姓    名：</w:t>
      </w:r>
      <w:r>
        <w:rPr>
          <w:rFonts w:hint="eastAsia" w:ascii="仿宋" w:hAnsi="仿宋" w:eastAsia="仿宋" w:cs="仿宋"/>
          <w:color w:val="auto"/>
          <w:sz w:val="30"/>
          <w:szCs w:val="32"/>
          <w:u w:val="single"/>
        </w:rPr>
        <w:t>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身份证号：</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建造师执业资格等级：</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建造师注册证书号：</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建造师执业印章号：</w:t>
      </w:r>
      <w:r>
        <w:rPr>
          <w:rFonts w:hint="eastAsia" w:ascii="仿宋" w:hAnsi="仿宋" w:eastAsia="仿宋" w:cs="仿宋"/>
          <w:color w:val="auto"/>
          <w:sz w:val="30"/>
          <w:szCs w:val="32"/>
          <w:u w:val="single"/>
        </w:rPr>
        <w:t xml:space="preserve">     </w:t>
      </w:r>
      <w:r>
        <w:rPr>
          <w:rFonts w:hint="eastAsia" w:ascii="仿宋" w:hAnsi="仿宋" w:eastAsia="仿宋" w:cs="仿宋"/>
          <w:color w:val="auto"/>
          <w:sz w:val="30"/>
          <w:szCs w:val="32"/>
          <w:u w:val="single"/>
          <w:lang w:val="en-US" w:eastAsia="zh-CN"/>
        </w:rPr>
        <w:t xml:space="preserve">    </w:t>
      </w:r>
      <w:r>
        <w:rPr>
          <w:rFonts w:hint="eastAsia" w:ascii="仿宋" w:hAnsi="仿宋" w:eastAsia="仿宋" w:cs="仿宋"/>
          <w:color w:val="auto"/>
          <w:sz w:val="30"/>
          <w:szCs w:val="32"/>
          <w:u w:val="single"/>
        </w:rPr>
        <w:t></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安全生产考核合格证书号：</w:t>
      </w:r>
      <w:r>
        <w:rPr>
          <w:rFonts w:hint="eastAsia" w:ascii="仿宋" w:hAnsi="仿宋" w:eastAsia="仿宋" w:cs="仿宋"/>
          <w:color w:val="auto"/>
          <w:sz w:val="30"/>
          <w:szCs w:val="32"/>
          <w:u w:val="single"/>
        </w:rPr>
        <w:t>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联系电话：</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电子信箱：</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通信地址：</w:t>
      </w:r>
      <w:r>
        <w:rPr>
          <w:rFonts w:hint="eastAsia" w:ascii="仿宋" w:hAnsi="仿宋" w:eastAsia="仿宋" w:cs="仿宋"/>
          <w:color w:val="auto"/>
          <w:sz w:val="30"/>
          <w:szCs w:val="32"/>
          <w:u w:val="single"/>
        </w:rPr>
        <w:t>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承包人对项目经理的授权范围如下：</w:t>
      </w:r>
      <w:r>
        <w:rPr>
          <w:rFonts w:hint="eastAsia" w:ascii="仿宋" w:hAnsi="仿宋" w:eastAsia="仿宋" w:cs="仿宋"/>
          <w:color w:val="auto"/>
          <w:sz w:val="30"/>
          <w:szCs w:val="32"/>
          <w:u w:val="single"/>
        </w:rPr>
        <w:t>受承包人委托全面负责工程安全、质量、进度、造价四大控制要素，完善合同、信息、组织管理体系，做好安全监督，文明标准化现场工作。</w:t>
      </w:r>
    </w:p>
    <w:p>
      <w:pPr>
        <w:spacing w:line="360" w:lineRule="auto"/>
        <w:ind w:firstLine="600" w:firstLineChars="200"/>
        <w:jc w:val="left"/>
        <w:rPr>
          <w:rFonts w:ascii="仿宋" w:hAnsi="仿宋" w:eastAsia="仿宋" w:cs="仿宋"/>
          <w:color w:val="auto"/>
          <w:kern w:val="0"/>
          <w:sz w:val="30"/>
          <w:szCs w:val="32"/>
        </w:rPr>
      </w:pPr>
      <w:r>
        <w:rPr>
          <w:rFonts w:hint="eastAsia" w:ascii="仿宋" w:hAnsi="仿宋" w:eastAsia="仿宋" w:cs="仿宋"/>
          <w:color w:val="auto"/>
          <w:kern w:val="0"/>
          <w:sz w:val="30"/>
          <w:szCs w:val="32"/>
        </w:rPr>
        <w:t>关于项目经理每月在施工现场的时间要求：到场签到时间不能少于总工期天数的90％，且每月到场签到时间不能少于22天，每少签到一天</w:t>
      </w:r>
    </w:p>
    <w:p>
      <w:pPr>
        <w:spacing w:line="360" w:lineRule="auto"/>
        <w:ind w:firstLine="600" w:firstLineChars="200"/>
        <w:rPr>
          <w:rFonts w:ascii="仿宋" w:hAnsi="仿宋" w:eastAsia="仿宋" w:cs="仿宋"/>
          <w:color w:val="auto"/>
          <w:sz w:val="30"/>
          <w:szCs w:val="32"/>
          <w:u w:val="single"/>
        </w:rPr>
      </w:pPr>
      <w:r>
        <w:rPr>
          <w:rFonts w:hint="eastAsia" w:ascii="仿宋" w:hAnsi="仿宋" w:eastAsia="仿宋" w:cs="仿宋"/>
          <w:color w:val="auto"/>
          <w:kern w:val="0"/>
          <w:sz w:val="30"/>
          <w:szCs w:val="32"/>
        </w:rPr>
        <w:t>项目经理未经批准，擅自离开施工现场的违约责任：项目经理一个月内到施工现场天数不得少于 22 天，离开工地（湛江地区）两天以内须报监理人及发包人现场代表同意，两天以上还须报发包人负责人同意。否则，承包人每天给发包人缴交2000元违约金。项目负责人计划休息的，不能连续超过 3 天，工地例会或重大会议时不能离开，在离开施工现场前，须安排好现场工作并向发包人负责人、监理单位提出休息申请，经发包人负责人批准后方可以离开，否则，承包人每天给发包人缴交3000元违约金，发包人有权暂停支付工程款，甚至终止施工合同，并保留索赔的权利</w:t>
      </w:r>
      <w:r>
        <w:rPr>
          <w:rFonts w:hint="eastAsia" w:ascii="仿宋" w:hAnsi="仿宋" w:eastAsia="仿宋" w:cs="仿宋"/>
          <w:color w:val="auto"/>
          <w:sz w:val="30"/>
          <w:szCs w:val="32"/>
        </w:rPr>
        <w:t>。</w:t>
      </w:r>
    </w:p>
    <w:p>
      <w:pPr>
        <w:spacing w:line="360" w:lineRule="auto"/>
        <w:ind w:firstLine="600" w:firstLineChars="200"/>
        <w:outlineLvl w:val="0"/>
        <w:rPr>
          <w:rFonts w:ascii="仿宋" w:hAnsi="仿宋" w:eastAsia="仿宋" w:cs="仿宋"/>
          <w:color w:val="auto"/>
          <w:sz w:val="30"/>
          <w:szCs w:val="32"/>
        </w:rPr>
      </w:pPr>
      <w:bookmarkStart w:id="147" w:name="_Toc10446"/>
      <w:bookmarkStart w:id="148" w:name="_Toc1861"/>
      <w:r>
        <w:rPr>
          <w:rFonts w:hint="eastAsia" w:ascii="仿宋" w:hAnsi="仿宋" w:eastAsia="仿宋" w:cs="仿宋"/>
          <w:color w:val="auto"/>
          <w:sz w:val="30"/>
          <w:szCs w:val="32"/>
        </w:rPr>
        <w:t>3.2.3 承包人擅自更换项目经理的违约责任：承包人擅自更换投标书中的项目负责人，将承担每人次2万元的违约金（仅刑拘、身亡可免责，或发包人要求更换的可免责）。发包人有权暂停支付工程款，甚至终止施工合同，并保留索赔的权利。</w:t>
      </w:r>
      <w:bookmarkEnd w:id="147"/>
      <w:bookmarkEnd w:id="148"/>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3.2.4 承包人无正当理由拒绝更换项目经理的违约责任：</w:t>
      </w:r>
      <w:r>
        <w:rPr>
          <w:rFonts w:hint="eastAsia" w:eastAsia="仿宋_GB2312"/>
          <w:b/>
          <w:color w:val="auto"/>
          <w:sz w:val="24"/>
          <w:u w:val="single"/>
        </w:rPr>
        <w:t>承包人更换项目经理，应事先征得发包人同意，否则，将承担每人次2万元的违约金。或承包人提出更换项目负责人申请且获发包人批准后更换的，承包人仍需支付每人次2万元的违约金，</w:t>
      </w:r>
      <w:r>
        <w:rPr>
          <w:rFonts w:hint="eastAsia" w:ascii="仿宋" w:hAnsi="仿宋" w:eastAsia="仿宋" w:cs="仿宋"/>
          <w:color w:val="auto"/>
          <w:sz w:val="30"/>
          <w:szCs w:val="32"/>
        </w:rPr>
        <w:t>发包人有权暂停支付工程款，甚至终止施工合同，并保留索赔的权利。</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3.3.1 承包人提交项目管理机构及施工现场管理人员安排报告的期限：。</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3.3.3 承包人无正当理由拒绝撤换主要施工管理人员的违约责任： 当发包人或监理认为主要施工管理人员（包含项目技术负责人、关键岗位施工员及安全员）等主要施工管理员不能使工程按合同要求顺利开展、工作能力、工作水平不足，或工作质量差等不称职岗位工作时，有权要求承包人更换项目技术负责人、关键岗位施工员及安全员等主要施工管理员，承包人拒绝更换项目技术负责人、关键岗位施工员及安全员等主要施工管理员或不在发包人或监理要求时限更换时，承包人将承担每人次0.5万元的违约金，发包人有权暂停支付工程款，甚至终止施工合同，并保留索赔的权利。</w:t>
      </w:r>
    </w:p>
    <w:p>
      <w:pPr>
        <w:spacing w:line="360" w:lineRule="auto"/>
        <w:ind w:left="596" w:leftChars="284"/>
        <w:rPr>
          <w:rFonts w:ascii="仿宋" w:hAnsi="仿宋" w:eastAsia="仿宋" w:cs="仿宋"/>
          <w:color w:val="auto"/>
          <w:sz w:val="30"/>
          <w:szCs w:val="32"/>
        </w:rPr>
      </w:pPr>
      <w:r>
        <w:rPr>
          <w:rFonts w:hint="eastAsia" w:ascii="仿宋" w:hAnsi="仿宋" w:eastAsia="仿宋" w:cs="仿宋"/>
          <w:color w:val="auto"/>
          <w:sz w:val="30"/>
          <w:szCs w:val="32"/>
        </w:rPr>
        <w:t>3.3.4 承包人主要施工管理人员离开施工现场的批准要求：</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离开工地（湛江地区）两天以内须报监理人及发包人现场代表同意，两天以上还须报发包人负责人同意。否则，将承担每人次每天1万元的违约金。</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3.3.5承包人擅自更换主要施工管理人员的违约责任：承包人擅自更换所承诺的技术负责人，将承担每人次2万元的违约金（仅刑拘、身亡可免责，或发包人要求更换的可免责）；发包人有权暂停支付工程款，并保留索赔的权利。</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承包人主要施工管理人员擅自离开施工现场的违约责任：离开工地两天以内须报监理人及发包人现场代表同意，两天以上还须报发包人负责人同意。否则，将承担每人次每天0.2 万元的违约金。</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 xml:space="preserve"> 3.3.7拟派本工程的主要人员（指项目负责人、技术负责人、关键岗位施工员、安全员）驻施工现场时间必须由发包人现场代表进行考勤。关键岗位施工员、安全员施工期间每月到场签到时间不能少于22天，每少签到一天支付违约金500元/人。</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3.3.8承包人新委派的项目负责人、技术负责人及安全员在职称、职业资格、工作经验等方面均不得低于原来所承诺的人员。承包人更换人员所须承担的违约金在变更当月进度款中扣除。</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3.3.9项目经理未经申请擅自离开施工现场的，或累计3次不参加项目部例会的，发包人有权单方面终止合同，终止合同前已承包人投入的一切费用，发包人不予补偿，由此引起的损失由承包人负责，并没收承包人的履约保证金。</w:t>
      </w:r>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3</w:t>
      </w:r>
      <w:bookmarkStart w:id="149" w:name="_Toc304295523"/>
      <w:bookmarkStart w:id="150" w:name="_Toc292559364"/>
      <w:bookmarkStart w:id="151" w:name="_Toc292559869"/>
      <w:bookmarkStart w:id="152" w:name="_Toc296347158"/>
      <w:bookmarkStart w:id="153" w:name="_Toc296944498"/>
      <w:bookmarkStart w:id="154" w:name="_Toc300934945"/>
      <w:bookmarkStart w:id="155" w:name="_Toc297048345"/>
      <w:bookmarkStart w:id="156" w:name="_Toc312677988"/>
      <w:bookmarkStart w:id="157" w:name="_Toc297123492"/>
      <w:bookmarkStart w:id="158" w:name="_Toc296890987"/>
      <w:bookmarkStart w:id="159" w:name="_Toc296503159"/>
      <w:bookmarkStart w:id="160" w:name="_Toc297120459"/>
      <w:bookmarkStart w:id="161" w:name="_Toc297216151"/>
      <w:bookmarkStart w:id="162" w:name="_Toc296891199"/>
      <w:bookmarkStart w:id="163" w:name="_Toc303539102"/>
      <w:bookmarkStart w:id="164" w:name="_Toc296346660"/>
      <w:r>
        <w:rPr>
          <w:rFonts w:hint="eastAsia" w:ascii="仿宋" w:hAnsi="仿宋" w:eastAsia="仿宋" w:cs="仿宋"/>
          <w:color w:val="auto"/>
          <w:sz w:val="30"/>
          <w:szCs w:val="32"/>
        </w:rPr>
        <w:t>.4 分包</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禁止分包的工程包括：</w:t>
      </w:r>
      <w:r>
        <w:rPr>
          <w:rFonts w:hint="eastAsia" w:ascii="仿宋" w:hAnsi="仿宋" w:eastAsia="仿宋" w:cs="仿宋"/>
          <w:color w:val="auto"/>
          <w:sz w:val="30"/>
          <w:szCs w:val="30"/>
          <w:u w:val="single"/>
        </w:rPr>
        <w:t>路基、路面、软基处理、水泥搅拌桩、桩基挡土墙、排水管及排水渠等构筑物</w:t>
      </w:r>
      <w:r>
        <w:rPr>
          <w:rFonts w:hint="eastAsia" w:ascii="仿宋" w:hAnsi="仿宋" w:eastAsia="仿宋" w:cs="仿宋"/>
          <w:color w:val="auto"/>
          <w:sz w:val="30"/>
          <w:szCs w:val="30"/>
        </w:rPr>
        <w:t>。</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主体结构、关键性工作的范围：</w:t>
      </w:r>
      <w:r>
        <w:rPr>
          <w:rFonts w:hint="eastAsia" w:ascii="仿宋" w:hAnsi="仿宋" w:eastAsia="仿宋" w:cs="仿宋"/>
          <w:color w:val="auto"/>
          <w:sz w:val="30"/>
          <w:szCs w:val="30"/>
          <w:u w:val="single"/>
        </w:rPr>
        <w:t>路基、路面、软基处理、水泥搅拌桩、桩基挡土墙、排水管及排水渠等构筑物</w:t>
      </w:r>
      <w:r>
        <w:rPr>
          <w:rFonts w:hint="eastAsia" w:ascii="仿宋" w:hAnsi="仿宋" w:eastAsia="仿宋" w:cs="仿宋"/>
          <w:color w:val="auto"/>
          <w:sz w:val="30"/>
          <w:szCs w:val="30"/>
        </w:rPr>
        <w:t>。</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 xml:space="preserve">    3.5.2分包的确定</w:t>
      </w:r>
    </w:p>
    <w:p>
      <w:pPr>
        <w:spacing w:line="360" w:lineRule="auto"/>
        <w:ind w:firstLine="600" w:firstLineChars="200"/>
        <w:rPr>
          <w:rFonts w:ascii="仿宋" w:hAnsi="仿宋" w:eastAsia="仿宋" w:cs="仿宋"/>
          <w:color w:val="auto"/>
          <w:sz w:val="30"/>
          <w:szCs w:val="30"/>
          <w:u w:val="single"/>
        </w:rPr>
      </w:pPr>
      <w:r>
        <w:rPr>
          <w:rFonts w:hint="eastAsia" w:ascii="仿宋" w:hAnsi="仿宋" w:eastAsia="仿宋" w:cs="仿宋"/>
          <w:color w:val="auto"/>
          <w:sz w:val="30"/>
          <w:szCs w:val="30"/>
        </w:rPr>
        <w:t>允许分包的专业工程包括：。</w:t>
      </w:r>
    </w:p>
    <w:p>
      <w:pPr>
        <w:spacing w:line="360" w:lineRule="auto"/>
        <w:ind w:firstLine="600" w:firstLineChars="200"/>
        <w:rPr>
          <w:rFonts w:ascii="仿宋" w:hAnsi="仿宋" w:eastAsia="仿宋" w:cs="仿宋"/>
          <w:color w:val="auto"/>
          <w:sz w:val="30"/>
          <w:szCs w:val="32"/>
        </w:rPr>
      </w:pPr>
      <w:bookmarkStart w:id="165" w:name="_Toc318581159"/>
      <w:bookmarkStart w:id="166" w:name="_Toc312677990"/>
      <w:r>
        <w:rPr>
          <w:rFonts w:hint="eastAsia" w:ascii="仿宋" w:hAnsi="仿宋" w:eastAsia="仿宋" w:cs="仿宋"/>
          <w:color w:val="auto"/>
          <w:sz w:val="30"/>
          <w:szCs w:val="32"/>
        </w:rPr>
        <w:t>3.5.4 分包合同价款</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关于分包合同价款支付的约定：</w:t>
      </w:r>
      <w:r>
        <w:rPr>
          <w:rFonts w:hint="eastAsia" w:ascii="仿宋" w:hAnsi="仿宋" w:eastAsia="仿宋" w:cs="仿宋"/>
          <w:color w:val="auto"/>
          <w:sz w:val="30"/>
          <w:szCs w:val="32"/>
          <w:u w:val="single"/>
        </w:rPr>
        <w:t xml:space="preserve">         /       </w:t>
      </w:r>
      <w:r>
        <w:rPr>
          <w:rFonts w:hint="eastAsia" w:ascii="仿宋" w:hAnsi="仿宋" w:eastAsia="仿宋" w:cs="仿宋"/>
          <w:color w:val="auto"/>
          <w:sz w:val="30"/>
          <w:szCs w:val="32"/>
        </w:rPr>
        <w:t>。</w:t>
      </w:r>
    </w:p>
    <w:bookmarkEnd w:id="165"/>
    <w:bookmarkEnd w:id="166"/>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3.6 工程照管与成品、半成品保护</w:t>
      </w:r>
    </w:p>
    <w:p>
      <w:pPr>
        <w:spacing w:before="120" w:after="120" w:line="360" w:lineRule="auto"/>
        <w:ind w:firstLine="600" w:firstLineChars="200"/>
        <w:rPr>
          <w:rFonts w:ascii="仿宋" w:hAnsi="仿宋" w:eastAsia="仿宋" w:cs="仿宋"/>
          <w:color w:val="auto"/>
          <w:kern w:val="0"/>
          <w:sz w:val="30"/>
          <w:szCs w:val="32"/>
          <w:u w:val="single"/>
        </w:rPr>
      </w:pPr>
      <w:r>
        <w:rPr>
          <w:rFonts w:hint="eastAsia" w:ascii="仿宋" w:hAnsi="仿宋" w:eastAsia="仿宋" w:cs="仿宋"/>
          <w:color w:val="auto"/>
          <w:kern w:val="0"/>
          <w:sz w:val="30"/>
          <w:szCs w:val="32"/>
        </w:rPr>
        <w:t>承包人负责照管工程及工程相关的材料、工程设备的起始时间：</w:t>
      </w:r>
      <w:r>
        <w:rPr>
          <w:rFonts w:hint="eastAsia" w:eastAsia="仿宋_GB2312"/>
          <w:color w:val="auto"/>
          <w:kern w:val="0"/>
          <w:sz w:val="24"/>
          <w:u w:val="single"/>
        </w:rPr>
        <w:t>自发包人向承包人移交施工现场之日起至工程竣工验收并移交发包人之日止</w:t>
      </w:r>
      <w:r>
        <w:rPr>
          <w:rFonts w:eastAsia="仿宋_GB2312"/>
          <w:color w:val="auto"/>
          <w:kern w:val="0"/>
          <w:sz w:val="24"/>
        </w:rPr>
        <w:t>。</w:t>
      </w:r>
      <w:r>
        <w:rPr>
          <w:rFonts w:hint="eastAsia" w:ascii="仿宋" w:hAnsi="仿宋" w:eastAsia="仿宋" w:cs="仿宋"/>
          <w:color w:val="auto"/>
          <w:kern w:val="0"/>
          <w:sz w:val="30"/>
          <w:szCs w:val="32"/>
        </w:rPr>
        <w:t>。</w:t>
      </w:r>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3.7 履约担保</w:t>
      </w:r>
    </w:p>
    <w:p>
      <w:pPr>
        <w:spacing w:line="360" w:lineRule="auto"/>
        <w:ind w:firstLine="600" w:firstLineChars="200"/>
        <w:jc w:val="left"/>
        <w:rPr>
          <w:rFonts w:eastAsia="仿宋_GB2312"/>
          <w:color w:val="auto"/>
          <w:sz w:val="24"/>
          <w:u w:val="single"/>
        </w:rPr>
      </w:pPr>
      <w:r>
        <w:rPr>
          <w:rFonts w:hint="eastAsia" w:ascii="仿宋" w:hAnsi="仿宋" w:eastAsia="仿宋" w:cs="仿宋"/>
          <w:color w:val="auto"/>
          <w:sz w:val="30"/>
          <w:szCs w:val="32"/>
        </w:rPr>
        <w:t>承包人是否提供履约担保：</w:t>
      </w:r>
      <w:r>
        <w:rPr>
          <w:rFonts w:eastAsia="仿宋_GB2312"/>
          <w:color w:val="auto"/>
          <w:sz w:val="24"/>
          <w:u w:val="single"/>
        </w:rPr>
        <w:t xml:space="preserve">是  </w:t>
      </w:r>
      <w:r>
        <w:rPr>
          <w:rFonts w:eastAsia="仿宋_GB2312"/>
          <w:color w:val="auto"/>
          <w:sz w:val="24"/>
        </w:rPr>
        <w:t>。</w:t>
      </w:r>
      <w:r>
        <w:rPr>
          <w:rFonts w:hint="eastAsia" w:ascii="仿宋" w:hAnsi="仿宋" w:eastAsia="仿宋" w:cs="仿宋"/>
          <w:color w:val="auto"/>
          <w:sz w:val="30"/>
          <w:szCs w:val="32"/>
        </w:rPr>
        <w:t>承包人提供履约担保的形式、金额及期限的：</w:t>
      </w:r>
    </w:p>
    <w:p>
      <w:pPr>
        <w:spacing w:line="360" w:lineRule="auto"/>
        <w:ind w:firstLine="480" w:firstLineChars="200"/>
        <w:jc w:val="left"/>
        <w:rPr>
          <w:rFonts w:eastAsia="仿宋_GB2312"/>
          <w:color w:val="auto"/>
          <w:sz w:val="24"/>
        </w:rPr>
      </w:pPr>
      <w:r>
        <w:rPr>
          <w:rFonts w:hint="eastAsia" w:eastAsia="仿宋_GB2312"/>
          <w:color w:val="auto"/>
          <w:sz w:val="24"/>
          <w:u w:val="single"/>
        </w:rPr>
        <w:t>承包人在中标期公示结束后签订合同前按中标价的5%缴交履约保证金或履约担保，如承包人在合同履行过程中没有违约责任，发包人在工程竣工验收合格且提交符合要求的工程竣工资料（含竣工结算）后一个月内应承包人的要求全额退还履约保证金或银行保函，履约保证金不予计息</w:t>
      </w:r>
      <w:r>
        <w:rPr>
          <w:rFonts w:eastAsia="仿宋_GB2312"/>
          <w:color w:val="auto"/>
          <w:sz w:val="24"/>
        </w:rPr>
        <w:t>。</w:t>
      </w:r>
    </w:p>
    <w:p>
      <w:pPr>
        <w:pStyle w:val="5"/>
        <w:spacing w:before="120" w:after="120" w:line="360" w:lineRule="auto"/>
        <w:ind w:firstLine="640" w:firstLineChars="200"/>
        <w:rPr>
          <w:rFonts w:ascii="仿宋" w:hAnsi="仿宋" w:eastAsia="仿宋" w:cs="仿宋"/>
          <w:b w:val="0"/>
          <w:color w:val="auto"/>
          <w:sz w:val="32"/>
          <w:szCs w:val="32"/>
        </w:rPr>
      </w:pPr>
      <w:r>
        <w:rPr>
          <w:rFonts w:hint="eastAsia" w:ascii="仿宋" w:hAnsi="仿宋" w:eastAsia="仿宋" w:cs="仿宋"/>
          <w:b w:val="0"/>
          <w:color w:val="auto"/>
          <w:sz w:val="32"/>
          <w:szCs w:val="32"/>
        </w:rPr>
        <w:t>4</w:t>
      </w:r>
      <w:bookmarkStart w:id="167" w:name="_Toc292559366"/>
      <w:bookmarkStart w:id="168" w:name="_Toc292559871"/>
      <w:bookmarkStart w:id="169" w:name="_Toc296944501"/>
      <w:bookmarkStart w:id="170" w:name="_Toc296890990"/>
      <w:bookmarkStart w:id="171" w:name="_Toc296891202"/>
      <w:bookmarkStart w:id="172" w:name="_Toc297048348"/>
      <w:bookmarkStart w:id="173" w:name="_Toc267251413"/>
      <w:bookmarkStart w:id="174" w:name="_Toc296346663"/>
      <w:bookmarkStart w:id="175" w:name="_Toc297120462"/>
      <w:bookmarkStart w:id="176" w:name="_Toc296503162"/>
      <w:bookmarkStart w:id="177" w:name="_Toc296347161"/>
      <w:r>
        <w:rPr>
          <w:rFonts w:hint="eastAsia" w:ascii="仿宋" w:hAnsi="仿宋" w:eastAsia="仿宋" w:cs="仿宋"/>
          <w:b w:val="0"/>
          <w:color w:val="auto"/>
          <w:sz w:val="32"/>
          <w:szCs w:val="32"/>
        </w:rPr>
        <w:t>. 监</w:t>
      </w:r>
      <w:bookmarkEnd w:id="167"/>
      <w:bookmarkEnd w:id="168"/>
      <w:bookmarkEnd w:id="169"/>
      <w:bookmarkEnd w:id="170"/>
      <w:bookmarkEnd w:id="171"/>
      <w:bookmarkEnd w:id="172"/>
      <w:bookmarkEnd w:id="173"/>
      <w:bookmarkEnd w:id="174"/>
      <w:bookmarkEnd w:id="175"/>
      <w:bookmarkEnd w:id="176"/>
      <w:bookmarkEnd w:id="177"/>
      <w:r>
        <w:rPr>
          <w:rFonts w:hint="eastAsia" w:ascii="仿宋" w:hAnsi="仿宋" w:eastAsia="仿宋" w:cs="仿宋"/>
          <w:b w:val="0"/>
          <w:color w:val="auto"/>
          <w:sz w:val="32"/>
          <w:szCs w:val="32"/>
        </w:rPr>
        <w:t>理人</w:t>
      </w:r>
    </w:p>
    <w:p>
      <w:pPr>
        <w:autoSpaceDE w:val="0"/>
        <w:autoSpaceDN w:val="0"/>
        <w:adjustRightInd w:val="0"/>
        <w:spacing w:line="360" w:lineRule="auto"/>
        <w:ind w:firstLine="654" w:firstLineChars="218"/>
        <w:rPr>
          <w:rFonts w:ascii="仿宋" w:hAnsi="仿宋" w:eastAsia="仿宋" w:cs="仿宋"/>
          <w:color w:val="auto"/>
          <w:sz w:val="30"/>
          <w:szCs w:val="30"/>
        </w:rPr>
      </w:pPr>
      <w:r>
        <w:rPr>
          <w:rFonts w:hint="eastAsia" w:ascii="仿宋" w:hAnsi="仿宋" w:eastAsia="仿宋" w:cs="仿宋"/>
          <w:color w:val="auto"/>
          <w:sz w:val="30"/>
          <w:szCs w:val="30"/>
        </w:rPr>
        <w:t>4.1.1关于监理人的监理内容：</w:t>
      </w:r>
      <w:r>
        <w:rPr>
          <w:rFonts w:eastAsia="仿宋_GB2312"/>
          <w:color w:val="auto"/>
          <w:sz w:val="24"/>
        </w:rPr>
        <w:t>权限：</w:t>
      </w:r>
      <w:r>
        <w:rPr>
          <w:rFonts w:hint="eastAsia" w:ascii="仿宋" w:hAnsi="仿宋" w:eastAsia="仿宋" w:cs="仿宋"/>
          <w:color w:val="auto"/>
          <w:sz w:val="30"/>
          <w:szCs w:val="30"/>
        </w:rPr>
        <w:t>对施工阶段和保修阶段的工程投资、进度、质量、安全和文明施工进行全过程监理；对工程建设施工的竣工预验收；对工程使用的材料、设备和施工质量进行检验</w:t>
      </w:r>
      <w:r>
        <w:rPr>
          <w:rFonts w:hint="eastAsia" w:eastAsia="仿宋_GB2312"/>
          <w:b/>
          <w:color w:val="auto"/>
          <w:sz w:val="24"/>
          <w:u w:val="single"/>
        </w:rPr>
        <w:t>等</w:t>
      </w:r>
      <w:r>
        <w:rPr>
          <w:rFonts w:hint="eastAsia" w:ascii="仿宋" w:hAnsi="仿宋" w:eastAsia="仿宋" w:cs="仿宋"/>
          <w:color w:val="auto"/>
          <w:sz w:val="30"/>
          <w:szCs w:val="30"/>
        </w:rPr>
        <w:t xml:space="preserve">。 </w:t>
      </w:r>
    </w:p>
    <w:p>
      <w:pPr>
        <w:autoSpaceDE w:val="0"/>
        <w:autoSpaceDN w:val="0"/>
        <w:adjustRightInd w:val="0"/>
        <w:spacing w:line="360" w:lineRule="auto"/>
        <w:ind w:firstLine="654" w:firstLineChars="218"/>
        <w:rPr>
          <w:rFonts w:ascii="仿宋" w:hAnsi="仿宋" w:eastAsia="仿宋" w:cs="仿宋"/>
          <w:color w:val="auto"/>
          <w:sz w:val="30"/>
          <w:szCs w:val="30"/>
        </w:rPr>
      </w:pPr>
      <w:r>
        <w:rPr>
          <w:rFonts w:hint="eastAsia" w:ascii="仿宋" w:hAnsi="仿宋" w:eastAsia="仿宋" w:cs="仿宋"/>
          <w:color w:val="auto"/>
          <w:sz w:val="30"/>
          <w:szCs w:val="30"/>
        </w:rPr>
        <w:t>4.1.2关于监理人的监理权限：按监理合同的约定 。</w:t>
      </w:r>
    </w:p>
    <w:p>
      <w:pPr>
        <w:autoSpaceDE w:val="0"/>
        <w:autoSpaceDN w:val="0"/>
        <w:adjustRightInd w:val="0"/>
        <w:spacing w:line="360" w:lineRule="auto"/>
        <w:ind w:firstLine="654" w:firstLineChars="218"/>
        <w:rPr>
          <w:rFonts w:ascii="仿宋" w:hAnsi="仿宋" w:eastAsia="仿宋" w:cs="仿宋"/>
          <w:color w:val="auto"/>
          <w:sz w:val="30"/>
          <w:szCs w:val="30"/>
        </w:rPr>
      </w:pPr>
      <w:r>
        <w:rPr>
          <w:rFonts w:hint="eastAsia" w:ascii="仿宋" w:hAnsi="仿宋" w:eastAsia="仿宋" w:cs="仿宋"/>
          <w:color w:val="auto"/>
          <w:sz w:val="30"/>
          <w:szCs w:val="30"/>
        </w:rPr>
        <w:t>关于监理人在施工现场的办公场所、生活场所的提供和费用承担的约定：</w:t>
      </w:r>
      <w:r>
        <w:rPr>
          <w:rFonts w:eastAsia="仿宋_GB2312"/>
          <w:color w:val="auto"/>
          <w:sz w:val="24"/>
          <w:u w:val="single"/>
        </w:rPr>
        <w:t>由承包人提供办公场所的费用由承包人承担</w:t>
      </w:r>
      <w:r>
        <w:rPr>
          <w:rFonts w:eastAsia="仿宋_GB2312"/>
          <w:color w:val="auto"/>
          <w:sz w:val="24"/>
        </w:rPr>
        <w:t>。</w:t>
      </w:r>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4.2 监理人员</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总监理工程师：</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姓    名：</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职    务：</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监理工程师执业资格证书号：</w:t>
      </w:r>
      <w:r>
        <w:rPr>
          <w:rFonts w:hint="eastAsia" w:ascii="仿宋" w:hAnsi="仿宋" w:eastAsia="仿宋" w:cs="仿宋"/>
          <w:color w:val="auto"/>
          <w:sz w:val="30"/>
          <w:szCs w:val="32"/>
          <w:u w:val="single"/>
        </w:rPr>
        <w:t>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联系电话：</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电子信箱：</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通信地址：</w:t>
      </w:r>
      <w:r>
        <w:rPr>
          <w:rFonts w:hint="eastAsia" w:ascii="仿宋" w:hAnsi="仿宋" w:eastAsia="仿宋" w:cs="仿宋"/>
          <w:color w:val="auto"/>
          <w:sz w:val="30"/>
          <w:szCs w:val="32"/>
          <w:u w:val="single"/>
        </w:rPr>
        <w:t>   </w:t>
      </w:r>
      <w:r>
        <w:rPr>
          <w:rFonts w:hint="eastAsia" w:ascii="仿宋" w:hAnsi="仿宋" w:eastAsia="仿宋" w:cs="仿宋"/>
          <w:color w:val="auto"/>
          <w:sz w:val="30"/>
          <w:szCs w:val="32"/>
        </w:rPr>
        <w:t>；</w:t>
      </w:r>
    </w:p>
    <w:p>
      <w:pPr>
        <w:spacing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关于监理人的其他约定：</w:t>
      </w:r>
      <w:r>
        <w:rPr>
          <w:rFonts w:hint="eastAsia" w:eastAsia="仿宋_GB2312"/>
          <w:color w:val="auto"/>
          <w:sz w:val="24"/>
          <w:u w:val="single"/>
        </w:rPr>
        <w:t>对工程进度款支付申请进行审查；对工程（设计）变更的必要性和合理性进行审查，根据合同原则审查各项签证的真实性、及时性、资料完整性；对变更工程组织计量。上述行为确定前必须报发包人批准方视为生效</w:t>
      </w:r>
      <w:r>
        <w:rPr>
          <w:rFonts w:eastAsia="仿宋_GB2312"/>
          <w:color w:val="auto"/>
          <w:sz w:val="24"/>
        </w:rPr>
        <w:t>。</w:t>
      </w:r>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4.4 商定或确定</w:t>
      </w:r>
    </w:p>
    <w:p>
      <w:pPr>
        <w:spacing w:line="360" w:lineRule="auto"/>
        <w:ind w:firstLine="600" w:firstLineChars="200"/>
        <w:rPr>
          <w:rFonts w:ascii="仿宋" w:hAnsi="仿宋" w:eastAsia="仿宋" w:cs="仿宋"/>
          <w:color w:val="auto"/>
          <w:sz w:val="30"/>
          <w:szCs w:val="32"/>
        </w:rPr>
      </w:pPr>
      <w:bookmarkStart w:id="178" w:name="_Toc267251418"/>
      <w:r>
        <w:rPr>
          <w:rFonts w:hint="eastAsia" w:ascii="仿宋" w:hAnsi="仿宋" w:eastAsia="仿宋" w:cs="仿宋"/>
          <w:color w:val="auto"/>
          <w:sz w:val="30"/>
          <w:szCs w:val="32"/>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eastAsia="仿宋_GB2312"/>
          <w:color w:val="auto"/>
          <w:kern w:val="0"/>
          <w:sz w:val="24"/>
        </w:rPr>
      </w:pPr>
      <w:r>
        <w:rPr>
          <w:rFonts w:eastAsia="仿宋_GB2312"/>
          <w:color w:val="auto"/>
          <w:kern w:val="0"/>
          <w:sz w:val="24"/>
        </w:rPr>
        <w:t>（1）</w:t>
      </w:r>
      <w:r>
        <w:rPr>
          <w:rFonts w:hint="eastAsia" w:eastAsia="仿宋_GB2312"/>
          <w:color w:val="auto"/>
          <w:sz w:val="24"/>
          <w:u w:val="single"/>
        </w:rPr>
        <w:t xml:space="preserve">   /</w:t>
      </w:r>
      <w:r>
        <w:rPr>
          <w:rFonts w:eastAsia="仿宋_GB2312"/>
          <w:color w:val="auto"/>
          <w:sz w:val="24"/>
        </w:rPr>
        <w:t>；</w:t>
      </w:r>
    </w:p>
    <w:p>
      <w:pPr>
        <w:autoSpaceDE w:val="0"/>
        <w:autoSpaceDN w:val="0"/>
        <w:adjustRightInd w:val="0"/>
        <w:spacing w:line="360" w:lineRule="auto"/>
        <w:ind w:firstLine="480" w:firstLineChars="200"/>
        <w:jc w:val="left"/>
        <w:rPr>
          <w:rFonts w:eastAsia="仿宋_GB2312"/>
          <w:color w:val="auto"/>
          <w:kern w:val="0"/>
          <w:sz w:val="24"/>
        </w:rPr>
      </w:pPr>
      <w:r>
        <w:rPr>
          <w:rFonts w:eastAsia="仿宋_GB2312"/>
          <w:color w:val="auto"/>
          <w:kern w:val="0"/>
          <w:sz w:val="24"/>
        </w:rPr>
        <w:t>（2）</w:t>
      </w:r>
      <w:r>
        <w:rPr>
          <w:rFonts w:hint="eastAsia" w:eastAsia="仿宋_GB2312"/>
          <w:color w:val="auto"/>
          <w:sz w:val="24"/>
          <w:u w:val="single"/>
        </w:rPr>
        <w:t xml:space="preserve">   /</w:t>
      </w:r>
      <w:r>
        <w:rPr>
          <w:rFonts w:eastAsia="仿宋_GB2312"/>
          <w:color w:val="auto"/>
          <w:sz w:val="24"/>
        </w:rPr>
        <w:t>；</w:t>
      </w:r>
    </w:p>
    <w:p>
      <w:pPr>
        <w:autoSpaceDE w:val="0"/>
        <w:autoSpaceDN w:val="0"/>
        <w:adjustRightInd w:val="0"/>
        <w:spacing w:line="360" w:lineRule="auto"/>
        <w:ind w:firstLine="480" w:firstLineChars="200"/>
        <w:jc w:val="left"/>
        <w:rPr>
          <w:rFonts w:eastAsia="仿宋_GB2312"/>
          <w:color w:val="auto"/>
          <w:kern w:val="0"/>
          <w:sz w:val="24"/>
        </w:rPr>
      </w:pPr>
      <w:r>
        <w:rPr>
          <w:rFonts w:eastAsia="仿宋_GB2312"/>
          <w:color w:val="auto"/>
          <w:kern w:val="0"/>
          <w:sz w:val="24"/>
        </w:rPr>
        <w:t>（3）</w:t>
      </w:r>
      <w:r>
        <w:rPr>
          <w:rFonts w:hint="eastAsia" w:eastAsia="仿宋_GB2312"/>
          <w:color w:val="auto"/>
          <w:sz w:val="24"/>
          <w:u w:val="single"/>
        </w:rPr>
        <w:t xml:space="preserve">   /</w:t>
      </w:r>
      <w:r>
        <w:rPr>
          <w:rFonts w:eastAsia="仿宋_GB2312"/>
          <w:color w:val="auto"/>
          <w:sz w:val="24"/>
        </w:rPr>
        <w:t>。</w:t>
      </w:r>
    </w:p>
    <w:p>
      <w:pPr>
        <w:pStyle w:val="5"/>
        <w:spacing w:before="120" w:after="120" w:line="360" w:lineRule="auto"/>
        <w:rPr>
          <w:rFonts w:ascii="仿宋" w:hAnsi="仿宋" w:eastAsia="仿宋" w:cs="仿宋"/>
          <w:b w:val="0"/>
          <w:color w:val="auto"/>
          <w:sz w:val="32"/>
          <w:szCs w:val="32"/>
        </w:rPr>
      </w:pPr>
      <w:r>
        <w:rPr>
          <w:rFonts w:hint="eastAsia" w:ascii="仿宋" w:hAnsi="仿宋" w:eastAsia="仿宋" w:cs="仿宋"/>
          <w:b w:val="0"/>
          <w:color w:val="auto"/>
          <w:sz w:val="32"/>
          <w:szCs w:val="32"/>
        </w:rPr>
        <w:t>5</w:t>
      </w:r>
      <w:bookmarkEnd w:id="178"/>
      <w:bookmarkStart w:id="179" w:name="_Toc296944502"/>
      <w:bookmarkStart w:id="180" w:name="_Toc296891203"/>
      <w:bookmarkStart w:id="181" w:name="_Toc296346664"/>
      <w:bookmarkStart w:id="182" w:name="_Toc296347162"/>
      <w:bookmarkStart w:id="183" w:name="_Toc296890991"/>
      <w:bookmarkStart w:id="184" w:name="_Toc292559872"/>
      <w:bookmarkStart w:id="185" w:name="_Toc296503163"/>
      <w:bookmarkStart w:id="186" w:name="_Toc297120463"/>
      <w:bookmarkStart w:id="187" w:name="_Toc292559367"/>
      <w:bookmarkStart w:id="188" w:name="_Toc297048349"/>
      <w:r>
        <w:rPr>
          <w:rFonts w:hint="eastAsia" w:ascii="仿宋" w:hAnsi="仿宋" w:eastAsia="仿宋" w:cs="仿宋"/>
          <w:b w:val="0"/>
          <w:color w:val="auto"/>
          <w:sz w:val="32"/>
          <w:szCs w:val="32"/>
        </w:rPr>
        <w:t>. 工程质量</w:t>
      </w:r>
    </w:p>
    <w:p>
      <w:pPr>
        <w:spacing w:after="120" w:line="360" w:lineRule="auto"/>
        <w:ind w:firstLine="600" w:firstLineChars="200"/>
        <w:outlineLvl w:val="0"/>
        <w:rPr>
          <w:rFonts w:ascii="仿宋" w:hAnsi="仿宋" w:eastAsia="仿宋" w:cs="仿宋"/>
          <w:color w:val="auto"/>
          <w:sz w:val="30"/>
          <w:szCs w:val="32"/>
        </w:rPr>
      </w:pPr>
      <w:bookmarkStart w:id="189" w:name="_Toc48"/>
      <w:bookmarkStart w:id="190" w:name="_Toc12997"/>
      <w:bookmarkStart w:id="191" w:name="_Toc6544"/>
      <w:r>
        <w:rPr>
          <w:rFonts w:hint="eastAsia" w:ascii="仿宋" w:hAnsi="仿宋" w:eastAsia="仿宋" w:cs="仿宋"/>
          <w:color w:val="auto"/>
          <w:sz w:val="30"/>
          <w:szCs w:val="32"/>
        </w:rPr>
        <w:t>5.1 质量要求</w:t>
      </w:r>
      <w:bookmarkEnd w:id="189"/>
      <w:bookmarkEnd w:id="190"/>
      <w:bookmarkEnd w:id="191"/>
    </w:p>
    <w:p>
      <w:pPr>
        <w:spacing w:line="360" w:lineRule="auto"/>
        <w:ind w:firstLine="600" w:firstLineChars="200"/>
        <w:jc w:val="left"/>
        <w:rPr>
          <w:rFonts w:ascii="仿宋" w:hAnsi="仿宋" w:eastAsia="仿宋" w:cs="仿宋"/>
          <w:color w:val="auto"/>
          <w:sz w:val="30"/>
          <w:szCs w:val="32"/>
        </w:rPr>
      </w:pPr>
      <w:bookmarkStart w:id="192" w:name="_Toc300934949"/>
      <w:bookmarkStart w:id="193" w:name="_Toc312677997"/>
      <w:bookmarkStart w:id="194" w:name="_Toc297216155"/>
      <w:bookmarkStart w:id="195" w:name="_Toc303539106"/>
      <w:bookmarkStart w:id="196" w:name="_Toc297123496"/>
      <w:bookmarkStart w:id="197" w:name="_Toc304295527"/>
      <w:bookmarkStart w:id="198" w:name="_Toc318581164"/>
      <w:r>
        <w:rPr>
          <w:rFonts w:hint="eastAsia" w:ascii="仿宋" w:hAnsi="仿宋" w:eastAsia="仿宋" w:cs="仿宋"/>
          <w:color w:val="auto"/>
          <w:sz w:val="30"/>
          <w:szCs w:val="32"/>
        </w:rPr>
        <w:t>严格按施工图纸、技术资料的要求及国家和地方现行施工验收规范、标准进行施工，按《湛江市房屋建筑工程和市政基础设施工程竣工验收及备案管理实施意见》（试行）有关规定对工程进行验收和评定，工程质量应达到</w:t>
      </w:r>
      <w:r>
        <w:rPr>
          <w:rFonts w:hint="eastAsia" w:ascii="仿宋_GB2312" w:hAnsi="宋体" w:eastAsia="仿宋_GB2312"/>
          <w:b/>
          <w:color w:val="auto"/>
          <w:sz w:val="24"/>
          <w:u w:val="single"/>
        </w:rPr>
        <w:t>按国家现行技术标准和技术规范验收达到</w:t>
      </w:r>
      <w:r>
        <w:rPr>
          <w:rFonts w:hint="eastAsia" w:ascii="仿宋" w:hAnsi="仿宋" w:eastAsia="仿宋" w:cs="仿宋"/>
          <w:color w:val="auto"/>
          <w:sz w:val="30"/>
          <w:szCs w:val="32"/>
          <w:u w:val="single"/>
        </w:rPr>
        <w:t>合格及合格以上</w:t>
      </w:r>
      <w:r>
        <w:rPr>
          <w:rFonts w:hint="eastAsia" w:ascii="仿宋" w:hAnsi="仿宋" w:eastAsia="仿宋" w:cs="仿宋"/>
          <w:color w:val="auto"/>
          <w:sz w:val="30"/>
          <w:szCs w:val="32"/>
        </w:rPr>
        <w:t>等级标准。</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ab/>
      </w:r>
      <w:r>
        <w:rPr>
          <w:rFonts w:hint="eastAsia" w:ascii="仿宋" w:hAnsi="仿宋" w:eastAsia="仿宋" w:cs="仿宋"/>
          <w:color w:val="auto"/>
          <w:sz w:val="30"/>
          <w:szCs w:val="32"/>
        </w:rPr>
        <w:t>工程质量不合格、不符合设计标准、达不到设计要求的，或施工程序不按施工规范的，发包人有权要求承包人停工和返工，因停工和返工造成的一切损失由承包人自行承担，工期不予顺延。工程质量合格，但达不到投标时承诺的质量等级，承包人必须向发包人赔偿损失并交纳合同价的1％违约金。</w:t>
      </w:r>
    </w:p>
    <w:p>
      <w:pPr>
        <w:adjustRightInd w:val="0"/>
        <w:snapToGrid w:val="0"/>
        <w:spacing w:line="360" w:lineRule="auto"/>
        <w:ind w:firstLine="482" w:firstLineChars="200"/>
        <w:jc w:val="left"/>
        <w:rPr>
          <w:rFonts w:ascii="仿宋_GB2312" w:hAnsi="宋体" w:eastAsia="仿宋_GB2312"/>
          <w:b/>
          <w:color w:val="auto"/>
          <w:sz w:val="24"/>
          <w:u w:val="single"/>
        </w:rPr>
      </w:pPr>
      <w:r>
        <w:rPr>
          <w:rFonts w:hint="eastAsia" w:ascii="仿宋_GB2312" w:hAnsi="宋体" w:eastAsia="仿宋_GB2312"/>
          <w:b/>
          <w:color w:val="auto"/>
          <w:sz w:val="24"/>
          <w:u w:val="single"/>
        </w:rPr>
        <w:t>承包人应当完善质量管理制度，建立质量控制流程，进行全面质量管理（TQC），以2000版的GB/T19000《质量管理与质量保证》为标准，建立并保持一个健全的工程质量保证体系，并遵守该工程的相关质量管理办法。为此，承包人必须做到但不限于：</w:t>
      </w:r>
    </w:p>
    <w:p>
      <w:pPr>
        <w:adjustRightInd w:val="0"/>
        <w:snapToGrid w:val="0"/>
        <w:spacing w:line="360" w:lineRule="auto"/>
        <w:ind w:firstLine="482" w:firstLineChars="200"/>
        <w:jc w:val="left"/>
        <w:rPr>
          <w:rFonts w:ascii="仿宋_GB2312" w:hAnsi="宋体" w:eastAsia="仿宋_GB2312"/>
          <w:b/>
          <w:color w:val="auto"/>
          <w:sz w:val="24"/>
          <w:u w:val="single"/>
        </w:rPr>
      </w:pPr>
      <w:r>
        <w:rPr>
          <w:rFonts w:hint="eastAsia" w:ascii="仿宋_GB2312" w:hAnsi="宋体" w:eastAsia="仿宋_GB2312"/>
          <w:b/>
          <w:color w:val="auto"/>
          <w:sz w:val="24"/>
          <w:u w:val="single"/>
        </w:rPr>
        <w:t>建立完整的质量保证体系，委派专人负责工程质量管理，项目负责人、施工段设有专职质检人员，班组设质检员，于本合同签订后5天内将上述人员报总监理工程师备查。</w:t>
      </w:r>
    </w:p>
    <w:p>
      <w:pPr>
        <w:adjustRightInd w:val="0"/>
        <w:snapToGrid w:val="0"/>
        <w:spacing w:line="360" w:lineRule="auto"/>
        <w:ind w:firstLine="482" w:firstLineChars="200"/>
        <w:jc w:val="left"/>
        <w:rPr>
          <w:rFonts w:ascii="仿宋_GB2312" w:hAnsi="宋体" w:eastAsia="仿宋_GB2312"/>
          <w:b/>
          <w:color w:val="auto"/>
          <w:sz w:val="24"/>
          <w:u w:val="single"/>
        </w:rPr>
      </w:pPr>
      <w:r>
        <w:rPr>
          <w:rFonts w:hint="eastAsia" w:ascii="仿宋_GB2312" w:hAnsi="宋体" w:eastAsia="仿宋_GB2312"/>
          <w:b/>
          <w:color w:val="auto"/>
          <w:sz w:val="24"/>
          <w:u w:val="single"/>
        </w:rPr>
        <w:t>承包人提交总监理工程师批准的施工组织设计或者施工方案必须附有完备的工程质量保证措施，包括：工程质量预控措施，工序质量控制点，工程的标准工艺流程图和技术，组织措施，重点分部（项）工程的施工方法，材料、构件、支座、制品试件取样及试验的方法或方案，成品保护的措施和方法，质量报表和质量事故的报告制度，等等。</w:t>
      </w:r>
    </w:p>
    <w:p>
      <w:pPr>
        <w:adjustRightInd w:val="0"/>
        <w:snapToGrid w:val="0"/>
        <w:spacing w:line="360" w:lineRule="auto"/>
        <w:ind w:firstLine="482" w:firstLineChars="200"/>
        <w:jc w:val="left"/>
        <w:rPr>
          <w:rFonts w:ascii="仿宋_GB2312" w:hAnsi="宋体" w:eastAsia="仿宋_GB2312"/>
          <w:b/>
          <w:color w:val="auto"/>
          <w:sz w:val="24"/>
          <w:u w:val="single"/>
        </w:rPr>
      </w:pPr>
      <w:r>
        <w:rPr>
          <w:rFonts w:hint="eastAsia" w:ascii="仿宋_GB2312" w:hAnsi="宋体" w:eastAsia="仿宋_GB2312"/>
          <w:b/>
          <w:color w:val="auto"/>
          <w:sz w:val="24"/>
          <w:u w:val="single"/>
        </w:rPr>
        <w:t>单项工程开工前，承包人必须对员工进行技术交底，组织学习有关规程、规范和工艺要求，在施工中必须按规程和工艺进行操作。</w:t>
      </w:r>
    </w:p>
    <w:p>
      <w:pPr>
        <w:adjustRightInd w:val="0"/>
        <w:snapToGrid w:val="0"/>
        <w:spacing w:line="360" w:lineRule="auto"/>
        <w:ind w:firstLine="482" w:firstLineChars="200"/>
        <w:jc w:val="left"/>
        <w:rPr>
          <w:rFonts w:ascii="仿宋_GB2312" w:hAnsi="宋体" w:eastAsia="仿宋_GB2312"/>
          <w:b/>
          <w:color w:val="auto"/>
          <w:sz w:val="24"/>
          <w:u w:val="single"/>
        </w:rPr>
      </w:pPr>
      <w:r>
        <w:rPr>
          <w:rFonts w:hint="eastAsia" w:ascii="仿宋_GB2312" w:hAnsi="宋体" w:eastAsia="仿宋_GB2312"/>
          <w:b/>
          <w:color w:val="auto"/>
          <w:sz w:val="24"/>
          <w:u w:val="single"/>
        </w:rPr>
        <w:t>单项工程和重要部位都必须遵循先试验后铺开施工的程序，开工前承包人应完成施工组织设计和必要的施工准备，报送总监理工程师审查批准后方可进行试验性施工，完工后由总监理工程师检验，符合要求后才能铺开施工或者批量生产。</w:t>
      </w:r>
    </w:p>
    <w:p>
      <w:pPr>
        <w:adjustRightInd w:val="0"/>
        <w:snapToGrid w:val="0"/>
        <w:spacing w:line="360" w:lineRule="auto"/>
        <w:ind w:firstLine="482" w:firstLineChars="200"/>
        <w:jc w:val="left"/>
        <w:rPr>
          <w:rFonts w:ascii="仿宋_GB2312" w:hAnsi="宋体" w:eastAsia="仿宋_GB2312"/>
          <w:b/>
          <w:color w:val="auto"/>
          <w:sz w:val="24"/>
          <w:u w:val="single"/>
        </w:rPr>
      </w:pPr>
      <w:r>
        <w:rPr>
          <w:rFonts w:hint="eastAsia" w:ascii="仿宋_GB2312" w:hAnsi="宋体" w:eastAsia="仿宋_GB2312"/>
          <w:b/>
          <w:color w:val="auto"/>
          <w:sz w:val="24"/>
          <w:u w:val="single"/>
        </w:rPr>
        <w:t>执行材料试验制度和设备检验制度。配备足够的试验及检测仪器、仪表，并及时校正，保证其应有的精度。要加强质量自检，检测频率要符合规范要求。</w:t>
      </w:r>
    </w:p>
    <w:p>
      <w:pPr>
        <w:adjustRightInd w:val="0"/>
        <w:snapToGrid w:val="0"/>
        <w:spacing w:line="360" w:lineRule="auto"/>
        <w:ind w:firstLine="482" w:firstLineChars="200"/>
        <w:jc w:val="left"/>
        <w:rPr>
          <w:rFonts w:ascii="宋体" w:hAnsi="宋体"/>
          <w:color w:val="auto"/>
          <w:sz w:val="24"/>
        </w:rPr>
      </w:pPr>
      <w:r>
        <w:rPr>
          <w:rFonts w:hint="eastAsia" w:ascii="仿宋_GB2312" w:hAnsi="宋体" w:eastAsia="仿宋_GB2312"/>
          <w:b/>
          <w:color w:val="auto"/>
          <w:sz w:val="24"/>
          <w:u w:val="single"/>
        </w:rPr>
        <w:t>承包人的工程档案资料必须符合有关规范要求并符合湛江市档案馆对工程档案资料的规定，在工程施工过程中应及时收集、汇总、整理工程档案</w:t>
      </w:r>
      <w:r>
        <w:rPr>
          <w:rFonts w:ascii="宋体" w:hAnsi="宋体"/>
          <w:color w:val="auto"/>
          <w:sz w:val="24"/>
        </w:rPr>
        <w:t>。</w:t>
      </w:r>
    </w:p>
    <w:p>
      <w:pPr>
        <w:spacing w:line="360" w:lineRule="auto"/>
        <w:jc w:val="left"/>
        <w:rPr>
          <w:rFonts w:eastAsia="仿宋_GB2312"/>
          <w:color w:val="auto"/>
          <w:sz w:val="24"/>
        </w:rPr>
      </w:pPr>
      <w:r>
        <w:rPr>
          <w:rFonts w:eastAsia="仿宋_GB2312"/>
          <w:color w:val="auto"/>
          <w:sz w:val="24"/>
        </w:rPr>
        <w:t>关于工程奖项的约定：</w:t>
      </w:r>
      <w:r>
        <w:rPr>
          <w:rFonts w:hint="eastAsia" w:eastAsia="仿宋_GB2312"/>
          <w:color w:val="auto"/>
          <w:sz w:val="24"/>
          <w:u w:val="single"/>
        </w:rPr>
        <w:t>无。</w:t>
      </w:r>
    </w:p>
    <w:p>
      <w:pPr>
        <w:spacing w:after="120" w:line="360" w:lineRule="auto"/>
        <w:ind w:firstLine="600" w:firstLineChars="200"/>
        <w:outlineLvl w:val="0"/>
        <w:rPr>
          <w:rFonts w:ascii="仿宋" w:hAnsi="仿宋" w:eastAsia="仿宋" w:cs="仿宋"/>
          <w:color w:val="auto"/>
          <w:sz w:val="30"/>
          <w:szCs w:val="32"/>
        </w:rPr>
      </w:pPr>
      <w:bookmarkStart w:id="199" w:name="_Toc28373"/>
      <w:bookmarkStart w:id="200" w:name="_Toc4659"/>
      <w:r>
        <w:rPr>
          <w:rFonts w:hint="eastAsia" w:ascii="仿宋" w:hAnsi="仿宋" w:eastAsia="仿宋" w:cs="仿宋"/>
          <w:color w:val="auto"/>
          <w:sz w:val="30"/>
          <w:szCs w:val="32"/>
        </w:rPr>
        <w:t>5.3 隐蔽工程检查</w:t>
      </w:r>
      <w:bookmarkEnd w:id="199"/>
      <w:bookmarkEnd w:id="200"/>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5.3.2承包人提前通知监理人隐蔽工程检查的期限的约定：分项工程、工程隐蔽和各工序的验收，承包人在按施工规范自检符合合同要求后，提前24个小时通知发包人、设计、质量监督站、监理等有关部门验收。验收符合要求后，才能进入下一道工序的施工；验收不符合要求，承包人需重新整改直至验收符合要求为止，工期不予顺延。</w:t>
      </w:r>
      <w:r>
        <w:rPr>
          <w:rFonts w:hint="eastAsia" w:eastAsia="仿宋_GB2312"/>
          <w:b/>
          <w:color w:val="auto"/>
          <w:sz w:val="24"/>
          <w:u w:val="single"/>
        </w:rPr>
        <w:t>若</w:t>
      </w:r>
      <w:r>
        <w:rPr>
          <w:rFonts w:hint="eastAsia" w:ascii="仿宋" w:hAnsi="仿宋" w:eastAsia="仿宋" w:cs="仿宋"/>
          <w:color w:val="auto"/>
          <w:sz w:val="30"/>
          <w:szCs w:val="32"/>
        </w:rPr>
        <w:t>承包方未办妥验收手续或验收不合格而进行下一道工序施工的，发包人每次扣罚承包人2000 元，并且承包人须按要求进行隐蔽工程剥露等以接受检查验收，由此发生的检查费用、返工费用、材料费用等由承包人负担，承包人还应承担工期延误的违约责任。</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监理人不能按时进行检查时，应提前24小时提交书面延期要求。</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关于延期最长不得超过：48小时。</w:t>
      </w:r>
    </w:p>
    <w:p>
      <w:pPr>
        <w:pStyle w:val="5"/>
        <w:spacing w:before="120" w:after="120" w:line="360" w:lineRule="auto"/>
        <w:rPr>
          <w:rFonts w:ascii="仿宋" w:hAnsi="仿宋" w:eastAsia="仿宋" w:cs="仿宋"/>
          <w:b w:val="0"/>
          <w:color w:val="auto"/>
          <w:sz w:val="32"/>
          <w:szCs w:val="32"/>
        </w:rPr>
      </w:pPr>
      <w:r>
        <w:rPr>
          <w:rFonts w:hint="eastAsia" w:ascii="仿宋" w:hAnsi="仿宋" w:eastAsia="仿宋" w:cs="仿宋"/>
          <w:b w:val="0"/>
          <w:color w:val="auto"/>
          <w:sz w:val="32"/>
          <w:szCs w:val="32"/>
        </w:rPr>
        <w:t>6. 安全文明施工与环境保护</w:t>
      </w:r>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6.1安全文明施工</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6.1.1 项目安全生产的达标目标及相应事项的约定：</w:t>
      </w:r>
      <w:r>
        <w:rPr>
          <w:rFonts w:eastAsia="仿宋_GB2312"/>
          <w:color w:val="auto"/>
          <w:sz w:val="24"/>
        </w:rPr>
        <w:t>：</w:t>
      </w:r>
      <w:r>
        <w:rPr>
          <w:rFonts w:eastAsia="仿宋_GB2312"/>
          <w:color w:val="auto"/>
          <w:sz w:val="24"/>
          <w:u w:val="single"/>
        </w:rPr>
        <w:t>施工现场安全文明的管理按国家、广东省及湛江市关于安全文明施工管理相关法律、法规、规章、规定以及承包人的具体施工组织方案。</w:t>
      </w:r>
      <w:r>
        <w:rPr>
          <w:rFonts w:hint="eastAsia" w:eastAsia="仿宋_GB2312"/>
          <w:color w:val="auto"/>
          <w:sz w:val="24"/>
          <w:u w:val="single"/>
        </w:rPr>
        <w:t>承包人必须服从发包人检查和处罚，并按照检查结果进行整改。</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6.1.4 关于治安保卫的特别约定：</w:t>
      </w:r>
      <w:r>
        <w:rPr>
          <w:rFonts w:hint="eastAsia" w:eastAsia="仿宋_GB2312"/>
          <w:color w:val="auto"/>
          <w:sz w:val="24"/>
          <w:u w:val="single"/>
        </w:rPr>
        <w:t>/</w:t>
      </w:r>
      <w:r>
        <w:rPr>
          <w:rFonts w:eastAsia="仿宋_GB2312"/>
          <w:color w:val="auto"/>
          <w:sz w:val="24"/>
        </w:rPr>
        <w:t>。</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关于编制施工场地治安管理计划的约定：</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1）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其中，承包人对施工现场的安全生产负总责，须执行国务院“安全第一、预防为主”的安全生产方针，落实安全生产责任制，采取有效安全措施及管控方式，加强安全防范措施，消除安全事故隐患。相应的费用在投标报价中综合考虑，不予另行计取具体费用。</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2）承包人对施工现场负有安全防范责任，无论何种情由，亦无论是工地内部人员还是外来人员进入所为，项目工地范围内的骚乱事件、罢工、静坐、打架、斗殴、酗酒、爆炸、火灾、投毒、建筑物上部的物品坠落（不论坠落的是何种物品，亦不论因何原因而坠落）或其它过激行为造成的动荡，均不能视为不可抗力，由此等事件造成的责任和损失，全部由承包人承担。</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（3）安全文明施工费用必须专款专用，承包人应对其由于安全文明施工费用和施工安全措施不到位而发生的安全事故承担全部责任。</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4）承包人应建立专门的施工场地(现场)安全生产管理机构，配备足够数量的和符合有关规定的专职安全生产管理人员，负责日常安全生产巡査和专项检査，召集和主持现场全体人员参加的安全生产例会(每周至少一次)，负责安全技术交底和技术方案的安全把关，负责制定或审核安全隐患的整改措施并监督落实，负责安全资料的整理和管理，及时消除安全隐患，做好安全检査记录，确保所有的安全设施都处于良好的运转状态。承包人项目经理和专职安全生产管理人员均应当具备有效的安全生产考核合格证书。</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5）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6）承包人应为其进场施工人员配备必需的安全防护设施和设备，承包人还应为施工场地(现场)邻近地区的所有者和占有者、公众和其他人员，提供一切必要的防护棚、围栏及警告等，以确保财产和人身安全以及最大程度地降低施工可能造成的不便。</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7）承包人应在施工场地(现场)入口处、施工起重机械、临时用电设施、脚手架、出入通道口楼梯口、孔洞口、等危险部位设置一切必需的安全警示标志，包括但不限于报警标志、危险标志、控制标志、安全标、指示标志、警告标志等，并配备必要的照明、防护和看守。承包人应当按监理人的指斥，经常补充或更换失效的警示和标志。</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8）承包人应对施工场地(现场)内由其提供并安装的所有提升架等垂直和水平运输机械进行安全围护，包括卸料平台门的安全开关、警示铃和警示灯，卸料平台的护身栏杆，脚手架和安全网等等;所有的机械设备应设置安全操作防护罩，并在醒目位置张挂详细的安全操作要点等。</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9）承包人应对所有用于提升的挂钩、挂环、钢丝绳、铁扁担等进行定期检测、检査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10）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11）施工期间承包人要按有关的规定在施工场地内设置安全设施及护栏、标志、灯光，做好施工安全措施，确保行人、施工人员的安全，如发生安全事故，属承包人责任的由承包人负责处理，所需费用应考虑在投标报价中。</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6.1.5 文明施工</w:t>
      </w:r>
    </w:p>
    <w:p>
      <w:pPr>
        <w:spacing w:line="360" w:lineRule="auto"/>
        <w:ind w:firstLine="600" w:firstLineChars="200"/>
        <w:jc w:val="left"/>
        <w:rPr>
          <w:rFonts w:eastAsia="仿宋_GB2312"/>
          <w:color w:val="auto"/>
          <w:sz w:val="24"/>
          <w:u w:val="single"/>
        </w:rPr>
      </w:pPr>
      <w:r>
        <w:rPr>
          <w:rFonts w:hint="eastAsia" w:ascii="仿宋" w:hAnsi="仿宋" w:eastAsia="仿宋" w:cs="仿宋"/>
          <w:color w:val="auto"/>
          <w:sz w:val="30"/>
          <w:szCs w:val="32"/>
        </w:rPr>
        <w:t>合同当事人对文明施工的要求：</w:t>
      </w:r>
      <w:r>
        <w:rPr>
          <w:rFonts w:hint="eastAsia" w:eastAsia="仿宋_GB2312"/>
          <w:color w:val="auto"/>
          <w:sz w:val="24"/>
          <w:u w:val="single"/>
        </w:rPr>
        <w:t>承包人必须严格按照湛江市对现场文明施工的其它管理规定在施工组织设计中专章编制文明施工措施，将投标时承诺的文明施工措施落实到位。</w:t>
      </w:r>
    </w:p>
    <w:p>
      <w:pPr>
        <w:spacing w:line="360" w:lineRule="auto"/>
        <w:ind w:firstLine="480" w:firstLineChars="200"/>
        <w:jc w:val="left"/>
        <w:rPr>
          <w:rFonts w:eastAsia="仿宋_GB2312"/>
          <w:color w:val="auto"/>
          <w:sz w:val="24"/>
          <w:u w:val="single"/>
        </w:rPr>
      </w:pPr>
      <w:r>
        <w:rPr>
          <w:rFonts w:eastAsia="仿宋_GB2312"/>
          <w:color w:val="auto"/>
          <w:sz w:val="24"/>
        </w:rPr>
        <w:t>6.1.6 关于安全文明施工费支付比例和支付期限的约定：</w:t>
      </w:r>
      <w:r>
        <w:rPr>
          <w:rFonts w:hint="eastAsia" w:eastAsia="仿宋_GB2312"/>
          <w:color w:val="auto"/>
          <w:sz w:val="24"/>
          <w:u w:val="single"/>
        </w:rPr>
        <w:t>绿色安全文明施工费的拨付按《湛江市住房和城乡建设局关于进一步明确建设工程安全文明施工费管理的通知》（湛建质[2014]72号）执行。</w:t>
      </w:r>
      <w:r>
        <w:rPr>
          <w:rFonts w:eastAsia="仿宋_GB2312"/>
          <w:color w:val="auto"/>
          <w:sz w:val="24"/>
        </w:rPr>
        <w:t>。</w:t>
      </w:r>
    </w:p>
    <w:p>
      <w:pPr>
        <w:spacing w:line="360" w:lineRule="auto"/>
        <w:ind w:firstLine="600" w:firstLineChars="200"/>
        <w:jc w:val="left"/>
        <w:rPr>
          <w:rFonts w:ascii="仿宋" w:hAnsi="仿宋" w:eastAsia="仿宋" w:cs="仿宋"/>
          <w:color w:val="auto"/>
          <w:sz w:val="30"/>
          <w:szCs w:val="32"/>
        </w:rPr>
      </w:pPr>
    </w:p>
    <w:bookmarkEnd w:id="192"/>
    <w:bookmarkEnd w:id="193"/>
    <w:bookmarkEnd w:id="194"/>
    <w:bookmarkEnd w:id="195"/>
    <w:bookmarkEnd w:id="196"/>
    <w:bookmarkEnd w:id="197"/>
    <w:bookmarkEnd w:id="198"/>
    <w:p>
      <w:pPr>
        <w:pStyle w:val="5"/>
        <w:spacing w:before="120" w:after="120" w:line="360" w:lineRule="auto"/>
        <w:rPr>
          <w:rFonts w:ascii="仿宋" w:hAnsi="仿宋" w:eastAsia="仿宋" w:cs="仿宋"/>
          <w:b w:val="0"/>
          <w:color w:val="auto"/>
          <w:sz w:val="32"/>
          <w:szCs w:val="32"/>
        </w:rPr>
      </w:pPr>
      <w:r>
        <w:rPr>
          <w:rFonts w:hint="eastAsia" w:ascii="仿宋" w:hAnsi="仿宋" w:eastAsia="仿宋" w:cs="仿宋"/>
          <w:b w:val="0"/>
          <w:color w:val="auto"/>
          <w:sz w:val="32"/>
          <w:szCs w:val="32"/>
        </w:rPr>
        <w:t>7. 工期和进度</w:t>
      </w:r>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7.1 施工组织设计</w:t>
      </w:r>
    </w:p>
    <w:p>
      <w:pPr>
        <w:autoSpaceDE w:val="0"/>
        <w:autoSpaceDN w:val="0"/>
        <w:adjustRightInd w:val="0"/>
        <w:spacing w:line="360" w:lineRule="auto"/>
        <w:ind w:firstLine="600" w:firstLineChars="200"/>
        <w:jc w:val="left"/>
        <w:rPr>
          <w:rFonts w:ascii="仿宋" w:hAnsi="仿宋" w:eastAsia="仿宋" w:cs="仿宋"/>
          <w:color w:val="auto"/>
          <w:sz w:val="30"/>
          <w:szCs w:val="32"/>
          <w:u w:val="single"/>
        </w:rPr>
      </w:pPr>
      <w:r>
        <w:rPr>
          <w:rFonts w:hint="eastAsia" w:ascii="仿宋" w:hAnsi="仿宋" w:eastAsia="仿宋" w:cs="仿宋"/>
          <w:color w:val="auto"/>
          <w:sz w:val="30"/>
          <w:szCs w:val="32"/>
        </w:rPr>
        <w:t>7.1.1 合</w:t>
      </w:r>
      <w:r>
        <w:rPr>
          <w:rFonts w:hint="eastAsia" w:ascii="仿宋" w:hAnsi="仿宋" w:eastAsia="仿宋" w:cs="仿宋"/>
          <w:color w:val="auto"/>
          <w:kern w:val="0"/>
          <w:sz w:val="30"/>
          <w:szCs w:val="32"/>
        </w:rPr>
        <w:t>同当事人约定的施工组织设计应包括的其他内容：</w:t>
      </w:r>
    </w:p>
    <w:p>
      <w:pPr>
        <w:autoSpaceDE w:val="0"/>
        <w:autoSpaceDN w:val="0"/>
        <w:adjustRightInd w:val="0"/>
        <w:spacing w:line="360" w:lineRule="auto"/>
        <w:ind w:firstLine="600" w:firstLineChars="200"/>
        <w:jc w:val="left"/>
        <w:rPr>
          <w:rFonts w:ascii="仿宋" w:hAnsi="仿宋" w:eastAsia="仿宋" w:cs="仿宋"/>
          <w:color w:val="auto"/>
          <w:kern w:val="0"/>
          <w:sz w:val="30"/>
          <w:szCs w:val="32"/>
        </w:rPr>
      </w:pPr>
      <w:r>
        <w:rPr>
          <w:rFonts w:hint="eastAsia" w:ascii="仿宋" w:hAnsi="仿宋" w:eastAsia="仿宋" w:cs="仿宋"/>
          <w:color w:val="auto"/>
          <w:sz w:val="30"/>
          <w:szCs w:val="32"/>
        </w:rPr>
        <w:t xml:space="preserve">7.1.2 </w:t>
      </w:r>
      <w:r>
        <w:rPr>
          <w:rFonts w:hint="eastAsia" w:ascii="仿宋" w:hAnsi="仿宋" w:eastAsia="仿宋" w:cs="仿宋"/>
          <w:color w:val="auto"/>
          <w:kern w:val="0"/>
          <w:sz w:val="30"/>
          <w:szCs w:val="32"/>
        </w:rPr>
        <w:t>施工组织设计的提交和修改</w:t>
      </w:r>
    </w:p>
    <w:p>
      <w:pPr>
        <w:autoSpaceDE w:val="0"/>
        <w:autoSpaceDN w:val="0"/>
        <w:adjustRightInd w:val="0"/>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kern w:val="0"/>
          <w:sz w:val="30"/>
          <w:szCs w:val="32"/>
        </w:rPr>
        <w:t>承包人提交详细施工组织设计的期限的约定：</w:t>
      </w:r>
      <w:r>
        <w:rPr>
          <w:rFonts w:hint="eastAsia" w:ascii="仿宋" w:hAnsi="仿宋" w:eastAsia="仿宋" w:cs="仿宋"/>
          <w:color w:val="auto"/>
          <w:sz w:val="30"/>
          <w:szCs w:val="32"/>
          <w:u w:val="single"/>
        </w:rPr>
        <w:t>合同签订后</w:t>
      </w:r>
      <w:r>
        <w:rPr>
          <w:rFonts w:hint="eastAsia" w:eastAsia="仿宋_GB2312"/>
          <w:color w:val="auto"/>
          <w:sz w:val="24"/>
          <w:u w:val="single"/>
        </w:rPr>
        <w:t>10</w:t>
      </w:r>
      <w:r>
        <w:rPr>
          <w:rFonts w:hint="eastAsia" w:ascii="仿宋" w:hAnsi="仿宋" w:eastAsia="仿宋" w:cs="仿宋"/>
          <w:color w:val="auto"/>
          <w:sz w:val="30"/>
          <w:szCs w:val="32"/>
          <w:u w:val="single"/>
        </w:rPr>
        <w:t>天内</w:t>
      </w:r>
      <w:r>
        <w:rPr>
          <w:rFonts w:hint="eastAsia" w:eastAsia="仿宋_GB2312"/>
          <w:color w:val="auto"/>
          <w:sz w:val="24"/>
          <w:u w:val="single"/>
        </w:rPr>
        <w:t>，向监理工程师提交一式两份施工组织设计和合同工程进度计划，应对合同工程的全部施工作业提出总体上的施工方法、施工安排、作业顺序和时间表。合同约定有单位工程的，承包人还应编制单位工程进度计划</w:t>
      </w:r>
      <w:r>
        <w:rPr>
          <w:rFonts w:hint="eastAsia" w:ascii="仿宋" w:hAnsi="仿宋" w:eastAsia="仿宋" w:cs="仿宋"/>
          <w:color w:val="auto"/>
          <w:sz w:val="30"/>
          <w:szCs w:val="32"/>
          <w:u w:val="single"/>
        </w:rPr>
        <w:t>。</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发包人和监理人在收到详细的施工组织设计后确认或提出修改意见的期限：</w:t>
      </w:r>
      <w:r>
        <w:rPr>
          <w:rFonts w:hint="eastAsia" w:eastAsia="仿宋_GB2312"/>
          <w:color w:val="auto"/>
          <w:sz w:val="24"/>
          <w:u w:val="single"/>
        </w:rPr>
        <w:t>发包人和监理工程师应在5天内予以确认或提出修改意见</w:t>
      </w:r>
      <w:r>
        <w:rPr>
          <w:rFonts w:eastAsia="仿宋_GB2312"/>
          <w:color w:val="auto"/>
          <w:sz w:val="24"/>
        </w:rPr>
        <w:t>。</w:t>
      </w:r>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7</w:t>
      </w:r>
      <w:bookmarkStart w:id="201" w:name="_Toc304295541"/>
      <w:bookmarkStart w:id="202" w:name="_Toc312678005"/>
      <w:bookmarkStart w:id="203" w:name="_Toc297123514"/>
      <w:bookmarkStart w:id="204" w:name="_Toc300934966"/>
      <w:bookmarkStart w:id="205" w:name="_Toc312677479"/>
      <w:bookmarkStart w:id="206" w:name="_Toc303539123"/>
      <w:bookmarkStart w:id="207" w:name="_Toc297216173"/>
      <w:r>
        <w:rPr>
          <w:rFonts w:hint="eastAsia" w:ascii="仿宋" w:hAnsi="仿宋" w:eastAsia="仿宋" w:cs="仿宋"/>
          <w:color w:val="auto"/>
          <w:sz w:val="30"/>
          <w:szCs w:val="32"/>
        </w:rPr>
        <w:t>.2 施工进度计划</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7.2.2 施工进度计划的修订</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发包人和监理人在收到修订的施工进度计划后确认或提出修改意见的期限：</w:t>
      </w:r>
      <w:r>
        <w:rPr>
          <w:rFonts w:hint="eastAsia" w:eastAsia="仿宋_GB2312"/>
          <w:color w:val="auto"/>
          <w:sz w:val="24"/>
          <w:u w:val="single"/>
        </w:rPr>
        <w:t>发包人和监理工程师应在5天内予以确认或提出修改意见</w:t>
      </w:r>
      <w:r>
        <w:rPr>
          <w:rFonts w:eastAsia="仿宋_GB2312"/>
          <w:color w:val="auto"/>
          <w:sz w:val="24"/>
        </w:rPr>
        <w:t>。</w:t>
      </w:r>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7.3 开工</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7.3.1 开工准备</w:t>
      </w:r>
    </w:p>
    <w:p>
      <w:pPr>
        <w:spacing w:line="360" w:lineRule="auto"/>
        <w:ind w:firstLine="645"/>
        <w:jc w:val="left"/>
        <w:rPr>
          <w:rFonts w:ascii="仿宋" w:hAnsi="仿宋" w:eastAsia="仿宋" w:cs="仿宋"/>
          <w:color w:val="auto"/>
          <w:sz w:val="30"/>
          <w:szCs w:val="32"/>
          <w:u w:val="single"/>
        </w:rPr>
      </w:pPr>
      <w:r>
        <w:rPr>
          <w:rFonts w:hint="eastAsia" w:ascii="仿宋" w:hAnsi="仿宋" w:eastAsia="仿宋" w:cs="仿宋"/>
          <w:color w:val="auto"/>
          <w:sz w:val="30"/>
          <w:szCs w:val="32"/>
        </w:rPr>
        <w:t>关于承包人提交</w:t>
      </w:r>
      <w:r>
        <w:rPr>
          <w:rFonts w:hint="eastAsia" w:ascii="仿宋" w:hAnsi="仿宋" w:eastAsia="仿宋" w:cs="仿宋"/>
          <w:color w:val="auto"/>
          <w:kern w:val="0"/>
          <w:sz w:val="30"/>
          <w:szCs w:val="32"/>
        </w:rPr>
        <w:t>工程开工报审表的期限：合同签订后</w:t>
      </w:r>
      <w:r>
        <w:rPr>
          <w:rFonts w:hint="eastAsia" w:eastAsia="仿宋_GB2312"/>
          <w:b/>
          <w:color w:val="auto"/>
          <w:sz w:val="24"/>
          <w:u w:val="single"/>
        </w:rPr>
        <w:t>3</w:t>
      </w:r>
      <w:r>
        <w:rPr>
          <w:rFonts w:hint="eastAsia" w:ascii="仿宋" w:hAnsi="仿宋" w:eastAsia="仿宋" w:cs="仿宋"/>
          <w:color w:val="auto"/>
          <w:kern w:val="0"/>
          <w:sz w:val="30"/>
          <w:szCs w:val="32"/>
        </w:rPr>
        <w:t>天内</w:t>
      </w:r>
      <w:r>
        <w:rPr>
          <w:rFonts w:hint="eastAsia" w:ascii="仿宋" w:hAnsi="仿宋" w:eastAsia="仿宋" w:cs="仿宋"/>
          <w:color w:val="auto"/>
          <w:sz w:val="30"/>
          <w:szCs w:val="32"/>
        </w:rPr>
        <w:t>。</w:t>
      </w:r>
    </w:p>
    <w:p>
      <w:pPr>
        <w:spacing w:line="360" w:lineRule="auto"/>
        <w:ind w:firstLine="645"/>
        <w:jc w:val="left"/>
        <w:rPr>
          <w:rFonts w:ascii="仿宋" w:hAnsi="仿宋" w:eastAsia="仿宋" w:cs="仿宋"/>
          <w:color w:val="auto"/>
          <w:sz w:val="30"/>
          <w:szCs w:val="32"/>
        </w:rPr>
      </w:pPr>
      <w:r>
        <w:rPr>
          <w:rFonts w:hint="eastAsia" w:ascii="仿宋" w:hAnsi="仿宋" w:eastAsia="仿宋" w:cs="仿宋"/>
          <w:color w:val="auto"/>
          <w:sz w:val="30"/>
          <w:szCs w:val="32"/>
        </w:rPr>
        <w:t>关于发包人应完成的其他开工准备工作及期限：</w:t>
      </w:r>
      <w:r>
        <w:rPr>
          <w:rFonts w:hint="eastAsia" w:eastAsia="仿宋_GB2312"/>
          <w:color w:val="auto"/>
          <w:sz w:val="24"/>
          <w:u w:val="single"/>
        </w:rPr>
        <w:t>根据各项</w:t>
      </w:r>
      <w:r>
        <w:rPr>
          <w:rFonts w:eastAsia="仿宋_GB2312"/>
          <w:color w:val="auto"/>
          <w:sz w:val="24"/>
          <w:u w:val="single"/>
        </w:rPr>
        <w:t>准备工作</w:t>
      </w:r>
      <w:r>
        <w:rPr>
          <w:rFonts w:hint="eastAsia" w:eastAsia="仿宋_GB2312"/>
          <w:color w:val="auto"/>
          <w:sz w:val="24"/>
          <w:u w:val="single"/>
        </w:rPr>
        <w:t>的要求时间</w:t>
      </w:r>
      <w:r>
        <w:rPr>
          <w:rFonts w:eastAsia="仿宋_GB2312"/>
          <w:color w:val="auto"/>
          <w:sz w:val="24"/>
        </w:rPr>
        <w:t>。</w:t>
      </w:r>
      <w:r>
        <w:rPr>
          <w:rFonts w:hint="eastAsia" w:ascii="仿宋" w:hAnsi="仿宋" w:eastAsia="仿宋" w:cs="仿宋"/>
          <w:color w:val="auto"/>
          <w:sz w:val="30"/>
          <w:szCs w:val="32"/>
        </w:rPr>
        <w:t>。</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关于承包人应完成的其他开工准备工作及期限：</w:t>
      </w:r>
      <w:r>
        <w:rPr>
          <w:rFonts w:hint="eastAsia" w:eastAsia="仿宋_GB2312"/>
          <w:color w:val="auto"/>
          <w:sz w:val="24"/>
          <w:u w:val="single"/>
        </w:rPr>
        <w:t>工程开工前</w:t>
      </w:r>
      <w:r>
        <w:rPr>
          <w:rFonts w:eastAsia="仿宋_GB2312"/>
          <w:color w:val="auto"/>
          <w:sz w:val="24"/>
        </w:rPr>
        <w:t>。</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7.3.2开工通知</w:t>
      </w:r>
    </w:p>
    <w:p>
      <w:pPr>
        <w:spacing w:after="120" w:line="360" w:lineRule="auto"/>
        <w:ind w:firstLine="480" w:firstLineChars="200"/>
        <w:rPr>
          <w:rFonts w:ascii="仿宋_GB2312" w:eastAsia="仿宋_GB2312"/>
          <w:color w:val="auto"/>
          <w:sz w:val="24"/>
        </w:rPr>
      </w:pPr>
      <w:r>
        <w:rPr>
          <w:rFonts w:hint="eastAsia" w:ascii="仿宋_GB2312" w:eastAsia="仿宋_GB2312"/>
          <w:color w:val="auto"/>
          <w:sz w:val="24"/>
          <w:u w:val="single"/>
        </w:rPr>
        <w:t>具体开工时间由发包人、监理人根据现场实际情况确定，并以开工令为准</w:t>
      </w:r>
      <w:r>
        <w:rPr>
          <w:rFonts w:ascii="仿宋_GB2312" w:eastAsia="仿宋_GB2312"/>
          <w:color w:val="auto"/>
          <w:sz w:val="24"/>
        </w:rPr>
        <w:t>。</w:t>
      </w:r>
    </w:p>
    <w:p>
      <w:pPr>
        <w:spacing w:line="360" w:lineRule="auto"/>
        <w:ind w:firstLine="600" w:firstLineChars="200"/>
        <w:jc w:val="left"/>
        <w:rPr>
          <w:rFonts w:ascii="仿宋" w:hAnsi="仿宋" w:eastAsia="仿宋" w:cs="仿宋"/>
          <w:color w:val="auto"/>
          <w:sz w:val="30"/>
          <w:szCs w:val="32"/>
        </w:rPr>
      </w:pPr>
    </w:p>
    <w:bookmarkEnd w:id="201"/>
    <w:bookmarkEnd w:id="202"/>
    <w:bookmarkEnd w:id="203"/>
    <w:bookmarkEnd w:id="204"/>
    <w:bookmarkEnd w:id="205"/>
    <w:bookmarkEnd w:id="206"/>
    <w:bookmarkEnd w:id="207"/>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7.4 测量放线</w:t>
      </w:r>
    </w:p>
    <w:p>
      <w:pPr>
        <w:spacing w:line="360" w:lineRule="auto"/>
        <w:ind w:firstLine="600" w:firstLineChars="200"/>
        <w:jc w:val="left"/>
        <w:rPr>
          <w:rFonts w:ascii="仿宋" w:hAnsi="仿宋" w:eastAsia="仿宋" w:cs="仿宋"/>
          <w:color w:val="auto"/>
          <w:sz w:val="30"/>
          <w:szCs w:val="32"/>
          <w:u w:val="single"/>
        </w:rPr>
      </w:pPr>
      <w:r>
        <w:rPr>
          <w:rFonts w:hint="eastAsia" w:ascii="仿宋" w:hAnsi="仿宋" w:eastAsia="仿宋" w:cs="仿宋"/>
          <w:color w:val="auto"/>
          <w:sz w:val="30"/>
          <w:szCs w:val="32"/>
        </w:rPr>
        <w:t>7.4.1发包人通过监理人向承包人提供测量基准点、基准线和水准点及其书面资料的期限：</w:t>
      </w:r>
      <w:r>
        <w:rPr>
          <w:rFonts w:hint="eastAsia" w:eastAsia="仿宋_GB2312"/>
          <w:color w:val="auto"/>
          <w:sz w:val="24"/>
          <w:u w:val="single"/>
        </w:rPr>
        <w:t>工程开工前。</w:t>
      </w:r>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7</w:t>
      </w:r>
      <w:bookmarkStart w:id="208" w:name="_Toc297216175"/>
      <w:bookmarkStart w:id="209" w:name="_Toc297123516"/>
      <w:bookmarkStart w:id="210" w:name="_Toc312677484"/>
      <w:bookmarkStart w:id="211" w:name="_Toc300934968"/>
      <w:bookmarkStart w:id="212" w:name="_Toc303539125"/>
      <w:bookmarkStart w:id="213" w:name="_Toc304295546"/>
      <w:bookmarkStart w:id="214" w:name="_Toc312678010"/>
      <w:r>
        <w:rPr>
          <w:rFonts w:hint="eastAsia" w:ascii="仿宋" w:hAnsi="仿宋" w:eastAsia="仿宋" w:cs="仿宋"/>
          <w:color w:val="auto"/>
          <w:sz w:val="30"/>
          <w:szCs w:val="32"/>
        </w:rPr>
        <w:t>.5 工期延误</w:t>
      </w:r>
    </w:p>
    <w:bookmarkEnd w:id="208"/>
    <w:bookmarkEnd w:id="209"/>
    <w:bookmarkEnd w:id="210"/>
    <w:bookmarkEnd w:id="211"/>
    <w:bookmarkEnd w:id="212"/>
    <w:bookmarkEnd w:id="213"/>
    <w:bookmarkEnd w:id="214"/>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7.5.1 因发包人原因导致工期延误</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因发包人原因导致工期延误的其他情形：</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是指有确凿证据证实因下列原因而直接造成承包人原定工期计划延误：</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（1）不可抗力；</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 xml:space="preserve">（2）工程设计有重大变更或重大失误； </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 xml:space="preserve">（3）发包人延期交付施工场地； </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 xml:space="preserve">（4）发包人其他违约行为造成工期延误。 </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 xml:space="preserve">（5）非承包人原因导致暂停施工及其他原因的 （包括政府行为） </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除上述原因之外，其他所有工期延误均为承包人原因造成的延误。</w:t>
      </w:r>
    </w:p>
    <w:p>
      <w:pPr>
        <w:spacing w:line="360" w:lineRule="auto"/>
        <w:jc w:val="left"/>
        <w:rPr>
          <w:rFonts w:ascii="仿宋" w:hAnsi="仿宋" w:eastAsia="仿宋" w:cs="仿宋"/>
          <w:color w:val="auto"/>
          <w:sz w:val="30"/>
          <w:szCs w:val="32"/>
        </w:rPr>
      </w:pPr>
      <w:r>
        <w:rPr>
          <w:rFonts w:hint="eastAsia" w:ascii="仿宋" w:hAnsi="仿宋" w:eastAsia="仿宋"/>
          <w:b/>
          <w:color w:val="auto"/>
          <w:sz w:val="24"/>
          <w:u w:val="single"/>
        </w:rPr>
        <w:t>出现因发包人原因导致工期延误及上述情形的，承包人应在事件发生后 7 天内提出，并经发包人、承包人书面确认后则予以顺延工期，否则不予顺延，发包人不因顺延工期而向承包人支付任何费用。承包人未在 7 天内提出的，视为对工程建设不造成影响</w:t>
      </w:r>
      <w:r>
        <w:rPr>
          <w:rFonts w:eastAsia="仿宋_GB2312"/>
          <w:color w:val="auto"/>
          <w:sz w:val="24"/>
        </w:rPr>
        <w:t>。</w:t>
      </w:r>
    </w:p>
    <w:p>
      <w:pPr>
        <w:adjustRightInd w:val="0"/>
        <w:snapToGrid w:val="0"/>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7</w:t>
      </w:r>
      <w:bookmarkStart w:id="215" w:name="_Toc304295548"/>
      <w:bookmarkStart w:id="216" w:name="_Toc303539127"/>
      <w:bookmarkStart w:id="217" w:name="_Toc312678012"/>
      <w:bookmarkStart w:id="218" w:name="_Toc297216177"/>
      <w:bookmarkStart w:id="219" w:name="_Toc300934970"/>
      <w:bookmarkStart w:id="220" w:name="_Toc318581169"/>
      <w:bookmarkStart w:id="221" w:name="_Toc297123518"/>
      <w:bookmarkStart w:id="222" w:name="_Toc312677486"/>
      <w:r>
        <w:rPr>
          <w:rFonts w:hint="eastAsia" w:ascii="仿宋" w:hAnsi="仿宋" w:eastAsia="仿宋" w:cs="仿宋"/>
          <w:color w:val="auto"/>
          <w:sz w:val="30"/>
          <w:szCs w:val="32"/>
        </w:rPr>
        <w:t>.5.2 因承包人原因导致工期延误</w:t>
      </w:r>
    </w:p>
    <w:p>
      <w:pPr>
        <w:adjustRightInd w:val="0"/>
        <w:snapToGrid w:val="0"/>
        <w:spacing w:line="360" w:lineRule="auto"/>
        <w:ind w:firstLine="480" w:firstLineChars="200"/>
        <w:jc w:val="left"/>
        <w:rPr>
          <w:rFonts w:ascii="仿宋_GB2312" w:hAnsi="宋体" w:eastAsia="仿宋_GB2312"/>
          <w:b/>
          <w:color w:val="auto"/>
          <w:sz w:val="24"/>
          <w:u w:val="single"/>
        </w:rPr>
      </w:pPr>
      <w:r>
        <w:rPr>
          <w:rFonts w:eastAsia="仿宋_GB2312"/>
          <w:color w:val="auto"/>
          <w:sz w:val="24"/>
        </w:rPr>
        <w:t>因承包人原因造成工期延误，逾期竣工违约金的计算方法为：</w:t>
      </w:r>
    </w:p>
    <w:bookmarkEnd w:id="215"/>
    <w:bookmarkEnd w:id="216"/>
    <w:bookmarkEnd w:id="217"/>
    <w:bookmarkEnd w:id="218"/>
    <w:bookmarkEnd w:id="219"/>
    <w:bookmarkEnd w:id="220"/>
    <w:bookmarkEnd w:id="221"/>
    <w:bookmarkEnd w:id="222"/>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因承包人原因造成工期延误，无论因质量、验收、速度、材料供应、施工难度、人手不够等任何原因导致工期延长的，发包人将按如下标准处以罚款（因发包人及不可抗力原因造成的工期延误除外）：因承包人原因每延迟一天竣工，承包人应向发包人支付人民币500 元/日历天违约金。</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延迟竣工的最高违约金限额为审定结算总造价的1%。若承包人在施工过程中，发生中途停工或中途撤场的情况：所产生的一切后果由承包人自行承担，并赔偿造成发包人的全部经济损失。发包人有权向项目所在地的人民法院起诉，并追究承包人一切责任。</w:t>
      </w:r>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7</w:t>
      </w:r>
      <w:bookmarkStart w:id="223" w:name="_Toc297216178"/>
      <w:bookmarkStart w:id="224" w:name="_Toc304295549"/>
      <w:bookmarkStart w:id="225" w:name="_Toc312678015"/>
      <w:bookmarkStart w:id="226" w:name="_Toc303539128"/>
      <w:bookmarkStart w:id="227" w:name="_Toc300934971"/>
      <w:bookmarkStart w:id="228" w:name="_Toc297123519"/>
      <w:r>
        <w:rPr>
          <w:rFonts w:hint="eastAsia" w:ascii="仿宋" w:hAnsi="仿宋" w:eastAsia="仿宋" w:cs="仿宋"/>
          <w:color w:val="auto"/>
          <w:sz w:val="30"/>
          <w:szCs w:val="32"/>
        </w:rPr>
        <w:t>.6 不</w:t>
      </w:r>
      <w:bookmarkEnd w:id="223"/>
      <w:bookmarkEnd w:id="224"/>
      <w:bookmarkEnd w:id="225"/>
      <w:bookmarkEnd w:id="226"/>
      <w:bookmarkEnd w:id="227"/>
      <w:bookmarkEnd w:id="228"/>
      <w:r>
        <w:rPr>
          <w:rFonts w:hint="eastAsia" w:ascii="仿宋" w:hAnsi="仿宋" w:eastAsia="仿宋" w:cs="仿宋"/>
          <w:color w:val="auto"/>
          <w:sz w:val="30"/>
          <w:szCs w:val="32"/>
        </w:rPr>
        <w:t>利物质条件</w:t>
      </w:r>
    </w:p>
    <w:p>
      <w:pPr>
        <w:spacing w:line="360" w:lineRule="auto"/>
        <w:ind w:firstLine="600" w:firstLineChars="200"/>
        <w:jc w:val="left"/>
        <w:rPr>
          <w:rFonts w:ascii="仿宋" w:hAnsi="仿宋" w:eastAsia="仿宋" w:cs="仿宋"/>
          <w:color w:val="auto"/>
          <w:sz w:val="30"/>
          <w:szCs w:val="32"/>
          <w:u w:val="single"/>
        </w:rPr>
      </w:pPr>
      <w:bookmarkStart w:id="229" w:name="_Toc300934972"/>
      <w:bookmarkStart w:id="230" w:name="_Toc312678016"/>
      <w:bookmarkStart w:id="231" w:name="_Toc297123520"/>
      <w:bookmarkStart w:id="232" w:name="_Toc304295550"/>
      <w:bookmarkStart w:id="233" w:name="_Toc303539129"/>
      <w:bookmarkStart w:id="234" w:name="_Toc318581172"/>
      <w:bookmarkStart w:id="235" w:name="_Toc297216179"/>
      <w:r>
        <w:rPr>
          <w:rFonts w:hint="eastAsia" w:ascii="仿宋" w:hAnsi="仿宋" w:eastAsia="仿宋" w:cs="仿宋"/>
          <w:color w:val="auto"/>
          <w:sz w:val="30"/>
          <w:szCs w:val="32"/>
        </w:rPr>
        <w:t>不利物质条件的其他情形和有关约定：</w:t>
      </w:r>
      <w:r>
        <w:rPr>
          <w:rFonts w:hint="eastAsia" w:ascii="仿宋" w:hAnsi="仿宋" w:eastAsia="仿宋" w:cs="仿宋"/>
          <w:color w:val="auto"/>
          <w:sz w:val="30"/>
          <w:szCs w:val="32"/>
          <w:u w:val="single"/>
        </w:rPr>
        <w:t xml:space="preserve">     /        </w:t>
      </w:r>
      <w:r>
        <w:rPr>
          <w:rFonts w:hint="eastAsia" w:ascii="仿宋" w:hAnsi="仿宋" w:eastAsia="仿宋" w:cs="仿宋"/>
          <w:color w:val="auto"/>
          <w:sz w:val="30"/>
          <w:szCs w:val="32"/>
        </w:rPr>
        <w:t>。</w:t>
      </w:r>
    </w:p>
    <w:bookmarkEnd w:id="229"/>
    <w:bookmarkEnd w:id="230"/>
    <w:bookmarkEnd w:id="231"/>
    <w:bookmarkEnd w:id="232"/>
    <w:bookmarkEnd w:id="233"/>
    <w:bookmarkEnd w:id="234"/>
    <w:bookmarkEnd w:id="235"/>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7</w:t>
      </w:r>
      <w:bookmarkStart w:id="236" w:name="_Toc300934973"/>
      <w:bookmarkStart w:id="237" w:name="_Toc297216180"/>
      <w:bookmarkStart w:id="238" w:name="_Toc303539130"/>
      <w:bookmarkStart w:id="239" w:name="_Toc304295551"/>
      <w:bookmarkStart w:id="240" w:name="_Toc297123521"/>
      <w:bookmarkStart w:id="241" w:name="_Toc312678017"/>
      <w:r>
        <w:rPr>
          <w:rFonts w:hint="eastAsia" w:ascii="仿宋" w:hAnsi="仿宋" w:eastAsia="仿宋" w:cs="仿宋"/>
          <w:color w:val="auto"/>
          <w:sz w:val="30"/>
          <w:szCs w:val="32"/>
        </w:rPr>
        <w:t>.7异常恶劣的气候条件</w:t>
      </w:r>
    </w:p>
    <w:bookmarkEnd w:id="236"/>
    <w:bookmarkEnd w:id="237"/>
    <w:bookmarkEnd w:id="238"/>
    <w:bookmarkEnd w:id="239"/>
    <w:bookmarkEnd w:id="240"/>
    <w:bookmarkEnd w:id="241"/>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发包人和承包人同意以下情形视为异常恶劣的气候条件：</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（1）经有关部门鉴定本地发生的五级以上地震；</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（2）正面吹袭湛江市的十级以上台风和龙卷风及项目所在地（县、市）区出现降雨量大于200mm/d特大暴雨，雷击引起的火灾；</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（3）并执行国家有关规定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7.7.2因发包人及不可抗力的原因造成的工期延误，在得到监理工程师和发包人的认可后，工期相应顺延，双方办理同意顺延工期手续。</w:t>
      </w:r>
    </w:p>
    <w:p>
      <w:pPr>
        <w:spacing w:after="120" w:line="360" w:lineRule="auto"/>
        <w:ind w:firstLine="600" w:firstLineChars="200"/>
        <w:outlineLvl w:val="0"/>
        <w:rPr>
          <w:rFonts w:ascii="仿宋" w:hAnsi="仿宋" w:eastAsia="仿宋" w:cs="仿宋"/>
          <w:color w:val="auto"/>
          <w:sz w:val="30"/>
          <w:szCs w:val="32"/>
        </w:rPr>
      </w:pPr>
      <w:bookmarkStart w:id="242" w:name="_Toc27378"/>
      <w:bookmarkStart w:id="243" w:name="_Toc29844"/>
      <w:r>
        <w:rPr>
          <w:rFonts w:hint="eastAsia" w:ascii="仿宋" w:hAnsi="仿宋" w:eastAsia="仿宋" w:cs="仿宋"/>
          <w:color w:val="auto"/>
          <w:sz w:val="30"/>
          <w:szCs w:val="32"/>
        </w:rPr>
        <w:t>7.9 提前竣工的奖励</w:t>
      </w:r>
      <w:bookmarkEnd w:id="242"/>
      <w:bookmarkEnd w:id="243"/>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7.9.2提前竣工的奖励：</w:t>
      </w:r>
      <w:r>
        <w:rPr>
          <w:rFonts w:hint="eastAsia" w:ascii="仿宋" w:hAnsi="仿宋" w:eastAsia="仿宋" w:cs="仿宋"/>
          <w:color w:val="auto"/>
          <w:sz w:val="30"/>
          <w:szCs w:val="30"/>
          <w:u w:val="single"/>
        </w:rPr>
        <w:t>无</w:t>
      </w:r>
      <w:r>
        <w:rPr>
          <w:rFonts w:hint="eastAsia" w:ascii="仿宋" w:hAnsi="仿宋" w:eastAsia="仿宋" w:cs="仿宋"/>
          <w:color w:val="auto"/>
          <w:sz w:val="30"/>
          <w:szCs w:val="32"/>
        </w:rPr>
        <w:t>。</w:t>
      </w:r>
    </w:p>
    <w:p>
      <w:pPr>
        <w:pStyle w:val="5"/>
        <w:spacing w:before="120" w:after="120" w:line="360" w:lineRule="auto"/>
        <w:rPr>
          <w:rFonts w:ascii="仿宋" w:hAnsi="仿宋" w:eastAsia="仿宋" w:cs="仿宋"/>
          <w:b w:val="0"/>
          <w:color w:val="auto"/>
          <w:sz w:val="32"/>
          <w:szCs w:val="32"/>
        </w:rPr>
      </w:pPr>
      <w:r>
        <w:rPr>
          <w:rFonts w:hint="eastAsia" w:ascii="仿宋" w:hAnsi="仿宋" w:eastAsia="仿宋" w:cs="仿宋"/>
          <w:b w:val="0"/>
          <w:color w:val="auto"/>
          <w:sz w:val="32"/>
          <w:szCs w:val="32"/>
        </w:rPr>
        <w:t>8. 材料与设备</w:t>
      </w:r>
    </w:p>
    <w:p>
      <w:pPr>
        <w:rPr>
          <w:color w:val="auto"/>
        </w:rPr>
      </w:pPr>
      <w:r>
        <w:rPr>
          <w:rFonts w:hint="eastAsia" w:ascii="宋体" w:hAnsi="宋体" w:cs="宋体"/>
          <w:b/>
          <w:bCs/>
          <w:color w:val="auto"/>
          <w:shd w:val="clear" w:color="auto" w:fill="FFFFFF"/>
        </w:rPr>
        <w:t>8.1发包人提供的材料和工程设备</w:t>
      </w:r>
      <w:r>
        <w:rPr>
          <w:rFonts w:hint="eastAsia" w:eastAsia="仿宋_GB2312"/>
          <w:b/>
          <w:color w:val="auto"/>
          <w:sz w:val="24"/>
          <w:u w:val="single"/>
        </w:rPr>
        <w:t>发包人不供应材料和工程设备</w:t>
      </w:r>
    </w:p>
    <w:bookmarkEnd w:id="179"/>
    <w:bookmarkEnd w:id="180"/>
    <w:bookmarkEnd w:id="181"/>
    <w:bookmarkEnd w:id="182"/>
    <w:bookmarkEnd w:id="183"/>
    <w:bookmarkEnd w:id="184"/>
    <w:bookmarkEnd w:id="185"/>
    <w:bookmarkEnd w:id="186"/>
    <w:bookmarkEnd w:id="187"/>
    <w:bookmarkEnd w:id="188"/>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8.2 承包人采购材料与工程设备</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8.2.1 材料和工程设备供货</w:t>
      </w:r>
    </w:p>
    <w:p>
      <w:pPr>
        <w:spacing w:line="360" w:lineRule="auto"/>
        <w:ind w:firstLine="600" w:firstLineChars="200"/>
        <w:jc w:val="left"/>
        <w:rPr>
          <w:rFonts w:eastAsia="仿宋_GB2312"/>
          <w:color w:val="auto"/>
          <w:sz w:val="24"/>
        </w:rPr>
      </w:pPr>
      <w:r>
        <w:rPr>
          <w:rFonts w:hint="eastAsia" w:ascii="仿宋" w:hAnsi="仿宋" w:eastAsia="仿宋" w:cs="仿宋"/>
          <w:color w:val="auto"/>
          <w:sz w:val="30"/>
          <w:szCs w:val="32"/>
        </w:rPr>
        <w:t>（1）</w:t>
      </w:r>
      <w:r>
        <w:rPr>
          <w:rFonts w:hint="eastAsia" w:eastAsia="仿宋_GB2312"/>
          <w:color w:val="auto"/>
          <w:sz w:val="24"/>
        </w:rPr>
        <w:t>除专用合同条款另有约定外，承包人提供的材料和工程设备均由承包人负责采购、运输和保管。承包人应对其采购的材料和工程设备负责。</w:t>
      </w:r>
    </w:p>
    <w:p>
      <w:pPr>
        <w:pStyle w:val="2"/>
        <w:ind w:firstLine="480"/>
        <w:rPr>
          <w:rFonts w:hint="default" w:eastAsia="仿宋_GB2312"/>
          <w:color w:val="auto"/>
          <w:sz w:val="24"/>
        </w:rPr>
      </w:pPr>
      <w:r>
        <w:rPr>
          <w:rFonts w:eastAsia="仿宋_GB2312"/>
          <w:color w:val="auto"/>
          <w:sz w:val="24"/>
        </w:rPr>
        <w:t>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ind w:firstLine="480"/>
        <w:rPr>
          <w:color w:val="auto"/>
        </w:rPr>
      </w:pPr>
      <w:r>
        <w:rPr>
          <w:rFonts w:hint="eastAsia" w:eastAsia="仿宋_GB2312"/>
          <w:color w:val="auto"/>
          <w:sz w:val="24"/>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（2）根据湛江市人民政府《关于贯彻实施广东省促进散装水泥发展和应用规定的通知》湛府函[2011]329 号文的规定，本工程必须使用散装水泥和预拌混凝土、预拌砂浆、新型墙体材料。本工程禁止使用自拌混凝土、禁止使用实心红砖。</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（3）承包人不得向违规的商品混凝土、商品砂浆及新型墙体材料供应商(违规供应商名单，以湛江市住房和城乡建设局通报的名单为准)采购商品混凝土、商品砂浆及新型墙体材料。</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（4）主要工程材料由承包人提前10 天提供材料样品，经发包人、监理单位、设计单位确认样品后，由承包人按要求购买。发包人在承包人提交符合要求的材料样品后14 天内，组织设计、监理单位确认材料样品。</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8.2.2 本工程的所有材料和设备必须为国家合格产品且符合设计图纸的要求，且承包人不得使用国家明文禁止、淘汰的产品，不得使用来历不明的材料。所有主要工程材料和设备必须具备生产许可证、产品合格证书和说明书。</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（1）材料和设备应提前进场，材料和设备进场前承包人应将进场材料和设备的供货人及品种、规格、数量和供货时间等有关资料提交监理工程师和发包人代表确认，到货前至少提前24 小时，以书面形式通知发包人和监理工程师，由发包人代表及监理工程师共同验货并书面确认材料和设备是否合格(符合相关要求和标准)，必要时进行抽样送检。材料和设备经书面确认合格后方能进场、投入使用；经书面确认不合格的，全部材料和设备一律退场，相关责任及所造成的损失由承包人承担。</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（2）若材料和设备未经发包人代表和监理工程师书面确认而承包人擅自进场使用，一经发现，每次承包人必须向发包人交纳壹万元违约金，并由发包人代表及监理工程师对进场的材料和设备进行检验。</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①若材料和设备符合要求，继续使用；</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②若材料和设备不符合要求并已投入使用的，承包人须按照监理工程师的指令立即停止使用该批材料，并拆除、修复或重新采购，由此增加的费用和延误的工期由承包人承担；</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③若材料和设备不符合要求且未使用的，承包人须按照监理工程师的指令将其运出施工场地，经监理工程师确认退场完成后，方能按要求重新采购符合要求的材料和设备，由此增加的费用和延误的工期由承包人承担。</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8.2.3 若承包人未能在规定时间内按要求向发包人提供材料样品，因而导致材料不能按时采购而影响工期，由承包人负责，工期不予顺延；若发包人等单位未能在规定时间内确认材料样品，而导致材料不能按时采购延误工期的，由发包人负责。</w:t>
      </w:r>
    </w:p>
    <w:p>
      <w:pPr>
        <w:spacing w:line="360" w:lineRule="auto"/>
        <w:ind w:firstLine="480" w:firstLineChars="200"/>
        <w:jc w:val="left"/>
        <w:rPr>
          <w:rFonts w:ascii="宋体" w:hAnsi="宋体" w:cs="宋体"/>
          <w:b/>
          <w:bCs/>
          <w:color w:val="auto"/>
          <w:shd w:val="clear" w:color="auto" w:fill="FFFFFF"/>
          <w:lang w:val="zh-TW"/>
        </w:rPr>
      </w:pPr>
      <w:r>
        <w:rPr>
          <w:rFonts w:hint="eastAsia" w:eastAsia="仿宋_GB2312"/>
          <w:color w:val="auto"/>
          <w:sz w:val="24"/>
        </w:rPr>
        <w:t>8.3</w:t>
      </w:r>
      <w:r>
        <w:rPr>
          <w:rFonts w:hint="eastAsia" w:ascii="宋体" w:hAnsi="宋体" w:cs="宋体"/>
          <w:b/>
          <w:bCs/>
          <w:color w:val="auto"/>
          <w:shd w:val="clear" w:color="auto" w:fill="FFFFFF"/>
          <w:lang w:val="zh-TW"/>
        </w:rPr>
        <w:t>专用于工程的材料和工程设备</w:t>
      </w:r>
    </w:p>
    <w:p>
      <w:pPr>
        <w:spacing w:line="360" w:lineRule="auto"/>
        <w:ind w:firstLine="480" w:firstLineChars="200"/>
        <w:jc w:val="left"/>
        <w:rPr>
          <w:rFonts w:eastAsia="仿宋_GB2312"/>
          <w:color w:val="auto"/>
          <w:sz w:val="24"/>
          <w:lang w:val="zh-TW"/>
        </w:rPr>
      </w:pPr>
      <w:r>
        <w:rPr>
          <w:rFonts w:hint="eastAsia" w:eastAsia="仿宋_GB2312"/>
          <w:color w:val="auto"/>
          <w:sz w:val="24"/>
        </w:rPr>
        <w:t>8</w:t>
      </w:r>
      <w:r>
        <w:rPr>
          <w:rFonts w:hint="eastAsia" w:eastAsia="仿宋_GB2312"/>
          <w:color w:val="auto"/>
          <w:sz w:val="24"/>
          <w:lang w:val="zh-TW"/>
        </w:rPr>
        <w:t>.3.1运入施工场地的材料、工程设备，包括备品备件、安装专用工器具与随机资料，必须专用于合同约定范围内的工程，未经监理人同意，承包人不得运出施工场地或挪作他用。</w:t>
      </w:r>
    </w:p>
    <w:p>
      <w:pPr>
        <w:spacing w:after="120" w:line="360" w:lineRule="auto"/>
        <w:ind w:firstLine="480" w:firstLineChars="200"/>
        <w:rPr>
          <w:rFonts w:eastAsia="仿宋_GB2312"/>
          <w:color w:val="auto"/>
          <w:sz w:val="24"/>
          <w:lang w:val="zh-TW"/>
        </w:rPr>
      </w:pPr>
      <w:r>
        <w:rPr>
          <w:rFonts w:hint="eastAsia" w:eastAsia="仿宋_GB2312"/>
          <w:color w:val="auto"/>
          <w:sz w:val="24"/>
        </w:rPr>
        <w:t>8</w:t>
      </w:r>
      <w:r>
        <w:rPr>
          <w:rFonts w:hint="eastAsia" w:eastAsia="仿宋_GB2312"/>
          <w:color w:val="auto"/>
          <w:sz w:val="24"/>
          <w:lang w:val="zh-TW"/>
        </w:rPr>
        <w:t>.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2"/>
        </w:rPr>
        <w:t>8</w:t>
      </w:r>
      <w:bookmarkStart w:id="244" w:name="_Toc296503167"/>
      <w:bookmarkStart w:id="245" w:name="_Toc297048353"/>
      <w:bookmarkStart w:id="246" w:name="_Toc292559372"/>
      <w:bookmarkStart w:id="247" w:name="_Toc303539136"/>
      <w:bookmarkStart w:id="248" w:name="_Toc296890995"/>
      <w:bookmarkStart w:id="249" w:name="_Toc312677493"/>
      <w:bookmarkStart w:id="250" w:name="_Toc292559877"/>
      <w:bookmarkStart w:id="251" w:name="_Toc280868654"/>
      <w:bookmarkStart w:id="252" w:name="_Toc297216186"/>
      <w:bookmarkStart w:id="253" w:name="_Toc296891207"/>
      <w:bookmarkStart w:id="254" w:name="_Toc296347166"/>
      <w:bookmarkStart w:id="255" w:name="_Toc296944506"/>
      <w:bookmarkStart w:id="256" w:name="_Toc312678019"/>
      <w:bookmarkStart w:id="257" w:name="_Toc296346668"/>
      <w:bookmarkStart w:id="258" w:name="_Toc297123527"/>
      <w:bookmarkStart w:id="259" w:name="_Toc297120467"/>
      <w:bookmarkStart w:id="260" w:name="_Toc300934979"/>
      <w:bookmarkStart w:id="261" w:name="_Toc304295556"/>
      <w:bookmarkStart w:id="262" w:name="_Toc267251424"/>
      <w:bookmarkStart w:id="263" w:name="_Toc280868655"/>
      <w:bookmarkStart w:id="264" w:name="_Toc280868656"/>
      <w:r>
        <w:rPr>
          <w:rFonts w:hint="eastAsia" w:ascii="仿宋" w:hAnsi="仿宋" w:eastAsia="仿宋" w:cs="仿宋"/>
          <w:color w:val="auto"/>
          <w:sz w:val="30"/>
          <w:szCs w:val="32"/>
        </w:rPr>
        <w:t>.4材料与工程设备的保管与使用</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8</w:t>
      </w:r>
      <w:bookmarkStart w:id="265" w:name="_Toc292559373"/>
      <w:bookmarkStart w:id="266" w:name="_Toc292559878"/>
      <w:bookmarkStart w:id="267" w:name="_Toc296503168"/>
      <w:bookmarkStart w:id="268" w:name="_Toc296890996"/>
      <w:bookmarkStart w:id="269" w:name="_Toc297048354"/>
      <w:bookmarkStart w:id="270" w:name="_Toc297120468"/>
      <w:bookmarkStart w:id="271" w:name="_Toc296346669"/>
      <w:bookmarkStart w:id="272" w:name="_Toc304295557"/>
      <w:bookmarkStart w:id="273" w:name="_Toc312678020"/>
      <w:bookmarkStart w:id="274" w:name="_Toc296891208"/>
      <w:bookmarkStart w:id="275" w:name="_Toc318581173"/>
      <w:bookmarkStart w:id="276" w:name="_Toc296944507"/>
      <w:bookmarkStart w:id="277" w:name="_Toc303539137"/>
      <w:bookmarkStart w:id="278" w:name="_Toc312677494"/>
      <w:bookmarkStart w:id="279" w:name="_Toc296347167"/>
      <w:bookmarkStart w:id="280" w:name="_Toc297123528"/>
      <w:bookmarkStart w:id="281" w:name="_Toc297216187"/>
      <w:bookmarkStart w:id="282" w:name="_Toc300934980"/>
      <w:r>
        <w:rPr>
          <w:rFonts w:hint="eastAsia" w:ascii="仿宋" w:hAnsi="仿宋" w:eastAsia="仿宋" w:cs="仿宋"/>
          <w:color w:val="auto"/>
          <w:sz w:val="30"/>
          <w:szCs w:val="32"/>
        </w:rPr>
        <w:t>.4.1发包人供应的材料设备的保管费用的承担：无。</w:t>
      </w:r>
      <w:bookmarkEnd w:id="265"/>
      <w:bookmarkEnd w:id="266"/>
    </w:p>
    <w:p>
      <w:pPr>
        <w:spacing w:line="360" w:lineRule="auto"/>
        <w:ind w:firstLine="480" w:firstLineChars="200"/>
        <w:jc w:val="left"/>
        <w:rPr>
          <w:rFonts w:ascii="宋体" w:hAnsi="宋体" w:cs="宋体"/>
          <w:b/>
          <w:bCs/>
          <w:color w:val="auto"/>
          <w:shd w:val="clear" w:color="auto" w:fill="FFFFFF"/>
          <w:lang w:val="zh-TW"/>
        </w:rPr>
      </w:pPr>
      <w:r>
        <w:rPr>
          <w:rFonts w:hint="eastAsia" w:eastAsia="仿宋_GB2312"/>
          <w:color w:val="auto"/>
          <w:sz w:val="24"/>
        </w:rPr>
        <w:t>8.5</w:t>
      </w:r>
      <w:r>
        <w:rPr>
          <w:rFonts w:hint="eastAsia" w:eastAsia="仿宋_GB2312"/>
          <w:b/>
          <w:bCs/>
          <w:color w:val="auto"/>
          <w:sz w:val="24"/>
          <w:lang w:val="zh-TW"/>
        </w:rPr>
        <w:t>禁止使用不合格的材料和工程设备</w:t>
      </w:r>
    </w:p>
    <w:p>
      <w:pPr>
        <w:spacing w:line="360" w:lineRule="auto"/>
        <w:ind w:firstLine="480" w:firstLineChars="200"/>
        <w:jc w:val="left"/>
        <w:rPr>
          <w:rFonts w:eastAsia="仿宋_GB2312"/>
          <w:color w:val="auto"/>
          <w:sz w:val="24"/>
          <w:lang w:val="zh-TW"/>
        </w:rPr>
      </w:pPr>
      <w:r>
        <w:rPr>
          <w:rFonts w:hint="eastAsia" w:eastAsia="仿宋_GB2312"/>
          <w:color w:val="auto"/>
          <w:sz w:val="24"/>
        </w:rPr>
        <w:t>8</w:t>
      </w:r>
      <w:r>
        <w:rPr>
          <w:rFonts w:hint="eastAsia" w:eastAsia="仿宋_GB2312"/>
          <w:color w:val="auto"/>
          <w:sz w:val="24"/>
          <w:lang w:val="zh-TW"/>
        </w:rPr>
        <w:t>.</w:t>
      </w:r>
      <w:r>
        <w:rPr>
          <w:rFonts w:hint="eastAsia" w:eastAsia="仿宋_GB2312"/>
          <w:color w:val="auto"/>
          <w:sz w:val="24"/>
        </w:rPr>
        <w:t>5</w:t>
      </w:r>
      <w:r>
        <w:rPr>
          <w:rFonts w:hint="eastAsia" w:eastAsia="仿宋_GB2312"/>
          <w:color w:val="auto"/>
          <w:sz w:val="24"/>
          <w:lang w:val="zh-TW"/>
        </w:rPr>
        <w:t>.1监理人有权拒绝承包人提供的不合格材料或工程设备，并要求承包人立即进行更换。监理人应在更换后再次进行检查和检验，由此增加的费用和（或）工期延误由承包人承担。</w:t>
      </w:r>
    </w:p>
    <w:p>
      <w:pPr>
        <w:spacing w:line="360" w:lineRule="auto"/>
        <w:ind w:firstLine="480" w:firstLineChars="200"/>
        <w:jc w:val="left"/>
        <w:rPr>
          <w:rFonts w:eastAsia="仿宋_GB2312"/>
          <w:color w:val="auto"/>
          <w:sz w:val="24"/>
          <w:lang w:val="zh-TW"/>
        </w:rPr>
      </w:pPr>
      <w:r>
        <w:rPr>
          <w:rFonts w:hint="eastAsia" w:eastAsia="仿宋_GB2312"/>
          <w:color w:val="auto"/>
          <w:sz w:val="24"/>
        </w:rPr>
        <w:t>8</w:t>
      </w:r>
      <w:r>
        <w:rPr>
          <w:rFonts w:hint="eastAsia" w:eastAsia="仿宋_GB2312"/>
          <w:color w:val="auto"/>
          <w:sz w:val="24"/>
          <w:lang w:val="zh-TW"/>
        </w:rPr>
        <w:t>.</w:t>
      </w:r>
      <w:r>
        <w:rPr>
          <w:rFonts w:hint="eastAsia" w:eastAsia="仿宋_GB2312"/>
          <w:color w:val="auto"/>
          <w:sz w:val="24"/>
        </w:rPr>
        <w:t>5</w:t>
      </w:r>
      <w:r>
        <w:rPr>
          <w:rFonts w:hint="eastAsia" w:eastAsia="仿宋_GB2312"/>
          <w:color w:val="auto"/>
          <w:sz w:val="24"/>
          <w:lang w:val="zh-TW"/>
        </w:rPr>
        <w:t>.2监理人发现承包人使用了不合格的材料和工程设备，应即时发出指示要求承包人立即改正，并禁止在工程中继续使用不合格的材料和工程设备。</w:t>
      </w:r>
    </w:p>
    <w:p>
      <w:pPr>
        <w:spacing w:line="360" w:lineRule="auto"/>
        <w:ind w:firstLine="480" w:firstLineChars="200"/>
        <w:jc w:val="left"/>
        <w:rPr>
          <w:rFonts w:eastAsia="仿宋_GB2312"/>
          <w:color w:val="auto"/>
          <w:sz w:val="24"/>
        </w:rPr>
      </w:pPr>
      <w:r>
        <w:rPr>
          <w:rFonts w:hint="eastAsia" w:eastAsia="仿宋_GB2312"/>
          <w:color w:val="auto"/>
          <w:sz w:val="24"/>
        </w:rPr>
        <w:t>8</w:t>
      </w:r>
      <w:r>
        <w:rPr>
          <w:rFonts w:hint="eastAsia" w:eastAsia="仿宋_GB2312"/>
          <w:color w:val="auto"/>
          <w:sz w:val="24"/>
          <w:lang w:val="zh-TW"/>
        </w:rPr>
        <w:t>.</w:t>
      </w:r>
      <w:r>
        <w:rPr>
          <w:rFonts w:hint="eastAsia" w:eastAsia="仿宋_GB2312"/>
          <w:color w:val="auto"/>
          <w:sz w:val="24"/>
        </w:rPr>
        <w:t>5</w:t>
      </w:r>
      <w:r>
        <w:rPr>
          <w:rFonts w:hint="eastAsia" w:eastAsia="仿宋_GB2312"/>
          <w:color w:val="auto"/>
          <w:sz w:val="24"/>
          <w:lang w:val="zh-TW"/>
        </w:rPr>
        <w:t>.3发包人提供的材料或工程设备不符合合同要求的，承包人有权拒绝，并可要求发包人更换，由此增加的费用和（或）工期延误由发包人承担。</w:t>
      </w:r>
    </w:p>
    <w:bookmarkEnd w:id="262"/>
    <w:bookmarkEnd w:id="263"/>
    <w:bookmarkEnd w:id="264"/>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after="120" w:line="360" w:lineRule="auto"/>
        <w:ind w:firstLine="600" w:firstLineChars="200"/>
        <w:outlineLvl w:val="0"/>
        <w:rPr>
          <w:rFonts w:ascii="仿宋" w:hAnsi="仿宋" w:eastAsia="仿宋" w:cs="仿宋"/>
          <w:color w:val="auto"/>
          <w:sz w:val="30"/>
          <w:szCs w:val="32"/>
        </w:rPr>
      </w:pPr>
      <w:bookmarkStart w:id="283" w:name="_Toc25309"/>
      <w:bookmarkStart w:id="284" w:name="_Toc26231"/>
      <w:bookmarkStart w:id="285" w:name="_Toc267251442"/>
      <w:bookmarkStart w:id="286" w:name="_Toc267251435"/>
      <w:bookmarkStart w:id="287" w:name="_Toc267251439"/>
      <w:bookmarkStart w:id="288" w:name="_Toc296891022"/>
      <w:bookmarkStart w:id="289" w:name="_Toc267251433"/>
      <w:bookmarkStart w:id="290" w:name="_Toc300934990"/>
      <w:bookmarkStart w:id="291" w:name="_Toc292559904"/>
      <w:bookmarkStart w:id="292" w:name="_Toc297120494"/>
      <w:bookmarkStart w:id="293" w:name="_Toc312677500"/>
      <w:bookmarkStart w:id="294" w:name="_Toc296891234"/>
      <w:bookmarkStart w:id="295" w:name="_Toc297123541"/>
      <w:bookmarkStart w:id="296" w:name="_Toc296503194"/>
      <w:bookmarkStart w:id="297" w:name="_Toc303539147"/>
      <w:bookmarkStart w:id="298" w:name="_Toc312678026"/>
      <w:bookmarkStart w:id="299" w:name="_Toc292559399"/>
      <w:bookmarkStart w:id="300" w:name="_Toc267251440"/>
      <w:bookmarkStart w:id="301" w:name="_Toc304295567"/>
      <w:bookmarkStart w:id="302" w:name="_Toc267251437"/>
      <w:bookmarkStart w:id="303" w:name="_Toc296944533"/>
      <w:bookmarkStart w:id="304" w:name="_Toc296347193"/>
      <w:bookmarkStart w:id="305" w:name="_Toc267251441"/>
      <w:bookmarkStart w:id="306" w:name="_Toc296346695"/>
      <w:bookmarkStart w:id="307" w:name="_Toc297048380"/>
      <w:bookmarkStart w:id="308" w:name="_Toc297216200"/>
      <w:r>
        <w:rPr>
          <w:rFonts w:hint="eastAsia" w:ascii="仿宋" w:hAnsi="仿宋" w:eastAsia="仿宋" w:cs="仿宋"/>
          <w:color w:val="auto"/>
          <w:sz w:val="30"/>
          <w:szCs w:val="32"/>
        </w:rPr>
        <w:t>8.6 样品</w:t>
      </w:r>
      <w:bookmarkEnd w:id="283"/>
      <w:bookmarkEnd w:id="284"/>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8.6.1</w:t>
      </w:r>
      <w:r>
        <w:rPr>
          <w:rFonts w:hint="eastAsia" w:ascii="仿宋" w:hAnsi="仿宋" w:eastAsia="仿宋" w:cs="仿宋"/>
          <w:color w:val="auto"/>
          <w:sz w:val="30"/>
          <w:szCs w:val="32"/>
        </w:rPr>
        <w:tab/>
      </w:r>
      <w:r>
        <w:rPr>
          <w:rFonts w:hint="eastAsia" w:ascii="仿宋" w:hAnsi="仿宋" w:eastAsia="仿宋" w:cs="仿宋"/>
          <w:color w:val="auto"/>
          <w:sz w:val="30"/>
          <w:szCs w:val="32"/>
        </w:rPr>
        <w:t>样品的报送与封存</w:t>
      </w:r>
    </w:p>
    <w:p>
      <w:pPr>
        <w:autoSpaceDE w:val="0"/>
        <w:autoSpaceDN w:val="0"/>
        <w:adjustRightInd w:val="0"/>
        <w:spacing w:line="360" w:lineRule="auto"/>
        <w:ind w:firstLine="600" w:firstLineChars="200"/>
        <w:jc w:val="left"/>
        <w:rPr>
          <w:rFonts w:eastAsia="仿宋_GB2312"/>
          <w:color w:val="auto"/>
          <w:sz w:val="24"/>
          <w:u w:val="single"/>
          <w:lang w:val="zh-TW"/>
        </w:rPr>
      </w:pPr>
      <w:r>
        <w:rPr>
          <w:rFonts w:hint="eastAsia" w:ascii="仿宋" w:hAnsi="仿宋" w:eastAsia="仿宋" w:cs="仿宋"/>
          <w:color w:val="auto"/>
          <w:sz w:val="30"/>
          <w:szCs w:val="32"/>
        </w:rPr>
        <w:t>1）需要承包人报送样品的材料或工程设备，样品的种类、名称、规格、数量要求：</w:t>
      </w:r>
    </w:p>
    <w:p>
      <w:pPr>
        <w:autoSpaceDE w:val="0"/>
        <w:autoSpaceDN w:val="0"/>
        <w:adjustRightInd w:val="0"/>
        <w:spacing w:line="360" w:lineRule="auto"/>
        <w:ind w:firstLine="480" w:firstLineChars="200"/>
        <w:jc w:val="left"/>
        <w:rPr>
          <w:rFonts w:eastAsia="仿宋_GB2312"/>
          <w:color w:val="auto"/>
          <w:sz w:val="24"/>
        </w:rPr>
      </w:pPr>
      <w:r>
        <w:rPr>
          <w:rFonts w:hint="eastAsia" w:eastAsia="仿宋_GB2312"/>
          <w:color w:val="auto"/>
          <w:sz w:val="24"/>
          <w:u w:val="single"/>
          <w:lang w:val="zh-TW"/>
        </w:rPr>
        <w:t>承包人提供的材料和设备要求合格以上产品且产品的价格接近清单和合同的材料、设备，供发包人参考选择</w:t>
      </w:r>
      <w:r>
        <w:rPr>
          <w:rFonts w:hint="eastAsia" w:eastAsia="仿宋_GB2312"/>
          <w:color w:val="auto"/>
          <w:sz w:val="24"/>
          <w:u w:val="single"/>
        </w:rPr>
        <w:t>。</w:t>
      </w:r>
    </w:p>
    <w:p>
      <w:pPr>
        <w:spacing w:line="360" w:lineRule="auto"/>
        <w:ind w:firstLine="600" w:firstLineChars="200"/>
        <w:jc w:val="left"/>
        <w:rPr>
          <w:rFonts w:ascii="仿宋" w:hAnsi="仿宋" w:eastAsia="仿宋" w:cs="仿宋"/>
          <w:color w:val="auto"/>
          <w:sz w:val="30"/>
          <w:szCs w:val="32"/>
        </w:rPr>
      </w:pPr>
    </w:p>
    <w:p>
      <w:pPr>
        <w:spacing w:line="360" w:lineRule="auto"/>
        <w:ind w:firstLine="300" w:firstLineChars="100"/>
        <w:jc w:val="left"/>
        <w:rPr>
          <w:rFonts w:ascii="仿宋" w:hAnsi="仿宋" w:eastAsia="仿宋" w:cs="仿宋"/>
          <w:color w:val="auto"/>
          <w:sz w:val="30"/>
          <w:szCs w:val="32"/>
        </w:rPr>
      </w:pPr>
      <w:r>
        <w:rPr>
          <w:rFonts w:hint="eastAsia" w:ascii="仿宋" w:hAnsi="仿宋" w:eastAsia="仿宋" w:cs="仿宋"/>
          <w:color w:val="auto"/>
          <w:sz w:val="30"/>
          <w:szCs w:val="32"/>
        </w:rPr>
        <w:t xml:space="preserve"> 2）若承包人未能在规定时间内按要求向发包人提供材料样品，因而导致材料不能按时采购而影响工期，由承包人负责，工期不予顺延。</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8.8 施工设备和临时设施</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8.8.1 承包人提供的施工设备和临时设施</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关于修建临时设施费用承担的约定：由承包人承担。</w:t>
      </w:r>
      <w:bookmarkStart w:id="309" w:name="_Toc296891213"/>
      <w:bookmarkEnd w:id="309"/>
      <w:bookmarkStart w:id="310" w:name="_Toc297048359"/>
      <w:bookmarkEnd w:id="310"/>
      <w:bookmarkStart w:id="311" w:name="_Toc297123533"/>
      <w:bookmarkEnd w:id="311"/>
      <w:bookmarkStart w:id="312" w:name="_Toc312677495"/>
      <w:bookmarkEnd w:id="312"/>
      <w:bookmarkStart w:id="313" w:name="_Toc297120473"/>
      <w:bookmarkEnd w:id="313"/>
      <w:bookmarkStart w:id="314" w:name="_Toc296891001"/>
      <w:bookmarkEnd w:id="314"/>
      <w:bookmarkStart w:id="315" w:name="_Toc300934982"/>
      <w:bookmarkEnd w:id="315"/>
      <w:bookmarkStart w:id="316" w:name="_Toc296347172"/>
      <w:bookmarkEnd w:id="316"/>
      <w:bookmarkStart w:id="317" w:name="_Toc303539139"/>
      <w:bookmarkEnd w:id="317"/>
      <w:bookmarkStart w:id="318" w:name="_Toc296346674"/>
      <w:bookmarkEnd w:id="318"/>
      <w:bookmarkStart w:id="319" w:name="_Toc312678021"/>
      <w:bookmarkEnd w:id="319"/>
      <w:bookmarkStart w:id="320" w:name="_Toc267251427"/>
      <w:bookmarkEnd w:id="320"/>
      <w:bookmarkStart w:id="321" w:name="_Toc267251428"/>
      <w:bookmarkEnd w:id="321"/>
      <w:bookmarkStart w:id="322" w:name="_Toc297216192"/>
      <w:bookmarkEnd w:id="322"/>
      <w:bookmarkStart w:id="323" w:name="_Toc304295559"/>
      <w:bookmarkEnd w:id="323"/>
      <w:bookmarkStart w:id="324" w:name="_Toc292559378"/>
      <w:bookmarkEnd w:id="324"/>
      <w:bookmarkStart w:id="325" w:name="_Toc296944512"/>
      <w:bookmarkEnd w:id="325"/>
      <w:bookmarkStart w:id="326" w:name="_Toc292559883"/>
      <w:bookmarkEnd w:id="326"/>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9试验与检验</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9</w:t>
      </w:r>
      <w:bookmarkStart w:id="327" w:name="_Toc312677496"/>
      <w:bookmarkEnd w:id="327"/>
      <w:bookmarkStart w:id="328" w:name="_Toc297123534"/>
      <w:bookmarkEnd w:id="328"/>
      <w:bookmarkStart w:id="329" w:name="_Toc297216193"/>
      <w:bookmarkEnd w:id="329"/>
      <w:bookmarkStart w:id="330" w:name="_Toc300934983"/>
      <w:bookmarkEnd w:id="330"/>
      <w:bookmarkStart w:id="331" w:name="_Toc304295560"/>
      <w:bookmarkEnd w:id="331"/>
      <w:bookmarkStart w:id="332" w:name="_Toc303539140"/>
      <w:bookmarkEnd w:id="332"/>
      <w:bookmarkStart w:id="333" w:name="_Toc312678022"/>
      <w:r>
        <w:rPr>
          <w:rFonts w:hint="eastAsia" w:ascii="仿宋" w:hAnsi="仿宋" w:eastAsia="仿宋" w:cs="仿宋"/>
          <w:color w:val="auto"/>
          <w:sz w:val="30"/>
          <w:szCs w:val="32"/>
        </w:rPr>
        <w:t>.1</w:t>
      </w:r>
      <w:bookmarkEnd w:id="333"/>
      <w:r>
        <w:rPr>
          <w:rFonts w:hint="eastAsia" w:ascii="仿宋" w:hAnsi="仿宋" w:eastAsia="仿宋" w:cs="仿宋"/>
          <w:color w:val="auto"/>
          <w:sz w:val="30"/>
          <w:szCs w:val="32"/>
        </w:rPr>
        <w:t>试验设备与试验人员</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9</w:t>
      </w:r>
      <w:bookmarkStart w:id="334" w:name="_Toc300934984"/>
      <w:bookmarkEnd w:id="334"/>
      <w:bookmarkStart w:id="335" w:name="_Toc312678023"/>
      <w:bookmarkEnd w:id="335"/>
      <w:bookmarkStart w:id="336" w:name="_Toc297123535"/>
      <w:bookmarkEnd w:id="336"/>
      <w:bookmarkStart w:id="337" w:name="_Toc304295561"/>
      <w:bookmarkEnd w:id="337"/>
      <w:bookmarkStart w:id="338" w:name="_Toc318581174"/>
      <w:bookmarkEnd w:id="338"/>
      <w:bookmarkStart w:id="339" w:name="_Toc297216194"/>
      <w:bookmarkEnd w:id="339"/>
      <w:bookmarkStart w:id="340" w:name="_Toc303539141"/>
      <w:bookmarkEnd w:id="340"/>
      <w:bookmarkStart w:id="341" w:name="_Toc312677497"/>
      <w:r>
        <w:rPr>
          <w:rFonts w:hint="eastAsia" w:ascii="仿宋" w:hAnsi="仿宋" w:eastAsia="仿宋" w:cs="仿宋"/>
          <w:color w:val="auto"/>
          <w:sz w:val="30"/>
          <w:szCs w:val="32"/>
        </w:rPr>
        <w:t xml:space="preserve">.1.2 </w:t>
      </w:r>
      <w:bookmarkEnd w:id="341"/>
      <w:r>
        <w:rPr>
          <w:rFonts w:hint="eastAsia" w:ascii="仿宋" w:hAnsi="仿宋" w:eastAsia="仿宋" w:cs="仿宋"/>
          <w:color w:val="auto"/>
          <w:sz w:val="30"/>
          <w:szCs w:val="32"/>
        </w:rPr>
        <w:t>试验设备</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施工现场需要配置的试验场所：</w:t>
      </w:r>
      <w:bookmarkStart w:id="342" w:name="_Toc297123536"/>
      <w:bookmarkEnd w:id="342"/>
      <w:bookmarkStart w:id="343" w:name="_Toc300934985"/>
      <w:bookmarkEnd w:id="343"/>
      <w:bookmarkStart w:id="344" w:name="_Toc303539142"/>
      <w:bookmarkEnd w:id="344"/>
      <w:bookmarkStart w:id="345" w:name="_Toc304295562"/>
      <w:bookmarkEnd w:id="345"/>
      <w:bookmarkStart w:id="346" w:name="_Toc312677498"/>
      <w:bookmarkEnd w:id="346"/>
      <w:bookmarkStart w:id="347" w:name="_Toc312678024"/>
      <w:bookmarkEnd w:id="347"/>
      <w:bookmarkStart w:id="348" w:name="_Toc297216195"/>
      <w:bookmarkEnd w:id="348"/>
      <w:r>
        <w:rPr>
          <w:rFonts w:hint="eastAsia" w:eastAsia="仿宋_GB2312"/>
          <w:color w:val="auto"/>
          <w:sz w:val="24"/>
          <w:u w:val="single"/>
        </w:rPr>
        <w:t xml:space="preserve">  /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施工现场需要配备的试验设备：</w:t>
      </w:r>
      <w:r>
        <w:rPr>
          <w:rFonts w:hint="eastAsia" w:eastAsia="仿宋_GB2312"/>
          <w:color w:val="auto"/>
          <w:sz w:val="24"/>
          <w:u w:val="single"/>
        </w:rPr>
        <w:t xml:space="preserve">   /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施工现场需要具备的其他试验条件：</w:t>
      </w:r>
      <w:r>
        <w:rPr>
          <w:rFonts w:hint="eastAsia" w:eastAsia="仿宋_GB2312"/>
          <w:color w:val="auto"/>
          <w:sz w:val="24"/>
          <w:u w:val="single"/>
        </w:rPr>
        <w:t xml:space="preserve"> /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 xml:space="preserve">9.1.3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 xml:space="preserve">9.1.4监理人未按合同约定派员参加试验和检验的，除监理人另有指示外，承包人可自行试验和检验，并应立即将试验和检验结果报送监理人，监理人应签字确认。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 xml:space="preserve">9.1.5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 xml:space="preserve">9.1.6 现场材料试验 ：承包人根据合同约定或监理人指示进行的现场材料试验，应由承包人提供试验场所、试验人员、试验设备器材以及其他必要的试验条件。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 xml:space="preserve">9.1.7监理人在必要时可以使用承包人的试验场所、试验设备器材以及其他试验条件，进行以工程质量检查为目的的复核性材料试验，承包人应予以协助。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9.1.8材料和工程的检验检测需委托在遂溪县住建局备案并有资质的单位检验检测，才能委托材料和工程的检验检测，本工程所有材料和工程的检验检测费已包含在合同总价内，全部由承包人负责，发包人不再另外支付材料和工程的检验检测费。</w:t>
      </w:r>
    </w:p>
    <w:p>
      <w:pPr>
        <w:spacing w:line="360" w:lineRule="auto"/>
        <w:ind w:firstLine="600" w:firstLineChars="200"/>
        <w:jc w:val="left"/>
        <w:rPr>
          <w:rFonts w:ascii="仿宋" w:hAnsi="仿宋" w:eastAsia="仿宋" w:cs="仿宋"/>
          <w:color w:val="auto"/>
          <w:sz w:val="30"/>
          <w:szCs w:val="32"/>
        </w:rPr>
      </w:pPr>
      <w:bookmarkStart w:id="349" w:name="_Toc32597"/>
      <w:bookmarkEnd w:id="349"/>
      <w:r>
        <w:rPr>
          <w:rFonts w:hint="eastAsia" w:ascii="仿宋" w:hAnsi="仿宋" w:eastAsia="仿宋" w:cs="仿宋"/>
          <w:color w:val="auto"/>
          <w:sz w:val="30"/>
          <w:szCs w:val="32"/>
        </w:rPr>
        <w:t xml:space="preserve">9.4 现场工艺试验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 xml:space="preserve">现场工艺试验的有关约定： 承包人应按相关规定或监理人指示进行现场工艺试验。对大型的现场工艺试验，监理人认为必要时，应由承包人根据监理人提出的工艺试验要求，编制工艺试验措施计划，报送监理人批准。 </w:t>
      </w:r>
    </w:p>
    <w:p>
      <w:pPr>
        <w:spacing w:line="360" w:lineRule="auto"/>
        <w:ind w:firstLine="640" w:firstLineChars="200"/>
        <w:jc w:val="left"/>
        <w:rPr>
          <w:rFonts w:ascii="仿宋" w:hAnsi="仿宋" w:eastAsia="仿宋" w:cs="仿宋"/>
          <w:bCs/>
          <w:color w:val="auto"/>
          <w:sz w:val="32"/>
          <w:szCs w:val="32"/>
        </w:rPr>
      </w:pPr>
      <w:r>
        <w:rPr>
          <w:rFonts w:hint="eastAsia" w:ascii="仿宋" w:hAnsi="仿宋" w:eastAsia="仿宋" w:cs="仿宋"/>
          <w:bCs/>
          <w:color w:val="auto"/>
          <w:sz w:val="32"/>
          <w:szCs w:val="32"/>
        </w:rPr>
        <w:t>1</w:t>
      </w:r>
      <w:bookmarkStart w:id="350" w:name="_Toc312678025"/>
      <w:bookmarkEnd w:id="350"/>
      <w:bookmarkStart w:id="351" w:name="_Toc292559398"/>
      <w:bookmarkEnd w:id="351"/>
      <w:bookmarkStart w:id="352" w:name="_Toc296891233"/>
      <w:bookmarkEnd w:id="352"/>
      <w:bookmarkStart w:id="353" w:name="_Toc296346694"/>
      <w:bookmarkEnd w:id="353"/>
      <w:bookmarkStart w:id="354" w:name="_Toc296944532"/>
      <w:bookmarkEnd w:id="354"/>
      <w:bookmarkStart w:id="355" w:name="_Toc296347192"/>
      <w:bookmarkEnd w:id="355"/>
      <w:bookmarkStart w:id="356" w:name="_Toc297216199"/>
      <w:bookmarkEnd w:id="356"/>
      <w:bookmarkStart w:id="357" w:name="_Toc296891021"/>
      <w:bookmarkEnd w:id="357"/>
      <w:bookmarkStart w:id="358" w:name="_Toc300934989"/>
      <w:bookmarkEnd w:id="358"/>
      <w:bookmarkStart w:id="359" w:name="_Toc297123540"/>
      <w:bookmarkEnd w:id="359"/>
      <w:bookmarkStart w:id="360" w:name="_Toc297120493"/>
      <w:bookmarkEnd w:id="360"/>
      <w:bookmarkStart w:id="361" w:name="_Toc312677499"/>
      <w:bookmarkEnd w:id="361"/>
      <w:bookmarkStart w:id="362" w:name="_Toc292559903"/>
      <w:bookmarkEnd w:id="362"/>
      <w:bookmarkStart w:id="363" w:name="_Toc304295566"/>
      <w:bookmarkEnd w:id="363"/>
      <w:bookmarkStart w:id="364" w:name="_Toc297048379"/>
      <w:bookmarkEnd w:id="364"/>
      <w:bookmarkStart w:id="365" w:name="_Toc296503193"/>
      <w:bookmarkEnd w:id="365"/>
      <w:bookmarkStart w:id="366" w:name="_Toc303539146"/>
      <w:bookmarkEnd w:id="366"/>
      <w:r>
        <w:rPr>
          <w:rFonts w:hint="eastAsia" w:ascii="仿宋" w:hAnsi="仿宋" w:eastAsia="仿宋" w:cs="仿宋"/>
          <w:bCs/>
          <w:color w:val="auto"/>
          <w:sz w:val="32"/>
          <w:szCs w:val="32"/>
        </w:rPr>
        <w:t>0. 变更</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10.1变更的范围</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10.1.1关于变更的范围的约定：对本合同的工作内容和施工界面进行适当合理的调整（包括增加或减少部分工程）的权利：承包人必须服从发包人对工作内容和施工界面的调整。</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如实施过程中发现设计上有错误或严重不合理，承包人应以书面形式通知发包人和总监理工程师，经总监理工程师审查并报发包人同意后，由发包人与设计单位商定修改或变更设计方案进行实施。</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变更应由总监理工程师、发包人共同发出变更指令，没有总监理工程师、发包人共同发出的指令，承包人不得进行上述变更。</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因技术、水文、地质等原因确需进行重大设计变更的，由项目设计单位填写设计变更单，并经监理单位签署意见后，由发包人审查核准。</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按施工图纸实施使得工程量少于施工合同工程量清单相应数量的，则该项工程量减少不需要任何指令。</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所有涉及工期的变更均应获得发包人正式批准才能生效。</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10.1.2变更程序：所有现场签证必须按符合湛江市遂溪县建设工程签证变更管理实施意见的规定执行才能生效。</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 xml:space="preserve">10.1.3变更的情形包括但不限于：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 xml:space="preserve">（1）增加或减少合同中任何工作，或追加额外的工作；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 xml:space="preserve">（2）取消合同中任何工作，但转由他人实施的工作除外；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 xml:space="preserve">（3）改变合同中任何工作的质量标准或其他特性；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 xml:space="preserve">（4）改变工程的基线、标高、位置和尺寸；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 xml:space="preserve">（5）改变工程的时间安排或实施顺序。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 xml:space="preserve">（6）其他引起变更的情形。 </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10.1.5涉及设计变更的，应由设计人提供变更后的图纸和说明。如变更超过原设计标准或批准的建设规模时，发包人应及时办理规划、设计变更等审批手续。</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10.4.1 变更估价原则</w:t>
      </w:r>
    </w:p>
    <w:p>
      <w:pPr>
        <w:pStyle w:val="50"/>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关于变更估价的约定:</w:t>
      </w:r>
      <w:r>
        <w:rPr>
          <w:rFonts w:hint="eastAsia" w:eastAsia="仿宋_GB2312"/>
          <w:color w:val="auto"/>
          <w:sz w:val="24"/>
          <w:u w:val="single"/>
        </w:rPr>
        <w:t xml:space="preserve"> 发包人有权调整部分工程建设内容，发生设计变更由设计单位提供设计变更图纸或说明，承包人按照发包人批准的设计变更文件施工。除特殊情况经发包人批准外，凡涉及调整预算（合同价款）的工程变更和现场签证，必须经发包人、监理单位和承包人确认办妥手续后（（设计变更和现场签证所需附上的图纸须由设计单位确认）），承包人方能施工，增加预算应及时送监理人、发包人委托的造价咨询单位、发包人初审，必要时送遂溪县财政局部门审定。</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10.5承包人的合理化建议</w:t>
      </w:r>
    </w:p>
    <w:p>
      <w:pPr>
        <w:snapToGrid w:val="0"/>
        <w:spacing w:line="520" w:lineRule="exact"/>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监理人审查承包人合理化建议的期限：</w:t>
      </w:r>
      <w:r>
        <w:rPr>
          <w:rFonts w:hint="eastAsia" w:ascii="仿宋" w:hAnsi="仿宋" w:eastAsia="仿宋" w:cs="仿宋"/>
          <w:color w:val="auto"/>
          <w:sz w:val="30"/>
          <w:szCs w:val="30"/>
          <w:u w:val="single"/>
        </w:rPr>
        <w:t xml:space="preserve">  收到承包人合理化建议后7天内审核完成并向发包人汇报和把相关资料报送给发包人。</w:t>
      </w:r>
    </w:p>
    <w:p>
      <w:pPr>
        <w:snapToGrid w:val="0"/>
        <w:spacing w:line="520" w:lineRule="exact"/>
        <w:ind w:firstLine="600" w:firstLineChars="200"/>
        <w:jc w:val="left"/>
        <w:rPr>
          <w:rFonts w:ascii="仿宋" w:hAnsi="仿宋" w:eastAsia="仿宋" w:cs="仿宋"/>
          <w:color w:val="auto"/>
          <w:kern w:val="0"/>
          <w:sz w:val="30"/>
          <w:szCs w:val="32"/>
          <w:u w:val="single"/>
        </w:rPr>
      </w:pPr>
      <w:r>
        <w:rPr>
          <w:rFonts w:hint="eastAsia" w:ascii="仿宋" w:hAnsi="仿宋" w:eastAsia="仿宋" w:cs="仿宋"/>
          <w:color w:val="auto"/>
          <w:sz w:val="30"/>
          <w:szCs w:val="30"/>
        </w:rPr>
        <w:t>发包人审批承包人合理化建议的期限：</w:t>
      </w:r>
      <w:r>
        <w:rPr>
          <w:rFonts w:hint="eastAsia" w:ascii="仿宋" w:hAnsi="仿宋" w:eastAsia="仿宋" w:cs="仿宋"/>
          <w:color w:val="auto"/>
          <w:sz w:val="30"/>
          <w:szCs w:val="30"/>
          <w:u w:val="single"/>
        </w:rPr>
        <w:t>收到监理单位报送经监理审核的承包人合理化建议后15天内审核完成。</w:t>
      </w:r>
      <w:r>
        <w:rPr>
          <w:rFonts w:hint="eastAsia" w:ascii="仿宋" w:hAnsi="仿宋" w:eastAsia="仿宋" w:cs="仿宋"/>
          <w:color w:val="auto"/>
          <w:kern w:val="0"/>
          <w:sz w:val="30"/>
          <w:szCs w:val="32"/>
          <w:u w:val="single"/>
        </w:rPr>
        <w:t>合理化建议经发包人批准的，监理人应及时发出变更指示，发包人不同意变更的，监理人应书面通知承包人。</w:t>
      </w:r>
    </w:p>
    <w:p>
      <w:pPr>
        <w:snapToGrid w:val="0"/>
        <w:spacing w:line="520" w:lineRule="exact"/>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承包人提出的合理化建议降低了合同价格或者提高了工程经济效益的奖励的方法和金额为：</w:t>
      </w:r>
      <w:r>
        <w:rPr>
          <w:rFonts w:hint="eastAsia" w:eastAsia="仿宋_GB2312"/>
          <w:color w:val="auto"/>
          <w:sz w:val="24"/>
          <w:u w:val="single"/>
        </w:rPr>
        <w:t>无</w:t>
      </w:r>
    </w:p>
    <w:p>
      <w:pPr>
        <w:spacing w:after="120" w:line="360" w:lineRule="auto"/>
        <w:ind w:firstLine="600" w:firstLineChars="200"/>
        <w:outlineLvl w:val="0"/>
        <w:rPr>
          <w:rFonts w:ascii="仿宋" w:hAnsi="仿宋" w:eastAsia="仿宋" w:cs="仿宋"/>
          <w:color w:val="auto"/>
          <w:sz w:val="30"/>
          <w:szCs w:val="30"/>
        </w:rPr>
      </w:pPr>
      <w:bookmarkStart w:id="367" w:name="_Toc2533"/>
      <w:bookmarkStart w:id="368" w:name="_Toc7594"/>
      <w:r>
        <w:rPr>
          <w:rFonts w:hint="eastAsia" w:ascii="仿宋" w:hAnsi="仿宋" w:eastAsia="仿宋" w:cs="仿宋"/>
          <w:color w:val="auto"/>
          <w:sz w:val="30"/>
          <w:szCs w:val="30"/>
        </w:rPr>
        <w:t>10.7 暂估价</w:t>
      </w:r>
      <w:bookmarkEnd w:id="367"/>
      <w:bookmarkEnd w:id="368"/>
    </w:p>
    <w:p>
      <w:pPr>
        <w:spacing w:line="360" w:lineRule="auto"/>
        <w:ind w:left="596" w:leftChars="284"/>
        <w:jc w:val="left"/>
        <w:rPr>
          <w:rFonts w:ascii="仿宋" w:hAnsi="仿宋" w:eastAsia="仿宋" w:cs="仿宋"/>
          <w:color w:val="auto"/>
          <w:sz w:val="30"/>
          <w:szCs w:val="30"/>
        </w:rPr>
      </w:pPr>
      <w:r>
        <w:rPr>
          <w:rFonts w:hint="eastAsia" w:ascii="仿宋" w:hAnsi="仿宋" w:eastAsia="仿宋" w:cs="仿宋"/>
          <w:color w:val="auto"/>
          <w:kern w:val="0"/>
          <w:sz w:val="30"/>
          <w:szCs w:val="30"/>
        </w:rPr>
        <w:t>暂估价材料和工程设备的明细详见附件11：《</w:t>
      </w:r>
      <w:r>
        <w:rPr>
          <w:rFonts w:hint="eastAsia" w:ascii="仿宋" w:hAnsi="仿宋" w:eastAsia="仿宋" w:cs="仿宋"/>
          <w:color w:val="auto"/>
          <w:sz w:val="30"/>
          <w:szCs w:val="30"/>
        </w:rPr>
        <w:t>暂估价一览表》10.7.1 依法必须招标的暂估价项目</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对于依法必须招标的暂估价项目的确认和批准采取第按合同通用条款种方式确定。</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10.7.2 不属于依法必须招标的暂估价项目</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对于不属于依法必须招标的暂估价项目的确认和批准采取第按合同通用条款种方式确定。</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sz w:val="30"/>
          <w:szCs w:val="30"/>
        </w:rPr>
        <w:t>第3种方式：</w:t>
      </w:r>
      <w:r>
        <w:rPr>
          <w:rFonts w:hint="eastAsia" w:ascii="仿宋" w:hAnsi="仿宋" w:eastAsia="仿宋" w:cs="仿宋"/>
          <w:color w:val="auto"/>
          <w:kern w:val="0"/>
          <w:sz w:val="30"/>
          <w:szCs w:val="30"/>
        </w:rPr>
        <w:t>承包人直接实施的暂估价项目</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u w:val="single"/>
        </w:rPr>
        <w:t>承包人直接实施的暂估价项目的约定：</w:t>
      </w:r>
      <w:r>
        <w:rPr>
          <w:rFonts w:hint="eastAsia" w:ascii="仿宋" w:hAnsi="仿宋" w:eastAsia="仿宋" w:cs="仿宋"/>
          <w:color w:val="auto"/>
          <w:kern w:val="0"/>
          <w:sz w:val="30"/>
          <w:szCs w:val="32"/>
          <w:u w:val="single"/>
        </w:rPr>
        <w:t>承包人具备实施暂估价项目的资格和条件的，经发包人和承包人协商一致后，可由承包人自行实施暂估价项目，合同当事人可以在专用合同条款约定具体事项。</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10.8 暂列金额</w:t>
      </w:r>
    </w:p>
    <w:p>
      <w:pPr>
        <w:autoSpaceDE w:val="0"/>
        <w:autoSpaceDN w:val="0"/>
        <w:adjustRightInd w:val="0"/>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合同当事人关于暂列金额使用的约定：暂列金额应按照发包人的要求使用 ，办理程序必须</w:t>
      </w:r>
      <w:r>
        <w:rPr>
          <w:rFonts w:hint="eastAsia" w:ascii="仿宋" w:hAnsi="仿宋" w:eastAsia="仿宋" w:cs="仿宋"/>
          <w:b/>
          <w:bCs/>
          <w:color w:val="auto"/>
          <w:kern w:val="0"/>
          <w:sz w:val="30"/>
          <w:szCs w:val="30"/>
        </w:rPr>
        <w:t>按符合湛江市遂溪县建设工程签证变更管理实施意见的规定执行批准才能使用</w:t>
      </w:r>
      <w:r>
        <w:rPr>
          <w:rFonts w:hint="eastAsia" w:ascii="仿宋" w:hAnsi="仿宋" w:eastAsia="仿宋" w:cs="仿宋"/>
          <w:color w:val="auto"/>
          <w:kern w:val="0"/>
          <w:sz w:val="30"/>
          <w:szCs w:val="30"/>
        </w:rPr>
        <w:t>。</w:t>
      </w:r>
    </w:p>
    <w:p>
      <w:pPr>
        <w:spacing w:line="360" w:lineRule="auto"/>
        <w:ind w:firstLine="640" w:firstLineChars="200"/>
        <w:jc w:val="left"/>
        <w:rPr>
          <w:rFonts w:ascii="仿宋" w:hAnsi="仿宋" w:eastAsia="仿宋" w:cs="仿宋"/>
          <w:bCs/>
          <w:color w:val="auto"/>
          <w:sz w:val="32"/>
          <w:szCs w:val="32"/>
        </w:rPr>
      </w:pPr>
      <w:r>
        <w:rPr>
          <w:rFonts w:hint="eastAsia" w:ascii="仿宋" w:hAnsi="仿宋" w:eastAsia="仿宋" w:cs="仿宋"/>
          <w:bCs/>
          <w:color w:val="auto"/>
          <w:sz w:val="32"/>
          <w:szCs w:val="32"/>
        </w:rPr>
        <w:t>11. 价格调整</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11.1 市场价格波动引起的调整</w:t>
      </w:r>
    </w:p>
    <w:p>
      <w:pPr>
        <w:spacing w:line="360" w:lineRule="auto"/>
        <w:ind w:firstLine="482" w:firstLineChars="200"/>
        <w:jc w:val="left"/>
        <w:rPr>
          <w:rFonts w:eastAsia="仿宋_GB2312"/>
          <w:color w:val="auto"/>
          <w:sz w:val="24"/>
        </w:rPr>
      </w:pPr>
      <w:r>
        <w:rPr>
          <w:rFonts w:eastAsia="仿宋_GB2312"/>
          <w:b/>
          <w:color w:val="auto"/>
          <w:sz w:val="24"/>
          <w:u w:val="single"/>
        </w:rPr>
        <w:t>采用造价信息</w:t>
      </w:r>
      <w:r>
        <w:rPr>
          <w:rFonts w:hint="eastAsia" w:eastAsia="仿宋_GB2312"/>
          <w:b/>
          <w:color w:val="auto"/>
          <w:sz w:val="24"/>
          <w:u w:val="single"/>
        </w:rPr>
        <w:t>进行价格</w:t>
      </w:r>
      <w:r>
        <w:rPr>
          <w:rFonts w:eastAsia="仿宋_GB2312"/>
          <w:b/>
          <w:color w:val="auto"/>
          <w:sz w:val="24"/>
          <w:u w:val="single"/>
        </w:rPr>
        <w:t>调整</w:t>
      </w:r>
      <w:r>
        <w:rPr>
          <w:rFonts w:eastAsia="仿宋_GB2312"/>
          <w:color w:val="auto"/>
          <w:sz w:val="24"/>
        </w:rPr>
        <w:t>。</w:t>
      </w:r>
    </w:p>
    <w:p>
      <w:pPr>
        <w:spacing w:line="360" w:lineRule="auto"/>
        <w:ind w:firstLine="480" w:firstLineChars="200"/>
        <w:jc w:val="left"/>
        <w:rPr>
          <w:rFonts w:eastAsia="仿宋_GB2312"/>
          <w:color w:val="auto"/>
          <w:sz w:val="24"/>
        </w:rPr>
      </w:pPr>
      <w:r>
        <w:rPr>
          <w:rFonts w:hint="eastAsia" w:eastAsia="仿宋_GB2312"/>
          <w:color w:val="auto"/>
          <w:sz w:val="24"/>
        </w:rPr>
        <w:t>关于基准价格的约定：</w:t>
      </w:r>
      <w:r>
        <w:rPr>
          <w:rFonts w:hint="eastAsia" w:eastAsia="仿宋_GB2312"/>
          <w:b/>
          <w:bCs/>
          <w:color w:val="auto"/>
          <w:sz w:val="24"/>
          <w:u w:val="single"/>
        </w:rPr>
        <w:t>基准期价格是区财政部门审定预算所采用的《湛江建设工程造价信息》材料参考价对应月份的价格</w:t>
      </w:r>
      <w:r>
        <w:rPr>
          <w:rFonts w:hint="eastAsia" w:eastAsia="仿宋_GB2312"/>
          <w:b/>
          <w:bCs/>
          <w:color w:val="auto"/>
          <w:sz w:val="24"/>
        </w:rPr>
        <w:t>。</w:t>
      </w:r>
    </w:p>
    <w:p>
      <w:pPr>
        <w:spacing w:line="360" w:lineRule="auto"/>
        <w:ind w:firstLine="482" w:firstLineChars="200"/>
        <w:jc w:val="left"/>
        <w:rPr>
          <w:rFonts w:eastAsia="仿宋_GB2312"/>
          <w:b/>
          <w:color w:val="auto"/>
          <w:sz w:val="24"/>
          <w:u w:val="single"/>
        </w:rPr>
      </w:pPr>
      <w:r>
        <w:rPr>
          <w:rFonts w:hint="eastAsia" w:eastAsia="仿宋_GB2312"/>
          <w:b/>
          <w:color w:val="auto"/>
          <w:sz w:val="24"/>
          <w:u w:val="single"/>
        </w:rPr>
        <w:t xml:space="preserve">①承包人在已标价工程量清单或预算书中载明的材料单价低于基准价格的：专用合同条款合同履行期间材料单价涨幅以基准价格为基础超过 </w:t>
      </w:r>
      <w:r>
        <w:rPr>
          <w:rFonts w:eastAsia="仿宋_GB2312"/>
          <w:b/>
          <w:color w:val="auto"/>
          <w:sz w:val="24"/>
          <w:u w:val="single"/>
        </w:rPr>
        <w:t>5 %</w:t>
      </w:r>
      <w:r>
        <w:rPr>
          <w:rFonts w:hint="eastAsia" w:eastAsia="仿宋_GB2312"/>
          <w:b/>
          <w:color w:val="auto"/>
          <w:sz w:val="24"/>
          <w:u w:val="single"/>
        </w:rPr>
        <w:t>时，或材料单价跌幅以已标价工程量清单或预算书中载明材料单价为基础超过</w:t>
      </w:r>
      <w:r>
        <w:rPr>
          <w:rFonts w:eastAsia="仿宋_GB2312"/>
          <w:b/>
          <w:color w:val="auto"/>
          <w:sz w:val="24"/>
          <w:u w:val="single"/>
        </w:rPr>
        <w:t xml:space="preserve"> -5 %</w:t>
      </w:r>
      <w:r>
        <w:rPr>
          <w:rFonts w:hint="eastAsia" w:eastAsia="仿宋_GB2312"/>
          <w:b/>
          <w:color w:val="auto"/>
          <w:sz w:val="24"/>
          <w:u w:val="single"/>
        </w:rPr>
        <w:t>时，其超过部分据实调整。</w:t>
      </w:r>
    </w:p>
    <w:p>
      <w:pPr>
        <w:spacing w:line="360" w:lineRule="auto"/>
        <w:ind w:firstLine="482" w:firstLineChars="200"/>
        <w:jc w:val="left"/>
        <w:rPr>
          <w:rFonts w:eastAsia="仿宋_GB2312"/>
          <w:b/>
          <w:color w:val="auto"/>
          <w:sz w:val="24"/>
          <w:u w:val="single"/>
        </w:rPr>
      </w:pPr>
      <w:r>
        <w:rPr>
          <w:rFonts w:hint="eastAsia" w:eastAsia="仿宋_GB2312"/>
          <w:b/>
          <w:color w:val="auto"/>
          <w:sz w:val="24"/>
          <w:u w:val="single"/>
        </w:rPr>
        <w:t>②承包人在已标价工程量清单或预算书中载明的材料单价高于基准价格的：专用合同条款合同履行期间材料单价跌幅以基准价格为基础超过</w:t>
      </w:r>
      <w:r>
        <w:rPr>
          <w:rFonts w:eastAsia="仿宋_GB2312"/>
          <w:b/>
          <w:color w:val="auto"/>
          <w:sz w:val="24"/>
          <w:u w:val="single"/>
        </w:rPr>
        <w:t xml:space="preserve"> 5 %</w:t>
      </w:r>
      <w:r>
        <w:rPr>
          <w:rFonts w:hint="eastAsia" w:eastAsia="仿宋_GB2312"/>
          <w:b/>
          <w:color w:val="auto"/>
          <w:sz w:val="24"/>
          <w:u w:val="single"/>
        </w:rPr>
        <w:t>时，材料单价涨幅以已标价工程量清单或预算书中载明材料单价为基础超过</w:t>
      </w:r>
      <w:r>
        <w:rPr>
          <w:rFonts w:eastAsia="仿宋_GB2312"/>
          <w:b/>
          <w:color w:val="auto"/>
          <w:sz w:val="24"/>
          <w:u w:val="single"/>
        </w:rPr>
        <w:t xml:space="preserve"> 5 %</w:t>
      </w:r>
      <w:r>
        <w:rPr>
          <w:rFonts w:hint="eastAsia" w:eastAsia="仿宋_GB2312"/>
          <w:b/>
          <w:color w:val="auto"/>
          <w:sz w:val="24"/>
          <w:u w:val="single"/>
        </w:rPr>
        <w:t>时，其超过部分据实调整。</w:t>
      </w:r>
    </w:p>
    <w:p>
      <w:pPr>
        <w:spacing w:line="360" w:lineRule="auto"/>
        <w:ind w:firstLine="482" w:firstLineChars="200"/>
        <w:jc w:val="left"/>
        <w:rPr>
          <w:rFonts w:eastAsia="仿宋_GB2312"/>
          <w:color w:val="auto"/>
          <w:sz w:val="24"/>
        </w:rPr>
      </w:pPr>
      <w:r>
        <w:rPr>
          <w:rFonts w:hint="eastAsia" w:eastAsia="仿宋_GB2312"/>
          <w:b/>
          <w:color w:val="auto"/>
          <w:sz w:val="24"/>
          <w:u w:val="single"/>
        </w:rPr>
        <w:t>③承包人在已标价工程量清单或预算书中载明的材料单价等于基准单价的：专用合同条款合同履行期间材料单价涨跌幅以基准单价为基础超过</w:t>
      </w:r>
      <w:r>
        <w:rPr>
          <w:rFonts w:eastAsia="仿宋_GB2312"/>
          <w:b/>
          <w:color w:val="auto"/>
          <w:sz w:val="24"/>
          <w:u w:val="single"/>
        </w:rPr>
        <w:t>± 5 %</w:t>
      </w:r>
      <w:r>
        <w:rPr>
          <w:rFonts w:hint="eastAsia" w:eastAsia="仿宋_GB2312"/>
          <w:b/>
          <w:color w:val="auto"/>
          <w:sz w:val="24"/>
          <w:u w:val="single"/>
        </w:rPr>
        <w:t>时，其超过部分据实调整。</w:t>
      </w:r>
    </w:p>
    <w:p>
      <w:pPr>
        <w:pStyle w:val="5"/>
        <w:spacing w:before="120" w:after="120" w:line="360" w:lineRule="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12. 合同价格、计量与支付</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12.1 合同价格形式：固定</w:t>
      </w:r>
      <w:r>
        <w:rPr>
          <w:rFonts w:hint="eastAsia" w:ascii="仿宋" w:hAnsi="仿宋" w:eastAsia="仿宋" w:cs="仿宋"/>
          <w:b/>
          <w:color w:val="auto"/>
          <w:sz w:val="30"/>
          <w:szCs w:val="30"/>
          <w:u w:val="single"/>
        </w:rPr>
        <w:t>单价合同。</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b/>
          <w:color w:val="auto"/>
          <w:sz w:val="30"/>
          <w:szCs w:val="30"/>
        </w:rPr>
        <w:t>单价合同。</w:t>
      </w:r>
    </w:p>
    <w:p>
      <w:pPr>
        <w:autoSpaceDE w:val="0"/>
        <w:autoSpaceDN w:val="0"/>
        <w:adjustRightInd w:val="0"/>
        <w:spacing w:line="520" w:lineRule="exact"/>
        <w:ind w:firstLine="482"/>
        <w:jc w:val="left"/>
        <w:rPr>
          <w:rFonts w:ascii="仿宋" w:hAnsi="仿宋" w:eastAsia="仿宋" w:cs="仿宋"/>
          <w:color w:val="auto"/>
          <w:sz w:val="30"/>
          <w:szCs w:val="30"/>
        </w:rPr>
      </w:pPr>
      <w:r>
        <w:rPr>
          <w:rFonts w:hint="eastAsia" w:ascii="仿宋" w:hAnsi="仿宋" w:eastAsia="仿宋" w:cs="仿宋"/>
          <w:color w:val="auto"/>
          <w:sz w:val="30"/>
          <w:szCs w:val="30"/>
        </w:rPr>
        <w:t>综合单价包含的风险范围：</w:t>
      </w:r>
      <w:r>
        <w:rPr>
          <w:rFonts w:hint="eastAsia" w:ascii="仿宋" w:hAnsi="仿宋" w:eastAsia="仿宋" w:cs="仿宋"/>
          <w:b/>
          <w:bCs/>
          <w:color w:val="auto"/>
          <w:sz w:val="30"/>
          <w:szCs w:val="30"/>
          <w:u w:val="single"/>
        </w:rPr>
        <w:t xml:space="preserve">工程量按实际施工发生计算。承包人在投标报价时，已根据发包人在招标前提供的施工图纸、工程量清单，并结合企业自身实际情况以及招标前的施工现场情况与周围环境条件、工程地质条件等因素和风险进行综合报价。除实际施工图纸与招标图纸、地质资料与实际地质情况发生变化；工程量清单出现漏项、错项；实际施工现场情况与周围环境条件出现与招标前不同等因素而影响其综合单价以及国家法律、法规、规章和政策发生变化；省级或行业建设主管部门发布的人工、机械费调整（承包人对人工费、机械费或人工、机械单价的报价高于发布的除外）；由政府定价或政府指导价管理的原材料价格进行了调整等因素及风险可进行调整其综合单价外，其他因素及风险均由承包人进行综合考虑，不受市场上材料、设备、劳动力和运输价格的波动而改变，结算时综合单价按中标价中相应清单综合单价固定不变。 </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风险费用的计算方法：</w:t>
      </w:r>
      <w:r>
        <w:rPr>
          <w:rFonts w:hint="eastAsia" w:ascii="仿宋" w:hAnsi="仿宋" w:eastAsia="仿宋" w:cs="仿宋"/>
          <w:color w:val="auto"/>
          <w:sz w:val="30"/>
          <w:szCs w:val="30"/>
          <w:u w:val="single"/>
        </w:rPr>
        <w:t>风险费已包含在合同总价内，发包人不另支付风险费。</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风险范围以外合同价格的调整方法：</w:t>
      </w:r>
      <w:r>
        <w:rPr>
          <w:rFonts w:hint="eastAsia" w:ascii="仿宋" w:hAnsi="仿宋" w:eastAsia="仿宋" w:cs="仿宋"/>
          <w:color w:val="auto"/>
          <w:sz w:val="30"/>
          <w:szCs w:val="30"/>
          <w:u w:val="single"/>
        </w:rPr>
        <w:t>按 10.4.1和 11.1条款约定执行。</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2、总价合同。</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总价包含的风险范围：</w:t>
      </w:r>
      <w:r>
        <w:rPr>
          <w:rFonts w:hint="eastAsia" w:ascii="仿宋" w:hAnsi="仿宋" w:eastAsia="仿宋" w:cs="仿宋"/>
          <w:color w:val="auto"/>
          <w:sz w:val="30"/>
          <w:szCs w:val="30"/>
          <w:u w:val="single"/>
        </w:rPr>
        <w:t>无。</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风险费用的计算方法：。</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 xml:space="preserve">风险范围以外合同价格的调整方法：。       </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3、其他价格方式：。</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12.2 预付款</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12.2.1 预付款的支付</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预付款支付比例或金额：</w:t>
      </w:r>
      <w:r>
        <w:rPr>
          <w:rFonts w:hint="eastAsia" w:ascii="仿宋" w:hAnsi="仿宋" w:eastAsia="仿宋" w:cs="仿宋"/>
          <w:color w:val="auto"/>
          <w:sz w:val="30"/>
          <w:szCs w:val="30"/>
          <w:u w:val="single"/>
        </w:rPr>
        <w:t>预付款按合同价的30%拨付</w:t>
      </w:r>
      <w:r>
        <w:rPr>
          <w:rFonts w:hint="eastAsia" w:ascii="仿宋" w:hAnsi="仿宋" w:eastAsia="仿宋" w:cs="仿宋"/>
          <w:color w:val="auto"/>
          <w:sz w:val="30"/>
          <w:szCs w:val="30"/>
        </w:rPr>
        <w:t>。</w:t>
      </w:r>
    </w:p>
    <w:p>
      <w:pPr>
        <w:ind w:firstLine="560" w:firstLineChars="200"/>
        <w:rPr>
          <w:rFonts w:ascii="仿宋" w:hAnsi="仿宋" w:eastAsia="仿宋" w:cs="仿宋"/>
          <w:color w:val="auto"/>
        </w:rPr>
      </w:pPr>
      <w:r>
        <w:rPr>
          <w:rFonts w:hint="eastAsia" w:ascii="仿宋" w:hAnsi="仿宋" w:eastAsia="仿宋" w:cs="仿宋"/>
          <w:color w:val="auto"/>
          <w:sz w:val="28"/>
          <w:szCs w:val="28"/>
        </w:rPr>
        <w:t>合同生效、中标人提交履约担保后及施工人员、机械、设备进场，开工后7天内向发包人申请支付本工程的预付款，发包人为承包单位办理拨付预付款手续，预付款按合同价的30%拨付。在预付款支付前7天承包人需向发包人开具预付款等额的保函，发票等要件。</w:t>
      </w:r>
    </w:p>
    <w:p>
      <w:pPr>
        <w:ind w:firstLine="560" w:firstLineChars="200"/>
        <w:rPr>
          <w:rFonts w:ascii="仿宋" w:hAnsi="仿宋" w:eastAsia="仿宋" w:cs="仿宋"/>
          <w:color w:val="auto"/>
        </w:rPr>
      </w:pPr>
      <w:r>
        <w:rPr>
          <w:rFonts w:hint="eastAsia" w:ascii="仿宋" w:hAnsi="仿宋" w:eastAsia="仿宋" w:cs="仿宋"/>
          <w:bCs/>
          <w:color w:val="auto"/>
          <w:sz w:val="28"/>
          <w:szCs w:val="28"/>
        </w:rPr>
        <w:t>当工程累计进度款已支付超过合同总价的50％时，需对工程预付款分期扣回（工程款付至50%时扣回预付款的25%，付至60%时扣回预付款的25%，付至70%时扣回预付款的25%、付至80%时扣回预付款的25%），在工程进度款支付至合同总价的80%时扣完。预付款抵扣完后发包人退还承包人预付款保函。</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12.2.2 预付款担保</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承包人提交预付款担保的期限：</w:t>
      </w:r>
      <w:r>
        <w:rPr>
          <w:rFonts w:hint="eastAsia" w:eastAsia="仿宋_GB2312"/>
          <w:color w:val="auto"/>
          <w:sz w:val="24"/>
          <w:u w:val="single"/>
        </w:rPr>
        <w:t>合同签订后14日内</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预付款担保的形式为：</w:t>
      </w:r>
      <w:r>
        <w:rPr>
          <w:rFonts w:hint="eastAsia" w:ascii="仿宋" w:hAnsi="仿宋" w:eastAsia="仿宋" w:cs="仿宋"/>
          <w:color w:val="auto"/>
          <w:sz w:val="30"/>
          <w:szCs w:val="30"/>
          <w:u w:val="single"/>
        </w:rPr>
        <w:t>可采用银行保函或担保公司担保形式。</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12.3 计量</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12.3.1 计量原则</w:t>
      </w:r>
    </w:p>
    <w:p>
      <w:pPr>
        <w:widowControl/>
        <w:spacing w:line="360" w:lineRule="auto"/>
        <w:ind w:firstLine="426" w:firstLineChars="142"/>
        <w:rPr>
          <w:rFonts w:eastAsia="仿宋_GB2312"/>
          <w:color w:val="auto"/>
          <w:sz w:val="24"/>
          <w:u w:val="single"/>
        </w:rPr>
      </w:pPr>
      <w:r>
        <w:rPr>
          <w:rFonts w:hint="eastAsia" w:ascii="仿宋" w:hAnsi="仿宋" w:eastAsia="仿宋" w:cs="仿宋"/>
          <w:color w:val="auto"/>
          <w:sz w:val="30"/>
          <w:szCs w:val="30"/>
        </w:rPr>
        <w:t>工程量计算规则：</w:t>
      </w:r>
    </w:p>
    <w:p>
      <w:pPr>
        <w:widowControl/>
        <w:spacing w:line="360" w:lineRule="auto"/>
        <w:ind w:firstLine="340" w:firstLineChars="142"/>
        <w:rPr>
          <w:rFonts w:eastAsia="仿宋_GB2312"/>
          <w:color w:val="auto"/>
          <w:sz w:val="24"/>
          <w:u w:val="single"/>
        </w:rPr>
      </w:pPr>
      <w:r>
        <w:rPr>
          <w:rFonts w:hint="eastAsia" w:eastAsia="仿宋_GB2312"/>
          <w:color w:val="auto"/>
          <w:sz w:val="24"/>
          <w:u w:val="single"/>
        </w:rPr>
        <w:t>(1)本工程采用单价合同，因招标工程量偏差、工程变更引起工程量变化，承包人投报的综合单价固定不变。承包人投报的综合单价即工程结算综合单价。</w:t>
      </w:r>
    </w:p>
    <w:p>
      <w:pPr>
        <w:widowControl/>
        <w:spacing w:line="360" w:lineRule="auto"/>
        <w:ind w:firstLine="340" w:firstLineChars="142"/>
        <w:rPr>
          <w:rFonts w:eastAsia="仿宋_GB2312"/>
          <w:color w:val="auto"/>
          <w:sz w:val="24"/>
          <w:u w:val="single"/>
        </w:rPr>
      </w:pPr>
      <w:r>
        <w:rPr>
          <w:rFonts w:hint="eastAsia" w:eastAsia="仿宋_GB2312"/>
          <w:color w:val="auto"/>
          <w:sz w:val="24"/>
          <w:u w:val="single"/>
        </w:rPr>
        <w:t>(2)分部分项工程和单价措施项目工程量按承包人实际完成、经验收合格且应予计量的计算。</w:t>
      </w:r>
    </w:p>
    <w:p>
      <w:pPr>
        <w:widowControl/>
        <w:spacing w:line="360" w:lineRule="auto"/>
        <w:ind w:firstLine="340" w:firstLineChars="142"/>
        <w:rPr>
          <w:rFonts w:eastAsia="仿宋_GB2312"/>
          <w:color w:val="auto"/>
          <w:sz w:val="24"/>
          <w:u w:val="single"/>
        </w:rPr>
      </w:pPr>
      <w:r>
        <w:rPr>
          <w:rFonts w:hint="eastAsia" w:eastAsia="仿宋_GB2312"/>
          <w:color w:val="auto"/>
          <w:sz w:val="24"/>
          <w:u w:val="single"/>
        </w:rPr>
        <w:t>(3)“绿色施工安全防护措施费”结算按《广东省建设工程计价依据》(2018)中相应的规定执行。</w:t>
      </w:r>
    </w:p>
    <w:p>
      <w:pPr>
        <w:widowControl/>
        <w:spacing w:line="360" w:lineRule="auto"/>
        <w:ind w:firstLine="340" w:firstLineChars="142"/>
        <w:rPr>
          <w:rFonts w:eastAsia="仿宋_GB2312"/>
          <w:color w:val="auto"/>
          <w:sz w:val="24"/>
          <w:u w:val="single"/>
        </w:rPr>
      </w:pPr>
      <w:r>
        <w:rPr>
          <w:rFonts w:hint="eastAsia" w:eastAsia="仿宋_GB2312"/>
          <w:color w:val="auto"/>
          <w:sz w:val="24"/>
          <w:u w:val="single"/>
        </w:rPr>
        <w:t>(4)工程税金(增值税)按一般计税方法计算。</w:t>
      </w:r>
    </w:p>
    <w:p>
      <w:pPr>
        <w:widowControl/>
        <w:spacing w:line="360" w:lineRule="auto"/>
        <w:ind w:firstLine="340" w:firstLineChars="142"/>
        <w:rPr>
          <w:rFonts w:ascii="仿宋" w:hAnsi="仿宋" w:eastAsia="仿宋" w:cs="仿宋"/>
          <w:color w:val="auto"/>
          <w:sz w:val="30"/>
          <w:szCs w:val="30"/>
          <w:u w:val="single"/>
        </w:rPr>
      </w:pPr>
      <w:r>
        <w:rPr>
          <w:rFonts w:hint="eastAsia" w:eastAsia="仿宋_GB2312"/>
          <w:color w:val="auto"/>
          <w:sz w:val="24"/>
          <w:u w:val="single"/>
        </w:rPr>
        <w:t>以上(1)至(4)项计算，最终结算以遂溪县财政部门审定为准。</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12.3.2 计量周期</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关于计量周期的约定：</w:t>
      </w:r>
      <w:r>
        <w:rPr>
          <w:rFonts w:hint="eastAsia" w:ascii="仿宋" w:hAnsi="仿宋" w:eastAsia="仿宋" w:cs="仿宋"/>
          <w:color w:val="auto"/>
          <w:kern w:val="0"/>
          <w:sz w:val="28"/>
          <w:szCs w:val="28"/>
          <w:u w:val="single"/>
        </w:rPr>
        <w:t>工程量的计量按月计算。</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12.3.3 单价合同的计量</w:t>
      </w:r>
    </w:p>
    <w:p>
      <w:pPr>
        <w:spacing w:line="360" w:lineRule="auto"/>
        <w:ind w:firstLine="600" w:firstLineChars="200"/>
        <w:jc w:val="left"/>
        <w:rPr>
          <w:rFonts w:ascii="仿宋" w:hAnsi="仿宋" w:eastAsia="仿宋" w:cs="仿宋"/>
          <w:color w:val="auto"/>
          <w:kern w:val="0"/>
          <w:sz w:val="30"/>
          <w:szCs w:val="32"/>
        </w:rPr>
      </w:pPr>
      <w:r>
        <w:rPr>
          <w:rFonts w:hint="eastAsia" w:ascii="仿宋" w:hAnsi="仿宋" w:eastAsia="仿宋" w:cs="仿宋"/>
          <w:color w:val="auto"/>
          <w:sz w:val="30"/>
          <w:szCs w:val="30"/>
        </w:rPr>
        <w:t>12.3.3.1关于单价合同计量的约定：</w:t>
      </w:r>
      <w:r>
        <w:rPr>
          <w:rFonts w:hint="eastAsia" w:ascii="仿宋" w:hAnsi="仿宋" w:eastAsia="仿宋" w:cs="仿宋"/>
          <w:color w:val="auto"/>
          <w:kern w:val="0"/>
          <w:sz w:val="30"/>
          <w:szCs w:val="32"/>
        </w:rPr>
        <w:t>（1）承包人应于每月25日向监理人报送上月20日至当月19日实际已完成的工程量报告，并附具进度付款申请单、已完成工程量报表和有关质量验收及检测资料。</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12.3.3.2</w:t>
      </w:r>
      <w:r>
        <w:rPr>
          <w:rFonts w:hint="eastAsia" w:ascii="仿宋" w:hAnsi="仿宋" w:eastAsia="仿宋" w:cs="仿宋"/>
          <w:color w:val="auto"/>
          <w:kern w:val="0"/>
          <w:sz w:val="30"/>
          <w:szCs w:val="32"/>
        </w:rPr>
        <w:t>监理人应在收到承包人提交的工程量报告后7天内完成对承包人提交的工程量报表的审核并报送发包人，以确定当月实际完成的工程量。监理人</w:t>
      </w:r>
      <w:r>
        <w:rPr>
          <w:rFonts w:hint="eastAsia" w:ascii="仿宋" w:hAnsi="仿宋" w:eastAsia="仿宋" w:cs="仿宋"/>
          <w:bCs/>
          <w:color w:val="auto"/>
          <w:sz w:val="30"/>
          <w:szCs w:val="30"/>
        </w:rPr>
        <w:t>按质量达到合格要求核定，</w:t>
      </w:r>
      <w:r>
        <w:rPr>
          <w:rFonts w:hint="eastAsia" w:ascii="仿宋" w:hAnsi="仿宋" w:eastAsia="仿宋" w:cs="仿宋"/>
          <w:color w:val="auto"/>
          <w:kern w:val="0"/>
          <w:sz w:val="30"/>
          <w:szCs w:val="32"/>
        </w:rPr>
        <w:t>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12.3.4 总价合同的计量</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关于总价合同计量的约定：</w:t>
      </w:r>
      <w:r>
        <w:rPr>
          <w:rFonts w:hint="eastAsia" w:ascii="仿宋" w:hAnsi="仿宋" w:eastAsia="仿宋" w:cs="仿宋"/>
          <w:color w:val="auto"/>
          <w:sz w:val="30"/>
          <w:szCs w:val="30"/>
          <w:u w:val="single"/>
        </w:rPr>
        <w:t xml:space="preserve">无 </w:t>
      </w:r>
      <w:r>
        <w:rPr>
          <w:rFonts w:hint="eastAsia" w:ascii="仿宋" w:hAnsi="仿宋" w:eastAsia="仿宋" w:cs="仿宋"/>
          <w:color w:val="auto"/>
          <w:sz w:val="30"/>
          <w:szCs w:val="30"/>
        </w:rPr>
        <w:t>。</w:t>
      </w:r>
    </w:p>
    <w:p>
      <w:pPr>
        <w:spacing w:line="360" w:lineRule="auto"/>
        <w:ind w:left="596" w:leftChars="284"/>
        <w:rPr>
          <w:rFonts w:ascii="仿宋" w:hAnsi="仿宋" w:eastAsia="仿宋" w:cs="仿宋"/>
          <w:color w:val="auto"/>
          <w:sz w:val="30"/>
          <w:szCs w:val="30"/>
        </w:rPr>
      </w:pPr>
      <w:r>
        <w:rPr>
          <w:rFonts w:hint="eastAsia" w:ascii="仿宋" w:hAnsi="仿宋" w:eastAsia="仿宋" w:cs="仿宋"/>
          <w:color w:val="auto"/>
          <w:sz w:val="30"/>
          <w:szCs w:val="30"/>
        </w:rPr>
        <w:t>12.3.5总价合同采用支付分解表计量支付的，是否适用第</w:t>
      </w:r>
      <w:r>
        <w:rPr>
          <w:rFonts w:hint="eastAsia" w:ascii="仿宋" w:hAnsi="仿宋" w:eastAsia="仿宋" w:cs="仿宋"/>
          <w:color w:val="auto"/>
          <w:kern w:val="0"/>
          <w:sz w:val="30"/>
          <w:szCs w:val="30"/>
        </w:rPr>
        <w:t xml:space="preserve">12.3.4 </w:t>
      </w:r>
      <w:r>
        <w:rPr>
          <w:rFonts w:hint="eastAsia" w:ascii="仿宋" w:hAnsi="仿宋" w:eastAsia="仿宋" w:cs="仿宋"/>
          <w:color w:val="auto"/>
          <w:sz w:val="30"/>
          <w:szCs w:val="30"/>
        </w:rPr>
        <w:t>项</w:t>
      </w:r>
      <w:r>
        <w:rPr>
          <w:rFonts w:hint="eastAsia" w:ascii="仿宋" w:hAnsi="仿宋" w:eastAsia="仿宋" w:cs="仿宋"/>
          <w:color w:val="auto"/>
          <w:kern w:val="0"/>
          <w:sz w:val="30"/>
          <w:szCs w:val="30"/>
        </w:rPr>
        <w:t>〔总价合同的计量〕</w:t>
      </w:r>
      <w:r>
        <w:rPr>
          <w:rFonts w:hint="eastAsia" w:ascii="仿宋" w:hAnsi="仿宋" w:eastAsia="仿宋" w:cs="仿宋"/>
          <w:color w:val="auto"/>
          <w:sz w:val="30"/>
          <w:szCs w:val="30"/>
        </w:rPr>
        <w:t>约定进行计量：</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12.3.6 其他价格形式合同的计量</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其他价格形式的计量方式和程序：</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12.4 工程进度款支付</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12.4.1 付款周期</w:t>
      </w:r>
    </w:p>
    <w:p>
      <w:pPr>
        <w:spacing w:line="360" w:lineRule="auto"/>
        <w:ind w:firstLine="600" w:firstLineChars="200"/>
        <w:jc w:val="left"/>
        <w:rPr>
          <w:rFonts w:ascii="仿宋" w:hAnsi="仿宋" w:eastAsia="仿宋" w:cs="仿宋"/>
          <w:b/>
          <w:bCs/>
          <w:color w:val="auto"/>
          <w:sz w:val="30"/>
          <w:szCs w:val="30"/>
          <w:u w:val="single"/>
        </w:rPr>
      </w:pPr>
      <w:r>
        <w:rPr>
          <w:rFonts w:hint="eastAsia" w:ascii="仿宋" w:hAnsi="仿宋" w:eastAsia="仿宋" w:cs="仿宋"/>
          <w:color w:val="auto"/>
          <w:sz w:val="30"/>
          <w:szCs w:val="30"/>
        </w:rPr>
        <w:t>12.4.1.1关于付款周期的约定：</w:t>
      </w:r>
      <w:r>
        <w:rPr>
          <w:rFonts w:hint="eastAsia" w:ascii="仿宋" w:hAnsi="仿宋" w:eastAsia="仿宋" w:cs="仿宋"/>
          <w:b/>
          <w:bCs/>
          <w:color w:val="auto"/>
          <w:sz w:val="30"/>
          <w:szCs w:val="30"/>
          <w:u w:val="single"/>
        </w:rPr>
        <w:t>进度款按月完成进度的85%支付，承包人进入施工阶段后，承包人应在每月25日前向工程监理和发包人申报上月20 日至当月19 日实际完成合同工程量，监理工程师7天内审核完成并交给发包人，发包人接到进度款申报表进行审核后，按核定质量达到合格要求的已完工程进度的85%报区财政局和管委会领导批准后支付该月工程进度款。</w:t>
      </w:r>
    </w:p>
    <w:p>
      <w:pPr>
        <w:autoSpaceDE w:val="0"/>
        <w:autoSpaceDN w:val="0"/>
        <w:adjustRightInd w:val="0"/>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12.4.1.2 关于农民工工资的支付：承包人若在本项目中使用农民工，需按国家的有关规定制订保证民工工资支付的方案及保证措施，以附件形式附在本合同中，并在资金使用计划表中按月单列需支付的民工工资计划，并保证发包人不因任何由于我方在发放民工工资事宜上而受到任何处罚、诉讼和罚款。</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12.4.2 进度付款申请单的编制</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关于进度付款申请单编制的约定：</w:t>
      </w:r>
      <w:r>
        <w:rPr>
          <w:rFonts w:hint="eastAsia" w:ascii="仿宋" w:hAnsi="仿宋" w:eastAsia="仿宋" w:cs="仿宋"/>
          <w:b/>
          <w:bCs/>
          <w:color w:val="auto"/>
          <w:sz w:val="30"/>
          <w:szCs w:val="30"/>
          <w:u w:val="single"/>
        </w:rPr>
        <w:t>按通用条款 12.4.2 约定执行。</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12.4.3 进度付款申请单的提交</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（1）单价合同进度付款申请单提交的约定：</w:t>
      </w:r>
    </w:p>
    <w:p>
      <w:pPr>
        <w:pStyle w:val="2"/>
        <w:ind w:firstLine="602" w:firstLineChars="200"/>
        <w:rPr>
          <w:rFonts w:hint="default" w:ascii="仿宋" w:hAnsi="仿宋" w:eastAsia="仿宋" w:cs="仿宋"/>
          <w:bCs w:val="0"/>
          <w:color w:val="auto"/>
        </w:rPr>
      </w:pPr>
      <w:bookmarkStart w:id="369" w:name="_Toc1345"/>
      <w:bookmarkStart w:id="370" w:name="_Toc21586"/>
      <w:r>
        <w:rPr>
          <w:rFonts w:ascii="仿宋" w:hAnsi="仿宋" w:eastAsia="仿宋" w:cs="仿宋"/>
          <w:bCs w:val="0"/>
          <w:color w:val="auto"/>
          <w:sz w:val="30"/>
          <w:szCs w:val="30"/>
        </w:rPr>
        <w:t>①</w:t>
      </w:r>
      <w:r>
        <w:rPr>
          <w:rFonts w:ascii="仿宋" w:hAnsi="仿宋" w:eastAsia="仿宋" w:cs="仿宋"/>
          <w:bCs w:val="0"/>
          <w:color w:val="auto"/>
          <w:sz w:val="28"/>
          <w:szCs w:val="28"/>
        </w:rPr>
        <w:t>承包人应在每月25日前同时向工程监理工程师和发包人申报上月</w:t>
      </w:r>
      <w:r>
        <w:rPr>
          <w:rFonts w:ascii="仿宋" w:hAnsi="仿宋" w:eastAsia="仿宋" w:cs="仿宋"/>
          <w:bCs w:val="0"/>
          <w:color w:val="auto"/>
          <w:kern w:val="2"/>
          <w:sz w:val="30"/>
          <w:szCs w:val="30"/>
        </w:rPr>
        <w:t>20日至当月19日</w:t>
      </w:r>
      <w:r>
        <w:rPr>
          <w:rFonts w:ascii="仿宋" w:hAnsi="仿宋" w:eastAsia="仿宋" w:cs="仿宋"/>
          <w:bCs w:val="0"/>
          <w:color w:val="auto"/>
          <w:sz w:val="28"/>
          <w:szCs w:val="28"/>
        </w:rPr>
        <w:t>已完工的工程进度款，监理单位在收到进度报告7个日历天内审核完毕并交发包人，发包人在接到监理单位进度款审核结果10个日历天内审核完毕，核准支付承包人该月的工程进度款，交监理单位开具支付证书后向财政部门申请支付。拨付的相关工程款项如未能按期到账，在延期支付45天内，承包人不能停止施工，如有违反，发包人扣除当月进度款的0.1%。</w:t>
      </w:r>
      <w:bookmarkEnd w:id="369"/>
      <w:bookmarkEnd w:id="370"/>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②</w:t>
      </w:r>
      <w:r>
        <w:rPr>
          <w:rFonts w:hint="eastAsia" w:ascii="仿宋" w:hAnsi="仿宋" w:eastAsia="仿宋" w:cs="仿宋"/>
          <w:color w:val="auto"/>
          <w:sz w:val="28"/>
          <w:szCs w:val="28"/>
        </w:rPr>
        <w:t>监理单位和发包人按核定的质量达到合格要求的上月</w:t>
      </w:r>
      <w:r>
        <w:rPr>
          <w:rFonts w:hint="eastAsia" w:ascii="仿宋" w:hAnsi="仿宋" w:eastAsia="仿宋" w:cs="仿宋"/>
          <w:bCs/>
          <w:color w:val="auto"/>
          <w:kern w:val="0"/>
          <w:sz w:val="28"/>
          <w:szCs w:val="28"/>
        </w:rPr>
        <w:t>20 日至当月19 日已完</w:t>
      </w:r>
      <w:r>
        <w:rPr>
          <w:rFonts w:hint="eastAsia" w:ascii="仿宋" w:hAnsi="仿宋" w:eastAsia="仿宋" w:cs="仿宋"/>
          <w:color w:val="auto"/>
          <w:sz w:val="28"/>
          <w:szCs w:val="28"/>
        </w:rPr>
        <w:t>工程量的一定比例支付承包人上月工程进度款（尚应抵扣预付款等）。其中原施工图已完工程量按85％的比例支付；施工过程中，按规定所调整的造价（包括设计变更增减工程造价和现场签证增减工程造价列入当月进度款中同时支付，设计变更或现场签证增减工程款拨付原则：经湛江市遂溪县财政部门审核的按80%拨付。</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③</w:t>
      </w:r>
      <w:r>
        <w:rPr>
          <w:rFonts w:hint="eastAsia" w:ascii="仿宋" w:hAnsi="仿宋" w:eastAsia="仿宋" w:cs="仿宋"/>
          <w:color w:val="auto"/>
          <w:sz w:val="28"/>
          <w:szCs w:val="40"/>
        </w:rPr>
        <w:t>工程价款（含预付款、单列支付的绿色施工安全防护措施</w:t>
      </w:r>
      <w:r>
        <w:rPr>
          <w:rFonts w:hint="eastAsia" w:ascii="仿宋" w:hAnsi="仿宋" w:eastAsia="仿宋" w:cs="仿宋"/>
          <w:bCs/>
          <w:color w:val="auto"/>
          <w:sz w:val="28"/>
          <w:szCs w:val="40"/>
        </w:rPr>
        <w:t>费</w:t>
      </w:r>
      <w:r>
        <w:rPr>
          <w:rFonts w:hint="eastAsia" w:ascii="仿宋" w:hAnsi="仿宋" w:eastAsia="仿宋" w:cs="仿宋"/>
          <w:color w:val="auto"/>
          <w:sz w:val="28"/>
          <w:szCs w:val="40"/>
        </w:rPr>
        <w:t>和施工进度款）累计支付到合同价的90％后暂停，余款待工程竣工验收并结算经湛江市遂溪县财政局审核确认后，扣留 3% 质量保证金后支付剩余工程结算款。人工、物价波动引起的价格调整在施工进度款中不予考虑，结算时计列。</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④</w:t>
      </w:r>
      <w:r>
        <w:rPr>
          <w:rFonts w:hint="eastAsia" w:ascii="仿宋" w:hAnsi="仿宋" w:eastAsia="仿宋" w:cs="仿宋"/>
          <w:color w:val="auto"/>
          <w:sz w:val="28"/>
          <w:szCs w:val="28"/>
        </w:rPr>
        <w:t>发包人按有关法律、法规向承包人拨付工程款，本工程款必须汇入中标人的工程专用帐户）。</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⑤</w:t>
      </w:r>
      <w:r>
        <w:rPr>
          <w:rFonts w:hint="eastAsia" w:ascii="仿宋" w:hAnsi="仿宋" w:eastAsia="仿宋" w:cs="仿宋"/>
          <w:color w:val="auto"/>
          <w:sz w:val="28"/>
          <w:szCs w:val="28"/>
        </w:rPr>
        <w:t>每次支付承包人需向发包人开具同等金额的有效增值税专用发票。</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（2）总价合同进度付款申请单提交的约定：</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（3）其他价格形式合同进度付款申请单提交的约定：</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12.4.4 进度款审核和支付</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（1）监理人审查并报送发包人的期限：</w:t>
      </w:r>
      <w:r>
        <w:rPr>
          <w:rFonts w:hint="eastAsia" w:ascii="仿宋" w:hAnsi="仿宋" w:eastAsia="仿宋" w:cs="仿宋"/>
          <w:color w:val="auto"/>
          <w:sz w:val="30"/>
          <w:szCs w:val="30"/>
          <w:u w:val="single"/>
        </w:rPr>
        <w:t xml:space="preserve">7天 </w:t>
      </w:r>
      <w:r>
        <w:rPr>
          <w:rFonts w:hint="eastAsia" w:ascii="仿宋" w:hAnsi="仿宋" w:eastAsia="仿宋" w:cs="仿宋"/>
          <w:color w:val="auto"/>
          <w:sz w:val="30"/>
          <w:szCs w:val="30"/>
        </w:rPr>
        <w:t>。</w:t>
      </w:r>
    </w:p>
    <w:p>
      <w:pPr>
        <w:autoSpaceDE w:val="0"/>
        <w:autoSpaceDN w:val="0"/>
        <w:adjustRightInd w:val="0"/>
        <w:jc w:val="left"/>
        <w:rPr>
          <w:rFonts w:ascii="仿宋" w:hAnsi="仿宋" w:eastAsia="仿宋" w:cs="仿宋"/>
          <w:color w:val="auto"/>
          <w:sz w:val="30"/>
          <w:szCs w:val="30"/>
          <w:u w:val="single"/>
        </w:rPr>
      </w:pPr>
      <w:r>
        <w:rPr>
          <w:rFonts w:hint="eastAsia" w:ascii="仿宋" w:hAnsi="仿宋" w:eastAsia="仿宋" w:cs="仿宋"/>
          <w:color w:val="auto"/>
          <w:sz w:val="30"/>
          <w:szCs w:val="30"/>
        </w:rPr>
        <w:t>发包人完成审批并签发进度款支付证书的期限：</w:t>
      </w:r>
      <w:r>
        <w:rPr>
          <w:rFonts w:hint="eastAsia" w:ascii="仿宋" w:hAnsi="仿宋" w:eastAsia="仿宋" w:cs="仿宋"/>
          <w:color w:val="auto"/>
          <w:sz w:val="30"/>
          <w:szCs w:val="30"/>
          <w:u w:val="single"/>
        </w:rPr>
        <w:t>发包人应在收到监理人提交的工程进度款的确认材料后10 天内完成审批并向财政部门申请支付工程款。</w:t>
      </w:r>
    </w:p>
    <w:p>
      <w:pPr>
        <w:autoSpaceDE w:val="0"/>
        <w:autoSpaceDN w:val="0"/>
        <w:adjustRightInd w:val="0"/>
        <w:jc w:val="left"/>
        <w:rPr>
          <w:rFonts w:ascii="仿宋" w:hAnsi="仿宋" w:eastAsia="仿宋" w:cs="仿宋"/>
          <w:color w:val="auto"/>
          <w:sz w:val="30"/>
          <w:szCs w:val="30"/>
          <w:u w:val="single"/>
        </w:rPr>
      </w:pPr>
      <w:r>
        <w:rPr>
          <w:rFonts w:hint="eastAsia" w:ascii="仿宋" w:hAnsi="仿宋" w:eastAsia="仿宋" w:cs="仿宋"/>
          <w:color w:val="auto"/>
          <w:sz w:val="30"/>
          <w:szCs w:val="30"/>
        </w:rPr>
        <w:t>（2）发包人支付进度款的期限：</w:t>
      </w:r>
      <w:r>
        <w:rPr>
          <w:rFonts w:hint="eastAsia" w:ascii="仿宋" w:hAnsi="仿宋" w:eastAsia="仿宋" w:cs="仿宋"/>
          <w:color w:val="auto"/>
          <w:sz w:val="30"/>
          <w:szCs w:val="30"/>
          <w:u w:val="single"/>
        </w:rPr>
        <w:t>发包人在合同约定的支付期限内向财政部门提交请款申请即视为按时支付。</w:t>
      </w:r>
    </w:p>
    <w:p>
      <w:pPr>
        <w:spacing w:line="360" w:lineRule="auto"/>
        <w:ind w:firstLine="750" w:firstLineChars="250"/>
        <w:jc w:val="left"/>
        <w:rPr>
          <w:rFonts w:ascii="仿宋" w:hAnsi="仿宋" w:eastAsia="仿宋" w:cs="仿宋"/>
          <w:color w:val="auto"/>
          <w:sz w:val="30"/>
          <w:szCs w:val="30"/>
        </w:rPr>
      </w:pPr>
      <w:r>
        <w:rPr>
          <w:rFonts w:hint="eastAsia" w:ascii="仿宋" w:hAnsi="仿宋" w:eastAsia="仿宋" w:cs="仿宋"/>
          <w:color w:val="auto"/>
          <w:sz w:val="30"/>
          <w:szCs w:val="30"/>
        </w:rPr>
        <w:t>发包人逾期支付进度款的违约金的计算方式：</w:t>
      </w:r>
      <w:r>
        <w:rPr>
          <w:rFonts w:hint="eastAsia" w:ascii="仿宋" w:hAnsi="仿宋" w:eastAsia="仿宋" w:cs="仿宋"/>
          <w:color w:val="auto"/>
          <w:sz w:val="30"/>
          <w:szCs w:val="30"/>
          <w:u w:val="single"/>
        </w:rPr>
        <w:t xml:space="preserve">无 </w:t>
      </w:r>
      <w:r>
        <w:rPr>
          <w:rFonts w:hint="eastAsia" w:ascii="仿宋" w:hAnsi="仿宋" w:eastAsia="仿宋" w:cs="仿宋"/>
          <w:color w:val="auto"/>
          <w:sz w:val="30"/>
          <w:szCs w:val="30"/>
        </w:rPr>
        <w:t>。</w:t>
      </w:r>
    </w:p>
    <w:p>
      <w:pPr>
        <w:spacing w:line="360" w:lineRule="auto"/>
        <w:ind w:firstLine="750" w:firstLineChars="250"/>
        <w:jc w:val="left"/>
        <w:rPr>
          <w:rFonts w:ascii="仿宋" w:hAnsi="仿宋" w:eastAsia="仿宋" w:cs="仿宋"/>
          <w:color w:val="auto"/>
          <w:sz w:val="30"/>
          <w:szCs w:val="30"/>
        </w:rPr>
      </w:pPr>
      <w:r>
        <w:rPr>
          <w:rFonts w:hint="eastAsia" w:ascii="仿宋" w:hAnsi="仿宋" w:eastAsia="仿宋" w:cs="仿宋"/>
          <w:color w:val="auto"/>
          <w:sz w:val="30"/>
          <w:szCs w:val="30"/>
        </w:rPr>
        <w:t>12.4.6 支付分解表的编制</w:t>
      </w:r>
    </w:p>
    <w:p>
      <w:pPr>
        <w:spacing w:line="360" w:lineRule="auto"/>
        <w:ind w:left="6000" w:hanging="6000" w:hangingChars="2000"/>
        <w:jc w:val="left"/>
        <w:rPr>
          <w:rFonts w:ascii="仿宋" w:hAnsi="仿宋" w:eastAsia="仿宋" w:cs="仿宋"/>
          <w:color w:val="auto"/>
          <w:sz w:val="30"/>
          <w:szCs w:val="30"/>
        </w:rPr>
      </w:pPr>
      <w:r>
        <w:rPr>
          <w:rFonts w:hint="eastAsia" w:ascii="仿宋" w:hAnsi="仿宋" w:eastAsia="仿宋" w:cs="仿宋"/>
          <w:color w:val="auto"/>
          <w:sz w:val="30"/>
          <w:szCs w:val="30"/>
        </w:rPr>
        <w:t>2、总价合同支付分解表的编制与审批：</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3、单价合同的总价项目支付分解表的编制与审批：</w:t>
      </w:r>
      <w:r>
        <w:rPr>
          <w:rFonts w:hint="eastAsia" w:ascii="仿宋" w:hAnsi="仿宋" w:eastAsia="仿宋" w:cs="仿宋"/>
          <w:color w:val="auto"/>
          <w:sz w:val="30"/>
          <w:szCs w:val="30"/>
          <w:u w:val="single"/>
        </w:rPr>
        <w:t xml:space="preserve">按规定办理 </w:t>
      </w:r>
      <w:r>
        <w:rPr>
          <w:rFonts w:hint="eastAsia" w:ascii="仿宋" w:hAnsi="仿宋" w:eastAsia="仿宋" w:cs="仿宋"/>
          <w:color w:val="auto"/>
          <w:sz w:val="30"/>
          <w:szCs w:val="30"/>
        </w:rPr>
        <w:t>。</w:t>
      </w:r>
    </w:p>
    <w:p>
      <w:pPr>
        <w:pStyle w:val="5"/>
        <w:spacing w:before="120" w:after="120" w:line="360" w:lineRule="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13. 验收和工程试车</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13.1 分部分项工程验收</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13.1.2监理人不能按时进行验收时，应提前</w:t>
      </w:r>
      <w:r>
        <w:rPr>
          <w:rFonts w:hint="eastAsia" w:ascii="仿宋" w:hAnsi="仿宋" w:eastAsia="仿宋" w:cs="仿宋"/>
          <w:color w:val="auto"/>
          <w:sz w:val="30"/>
          <w:szCs w:val="30"/>
          <w:u w:val="single"/>
        </w:rPr>
        <w:t>48</w:t>
      </w:r>
      <w:r>
        <w:rPr>
          <w:rFonts w:hint="eastAsia" w:ascii="仿宋" w:hAnsi="仿宋" w:eastAsia="仿宋" w:cs="仿宋"/>
          <w:color w:val="auto"/>
          <w:sz w:val="30"/>
          <w:szCs w:val="30"/>
        </w:rPr>
        <w:t>小时提交书面延期要求。</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关于延期最长不得超过：</w:t>
      </w:r>
      <w:r>
        <w:rPr>
          <w:rFonts w:hint="eastAsia" w:ascii="仿宋" w:hAnsi="仿宋" w:eastAsia="仿宋" w:cs="仿宋"/>
          <w:color w:val="auto"/>
          <w:sz w:val="30"/>
          <w:szCs w:val="30"/>
          <w:u w:val="single"/>
        </w:rPr>
        <w:t>24</w:t>
      </w:r>
      <w:r>
        <w:rPr>
          <w:rFonts w:hint="eastAsia" w:ascii="仿宋" w:hAnsi="仿宋" w:eastAsia="仿宋" w:cs="仿宋"/>
          <w:color w:val="auto"/>
          <w:sz w:val="30"/>
          <w:szCs w:val="30"/>
        </w:rPr>
        <w:t>小时。</w:t>
      </w:r>
    </w:p>
    <w:p>
      <w:pPr>
        <w:pStyle w:val="2"/>
        <w:spacing w:line="520" w:lineRule="atLeast"/>
        <w:ind w:firstLine="602" w:firstLineChars="200"/>
        <w:rPr>
          <w:rFonts w:hint="default" w:ascii="仿宋" w:hAnsi="仿宋" w:eastAsia="仿宋" w:cs="仿宋"/>
          <w:color w:val="auto"/>
          <w:sz w:val="30"/>
          <w:szCs w:val="30"/>
        </w:rPr>
      </w:pPr>
      <w:bookmarkStart w:id="371" w:name="_Toc18329"/>
      <w:bookmarkStart w:id="372" w:name="_Toc14059"/>
      <w:r>
        <w:rPr>
          <w:rFonts w:ascii="仿宋" w:hAnsi="仿宋" w:eastAsia="仿宋" w:cs="仿宋"/>
          <w:color w:val="auto"/>
          <w:sz w:val="30"/>
          <w:szCs w:val="30"/>
        </w:rPr>
        <w:t>13.1.3承包人应提前48个小时通知项目发包人、设计、监理等有关部门验收。验收合格后，才能进入下一道工序的施工；验收不合格，承包人需重新修改直至验收合格为止。</w:t>
      </w:r>
      <w:bookmarkEnd w:id="371"/>
      <w:bookmarkEnd w:id="372"/>
    </w:p>
    <w:p>
      <w:pPr>
        <w:spacing w:line="520" w:lineRule="atLeast"/>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13.1.4工程隐蔽和工序验收承包人应提前48个小时通知发包人、设计、监理等有关部门验收。验收合格后，才能进入下一道工序的施工；验收不合格，承包人需重新修改直至验收合格为止。</w:t>
      </w:r>
    </w:p>
    <w:p>
      <w:pPr>
        <w:rPr>
          <w:rFonts w:ascii="仿宋" w:hAnsi="仿宋" w:eastAsia="仿宋" w:cs="仿宋"/>
          <w:color w:val="auto"/>
        </w:rPr>
      </w:pP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13.2 竣工验收</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13.2.2竣工验收程序</w:t>
      </w:r>
    </w:p>
    <w:p>
      <w:pPr>
        <w:spacing w:line="360" w:lineRule="auto"/>
        <w:ind w:firstLine="600" w:firstLineChars="200"/>
        <w:jc w:val="left"/>
        <w:rPr>
          <w:rFonts w:ascii="仿宋" w:hAnsi="仿宋" w:eastAsia="仿宋" w:cs="仿宋"/>
          <w:color w:val="auto"/>
          <w:kern w:val="0"/>
          <w:sz w:val="30"/>
          <w:szCs w:val="30"/>
          <w:u w:val="single"/>
        </w:rPr>
      </w:pPr>
      <w:r>
        <w:rPr>
          <w:rFonts w:hint="eastAsia" w:ascii="仿宋" w:hAnsi="仿宋" w:eastAsia="仿宋" w:cs="仿宋"/>
          <w:color w:val="auto"/>
          <w:kern w:val="0"/>
          <w:sz w:val="30"/>
          <w:szCs w:val="30"/>
        </w:rPr>
        <w:t>关于竣工验收程序的约定：</w:t>
      </w:r>
      <w:r>
        <w:rPr>
          <w:rFonts w:hint="eastAsia" w:ascii="仿宋" w:hAnsi="仿宋" w:eastAsia="仿宋" w:cs="仿宋"/>
          <w:color w:val="auto"/>
          <w:kern w:val="0"/>
          <w:sz w:val="30"/>
          <w:szCs w:val="30"/>
          <w:u w:val="single"/>
        </w:rPr>
        <w:t>按合同通用条款13.2.2约定执行。</w:t>
      </w:r>
    </w:p>
    <w:p>
      <w:pPr>
        <w:spacing w:line="360" w:lineRule="auto"/>
        <w:ind w:firstLine="600" w:firstLineChars="200"/>
        <w:jc w:val="left"/>
        <w:rPr>
          <w:rFonts w:ascii="仿宋" w:hAnsi="仿宋" w:eastAsia="仿宋" w:cs="仿宋"/>
          <w:color w:val="auto"/>
          <w:kern w:val="0"/>
          <w:sz w:val="30"/>
          <w:szCs w:val="30"/>
          <w:u w:val="single"/>
        </w:rPr>
      </w:pPr>
      <w:r>
        <w:rPr>
          <w:rFonts w:hint="eastAsia" w:ascii="仿宋" w:hAnsi="仿宋" w:eastAsia="仿宋" w:cs="仿宋"/>
          <w:color w:val="auto"/>
          <w:kern w:val="0"/>
          <w:sz w:val="30"/>
          <w:szCs w:val="30"/>
          <w:u w:val="single"/>
        </w:rPr>
        <w:t>承包人应在竣工验收 20 天后，向发包人提供竣工资料一式5份，声像资料一式 5 份。</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kern w:val="0"/>
          <w:sz w:val="30"/>
          <w:szCs w:val="30"/>
        </w:rPr>
        <w:t>发包人不按照本项约定组织竣工验收、颁发工程接收证书的违约金的计算方法：</w:t>
      </w:r>
      <w:r>
        <w:rPr>
          <w:rFonts w:hint="eastAsia" w:ascii="仿宋" w:hAnsi="仿宋" w:eastAsia="仿宋" w:cs="仿宋"/>
          <w:color w:val="auto"/>
          <w:sz w:val="30"/>
          <w:szCs w:val="30"/>
          <w:u w:val="single"/>
        </w:rPr>
        <w:t xml:space="preserve">无 </w:t>
      </w:r>
      <w:r>
        <w:rPr>
          <w:rFonts w:hint="eastAsia" w:ascii="仿宋" w:hAnsi="仿宋" w:eastAsia="仿宋" w:cs="仿宋"/>
          <w:color w:val="auto"/>
          <w:sz w:val="30"/>
          <w:szCs w:val="30"/>
        </w:rPr>
        <w:t>。</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13.2.5移交、接收全部与部分工程</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承包人向发包人移交工程的期限：</w:t>
      </w:r>
      <w:r>
        <w:rPr>
          <w:rFonts w:hint="eastAsia" w:ascii="仿宋" w:hAnsi="仿宋" w:eastAsia="仿宋" w:cs="仿宋"/>
          <w:color w:val="auto"/>
          <w:kern w:val="0"/>
          <w:sz w:val="30"/>
          <w:szCs w:val="30"/>
          <w:u w:val="single"/>
        </w:rPr>
        <w:t>验收合格后30天内承包人向发包人移交工程</w:t>
      </w:r>
      <w:r>
        <w:rPr>
          <w:rFonts w:hint="eastAsia" w:ascii="仿宋" w:hAnsi="仿宋" w:eastAsia="仿宋" w:cs="仿宋"/>
          <w:color w:val="auto"/>
          <w:kern w:val="0"/>
          <w:sz w:val="30"/>
          <w:szCs w:val="30"/>
        </w:rPr>
        <w:t>。</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发包人未按本合同约定接收全部或部分工程的，违约金的计算方法为：</w:t>
      </w:r>
      <w:r>
        <w:rPr>
          <w:rFonts w:hint="eastAsia" w:ascii="仿宋" w:hAnsi="仿宋" w:eastAsia="仿宋" w:cs="仿宋"/>
          <w:color w:val="auto"/>
          <w:kern w:val="0"/>
          <w:sz w:val="30"/>
          <w:szCs w:val="30"/>
          <w:u w:val="single"/>
        </w:rPr>
        <w:t xml:space="preserve">发包人无正当理由不接收工程的，发包人自应当接收工程之日起，承担工程照管、成品保护、保管等与工程有关的各项费用 </w:t>
      </w:r>
      <w:r>
        <w:rPr>
          <w:rFonts w:hint="eastAsia" w:ascii="仿宋" w:hAnsi="仿宋" w:eastAsia="仿宋" w:cs="仿宋"/>
          <w:color w:val="auto"/>
          <w:kern w:val="0"/>
          <w:sz w:val="30"/>
          <w:szCs w:val="30"/>
        </w:rPr>
        <w:t>。</w:t>
      </w:r>
    </w:p>
    <w:p>
      <w:pPr>
        <w:spacing w:line="360" w:lineRule="auto"/>
        <w:ind w:firstLine="600" w:firstLineChars="200"/>
        <w:jc w:val="left"/>
        <w:rPr>
          <w:rFonts w:ascii="仿宋" w:hAnsi="仿宋" w:eastAsia="仿宋" w:cs="仿宋"/>
          <w:color w:val="auto"/>
          <w:kern w:val="0"/>
          <w:sz w:val="30"/>
          <w:szCs w:val="30"/>
          <w:u w:val="single"/>
        </w:rPr>
      </w:pPr>
      <w:r>
        <w:rPr>
          <w:rFonts w:hint="eastAsia" w:ascii="仿宋" w:hAnsi="仿宋" w:eastAsia="仿宋" w:cs="仿宋"/>
          <w:color w:val="auto"/>
          <w:kern w:val="0"/>
          <w:sz w:val="30"/>
          <w:szCs w:val="30"/>
        </w:rPr>
        <w:t>承包人未按时移交工程的，违约金的计算方法为：</w:t>
      </w:r>
      <w:r>
        <w:rPr>
          <w:rFonts w:hint="eastAsia" w:ascii="仿宋" w:hAnsi="仿宋" w:eastAsia="仿宋" w:cs="仿宋"/>
          <w:color w:val="auto"/>
          <w:kern w:val="0"/>
          <w:sz w:val="30"/>
          <w:szCs w:val="30"/>
          <w:u w:val="single"/>
        </w:rPr>
        <w:t>承包人无正当理由不移交工程的，承包人应承担工程照管、成品保护、保管等与工程有关的各项费用。并移交每延长一天承包人需向发包人支付2000元违约金。</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因承包人原因造成工期延误，逾期竣工违约金的计算方法：按专用合同条款的第7.5.2条款约定。</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13.3 工程试车</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13.3.1 试车程序</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kern w:val="0"/>
          <w:sz w:val="30"/>
          <w:szCs w:val="30"/>
        </w:rPr>
        <w:t>工程试车内容：</w:t>
      </w:r>
      <w:r>
        <w:rPr>
          <w:rFonts w:hint="eastAsia" w:ascii="仿宋" w:hAnsi="仿宋" w:eastAsia="仿宋" w:cs="仿宋"/>
          <w:color w:val="auto"/>
          <w:sz w:val="30"/>
          <w:szCs w:val="30"/>
          <w:u w:val="single"/>
        </w:rPr>
        <w:t xml:space="preserve">                   /            </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（1）单机无负荷试车费用由</w:t>
      </w:r>
      <w:r>
        <w:rPr>
          <w:rFonts w:hint="eastAsia" w:ascii="仿宋" w:hAnsi="仿宋" w:eastAsia="仿宋" w:cs="仿宋"/>
          <w:color w:val="auto"/>
          <w:sz w:val="30"/>
          <w:szCs w:val="30"/>
          <w:u w:val="single"/>
        </w:rPr>
        <w:t xml:space="preserve">        /             </w:t>
      </w:r>
      <w:r>
        <w:rPr>
          <w:rFonts w:hint="eastAsia" w:ascii="仿宋" w:hAnsi="仿宋" w:eastAsia="仿宋" w:cs="仿宋"/>
          <w:color w:val="auto"/>
          <w:kern w:val="0"/>
          <w:sz w:val="30"/>
          <w:szCs w:val="30"/>
        </w:rPr>
        <w:t>承担；</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（2）无负荷联动试车费用由</w:t>
      </w:r>
      <w:r>
        <w:rPr>
          <w:rFonts w:hint="eastAsia" w:ascii="仿宋" w:hAnsi="仿宋" w:eastAsia="仿宋" w:cs="仿宋"/>
          <w:color w:val="auto"/>
          <w:sz w:val="30"/>
          <w:szCs w:val="30"/>
          <w:u w:val="single"/>
        </w:rPr>
        <w:t xml:space="preserve">        /             </w:t>
      </w:r>
      <w:r>
        <w:rPr>
          <w:rFonts w:hint="eastAsia" w:ascii="仿宋" w:hAnsi="仿宋" w:eastAsia="仿宋" w:cs="仿宋"/>
          <w:color w:val="auto"/>
          <w:kern w:val="0"/>
          <w:sz w:val="30"/>
          <w:szCs w:val="30"/>
        </w:rPr>
        <w:t>承担。</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13.3.3 投料试车</w:t>
      </w:r>
    </w:p>
    <w:p>
      <w:pPr>
        <w:spacing w:line="360" w:lineRule="auto"/>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关于投料试车相关事项的约定：</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w:t>
      </w:r>
    </w:p>
    <w:p>
      <w:pPr>
        <w:spacing w:after="120" w:line="360" w:lineRule="auto"/>
        <w:ind w:firstLine="600" w:firstLineChars="200"/>
        <w:outlineLvl w:val="0"/>
        <w:rPr>
          <w:rFonts w:ascii="仿宋" w:hAnsi="仿宋" w:eastAsia="仿宋" w:cs="仿宋"/>
          <w:color w:val="auto"/>
          <w:sz w:val="30"/>
          <w:szCs w:val="30"/>
        </w:rPr>
      </w:pPr>
      <w:bookmarkStart w:id="373" w:name="_Toc29479"/>
      <w:bookmarkStart w:id="374" w:name="_Toc2098"/>
      <w:r>
        <w:rPr>
          <w:rFonts w:hint="eastAsia" w:ascii="仿宋" w:hAnsi="仿宋" w:eastAsia="仿宋" w:cs="仿宋"/>
          <w:color w:val="auto"/>
          <w:sz w:val="30"/>
          <w:szCs w:val="30"/>
        </w:rPr>
        <w:t>13.6 竣工退场</w:t>
      </w:r>
      <w:bookmarkEnd w:id="373"/>
      <w:bookmarkEnd w:id="374"/>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13.6.1 竣工退场</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承包人完成竣工退场的期限：工程竣工验收后，除经监理工程师同意需在缺陷责任期内继续工作的人员、使用的施工设备和临时设施外，其余的人员、施工设备和临时设备、临时设施等均应按监理工程师要求撤离施工场地或拆除。</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承包人必须在工程竣工验收合格后30 天内或发包人规定的时间内（发包人将提前通知承包人），无条件清退所有施工场地以及施工现场的清洁。</w:t>
      </w:r>
    </w:p>
    <w:p>
      <w:pPr>
        <w:pStyle w:val="5"/>
        <w:spacing w:before="120" w:after="120" w:line="360" w:lineRule="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14. 竣工结算</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14.1 竣工结算申请</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承包人提交竣工结算申请单的期限：</w:t>
      </w:r>
      <w:r>
        <w:rPr>
          <w:rFonts w:hint="eastAsia" w:ascii="仿宋" w:hAnsi="仿宋" w:eastAsia="仿宋" w:cs="仿宋"/>
          <w:color w:val="auto"/>
          <w:sz w:val="30"/>
          <w:szCs w:val="30"/>
          <w:u w:val="single"/>
        </w:rPr>
        <w:t>承包人应在工程竣工验收合格后30天内向发包人和监理人提交竣工结算申请单，并提交完整符合财政审核结算资料，竣工结算审核申请单的资料清单一式三份。</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竣工结算申请单应包括的内容：</w:t>
      </w:r>
      <w:r>
        <w:rPr>
          <w:rFonts w:hint="eastAsia" w:ascii="仿宋" w:hAnsi="仿宋" w:eastAsia="仿宋" w:cs="仿宋"/>
          <w:color w:val="auto"/>
          <w:sz w:val="30"/>
          <w:szCs w:val="30"/>
          <w:u w:val="single"/>
        </w:rPr>
        <w:t>经财政审核确认的竣工结算书、竣工验收证书、施工合同、发包人已支付承包人的款项、应扣留的质量保证金、应扣除违约金及发包人应支付承包人的合同价款申请，有效增值税专用发票。</w:t>
      </w:r>
    </w:p>
    <w:p>
      <w:pPr>
        <w:spacing w:after="120" w:line="360" w:lineRule="auto"/>
        <w:ind w:firstLine="600" w:firstLineChars="200"/>
        <w:outlineLvl w:val="0"/>
        <w:rPr>
          <w:rFonts w:ascii="仿宋" w:hAnsi="仿宋" w:eastAsia="仿宋" w:cs="仿宋"/>
          <w:color w:val="auto"/>
          <w:sz w:val="30"/>
          <w:szCs w:val="30"/>
        </w:rPr>
      </w:pPr>
      <w:bookmarkStart w:id="375" w:name="_Toc11547"/>
      <w:bookmarkStart w:id="376" w:name="_Toc16112"/>
      <w:r>
        <w:rPr>
          <w:rFonts w:hint="eastAsia" w:ascii="仿宋" w:hAnsi="仿宋" w:eastAsia="仿宋" w:cs="仿宋"/>
          <w:color w:val="auto"/>
          <w:sz w:val="30"/>
          <w:szCs w:val="30"/>
        </w:rPr>
        <w:t>14.2 竣工结算审核</w:t>
      </w:r>
      <w:bookmarkEnd w:id="375"/>
      <w:bookmarkEnd w:id="376"/>
    </w:p>
    <w:p>
      <w:pPr>
        <w:autoSpaceDE w:val="0"/>
        <w:autoSpaceDN w:val="0"/>
        <w:adjustRightInd w:val="0"/>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14.2.1发包人审批竣工付款申请单的期限：</w:t>
      </w:r>
      <w:r>
        <w:rPr>
          <w:rFonts w:hint="eastAsia" w:ascii="仿宋" w:hAnsi="仿宋" w:eastAsia="仿宋" w:cs="仿宋"/>
          <w:color w:val="auto"/>
          <w:sz w:val="30"/>
          <w:szCs w:val="30"/>
          <w:u w:val="single"/>
        </w:rPr>
        <w:t>监理单位和发包人（或由发包人委托第三方服务单位）在30 个日历天内初步审核后向财政部门报送项目竣工结算。</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14.2.2发包人完成竣工付款的期限：</w:t>
      </w:r>
      <w:r>
        <w:rPr>
          <w:rFonts w:hint="eastAsia" w:ascii="仿宋" w:hAnsi="仿宋" w:eastAsia="仿宋" w:cs="仿宋"/>
          <w:color w:val="auto"/>
          <w:sz w:val="30"/>
          <w:szCs w:val="30"/>
          <w:u w:val="single"/>
        </w:rPr>
        <w:t>收到竣工付款申请30天内经监理审核后报区财政部门及区管委会领导审批。</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14.2.3关于竣工付款证书异议部分复核的方式和程序：</w:t>
      </w:r>
      <w:r>
        <w:rPr>
          <w:rFonts w:hint="eastAsia" w:ascii="仿宋" w:hAnsi="仿宋" w:eastAsia="仿宋" w:cs="仿宋"/>
          <w:color w:val="auto"/>
          <w:sz w:val="30"/>
          <w:szCs w:val="30"/>
          <w:u w:val="single"/>
        </w:rPr>
        <w:t>按遂溪县财政局审核的方式和程序。</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14.2.4发包人对工程竣工结算的特殊要求：</w:t>
      </w:r>
      <w:r>
        <w:rPr>
          <w:rFonts w:hint="eastAsia" w:ascii="仿宋" w:hAnsi="仿宋" w:eastAsia="仿宋" w:cs="仿宋"/>
          <w:color w:val="auto"/>
          <w:sz w:val="30"/>
          <w:szCs w:val="30"/>
          <w:u w:val="single"/>
        </w:rPr>
        <w:t>在工程项目竣工验收符合合同要求后承包人在30个日历天内编报工程结算，监理单位和发包人在30个日历天内初步审核后向湛江市遂溪县财政部门报送项目竣工结算。超过期限报送的结算资料不构成结算依据（因发包人、监理单位、湛江市遂溪县财政部门等单位要求限期补充资料的情况除外）</w:t>
      </w:r>
      <w:r>
        <w:rPr>
          <w:rFonts w:hint="eastAsia" w:ascii="仿宋" w:hAnsi="仿宋" w:eastAsia="仿宋" w:cs="仿宋"/>
          <w:color w:val="auto"/>
          <w:sz w:val="30"/>
          <w:szCs w:val="30"/>
        </w:rPr>
        <w:t>；</w:t>
      </w:r>
      <w:r>
        <w:rPr>
          <w:rFonts w:hint="eastAsia" w:ascii="仿宋" w:hAnsi="仿宋" w:eastAsia="仿宋" w:cs="仿宋"/>
          <w:color w:val="auto"/>
          <w:sz w:val="30"/>
          <w:szCs w:val="30"/>
          <w:u w:val="single"/>
        </w:rPr>
        <w:t>竣工结算报告和完整的竣工结算资料一并报经湛江市遂溪县财政局审定项目竣工结算后，发包人方能向湛江市遂溪县财政局申请支付承包人工程竣工结算价款。超过约定期限未能报送完备的结算资料，视为承包人放弃本工程余下未付的资金拨付要求，发包人不再执行相关资金的拨付。</w:t>
      </w:r>
    </w:p>
    <w:p>
      <w:pPr>
        <w:spacing w:after="120" w:line="360" w:lineRule="auto"/>
        <w:ind w:firstLine="600" w:firstLineChars="200"/>
        <w:outlineLvl w:val="0"/>
        <w:rPr>
          <w:rFonts w:ascii="仿宋" w:hAnsi="仿宋" w:eastAsia="仿宋" w:cs="仿宋"/>
          <w:color w:val="auto"/>
          <w:sz w:val="30"/>
          <w:szCs w:val="30"/>
        </w:rPr>
      </w:pPr>
      <w:bookmarkStart w:id="377" w:name="_Toc15783"/>
      <w:bookmarkStart w:id="378" w:name="_Toc10324"/>
      <w:r>
        <w:rPr>
          <w:rFonts w:hint="eastAsia" w:ascii="仿宋" w:hAnsi="仿宋" w:eastAsia="仿宋" w:cs="仿宋"/>
          <w:color w:val="auto"/>
          <w:sz w:val="30"/>
          <w:szCs w:val="30"/>
        </w:rPr>
        <w:t>14.2.5 结算原则：</w:t>
      </w:r>
      <w:bookmarkEnd w:id="377"/>
      <w:bookmarkEnd w:id="378"/>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本工程采用固定单价合同。工程量按实际施工发生计算。承包人在投标报价时，必须根据发包人在招标前提供的施工图纸、工程量清单，并结合企业自身实际情况以及招标前的施工现场情况与周围环境条件、工程地质条件等因素和风险进行综合报价。除实际施工图纸与招标图纸、地质资料与实际地质情况发生变化；工程量清单出现漏项、错项；实际施工现场情况与周围环境条件出现与招标前不同等因素而影响其综合单价以及国家法律、法规、规章和政策发生变化；省级或行业建设主管部门发布的人工、机械费调整（承包人对人工费、机械费或人工、机械单价的报价高于发布的除外）；由政府定价或政府指导价管理的原材料价格进行了调整等因素及风险可进行调整其综合单价外，其他因素及风险均由承包人进行综合考虑，不受市场上材料、设备、劳动力和运输价格的波动而改变。结算时综合单价按中标价中相应清单综合单价固定不变。</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2）本招标工程的最后结算根据发包人提供工程的设计施工图、施工竣工图纸、相关资料及说明，按《建设工程工程量清单计价规范》（GB50500-2013）以及各专业工程计量规范、《广东省建设工程计价依据》（2018）、《广东省市政工程综合定额（2018）》和《广东省住房和城乡建设厅关于营业税改征增值税后调整广东省建设工程计价依据的通知》（粤建市函[2016]1113号）的规定进行工程结算。</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14.2.6计价中人工及材料的风险内容及其范围。</w:t>
      </w:r>
    </w:p>
    <w:p>
      <w:pPr>
        <w:adjustRightInd w:val="0"/>
        <w:snapToGrid w:val="0"/>
        <w:spacing w:line="520" w:lineRule="exact"/>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①人工（含机具台班中的人工）风险幅度为零，实行动态工资调整，具体调整办法按湛江市工程造价管理部门的规定；</w:t>
      </w:r>
    </w:p>
    <w:p>
      <w:pPr>
        <w:autoSpaceDE w:val="0"/>
        <w:autoSpaceDN w:val="0"/>
        <w:adjustRightInd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②主要材料（包括机具费里的油、电、天然气等燃料）、工程设备价格的风险幅度为±5%以内；超过±5%外进行增减调整。</w:t>
      </w:r>
    </w:p>
    <w:p>
      <w:pPr>
        <w:pStyle w:val="50"/>
        <w:adjustRightInd w:val="0"/>
        <w:snapToGrid w:val="0"/>
        <w:spacing w:line="52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③施工机具使用费除人工、燃料外的费用不作调整；</w:t>
      </w:r>
    </w:p>
    <w:p>
      <w:pPr>
        <w:adjustRightInd w:val="0"/>
        <w:snapToGrid w:val="0"/>
        <w:spacing w:line="520" w:lineRule="exact"/>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④管理费和利润的风险由投标人全部承担。</w:t>
      </w:r>
    </w:p>
    <w:p>
      <w:pPr>
        <w:adjustRightInd w:val="0"/>
        <w:snapToGrid w:val="0"/>
        <w:spacing w:line="520" w:lineRule="exact"/>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14.2.7分部分项工程和单价措施项目工程量按承包人按设计施工图纸实际完成、经验收合格且应予计量的计算。</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14.2.8发包人有权调整部分工程建设内容，发生设计变更由设计单位提供设计变更的相应图纸或说明，承包人按照监理工程师发出的变更通知的要求施工。除特殊情况经发包人批准外，凡涉及需要调整预算（合同价款）的工程变更，必须经发包人、监理单位、湛江市遂溪县财政部门、承包人和遂溪县签证组确认办妥手续后（设计变更需由设计单位确认），承包人方能施工。增加预算应及时送湛江市遂溪县财政部门审定。</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14.2.9由于发包人原因引起的工程变更（含设计变更、招标工程量清单漏项、项目特征不符等，下同）、现场签证的综合单价按照下列方法确定：</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①若中标价中已有适用的综合单价，按中标价中已有的适用综合单价确定；</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②若中标价中没有适用但有类似的综合单价，</w:t>
      </w:r>
      <w:r>
        <w:rPr>
          <w:rFonts w:hint="eastAsia" w:ascii="仿宋" w:hAnsi="仿宋" w:eastAsia="仿宋" w:cs="仿宋"/>
          <w:color w:val="auto"/>
          <w:kern w:val="0"/>
          <w:sz w:val="24"/>
        </w:rPr>
        <w:t>采用中标价中类似的综合单价确定</w:t>
      </w:r>
      <w:r>
        <w:rPr>
          <w:rFonts w:hint="eastAsia" w:ascii="仿宋" w:hAnsi="仿宋" w:eastAsia="仿宋" w:cs="仿宋"/>
          <w:color w:val="auto"/>
          <w:sz w:val="30"/>
          <w:szCs w:val="30"/>
        </w:rPr>
        <w:t>；</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③若中标价中没有适用或类似的综合单价，由承包人依据变更工程资料、《建设工程工程量清单计价规范》（GB50500-2013）及各专业工程计量规范、《广东省建设工程计价依据（2018）》（以下简称“本计价依据”），本计价依据包括《广东省房屋建筑与装饰工程综合定额（2018）》、《广东省市政工程综合定额（2018）》、《广东省通用安装工程综合定额（2018）》、《广东省园林绿化工程综合定额（2018）》、《广东省建设工程施工机具台班费用编制规则（2018）》及配套文件等、以及湛江市和广东省住建部门、财政部门和造价管理机构的有关计价规定等计价依据、基准期（即湛江市遂溪县财政部门审定预算所采用的《湛江建设工程造价信息》材料参考价对应月份）《湛江建设工程造价信息》公布的参考价格和共同签证价提出综合单价，送监理人、发包人初审及湛江市遂溪县财政部门审定后执行。综合单价须按承包人报价下浮百分比L 进行下浮。</w:t>
      </w:r>
    </w:p>
    <w:p>
      <w:pPr>
        <w:pStyle w:val="50"/>
        <w:snapToGrid w:val="0"/>
        <w:spacing w:line="520" w:lineRule="exact"/>
        <w:ind w:firstLine="0"/>
        <w:rPr>
          <w:rFonts w:ascii="仿宋" w:hAnsi="仿宋" w:eastAsia="仿宋" w:cs="仿宋"/>
          <w:color w:val="auto"/>
          <w:sz w:val="30"/>
          <w:szCs w:val="30"/>
        </w:rPr>
      </w:pPr>
      <w:r>
        <w:rPr>
          <w:rFonts w:hint="eastAsia" w:ascii="仿宋" w:hAnsi="仿宋" w:eastAsia="仿宋" w:cs="仿宋"/>
          <w:color w:val="auto"/>
          <w:sz w:val="30"/>
          <w:szCs w:val="30"/>
        </w:rPr>
        <w:t>承包人报价浮动率可按下列公式计算：</w:t>
      </w:r>
    </w:p>
    <w:p>
      <w:pPr>
        <w:pStyle w:val="50"/>
        <w:snapToGrid w:val="0"/>
        <w:spacing w:line="520" w:lineRule="exact"/>
        <w:ind w:firstLine="0"/>
        <w:rPr>
          <w:rFonts w:ascii="仿宋" w:hAnsi="仿宋" w:eastAsia="仿宋" w:cs="仿宋"/>
          <w:color w:val="auto"/>
          <w:sz w:val="30"/>
          <w:szCs w:val="30"/>
        </w:rPr>
      </w:pPr>
      <w:r>
        <w:rPr>
          <w:rFonts w:hint="eastAsia" w:ascii="仿宋" w:hAnsi="仿宋" w:eastAsia="仿宋" w:cs="仿宋"/>
          <w:color w:val="auto"/>
          <w:sz w:val="30"/>
          <w:szCs w:val="30"/>
        </w:rPr>
        <w:t xml:space="preserve">招标工程：承包人报价浮动率L=（1—中标价/招标控制价）×100% </w:t>
      </w:r>
    </w:p>
    <w:p>
      <w:pPr>
        <w:pStyle w:val="50"/>
        <w:snapToGrid w:val="0"/>
        <w:spacing w:line="520" w:lineRule="exact"/>
        <w:ind w:firstLine="0"/>
        <w:rPr>
          <w:rFonts w:ascii="仿宋" w:hAnsi="仿宋" w:eastAsia="仿宋" w:cs="仿宋"/>
          <w:color w:val="auto"/>
          <w:sz w:val="30"/>
          <w:szCs w:val="30"/>
        </w:rPr>
      </w:pPr>
      <w:r>
        <w:rPr>
          <w:rFonts w:hint="eastAsia" w:ascii="仿宋" w:hAnsi="仿宋" w:eastAsia="仿宋" w:cs="仿宋"/>
          <w:color w:val="auto"/>
          <w:sz w:val="30"/>
          <w:szCs w:val="30"/>
        </w:rPr>
        <w:t xml:space="preserve">非招标工程：承包人报价浮动率L=（1—报价值/施工图预算）×100% </w:t>
      </w:r>
    </w:p>
    <w:p>
      <w:pPr>
        <w:autoSpaceDE w:val="0"/>
        <w:autoSpaceDN w:val="0"/>
        <w:snapToGrid w:val="0"/>
        <w:spacing w:line="520" w:lineRule="exact"/>
        <w:jc w:val="left"/>
        <w:rPr>
          <w:rFonts w:ascii="仿宋" w:hAnsi="仿宋" w:eastAsia="仿宋" w:cs="仿宋"/>
          <w:color w:val="auto"/>
          <w:sz w:val="30"/>
          <w:szCs w:val="30"/>
        </w:rPr>
      </w:pPr>
      <w:r>
        <w:rPr>
          <w:rFonts w:hint="eastAsia" w:ascii="仿宋" w:hAnsi="仿宋" w:eastAsia="仿宋" w:cs="仿宋"/>
          <w:color w:val="auto"/>
          <w:sz w:val="30"/>
          <w:szCs w:val="30"/>
        </w:rPr>
        <w:t>④新组价综合单价时，人工和材料单价优先采用湛江市造价管理机构公布的基准期定额人工单价和《湛江建设工程造价信息》材料参考价；如出现《湛江建设工程造价信息》缺项的材料及设备，由区财政局、建设、设计、监理、施工单位组成的询价小组以湛江市中心为中心，“由近到远”为原则联合进行市场调研确定。</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14.2.10人工、物价波动引起的价格调整方法：</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 xml:space="preserve">施工期《湛江建设工程造价信息》发布的人工（含施工设备机械台班中的人工）、材料（含施工设备机械台班中的材料）价格相对基准日期价格出现涨落，合同双方根据以下条款的规定对合同价款作相应调整。基准期是湛江市遂溪县财政部门审定预算所采用的《湛江建设工程造价信息》材料参考价对应月份。  </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①本工程中人工（含机械台班中的人工）单价实行零风险的动态调整，人工单价发生涨落的，应按湛江市遂溪县财政部门审定综合单价所含人工数量标准（无法提供财政部门审定综合单价明细时，按广东省2018年定额人工消耗量）计算的人工数量和施工期与基准日期人工单价对比的价差的乘积计算调整的人工费，列于其他项目费。</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②施工期各月和基准日期所在月《湛江建设工程造价信息》均有公布，且名称、品牌、规格和型号等都相同的材料（含机械油料），称为按信息价可调价材料，简称可调价材料。施工期间，本工程可调价材料的价格相对基准期发生上涨或下降，涨落幅度在±5%（含5%）以内的，其价差由承包人承担或收益；涨落幅度超出±5%的，超出±5%部分的价差由发包人承担或收益。可调价材料价格涨落幅度由施工期各月《湛江建设工程造价信息》公布的“湛江市区月度主要建设材料参考价格（月度参考价没有，按季度参考价）”算术平均值对比基准期相应价格计算确定，超过±5%部分的价差按湛江市遂溪县财政部门审定的综合单价所含材料数量标准（无法提供财政部门审定综合单价明细时，按广东省2018年综合定额消耗量）计算的材料数量与超出±5%部分的单价差的乘积计算，列入其他项目费。</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③发生合同工程工期延误时，上述用于计算价差的施工期人工和可调价材料单价，按施工合同相关条款和相关规定确定“合同履行期用于调整的价格或单价”的方法确定。</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④除按信息价可调价材料外，其他材料设备，均不计算价差。</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⑤上述价差不作为计算利润、管理费、措施项目费、其他项目费的基础。</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14.2.11材料检验试验费包含在合同总价内，预算包干费按承包人投报费率（不得超过招标控制价相应费率）结算，规费按湛江市规定结算。</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14.2.12工程税金（增值税）按一般计税方法计算。</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14.2.13本招标工程的最后结算根据发包人提供工程的设计施工图、施工图说明、施工竣工图、相关资料及说明，按《建设工程工程量清单计价规范》（GB50500-2013）和《广东省建设工程计价依据（2018）》的规定进行工程结算。</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14.2.14“绿色施工安全防护措施费”结算时按《广东省建设工程计价依据（2018）》中相应的规定执行。</w:t>
      </w:r>
    </w:p>
    <w:p>
      <w:pPr>
        <w:autoSpaceDE w:val="0"/>
        <w:autoSpaceDN w:val="0"/>
        <w:snapToGrid w:val="0"/>
        <w:spacing w:line="520" w:lineRule="exact"/>
        <w:ind w:firstLine="480"/>
        <w:jc w:val="left"/>
        <w:rPr>
          <w:rFonts w:ascii="仿宋" w:hAnsi="仿宋" w:eastAsia="仿宋" w:cs="仿宋"/>
          <w:color w:val="auto"/>
          <w:sz w:val="30"/>
          <w:szCs w:val="30"/>
        </w:rPr>
      </w:pPr>
      <w:r>
        <w:rPr>
          <w:rFonts w:hint="eastAsia" w:ascii="仿宋" w:hAnsi="仿宋" w:eastAsia="仿宋" w:cs="仿宋"/>
          <w:color w:val="auto"/>
          <w:sz w:val="30"/>
          <w:szCs w:val="30"/>
        </w:rPr>
        <w:t>14.2.15本工程最终的结算价以湛江市遂溪县财政局审核的结算造价为准。</w:t>
      </w:r>
    </w:p>
    <w:p>
      <w:pPr>
        <w:snapToGrid w:val="0"/>
        <w:spacing w:after="120" w:line="52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14.3 竣工结算其他事项</w:t>
      </w:r>
    </w:p>
    <w:p>
      <w:pPr>
        <w:snapToGrid w:val="0"/>
        <w:spacing w:line="520" w:lineRule="exact"/>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项目结算应遵循《广东省住房和城乡建设厅印发〈广东省住房和城乡建设厅关于房屋建筑和市政基础设施工程施工过程结算的若干指导意见〉的通知》（粤建市〔2019〕116 号）的相关规定。</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14.4 最终结清</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14.4.1 最终结清申请单</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承包人提交最终结清申请单的份数：</w:t>
      </w:r>
      <w:r>
        <w:rPr>
          <w:rFonts w:hint="eastAsia" w:ascii="仿宋" w:hAnsi="仿宋" w:eastAsia="仿宋" w:cs="仿宋"/>
          <w:color w:val="auto"/>
          <w:sz w:val="30"/>
          <w:szCs w:val="30"/>
          <w:u w:val="single"/>
        </w:rPr>
        <w:t xml:space="preserve">六份 </w:t>
      </w:r>
      <w:r>
        <w:rPr>
          <w:rFonts w:hint="eastAsia" w:ascii="仿宋" w:hAnsi="仿宋" w:eastAsia="仿宋" w:cs="仿宋"/>
          <w:color w:val="auto"/>
          <w:sz w:val="30"/>
          <w:szCs w:val="30"/>
        </w:rPr>
        <w:t>。</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kern w:val="0"/>
          <w:sz w:val="30"/>
          <w:szCs w:val="30"/>
        </w:rPr>
        <w:t>承包人提交最终结算申请单的期限：</w:t>
      </w:r>
      <w:r>
        <w:rPr>
          <w:rFonts w:hint="eastAsia" w:ascii="仿宋" w:hAnsi="仿宋" w:eastAsia="仿宋" w:cs="仿宋"/>
          <w:color w:val="auto"/>
          <w:sz w:val="30"/>
          <w:szCs w:val="30"/>
          <w:u w:val="single"/>
        </w:rPr>
        <w:t>结算经财政审核确认后30天内</w:t>
      </w:r>
      <w:r>
        <w:rPr>
          <w:rFonts w:hint="eastAsia" w:ascii="仿宋" w:hAnsi="仿宋" w:eastAsia="仿宋" w:cs="仿宋"/>
          <w:color w:val="auto"/>
          <w:sz w:val="30"/>
          <w:szCs w:val="30"/>
        </w:rPr>
        <w:t xml:space="preserve">。 </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14.4.2 最终结清证书和支付</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（1）发包人完成最终结清申请单的审批并颁发最终结清证书的期限：</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（2）发包人完成支付的期限：</w:t>
      </w:r>
      <w:r>
        <w:rPr>
          <w:rFonts w:hint="eastAsia" w:ascii="仿宋" w:hAnsi="仿宋" w:eastAsia="仿宋" w:cs="仿宋"/>
          <w:color w:val="auto"/>
          <w:sz w:val="30"/>
          <w:szCs w:val="30"/>
          <w:u w:val="single"/>
        </w:rPr>
        <w:t>收到最终结清申请单30天内报区财政部门及区管委会领导审批。</w:t>
      </w:r>
    </w:p>
    <w:p>
      <w:pPr>
        <w:pStyle w:val="5"/>
        <w:spacing w:before="120" w:after="120" w:line="360" w:lineRule="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15. 缺陷责任期与保修</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15.2缺陷责任期</w:t>
      </w:r>
    </w:p>
    <w:p>
      <w:pPr>
        <w:spacing w:line="400" w:lineRule="exact"/>
        <w:ind w:firstLine="450" w:firstLineChars="150"/>
        <w:jc w:val="left"/>
        <w:rPr>
          <w:rFonts w:ascii="仿宋" w:hAnsi="仿宋" w:eastAsia="仿宋" w:cs="仿宋"/>
          <w:color w:val="auto"/>
          <w:sz w:val="30"/>
          <w:szCs w:val="30"/>
        </w:rPr>
      </w:pPr>
      <w:r>
        <w:rPr>
          <w:rFonts w:hint="eastAsia" w:ascii="仿宋" w:hAnsi="仿宋" w:eastAsia="仿宋" w:cs="仿宋"/>
          <w:color w:val="auto"/>
          <w:sz w:val="30"/>
          <w:szCs w:val="30"/>
        </w:rPr>
        <w:t>缺陷责任期的具体期限：</w:t>
      </w:r>
      <w:r>
        <w:rPr>
          <w:rFonts w:hint="eastAsia" w:ascii="仿宋" w:hAnsi="仿宋" w:eastAsia="仿宋" w:cs="仿宋"/>
          <w:color w:val="auto"/>
          <w:sz w:val="28"/>
          <w:szCs w:val="28"/>
          <w:u w:val="single"/>
        </w:rPr>
        <w:t>自竣工验收合格之日起满一年</w:t>
      </w:r>
      <w:r>
        <w:rPr>
          <w:rFonts w:hint="eastAsia" w:ascii="仿宋" w:hAnsi="仿宋" w:eastAsia="仿宋" w:cs="仿宋"/>
          <w:color w:val="auto"/>
          <w:sz w:val="30"/>
          <w:szCs w:val="30"/>
          <w:u w:val="single"/>
        </w:rPr>
        <w:t xml:space="preserve"> 。</w:t>
      </w:r>
    </w:p>
    <w:p>
      <w:pPr>
        <w:spacing w:after="120" w:line="360" w:lineRule="auto"/>
        <w:ind w:firstLine="600" w:firstLineChars="200"/>
        <w:outlineLvl w:val="0"/>
        <w:rPr>
          <w:rFonts w:ascii="仿宋" w:hAnsi="仿宋" w:eastAsia="仿宋" w:cs="仿宋"/>
          <w:color w:val="auto"/>
          <w:sz w:val="30"/>
          <w:szCs w:val="30"/>
        </w:rPr>
      </w:pPr>
      <w:bookmarkStart w:id="379" w:name="_Toc29436"/>
      <w:bookmarkStart w:id="380" w:name="_Toc7233"/>
      <w:r>
        <w:rPr>
          <w:rFonts w:hint="eastAsia" w:ascii="仿宋" w:hAnsi="仿宋" w:eastAsia="仿宋" w:cs="仿宋"/>
          <w:color w:val="auto"/>
          <w:sz w:val="30"/>
          <w:szCs w:val="30"/>
        </w:rPr>
        <w:t>15.3 质量保证金</w:t>
      </w:r>
      <w:bookmarkEnd w:id="379"/>
      <w:bookmarkEnd w:id="380"/>
    </w:p>
    <w:p>
      <w:pPr>
        <w:spacing w:line="360" w:lineRule="auto"/>
        <w:ind w:firstLine="600" w:firstLineChars="200"/>
        <w:jc w:val="left"/>
        <w:rPr>
          <w:rFonts w:ascii="仿宋" w:hAnsi="仿宋" w:eastAsia="仿宋" w:cs="仿宋"/>
          <w:dstrike/>
          <w:color w:val="auto"/>
          <w:sz w:val="30"/>
          <w:szCs w:val="30"/>
        </w:rPr>
      </w:pPr>
      <w:r>
        <w:rPr>
          <w:rFonts w:hint="eastAsia" w:ascii="仿宋" w:hAnsi="仿宋" w:eastAsia="仿宋" w:cs="仿宋"/>
          <w:color w:val="auto"/>
          <w:sz w:val="30"/>
          <w:szCs w:val="30"/>
        </w:rPr>
        <w:t>关于是否扣留质量保证金的约定：扣留质量保证金，即按工程结算总造价款的3%的质量保证金 。在工程项目竣工前，承包人按专用合同条款提供履约担保的，发包人在竣工验收合格决算时退还履约担保函，扣留3%的质量保证金。</w:t>
      </w:r>
    </w:p>
    <w:p>
      <w:pPr>
        <w:spacing w:line="360" w:lineRule="auto"/>
        <w:ind w:firstLine="600" w:firstLineChars="200"/>
        <w:jc w:val="left"/>
        <w:outlineLvl w:val="0"/>
        <w:rPr>
          <w:rFonts w:ascii="仿宋" w:hAnsi="仿宋" w:eastAsia="仿宋" w:cs="仿宋"/>
          <w:color w:val="auto"/>
          <w:sz w:val="30"/>
          <w:szCs w:val="30"/>
        </w:rPr>
      </w:pPr>
      <w:bookmarkStart w:id="381" w:name="_Toc30592"/>
      <w:bookmarkStart w:id="382" w:name="_Toc25948"/>
      <w:r>
        <w:rPr>
          <w:rFonts w:hint="eastAsia" w:ascii="仿宋" w:hAnsi="仿宋" w:eastAsia="仿宋" w:cs="仿宋"/>
          <w:color w:val="auto"/>
          <w:sz w:val="30"/>
          <w:szCs w:val="30"/>
        </w:rPr>
        <w:t>15.3.1 承包人提供质量保证金的方式</w:t>
      </w:r>
      <w:bookmarkEnd w:id="381"/>
      <w:bookmarkEnd w:id="382"/>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质量保证金采用以下第</w:t>
      </w:r>
      <w:r>
        <w:rPr>
          <w:rFonts w:hint="eastAsia" w:ascii="仿宋" w:hAnsi="仿宋" w:eastAsia="仿宋" w:cs="仿宋"/>
          <w:color w:val="auto"/>
          <w:sz w:val="30"/>
          <w:szCs w:val="30"/>
          <w:u w:val="single"/>
        </w:rPr>
        <w:t xml:space="preserve">  2  </w:t>
      </w:r>
      <w:r>
        <w:rPr>
          <w:rFonts w:hint="eastAsia" w:ascii="仿宋" w:hAnsi="仿宋" w:eastAsia="仿宋" w:cs="仿宋"/>
          <w:color w:val="auto"/>
          <w:sz w:val="30"/>
          <w:szCs w:val="30"/>
        </w:rPr>
        <w:t>种方式：</w:t>
      </w:r>
    </w:p>
    <w:p>
      <w:pPr>
        <w:autoSpaceDE w:val="0"/>
        <w:autoSpaceDN w:val="0"/>
        <w:adjustRightInd w:val="0"/>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 xml:space="preserve">（1）质量保证金保函，保证金额为：； </w:t>
      </w:r>
    </w:p>
    <w:p>
      <w:pPr>
        <w:autoSpaceDE w:val="0"/>
        <w:autoSpaceDN w:val="0"/>
        <w:adjustRightInd w:val="0"/>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（2）审定结算价款的</w:t>
      </w:r>
      <w:r>
        <w:rPr>
          <w:rFonts w:hint="eastAsia" w:ascii="仿宋" w:hAnsi="仿宋" w:eastAsia="仿宋" w:cs="仿宋"/>
          <w:color w:val="auto"/>
          <w:kern w:val="0"/>
          <w:sz w:val="30"/>
          <w:szCs w:val="30"/>
          <w:u w:val="single"/>
        </w:rPr>
        <w:t xml:space="preserve">3 </w:t>
      </w:r>
      <w:r>
        <w:rPr>
          <w:rFonts w:hint="eastAsia" w:ascii="仿宋" w:hAnsi="仿宋" w:eastAsia="仿宋" w:cs="仿宋"/>
          <w:color w:val="auto"/>
          <w:kern w:val="0"/>
          <w:sz w:val="30"/>
          <w:szCs w:val="30"/>
        </w:rPr>
        <w:t>%的工程款；</w:t>
      </w:r>
    </w:p>
    <w:p>
      <w:pPr>
        <w:autoSpaceDE w:val="0"/>
        <w:autoSpaceDN w:val="0"/>
        <w:adjustRightInd w:val="0"/>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（3）其他方式:。</w:t>
      </w:r>
    </w:p>
    <w:p>
      <w:pPr>
        <w:spacing w:line="360" w:lineRule="auto"/>
        <w:ind w:firstLine="600" w:firstLineChars="200"/>
        <w:jc w:val="left"/>
        <w:outlineLvl w:val="0"/>
        <w:rPr>
          <w:rFonts w:ascii="仿宋" w:hAnsi="仿宋" w:eastAsia="仿宋" w:cs="仿宋"/>
          <w:color w:val="auto"/>
          <w:sz w:val="30"/>
          <w:szCs w:val="30"/>
        </w:rPr>
      </w:pPr>
      <w:bookmarkStart w:id="383" w:name="_Toc23124"/>
      <w:bookmarkStart w:id="384" w:name="_Toc4506"/>
      <w:r>
        <w:rPr>
          <w:rFonts w:hint="eastAsia" w:ascii="仿宋" w:hAnsi="仿宋" w:eastAsia="仿宋" w:cs="仿宋"/>
          <w:color w:val="auto"/>
          <w:sz w:val="30"/>
          <w:szCs w:val="30"/>
        </w:rPr>
        <w:t>15.3.2 质量保证金的扣留</w:t>
      </w:r>
      <w:bookmarkEnd w:id="383"/>
      <w:bookmarkEnd w:id="384"/>
    </w:p>
    <w:p>
      <w:pPr>
        <w:tabs>
          <w:tab w:val="left" w:pos="8081"/>
        </w:tabs>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质量保证金的扣留采取以下第2 种方式：</w:t>
      </w:r>
    </w:p>
    <w:p>
      <w:pPr>
        <w:autoSpaceDE w:val="0"/>
        <w:autoSpaceDN w:val="0"/>
        <w:adjustRightInd w:val="0"/>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（1）在支付工程进度款时逐次扣留，在此情形下，质量保证金的计算基数不包括预付款的支付、扣回以及价格调整的金额；</w:t>
      </w:r>
    </w:p>
    <w:p>
      <w:pPr>
        <w:autoSpaceDE w:val="0"/>
        <w:autoSpaceDN w:val="0"/>
        <w:adjustRightInd w:val="0"/>
        <w:spacing w:line="360" w:lineRule="auto"/>
        <w:ind w:firstLine="600" w:firstLineChars="200"/>
        <w:jc w:val="left"/>
        <w:outlineLvl w:val="0"/>
        <w:rPr>
          <w:rFonts w:ascii="仿宋" w:hAnsi="仿宋" w:eastAsia="仿宋" w:cs="仿宋"/>
          <w:color w:val="auto"/>
          <w:kern w:val="0"/>
          <w:sz w:val="30"/>
          <w:szCs w:val="30"/>
        </w:rPr>
      </w:pPr>
      <w:bookmarkStart w:id="385" w:name="_Toc3527"/>
      <w:bookmarkStart w:id="386" w:name="_Toc19658"/>
      <w:r>
        <w:rPr>
          <w:rFonts w:hint="eastAsia" w:ascii="仿宋" w:hAnsi="仿宋" w:eastAsia="仿宋" w:cs="仿宋"/>
          <w:color w:val="auto"/>
          <w:kern w:val="0"/>
          <w:sz w:val="30"/>
          <w:szCs w:val="30"/>
        </w:rPr>
        <w:t>（2）工程竣工结算时一次性扣留质量保证金；</w:t>
      </w:r>
      <w:bookmarkEnd w:id="385"/>
      <w:bookmarkEnd w:id="386"/>
    </w:p>
    <w:p>
      <w:pPr>
        <w:autoSpaceDE w:val="0"/>
        <w:autoSpaceDN w:val="0"/>
        <w:adjustRightInd w:val="0"/>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（3）其他扣留方式:                                   。</w:t>
      </w:r>
    </w:p>
    <w:p>
      <w:pPr>
        <w:autoSpaceDE w:val="0"/>
        <w:autoSpaceDN w:val="0"/>
        <w:adjustRightInd w:val="0"/>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关于质量保证金的补充约定：本招标工程保留工程结算总造价的3% 作为工程质量保修金，质量保修金银行利息为无息。发包人在缺陷责任期满后30 天内，将剩余保修金无利息返还承包人。</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15.4保修</w:t>
      </w:r>
    </w:p>
    <w:p>
      <w:pPr>
        <w:spacing w:line="360" w:lineRule="auto"/>
        <w:ind w:firstLine="585" w:firstLineChars="195"/>
        <w:jc w:val="left"/>
        <w:rPr>
          <w:rFonts w:ascii="仿宋" w:hAnsi="仿宋" w:eastAsia="仿宋" w:cs="仿宋"/>
          <w:color w:val="auto"/>
          <w:sz w:val="30"/>
          <w:szCs w:val="30"/>
        </w:rPr>
      </w:pPr>
      <w:r>
        <w:rPr>
          <w:rFonts w:hint="eastAsia" w:ascii="仿宋" w:hAnsi="仿宋" w:eastAsia="仿宋" w:cs="仿宋"/>
          <w:color w:val="auto"/>
          <w:sz w:val="30"/>
          <w:szCs w:val="30"/>
        </w:rPr>
        <w:t>15.4.1 保修责任</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工程保修期为：</w:t>
      </w:r>
      <w:r>
        <w:rPr>
          <w:rFonts w:hint="eastAsia" w:eastAsia="仿宋_GB2312"/>
          <w:b/>
          <w:color w:val="auto"/>
          <w:kern w:val="0"/>
          <w:sz w:val="24"/>
          <w:u w:val="single"/>
        </w:rPr>
        <w:t>本工程道路、排水排工程保修期从工程竣工验收之日起算</w:t>
      </w:r>
      <w:r>
        <w:rPr>
          <w:rFonts w:hint="eastAsia" w:eastAsia="仿宋_GB2312"/>
          <w:b/>
          <w:color w:val="auto"/>
          <w:kern w:val="0"/>
          <w:sz w:val="24"/>
          <w:u w:val="single"/>
          <w:lang w:val="en-US" w:eastAsia="zh-CN"/>
        </w:rPr>
        <w:t>一</w:t>
      </w:r>
      <w:r>
        <w:rPr>
          <w:rFonts w:hint="eastAsia" w:eastAsia="仿宋_GB2312"/>
          <w:b/>
          <w:color w:val="auto"/>
          <w:kern w:val="0"/>
          <w:sz w:val="24"/>
          <w:u w:val="single"/>
        </w:rPr>
        <w:t>年，路灯三年、绿化壹年、交通设施工程壹年半，具体责任按国家和广东省、湛江市的规定执行，和按附件《工程质量保修书》约定</w:t>
      </w:r>
      <w:r>
        <w:rPr>
          <w:rFonts w:eastAsia="仿宋_GB2312"/>
          <w:color w:val="auto"/>
          <w:kern w:val="0"/>
          <w:sz w:val="24"/>
        </w:rPr>
        <w:t>。</w:t>
      </w:r>
    </w:p>
    <w:p>
      <w:pPr>
        <w:spacing w:line="360" w:lineRule="auto"/>
        <w:ind w:firstLine="585" w:firstLineChars="195"/>
        <w:jc w:val="left"/>
        <w:rPr>
          <w:rFonts w:ascii="仿宋" w:hAnsi="仿宋" w:eastAsia="仿宋" w:cs="仿宋"/>
          <w:color w:val="auto"/>
          <w:sz w:val="30"/>
          <w:szCs w:val="30"/>
        </w:rPr>
      </w:pPr>
      <w:r>
        <w:rPr>
          <w:rFonts w:hint="eastAsia" w:ascii="仿宋" w:hAnsi="仿宋" w:eastAsia="仿宋" w:cs="仿宋"/>
          <w:color w:val="auto"/>
          <w:sz w:val="30"/>
          <w:szCs w:val="30"/>
        </w:rPr>
        <w:t>15.4.3 修复通知</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承包人收到保修通知并到达工程现场的合理时间：本工程的保修期按照国家现行建筑工程保修有关规定的保修期限实行。保修期自竣工验收合格之日起计，在保修期内承包人需承担因施工质量问题而造成的返修，其费用由承包人负责。在工程保修期内，承包人在接到发包人提出要求返修的通知24小时内应派人根据发包人要求，按有关规范、标准进行返修，若非承包人原因造成返修的，返修费用由发包人承担。若在规定时间内承包人违约，不派员按发包人要求进行返修的，发包人可自行派人维修。若承包人经过两次返修仍不能解决同一质量问题，发包人可自行派人维修。若因承包人施工质量原因造成返修的，发包人自行派人维修，返修费用由工程保修金中扣出，若返修费用超出保修金时，发包人将按有关程序向承包人追讨。发包人因承包人违约而委托他人对工程进行的维修不解除承包人对本工程的保修责任。</w:t>
      </w:r>
    </w:p>
    <w:p>
      <w:pPr>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16. 违约</w:t>
      </w:r>
    </w:p>
    <w:p>
      <w:pPr>
        <w:spacing w:after="120" w:line="360" w:lineRule="auto"/>
        <w:ind w:firstLine="600" w:firstLineChars="200"/>
        <w:outlineLvl w:val="0"/>
        <w:rPr>
          <w:rFonts w:ascii="仿宋" w:hAnsi="仿宋" w:eastAsia="仿宋" w:cs="仿宋"/>
          <w:color w:val="auto"/>
          <w:sz w:val="30"/>
          <w:szCs w:val="30"/>
        </w:rPr>
      </w:pPr>
      <w:bookmarkStart w:id="387" w:name="_Toc15723"/>
      <w:bookmarkStart w:id="388" w:name="_Toc29388"/>
      <w:r>
        <w:rPr>
          <w:rFonts w:hint="eastAsia" w:ascii="仿宋" w:hAnsi="仿宋" w:eastAsia="仿宋" w:cs="仿宋"/>
          <w:color w:val="auto"/>
          <w:sz w:val="30"/>
          <w:szCs w:val="30"/>
        </w:rPr>
        <w:t>16.1 发包人违约</w:t>
      </w:r>
      <w:bookmarkEnd w:id="387"/>
      <w:bookmarkEnd w:id="388"/>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16.1.1发包人违约的情形</w:t>
      </w:r>
    </w:p>
    <w:p>
      <w:pPr>
        <w:spacing w:line="360" w:lineRule="auto"/>
        <w:ind w:firstLine="600" w:firstLineChars="200"/>
        <w:jc w:val="left"/>
        <w:rPr>
          <w:rFonts w:ascii="仿宋" w:hAnsi="仿宋" w:eastAsia="仿宋" w:cs="仿宋"/>
          <w:color w:val="auto"/>
          <w:kern w:val="0"/>
          <w:sz w:val="30"/>
          <w:szCs w:val="30"/>
          <w:u w:val="single"/>
        </w:rPr>
      </w:pPr>
      <w:r>
        <w:rPr>
          <w:rFonts w:hint="eastAsia" w:ascii="仿宋" w:hAnsi="仿宋" w:eastAsia="仿宋" w:cs="仿宋"/>
          <w:color w:val="auto"/>
          <w:kern w:val="0"/>
          <w:sz w:val="30"/>
          <w:szCs w:val="30"/>
        </w:rPr>
        <w:t>发包人违约的其他情形：</w:t>
      </w:r>
    </w:p>
    <w:p>
      <w:pPr>
        <w:spacing w:line="360" w:lineRule="auto"/>
        <w:ind w:left="1500" w:hanging="1500" w:hangingChars="5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 xml:space="preserve">    16.1.2 发包人违约的责任</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发包人违约责任的承担方式和计算方法：</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（1）因发包人原因未能在计划开工日期前7天内下达开工通知的违约责任：工期相应顺延，由此增加的费用</w:t>
      </w:r>
      <w:r>
        <w:rPr>
          <w:rFonts w:hint="eastAsia" w:ascii="仿宋_GB2312" w:eastAsia="仿宋_GB2312"/>
          <w:color w:val="auto"/>
          <w:kern w:val="0"/>
          <w:sz w:val="24"/>
          <w:u w:val="single"/>
        </w:rPr>
        <w:t>及利润</w:t>
      </w:r>
      <w:r>
        <w:rPr>
          <w:rFonts w:hint="eastAsia" w:ascii="仿宋" w:hAnsi="仿宋" w:eastAsia="仿宋" w:cs="仿宋"/>
          <w:color w:val="auto"/>
          <w:kern w:val="0"/>
          <w:sz w:val="30"/>
          <w:szCs w:val="30"/>
        </w:rPr>
        <w:t>不予补偿。</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（2）因发包人原因未能按合同约定支付合同价款的违约责任：</w:t>
      </w:r>
      <w:r>
        <w:rPr>
          <w:rFonts w:hint="eastAsia" w:ascii="仿宋" w:hAnsi="仿宋" w:eastAsia="仿宋" w:cs="仿宋"/>
          <w:color w:val="auto"/>
          <w:kern w:val="0"/>
          <w:sz w:val="30"/>
          <w:szCs w:val="30"/>
          <w:u w:val="single"/>
        </w:rPr>
        <w:t xml:space="preserve">  加大督促财政办理</w:t>
      </w:r>
      <w:r>
        <w:rPr>
          <w:rFonts w:hint="eastAsia" w:ascii="仿宋" w:hAnsi="仿宋" w:eastAsia="仿宋" w:cs="仿宋"/>
          <w:color w:val="auto"/>
          <w:kern w:val="0"/>
          <w:sz w:val="30"/>
          <w:szCs w:val="30"/>
        </w:rPr>
        <w:t>。</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（3）发包人违反第10.1款〔变更的范围〕第（2）项约定，自行实施被取消的工作或转由他人实施的违约责任：</w:t>
      </w:r>
      <w:r>
        <w:rPr>
          <w:rFonts w:hint="eastAsia" w:ascii="仿宋" w:hAnsi="仿宋" w:eastAsia="仿宋" w:cs="仿宋"/>
          <w:color w:val="auto"/>
          <w:kern w:val="0"/>
          <w:sz w:val="30"/>
          <w:szCs w:val="30"/>
          <w:u w:val="single"/>
        </w:rPr>
        <w:t xml:space="preserve">    /     </w:t>
      </w:r>
      <w:r>
        <w:rPr>
          <w:rFonts w:hint="eastAsia" w:ascii="仿宋" w:hAnsi="仿宋" w:eastAsia="仿宋" w:cs="仿宋"/>
          <w:color w:val="auto"/>
          <w:kern w:val="0"/>
          <w:sz w:val="30"/>
          <w:szCs w:val="30"/>
        </w:rPr>
        <w:t>。</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（4）发包人提供的材料、工程设备的规格、数量或质量不符合合同约定，或因发包人原因导致交货日期延误或交货地点变更等情况的违约责任：</w:t>
      </w:r>
      <w:r>
        <w:rPr>
          <w:rFonts w:hint="eastAsia" w:eastAsia="仿宋_GB2312"/>
          <w:color w:val="auto"/>
          <w:kern w:val="0"/>
          <w:sz w:val="24"/>
          <w:u w:val="single"/>
        </w:rPr>
        <w:t>工期</w:t>
      </w:r>
      <w:r>
        <w:rPr>
          <w:rFonts w:eastAsia="仿宋_GB2312"/>
          <w:color w:val="auto"/>
          <w:kern w:val="0"/>
          <w:sz w:val="24"/>
          <w:u w:val="single"/>
        </w:rPr>
        <w:t>相应</w:t>
      </w:r>
      <w:r>
        <w:rPr>
          <w:rFonts w:hint="eastAsia" w:eastAsia="仿宋_GB2312"/>
          <w:color w:val="auto"/>
          <w:kern w:val="0"/>
          <w:sz w:val="24"/>
          <w:u w:val="single"/>
        </w:rPr>
        <w:t>顺延，</w:t>
      </w:r>
      <w:r>
        <w:rPr>
          <w:rFonts w:hint="eastAsia" w:ascii="仿宋_GB2312" w:eastAsia="仿宋_GB2312"/>
          <w:color w:val="auto"/>
          <w:kern w:val="0"/>
          <w:sz w:val="24"/>
          <w:u w:val="single"/>
        </w:rPr>
        <w:t>由此增加的</w:t>
      </w:r>
      <w:r>
        <w:rPr>
          <w:rFonts w:ascii="仿宋_GB2312" w:eastAsia="仿宋_GB2312"/>
          <w:color w:val="auto"/>
          <w:kern w:val="0"/>
          <w:sz w:val="24"/>
          <w:u w:val="single"/>
        </w:rPr>
        <w:t>费用</w:t>
      </w:r>
      <w:r>
        <w:rPr>
          <w:rFonts w:hint="eastAsia" w:ascii="仿宋_GB2312" w:eastAsia="仿宋_GB2312"/>
          <w:color w:val="auto"/>
          <w:kern w:val="0"/>
          <w:sz w:val="24"/>
          <w:u w:val="single"/>
        </w:rPr>
        <w:t>及利润不予补偿</w:t>
      </w:r>
      <w:r>
        <w:rPr>
          <w:rFonts w:eastAsia="仿宋_GB2312"/>
          <w:color w:val="auto"/>
          <w:kern w:val="0"/>
          <w:sz w:val="24"/>
        </w:rPr>
        <w:t>。</w:t>
      </w:r>
      <w:r>
        <w:rPr>
          <w:rFonts w:hint="eastAsia" w:ascii="仿宋" w:hAnsi="仿宋" w:eastAsia="仿宋" w:cs="仿宋"/>
          <w:color w:val="auto"/>
          <w:kern w:val="0"/>
          <w:sz w:val="30"/>
          <w:szCs w:val="30"/>
        </w:rPr>
        <w:t>。</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（5）因发包人违反合同约定造成暂停施工的违约责任：</w:t>
      </w:r>
      <w:r>
        <w:rPr>
          <w:rFonts w:hint="eastAsia" w:ascii="仿宋" w:hAnsi="仿宋" w:eastAsia="仿宋" w:cs="仿宋"/>
          <w:color w:val="auto"/>
          <w:kern w:val="0"/>
          <w:sz w:val="30"/>
          <w:szCs w:val="30"/>
          <w:u w:val="single"/>
        </w:rPr>
        <w:t xml:space="preserve">工期相应延长，由此增加的费用不予补偿。 </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（6）发包人无正当理由没有在约定期限内发出复工指示，导致承包人无法复工的违约责任：</w:t>
      </w:r>
      <w:r>
        <w:rPr>
          <w:rFonts w:hint="eastAsia" w:ascii="仿宋_GB2312" w:eastAsia="仿宋_GB2312"/>
          <w:b/>
          <w:color w:val="auto"/>
          <w:kern w:val="0"/>
          <w:sz w:val="24"/>
          <w:u w:val="single"/>
        </w:rPr>
        <w:t>承包人有权要求发包人相应顺延工期</w:t>
      </w:r>
      <w:r>
        <w:rPr>
          <w:rFonts w:hint="eastAsia" w:ascii="仿宋" w:hAnsi="仿宋" w:eastAsia="仿宋" w:cs="仿宋"/>
          <w:color w:val="auto"/>
          <w:kern w:val="0"/>
          <w:sz w:val="30"/>
          <w:szCs w:val="30"/>
        </w:rPr>
        <w:t>。</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（7）其他：。</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16.1.3 因发包人违约解除合同</w:t>
      </w:r>
    </w:p>
    <w:p>
      <w:pPr>
        <w:autoSpaceDE w:val="0"/>
        <w:autoSpaceDN w:val="0"/>
        <w:adjustRightInd w:val="0"/>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承包人按16.1.1项〔发包人违约的情形〕约定暂停施工满</w:t>
      </w:r>
      <w:r>
        <w:rPr>
          <w:rFonts w:hint="eastAsia" w:ascii="仿宋" w:hAnsi="仿宋" w:eastAsia="仿宋" w:cs="仿宋"/>
          <w:color w:val="auto"/>
          <w:kern w:val="0"/>
          <w:sz w:val="30"/>
          <w:szCs w:val="30"/>
          <w:u w:val="single"/>
        </w:rPr>
        <w:t xml:space="preserve">  90  </w:t>
      </w:r>
      <w:r>
        <w:rPr>
          <w:rFonts w:hint="eastAsia" w:ascii="仿宋" w:hAnsi="仿宋" w:eastAsia="仿宋" w:cs="仿宋"/>
          <w:color w:val="auto"/>
          <w:kern w:val="0"/>
          <w:sz w:val="30"/>
          <w:szCs w:val="30"/>
        </w:rPr>
        <w:t>天后发包人仍不纠正其违约行为并致使合同目的不能实现的，承包人有权解除合同。</w:t>
      </w:r>
    </w:p>
    <w:p>
      <w:pPr>
        <w:spacing w:after="120" w:line="360" w:lineRule="auto"/>
        <w:ind w:firstLine="600" w:firstLineChars="200"/>
        <w:outlineLvl w:val="0"/>
        <w:rPr>
          <w:rFonts w:ascii="仿宋" w:hAnsi="仿宋" w:eastAsia="仿宋" w:cs="仿宋"/>
          <w:color w:val="auto"/>
          <w:sz w:val="30"/>
          <w:szCs w:val="30"/>
        </w:rPr>
      </w:pPr>
      <w:bookmarkStart w:id="389" w:name="_Toc25168"/>
      <w:bookmarkStart w:id="390" w:name="_Toc2281"/>
      <w:r>
        <w:rPr>
          <w:rFonts w:hint="eastAsia" w:ascii="仿宋" w:hAnsi="仿宋" w:eastAsia="仿宋" w:cs="仿宋"/>
          <w:color w:val="auto"/>
          <w:sz w:val="30"/>
          <w:szCs w:val="30"/>
        </w:rPr>
        <w:t>16.2 承包人违约</w:t>
      </w:r>
      <w:bookmarkEnd w:id="389"/>
      <w:bookmarkEnd w:id="390"/>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16.2.1 承包人违约的情形</w:t>
      </w:r>
    </w:p>
    <w:p>
      <w:pPr>
        <w:spacing w:line="360" w:lineRule="auto"/>
        <w:ind w:firstLine="600" w:firstLineChars="200"/>
        <w:jc w:val="left"/>
        <w:rPr>
          <w:rFonts w:ascii="仿宋" w:hAnsi="仿宋" w:eastAsia="仿宋" w:cs="仿宋"/>
          <w:color w:val="auto"/>
          <w:kern w:val="0"/>
          <w:sz w:val="30"/>
          <w:szCs w:val="30"/>
          <w:u w:val="single"/>
        </w:rPr>
      </w:pPr>
      <w:r>
        <w:rPr>
          <w:rFonts w:hint="eastAsia" w:ascii="仿宋" w:hAnsi="仿宋" w:eastAsia="仿宋" w:cs="仿宋"/>
          <w:color w:val="auto"/>
          <w:kern w:val="0"/>
          <w:sz w:val="30"/>
          <w:szCs w:val="30"/>
        </w:rPr>
        <w:t>承包人违约的其他情形：</w:t>
      </w:r>
      <w:r>
        <w:rPr>
          <w:rFonts w:hint="eastAsia" w:ascii="仿宋" w:hAnsi="仿宋" w:eastAsia="仿宋" w:cs="仿宋"/>
          <w:color w:val="auto"/>
          <w:kern w:val="0"/>
          <w:sz w:val="30"/>
          <w:szCs w:val="30"/>
          <w:u w:val="single"/>
        </w:rPr>
        <w:t>不守信用、弄虚作假等，不按“招标、投标文件”执行。</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1）根据发包人提供工程的施工图、施工图说明、工程量清单、相关资料及说明，按《建设工程工程量清单计价规范》（GB50500-2013）和《广东省建设工程计价依据》（2018）的规定，由承包人包材料、包施工、包质量、包工期、包安全进行承包施工。本工程不允许转包，不允许违法分包，如确需分包的工程，承包人必须与发包人协商并得到发包人的书面同意，分包人必须具备相应的专业工程施工资质，且分包合同必须报发包人备案，承包人对分包人分包工程承担无限连带责任。</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2）本工程由有实力、有资质、有经验、有信誉、有社会责任感的“五有”施工单位承包。若发包人和监理单位均认定承包人有挂靠行为，或转包行为，或有未经发包人同意的分包行为（无须承包人认可，除非承包人在发包人发出通知后3 天内提出有效举证），发包人有权勒令其停工、驱逐出现场等，由此造成的损失均由承包人承担，同时承包人及被挂靠单位均须向发包人支付违约金壹拾万元，湛江市建设行政主管部门根据相关规定进行处理。</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(3)承包人如出现拖欠农民工工资现象，发包人经调查属实，有权从工程款中直接代扣支付，并收取2 万元/次的违约金。</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16.2.2承包人违约的责任</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 xml:space="preserve">承包人违约责任的承担方式和计算方法：承担发包人所有损失，并承担相应违约责任。 </w:t>
      </w:r>
    </w:p>
    <w:p>
      <w:pPr>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工程保修期内发现重大质量不合格问题（该重大质量问题应界定为达不到质量标准，属质量保修的问题除外），承包人必须在规定的期限返工并达到合同约定的质量等级，对不合格部分按其工程结算造价的 1 %计算向发包人承担支付违约金的责任。</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16.2.3 因承包人违约解除合同</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16.2.3.1关于承包人违约解除合同的特别约定：承包人有下列情形之一的，发包人可以解除合同：</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（1）承包人未能在发包人或者监理机构发出的开工令7 天内开工，经监理工程师催告后的28 天内仍未开工的；</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（2）按照施工组织设计和合同工程进度计划，实际工程进度未达到计划要求，而且未表明有停工且监理工程师也未发出暂停施工令，但承包人停止施工时间持续达56 天或累计停止施工时间达70 天的；</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（3）承包人未经监理工程师批准，私自将已按照合同约定进入施工现场的施工设备、临时设施或材料运出施工现场的；</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（4）承包人拖延完工且能偿付的误期赔偿费已达到合同价款的1%的；</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（5）承包人转包工程、违法分包或未经许可擅自分包工程的；</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（6）承包人未按照合同约定或监理工程师的指令，经监理工程师书面指出后仍未按要求整改的；</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（7）承包人履行合同期间有欺诈行为的；</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（8）承包人向与本工程有关任何人付给或企图付给任何贿赂、礼品、赏金、回扣或其他贵重物品，以引诱或报偿他人的；</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（9）承包人在缺陷责任期内或施工期间，发现的施工质量未能进行修复，且又拒绝按照工程师指令再进行修复的；</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（10）承包人无法继续履行，明确表示或以行为表明不履行合同约定主要义务的；</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（11）承包人延迟履行合同约定主要义务，经催告后在合理期限内仍未履行的；</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（12）承包人破产或清偿的，但以机构重组或联合为目的的除外；</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（13）承包人擅自选用工程材料，不听劝阻又擅自施工的；</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（14）承包人被认为是严重违反合同的其他违约行为。</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在上述情况下，发包人可自行或委托第三方实施，完成合同工程或其他任何部分。施工现场的所有材料、工程设备和合同工程，均应认为是发包人的财产。</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合同解除后，承包人对其已完的工程质量负责，甲方应扣除应付其审定结算价的总工程款作作为质量保证金，在发包人在竣工验收合格之日起满两年后30 个日历天内将质量保证金返还给承包人（无息）。</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合同解除后不影响发包人对承包人的违约行为追究违约金。违约金不足以弥补发包人损失的，发包人可要求承包人赔偿损失，包括但不限于因维权产生的诉讼费、保全费、律师费等。</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16.2.3.2接到发包人发出整改通知7天后，承包人仍不纠正违约行为的，发包人有权解除合同并向承包人发出解除合同通知。承包人未收到发包人解除合同通知前,应继续按照合同约定做好现场及材料的保安、卫生、安全、环境工作。承包人收到发包人解除合同通知后7天内，承包人应与发包人完成现场交接手续并撤离现场，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16.2.3.3发包人继续使用承包人在施工现场的材料、设备、临时工程、承包人文件和由承包人或以其名义编制的其他文件的费用承担方式：</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如发包人愿意继续使用承包人的材料、设备及临时设施和承包人已提供的设计、材料、施工设备、工程设备、临时工程等的,由发包人委托的第三方造价咨询公司对实际价值进行评估后,交由财政部门审查,承包人需无条件接受。如发包人不愿意继续使用上述材料或工程的,由承包人自行承担相关采购费用及损失,如由此给发包人造成损失的,由发包人在工程款或应付款中直接扣除。</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kern w:val="0"/>
          <w:sz w:val="30"/>
          <w:szCs w:val="30"/>
        </w:rPr>
        <w:t>16.2.3.4承包人未依约办理交接手续的，每日按5万元计算违约金，如承包人损害或未履行看管义务导致相关材料或工程等损害的，发包人有权在应付款中扣除.双方办理解除手续后，发包人有权暂停对承包人的一切付款，查清各项付款和已扣款金额。</w:t>
      </w:r>
    </w:p>
    <w:p>
      <w:pPr>
        <w:pStyle w:val="5"/>
        <w:spacing w:before="120" w:after="120" w:line="360" w:lineRule="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17. 不可抗力 </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17.1 不可抗力的确认</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sz w:val="30"/>
          <w:szCs w:val="30"/>
        </w:rPr>
        <w:t>除通用合同条款约定的不可抗力事件之外，视为不可抗力的其他情形：经有关部门鉴定的五级以上地震，正面吹袭湛江市的十级以上台风和龙卷风及项目所在地（县、市）区出现降雨量大于200mm/d特大暴雨，雷击引起的火灾，并执行国家有关规定。</w:t>
      </w:r>
    </w:p>
    <w:p>
      <w:pPr>
        <w:spacing w:line="360" w:lineRule="auto"/>
        <w:ind w:firstLine="600" w:firstLineChars="200"/>
        <w:jc w:val="left"/>
        <w:rPr>
          <w:rFonts w:ascii="仿宋" w:hAnsi="仿宋" w:eastAsia="仿宋" w:cs="仿宋"/>
          <w:color w:val="auto"/>
          <w:kern w:val="0"/>
          <w:sz w:val="30"/>
          <w:szCs w:val="30"/>
        </w:rPr>
      </w:pPr>
      <w:r>
        <w:rPr>
          <w:rFonts w:hint="eastAsia" w:ascii="仿宋" w:hAnsi="仿宋" w:eastAsia="仿宋" w:cs="仿宋"/>
          <w:color w:val="auto"/>
          <w:sz w:val="30"/>
          <w:szCs w:val="30"/>
        </w:rPr>
        <w:t>对以上几种形式，应以造成灾害和影响施工为准。其它未提及的不可抗力情形执行本工程施工合同的通用条款，并执行国家有关规定。</w:t>
      </w:r>
    </w:p>
    <w:p>
      <w:pPr>
        <w:spacing w:after="120" w:line="360" w:lineRule="auto"/>
        <w:ind w:firstLine="600" w:firstLineChars="200"/>
        <w:outlineLvl w:val="0"/>
        <w:rPr>
          <w:rFonts w:ascii="仿宋" w:hAnsi="仿宋" w:eastAsia="仿宋" w:cs="仿宋"/>
          <w:color w:val="auto"/>
          <w:sz w:val="30"/>
          <w:szCs w:val="30"/>
        </w:rPr>
      </w:pPr>
      <w:bookmarkStart w:id="391" w:name="_Toc640"/>
      <w:bookmarkStart w:id="392" w:name="_Toc8703"/>
      <w:r>
        <w:rPr>
          <w:rFonts w:hint="eastAsia" w:ascii="仿宋" w:hAnsi="仿宋" w:eastAsia="仿宋" w:cs="仿宋"/>
          <w:color w:val="auto"/>
          <w:sz w:val="30"/>
          <w:szCs w:val="30"/>
        </w:rPr>
        <w:t>17.4 因不可抗力解除合同</w:t>
      </w:r>
      <w:bookmarkEnd w:id="391"/>
      <w:bookmarkEnd w:id="392"/>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合同解除后，发包人应在商定或确定发包人应支付款项后</w:t>
      </w:r>
      <w:r>
        <w:rPr>
          <w:rFonts w:hint="eastAsia" w:ascii="仿宋" w:hAnsi="仿宋" w:eastAsia="仿宋" w:cs="仿宋"/>
          <w:color w:val="auto"/>
          <w:sz w:val="30"/>
          <w:szCs w:val="30"/>
          <w:u w:val="single"/>
        </w:rPr>
        <w:t xml:space="preserve"> 60 </w:t>
      </w:r>
      <w:r>
        <w:rPr>
          <w:rFonts w:hint="eastAsia" w:ascii="仿宋" w:hAnsi="仿宋" w:eastAsia="仿宋" w:cs="仿宋"/>
          <w:color w:val="auto"/>
          <w:sz w:val="30"/>
          <w:szCs w:val="30"/>
        </w:rPr>
        <w:t>天内完成款项的支付。</w:t>
      </w:r>
    </w:p>
    <w:p>
      <w:pPr>
        <w:pStyle w:val="5"/>
        <w:spacing w:before="120" w:after="120" w:line="360" w:lineRule="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18. 保险</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18.1 工程保险</w:t>
      </w:r>
    </w:p>
    <w:p>
      <w:pPr>
        <w:autoSpaceDE w:val="0"/>
        <w:autoSpaceDN w:val="0"/>
        <w:adjustRightInd w:val="0"/>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 xml:space="preserve">关于工程保险的特别约定：由承包人购买施工人员团队意外伤害保险、市政建筑工程一切险等，相关费用已在报价中综合考虑，发包人不再另行支付该笔费用。 </w:t>
      </w:r>
    </w:p>
    <w:p>
      <w:pPr>
        <w:spacing w:after="120" w:line="360" w:lineRule="auto"/>
        <w:ind w:firstLine="600" w:firstLineChars="200"/>
        <w:outlineLvl w:val="0"/>
        <w:rPr>
          <w:rFonts w:ascii="仿宋" w:hAnsi="仿宋" w:eastAsia="仿宋" w:cs="仿宋"/>
          <w:color w:val="auto"/>
          <w:sz w:val="30"/>
          <w:szCs w:val="30"/>
        </w:rPr>
      </w:pPr>
      <w:bookmarkStart w:id="393" w:name="_Toc14961"/>
      <w:bookmarkStart w:id="394" w:name="_Toc9460"/>
      <w:r>
        <w:rPr>
          <w:rFonts w:hint="eastAsia" w:ascii="仿宋" w:hAnsi="仿宋" w:eastAsia="仿宋" w:cs="仿宋"/>
          <w:color w:val="auto"/>
          <w:sz w:val="30"/>
          <w:szCs w:val="30"/>
        </w:rPr>
        <w:t>18.3 其他保险</w:t>
      </w:r>
      <w:bookmarkEnd w:id="393"/>
      <w:bookmarkEnd w:id="394"/>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关于其他保险的约定：</w:t>
      </w:r>
      <w:r>
        <w:rPr>
          <w:rFonts w:hint="eastAsia" w:ascii="仿宋" w:hAnsi="仿宋" w:eastAsia="仿宋" w:cs="仿宋"/>
          <w:color w:val="auto"/>
          <w:sz w:val="30"/>
          <w:szCs w:val="30"/>
          <w:u w:val="single"/>
        </w:rPr>
        <w:t>第三者责任险：工程施工期及缺陷责任期内的第三者责任险由承包人投保，投保期限与合同实际履行期限相同；承包人全权负责索赔处理，其保费在合同价内包干使用，其中人身意外险受益人为被保险人</w:t>
      </w:r>
      <w:r>
        <w:rPr>
          <w:rFonts w:hint="eastAsia" w:ascii="仿宋" w:hAnsi="仿宋" w:eastAsia="仿宋" w:cs="仿宋"/>
          <w:color w:val="auto"/>
          <w:sz w:val="30"/>
          <w:szCs w:val="30"/>
        </w:rPr>
        <w:t>。</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承包人是否应为其施工设备等办理财产保险</w:t>
      </w:r>
      <w:r>
        <w:rPr>
          <w:rFonts w:hint="eastAsia" w:ascii="仿宋" w:hAnsi="仿宋" w:eastAsia="仿宋" w:cs="仿宋"/>
          <w:color w:val="auto"/>
          <w:sz w:val="30"/>
          <w:szCs w:val="30"/>
          <w:u w:val="single"/>
        </w:rPr>
        <w:t>：本工程的承包人的人员设备、本项目的设备设施的保险，由承包人负责，并提供相关证明。承包人应充分估计可能发生的重大事故、因自然灾害或不可抗力造成施工设备的损失和损坏对工程的影响，以及施工人员的风险。其投保费用由承包人自行承担，其保险期限及保险责任范围为： 合同期内至工程竣工验收。</w:t>
      </w:r>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18.7 通知义务</w:t>
      </w:r>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 xml:space="preserve">关于变更保险合同时的通知义务的约定： </w:t>
      </w:r>
    </w:p>
    <w:p>
      <w:pPr>
        <w:pStyle w:val="5"/>
        <w:spacing w:before="120" w:after="120" w:line="360" w:lineRule="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20. 争议解决</w:t>
      </w:r>
    </w:p>
    <w:p>
      <w:pPr>
        <w:spacing w:after="120" w:line="360" w:lineRule="auto"/>
        <w:ind w:firstLine="600" w:firstLineChars="200"/>
        <w:outlineLvl w:val="0"/>
        <w:rPr>
          <w:rFonts w:ascii="仿宋" w:hAnsi="仿宋" w:eastAsia="仿宋" w:cs="仿宋"/>
          <w:color w:val="auto"/>
          <w:sz w:val="30"/>
          <w:szCs w:val="30"/>
        </w:rPr>
      </w:pPr>
      <w:bookmarkStart w:id="395" w:name="_Toc26012"/>
      <w:bookmarkStart w:id="396" w:name="_Toc9228"/>
      <w:r>
        <w:rPr>
          <w:rFonts w:hint="eastAsia" w:ascii="仿宋" w:hAnsi="仿宋" w:eastAsia="仿宋" w:cs="仿宋"/>
          <w:color w:val="auto"/>
          <w:sz w:val="30"/>
          <w:szCs w:val="30"/>
        </w:rPr>
        <w:t>20.3 争议评审</w:t>
      </w:r>
      <w:bookmarkEnd w:id="395"/>
      <w:bookmarkEnd w:id="396"/>
    </w:p>
    <w:p>
      <w:pPr>
        <w:spacing w:line="360" w:lineRule="auto"/>
        <w:ind w:left="149" w:leftChars="71" w:firstLine="450" w:firstLineChars="150"/>
        <w:jc w:val="left"/>
        <w:rPr>
          <w:rFonts w:ascii="仿宋" w:hAnsi="仿宋" w:eastAsia="仿宋" w:cs="仿宋"/>
          <w:color w:val="auto"/>
          <w:sz w:val="30"/>
          <w:szCs w:val="30"/>
        </w:rPr>
      </w:pPr>
      <w:r>
        <w:rPr>
          <w:rFonts w:hint="eastAsia" w:ascii="仿宋" w:hAnsi="仿宋" w:eastAsia="仿宋" w:cs="仿宋"/>
          <w:color w:val="auto"/>
          <w:sz w:val="30"/>
          <w:szCs w:val="30"/>
        </w:rPr>
        <w:t>合同当事人是否同意将工程争议提交争议评审小组决定：</w:t>
      </w:r>
      <w:r>
        <w:rPr>
          <w:rFonts w:hint="eastAsia" w:ascii="仿宋" w:hAnsi="仿宋" w:eastAsia="仿宋" w:cs="仿宋"/>
          <w:color w:val="auto"/>
          <w:sz w:val="30"/>
          <w:szCs w:val="30"/>
          <w:u w:val="single"/>
        </w:rPr>
        <w:t xml:space="preserve">无 </w:t>
      </w:r>
      <w:r>
        <w:rPr>
          <w:rFonts w:hint="eastAsia" w:ascii="仿宋" w:hAnsi="仿宋" w:eastAsia="仿宋" w:cs="仿宋"/>
          <w:color w:val="auto"/>
          <w:sz w:val="30"/>
          <w:szCs w:val="30"/>
        </w:rPr>
        <w:t xml:space="preserve">。  </w:t>
      </w:r>
    </w:p>
    <w:p>
      <w:pPr>
        <w:spacing w:line="360" w:lineRule="auto"/>
        <w:ind w:firstLine="600" w:firstLineChars="200"/>
        <w:jc w:val="left"/>
        <w:outlineLvl w:val="0"/>
        <w:rPr>
          <w:rFonts w:ascii="仿宋" w:hAnsi="仿宋" w:eastAsia="仿宋" w:cs="仿宋"/>
          <w:color w:val="auto"/>
          <w:sz w:val="30"/>
          <w:szCs w:val="30"/>
        </w:rPr>
      </w:pPr>
      <w:bookmarkStart w:id="397" w:name="_Toc25110"/>
      <w:bookmarkStart w:id="398" w:name="_Toc27276"/>
      <w:r>
        <w:rPr>
          <w:rFonts w:hint="eastAsia" w:ascii="仿宋" w:hAnsi="仿宋" w:eastAsia="仿宋" w:cs="仿宋"/>
          <w:color w:val="auto"/>
          <w:sz w:val="30"/>
          <w:szCs w:val="30"/>
        </w:rPr>
        <w:t>20.3.1 争议评审小组的确定</w:t>
      </w:r>
      <w:bookmarkEnd w:id="397"/>
      <w:bookmarkEnd w:id="398"/>
    </w:p>
    <w:p>
      <w:pPr>
        <w:spacing w:line="360" w:lineRule="auto"/>
        <w:ind w:firstLine="600" w:firstLineChars="200"/>
        <w:jc w:val="left"/>
        <w:rPr>
          <w:rFonts w:ascii="仿宋" w:hAnsi="仿宋" w:eastAsia="仿宋" w:cs="仿宋"/>
          <w:color w:val="auto"/>
          <w:sz w:val="30"/>
          <w:szCs w:val="30"/>
          <w:u w:val="single"/>
        </w:rPr>
      </w:pPr>
      <w:r>
        <w:rPr>
          <w:rFonts w:hint="eastAsia" w:ascii="仿宋" w:hAnsi="仿宋" w:eastAsia="仿宋" w:cs="仿宋"/>
          <w:color w:val="auto"/>
          <w:sz w:val="30"/>
          <w:szCs w:val="30"/>
        </w:rPr>
        <w:t>争议评审小组成员的确定：</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选定争议评审员的期限：</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争议评审小组成员的报酬承担方式：</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其他事项的约定：</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w:t>
      </w:r>
    </w:p>
    <w:p>
      <w:pPr>
        <w:autoSpaceDE w:val="0"/>
        <w:autoSpaceDN w:val="0"/>
        <w:adjustRightInd w:val="0"/>
        <w:spacing w:line="360" w:lineRule="auto"/>
        <w:ind w:firstLine="600" w:firstLineChars="200"/>
        <w:jc w:val="left"/>
        <w:outlineLvl w:val="0"/>
        <w:rPr>
          <w:rFonts w:ascii="仿宋" w:hAnsi="仿宋" w:eastAsia="仿宋" w:cs="仿宋"/>
          <w:color w:val="auto"/>
          <w:kern w:val="0"/>
          <w:sz w:val="30"/>
          <w:szCs w:val="30"/>
        </w:rPr>
      </w:pPr>
      <w:bookmarkStart w:id="399" w:name="_Toc15444"/>
      <w:bookmarkStart w:id="400" w:name="_Toc2614"/>
      <w:r>
        <w:rPr>
          <w:rFonts w:hint="eastAsia" w:ascii="仿宋" w:hAnsi="仿宋" w:eastAsia="仿宋" w:cs="仿宋"/>
          <w:color w:val="auto"/>
          <w:kern w:val="0"/>
          <w:sz w:val="30"/>
          <w:szCs w:val="30"/>
        </w:rPr>
        <w:t>20.3.2 争议评审小组的决定</w:t>
      </w:r>
      <w:bookmarkEnd w:id="399"/>
      <w:bookmarkEnd w:id="400"/>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合同当事人关于本项的约定：。</w:t>
      </w:r>
    </w:p>
    <w:p>
      <w:pPr>
        <w:spacing w:after="120" w:line="360" w:lineRule="auto"/>
        <w:ind w:firstLine="600" w:firstLineChars="200"/>
        <w:outlineLvl w:val="0"/>
        <w:rPr>
          <w:rFonts w:ascii="仿宋" w:hAnsi="仿宋" w:eastAsia="仿宋" w:cs="仿宋"/>
          <w:color w:val="auto"/>
          <w:sz w:val="30"/>
          <w:szCs w:val="30"/>
        </w:rPr>
      </w:pPr>
      <w:bookmarkStart w:id="401" w:name="_Toc8633"/>
      <w:bookmarkStart w:id="402" w:name="_Toc22071"/>
      <w:r>
        <w:rPr>
          <w:rFonts w:hint="eastAsia" w:ascii="仿宋" w:hAnsi="仿宋" w:eastAsia="仿宋" w:cs="仿宋"/>
          <w:color w:val="auto"/>
          <w:sz w:val="30"/>
          <w:szCs w:val="30"/>
        </w:rPr>
        <w:t>20.4仲裁或诉讼</w:t>
      </w:r>
      <w:bookmarkEnd w:id="401"/>
      <w:bookmarkEnd w:id="402"/>
    </w:p>
    <w:p>
      <w:pPr>
        <w:spacing w:after="120"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因合同及合同有关事项发生的争议，按下列第</w:t>
      </w:r>
      <w:r>
        <w:rPr>
          <w:rFonts w:hint="eastAsia" w:ascii="仿宋" w:hAnsi="仿宋" w:eastAsia="仿宋" w:cs="仿宋"/>
          <w:color w:val="auto"/>
          <w:sz w:val="30"/>
          <w:szCs w:val="30"/>
          <w:u w:val="single"/>
        </w:rPr>
        <w:t>（2）</w:t>
      </w:r>
      <w:r>
        <w:rPr>
          <w:rFonts w:hint="eastAsia" w:ascii="仿宋" w:hAnsi="仿宋" w:eastAsia="仿宋" w:cs="仿宋"/>
          <w:color w:val="auto"/>
          <w:sz w:val="30"/>
          <w:szCs w:val="30"/>
        </w:rPr>
        <w:t>种方式解决：</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（1）向仲裁委员会申请仲裁；</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（2）向遂溪县人民法院起诉。</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spacing w:line="360" w:lineRule="auto"/>
        <w:ind w:firstLine="643" w:firstLineChars="200"/>
        <w:jc w:val="left"/>
        <w:rPr>
          <w:rFonts w:ascii="仿宋" w:hAnsi="仿宋" w:eastAsia="仿宋" w:cs="仿宋"/>
          <w:b/>
          <w:color w:val="auto"/>
          <w:sz w:val="32"/>
          <w:szCs w:val="32"/>
        </w:rPr>
      </w:pPr>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附件</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协议书附件：</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附件1：承包人承揽工程项目一览表</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专用合同条款附件：</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附件2：发包人供应材料设备一览表</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附件3：工程质量保修书</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附件4：主要建设工程文件目录</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附件5：承包人用于本工程施工的机械设备表</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附件6：承包人主要施工管理人员表</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附件7：分包人主要施工管理人员表</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附件8：履约担保格式</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附件9：预付款担保格式</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附件10：支付担保格式</w:t>
      </w:r>
    </w:p>
    <w:p>
      <w:pPr>
        <w:spacing w:line="360" w:lineRule="auto"/>
        <w:jc w:val="left"/>
        <w:rPr>
          <w:rFonts w:ascii="仿宋" w:hAnsi="仿宋" w:eastAsia="仿宋" w:cs="仿宋"/>
          <w:color w:val="auto"/>
          <w:sz w:val="30"/>
          <w:szCs w:val="32"/>
        </w:rPr>
      </w:pPr>
      <w:r>
        <w:rPr>
          <w:rFonts w:hint="eastAsia" w:ascii="仿宋" w:hAnsi="仿宋" w:eastAsia="仿宋" w:cs="仿宋"/>
          <w:color w:val="auto"/>
          <w:sz w:val="30"/>
          <w:szCs w:val="32"/>
        </w:rPr>
        <w:t>附件11：暂估价一览表</w:t>
      </w:r>
    </w:p>
    <w:p>
      <w:pPr>
        <w:spacing w:line="360" w:lineRule="auto"/>
        <w:jc w:val="left"/>
        <w:rPr>
          <w:rFonts w:ascii="仿宋" w:hAnsi="仿宋" w:eastAsia="仿宋" w:cs="仿宋"/>
          <w:color w:val="auto"/>
          <w:sz w:val="30"/>
          <w:szCs w:val="32"/>
        </w:rPr>
        <w:sectPr>
          <w:pgSz w:w="11906" w:h="16838"/>
          <w:pgMar w:top="1418" w:right="1555" w:bottom="1418" w:left="1531" w:header="851" w:footer="992" w:gutter="0"/>
          <w:cols w:space="720" w:num="1"/>
          <w:titlePg/>
          <w:docGrid w:type="lines" w:linePitch="312" w:charSpace="0"/>
        </w:sectPr>
      </w:pPr>
      <w:r>
        <w:rPr>
          <w:rFonts w:hint="eastAsia" w:ascii="仿宋" w:hAnsi="仿宋" w:eastAsia="仿宋" w:cs="仿宋"/>
          <w:color w:val="auto"/>
          <w:sz w:val="30"/>
          <w:szCs w:val="32"/>
        </w:rPr>
        <w:t>附件12：廉洁合同</w:t>
      </w:r>
    </w:p>
    <w:p>
      <w:pPr>
        <w:spacing w:beforeLines="50" w:afterLines="50" w:line="440" w:lineRule="exact"/>
        <w:jc w:val="left"/>
        <w:rPr>
          <w:rFonts w:ascii="仿宋" w:hAnsi="仿宋" w:eastAsia="仿宋" w:cs="仿宋"/>
          <w:color w:val="auto"/>
          <w:sz w:val="30"/>
          <w:szCs w:val="30"/>
        </w:rPr>
      </w:pPr>
      <w:r>
        <w:rPr>
          <w:rFonts w:hint="eastAsia" w:ascii="仿宋" w:hAnsi="仿宋" w:eastAsia="仿宋" w:cs="仿宋"/>
          <w:color w:val="auto"/>
          <w:sz w:val="30"/>
          <w:szCs w:val="30"/>
        </w:rPr>
        <w:t>附件1：</w:t>
      </w:r>
    </w:p>
    <w:p>
      <w:pPr>
        <w:spacing w:beforeLines="50" w:afterLines="50" w:line="440" w:lineRule="exact"/>
        <w:jc w:val="center"/>
        <w:rPr>
          <w:rFonts w:ascii="仿宋" w:hAnsi="仿宋" w:eastAsia="仿宋" w:cs="仿宋"/>
          <w:color w:val="auto"/>
          <w:sz w:val="30"/>
          <w:szCs w:val="30"/>
        </w:rPr>
      </w:pPr>
      <w:r>
        <w:rPr>
          <w:rFonts w:hint="eastAsia" w:ascii="仿宋" w:hAnsi="仿宋" w:eastAsia="仿宋" w:cs="仿宋"/>
          <w:color w:val="auto"/>
          <w:sz w:val="30"/>
          <w:szCs w:val="30"/>
        </w:rPr>
        <w:t>承包人承揽工程项目一览表</w:t>
      </w:r>
    </w:p>
    <w:tbl>
      <w:tblPr>
        <w:tblStyle w:val="23"/>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6" w:hRule="atLeast"/>
        </w:trPr>
        <w:tc>
          <w:tcPr>
            <w:tcW w:w="1277"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单位工程名称</w:t>
            </w:r>
          </w:p>
        </w:tc>
        <w:tc>
          <w:tcPr>
            <w:tcW w:w="1843"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建设规模</w:t>
            </w:r>
          </w:p>
        </w:tc>
        <w:tc>
          <w:tcPr>
            <w:tcW w:w="1417"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建筑面积(平方米)</w:t>
            </w:r>
          </w:p>
        </w:tc>
        <w:tc>
          <w:tcPr>
            <w:tcW w:w="2410"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结构形式</w:t>
            </w:r>
          </w:p>
        </w:tc>
        <w:tc>
          <w:tcPr>
            <w:tcW w:w="850"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层数</w:t>
            </w:r>
          </w:p>
        </w:tc>
        <w:tc>
          <w:tcPr>
            <w:tcW w:w="1560"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生产能力</w:t>
            </w:r>
          </w:p>
        </w:tc>
        <w:tc>
          <w:tcPr>
            <w:tcW w:w="2126"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设备安装内容</w:t>
            </w:r>
          </w:p>
        </w:tc>
        <w:tc>
          <w:tcPr>
            <w:tcW w:w="1417"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合同价格（元）</w:t>
            </w:r>
          </w:p>
        </w:tc>
        <w:tc>
          <w:tcPr>
            <w:tcW w:w="851"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开工日期</w:t>
            </w:r>
          </w:p>
        </w:tc>
        <w:tc>
          <w:tcPr>
            <w:tcW w:w="850"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843"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2410"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560"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2126"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851"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843"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241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56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2126"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1"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843"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241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56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2126"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1"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ign w:val="center"/>
          </w:tcPr>
          <w:p>
            <w:pPr>
              <w:pStyle w:val="8"/>
              <w:keepNext/>
              <w:spacing w:line="440" w:lineRule="exact"/>
              <w:ind w:left="63" w:right="63"/>
              <w:rPr>
                <w:rFonts w:ascii="仿宋" w:hAnsi="仿宋" w:eastAsia="仿宋" w:cs="仿宋"/>
                <w:color w:val="auto"/>
                <w:sz w:val="30"/>
                <w:szCs w:val="30"/>
              </w:rPr>
            </w:pPr>
          </w:p>
        </w:tc>
        <w:tc>
          <w:tcPr>
            <w:tcW w:w="1843" w:type="dxa"/>
            <w:noWrap/>
            <w:vAlign w:val="center"/>
          </w:tcPr>
          <w:p>
            <w:pPr>
              <w:pStyle w:val="8"/>
              <w:keepNext/>
              <w:spacing w:line="440" w:lineRule="exact"/>
              <w:ind w:left="63" w:right="63"/>
              <w:rPr>
                <w:rFonts w:ascii="仿宋" w:hAnsi="仿宋" w:eastAsia="仿宋" w:cs="仿宋"/>
                <w:color w:val="auto"/>
                <w:sz w:val="30"/>
                <w:szCs w:val="30"/>
              </w:rPr>
            </w:pPr>
          </w:p>
        </w:tc>
        <w:tc>
          <w:tcPr>
            <w:tcW w:w="1417" w:type="dxa"/>
            <w:noWrap/>
            <w:vAlign w:val="center"/>
          </w:tcPr>
          <w:p>
            <w:pPr>
              <w:pStyle w:val="8"/>
              <w:keepNext/>
              <w:spacing w:line="440" w:lineRule="exact"/>
              <w:ind w:left="63" w:right="63"/>
              <w:rPr>
                <w:rFonts w:ascii="仿宋" w:hAnsi="仿宋" w:eastAsia="仿宋" w:cs="仿宋"/>
                <w:color w:val="auto"/>
                <w:sz w:val="30"/>
                <w:szCs w:val="30"/>
              </w:rPr>
            </w:pPr>
          </w:p>
        </w:tc>
        <w:tc>
          <w:tcPr>
            <w:tcW w:w="2410" w:type="dxa"/>
            <w:noWrap/>
            <w:vAlign w:val="center"/>
          </w:tcPr>
          <w:p>
            <w:pPr>
              <w:pStyle w:val="8"/>
              <w:keepNext/>
              <w:spacing w:line="440" w:lineRule="exact"/>
              <w:ind w:left="63" w:right="63"/>
              <w:rPr>
                <w:rFonts w:ascii="仿宋" w:hAnsi="仿宋" w:eastAsia="仿宋" w:cs="仿宋"/>
                <w:color w:val="auto"/>
                <w:sz w:val="30"/>
                <w:szCs w:val="30"/>
              </w:rPr>
            </w:pPr>
          </w:p>
        </w:tc>
        <w:tc>
          <w:tcPr>
            <w:tcW w:w="850" w:type="dxa"/>
            <w:noWrap/>
            <w:vAlign w:val="center"/>
          </w:tcPr>
          <w:p>
            <w:pPr>
              <w:pStyle w:val="8"/>
              <w:keepNext/>
              <w:spacing w:line="440" w:lineRule="exact"/>
              <w:ind w:left="63" w:right="63"/>
              <w:rPr>
                <w:rFonts w:ascii="仿宋" w:hAnsi="仿宋" w:eastAsia="仿宋" w:cs="仿宋"/>
                <w:color w:val="auto"/>
                <w:sz w:val="30"/>
                <w:szCs w:val="30"/>
              </w:rPr>
            </w:pPr>
          </w:p>
        </w:tc>
        <w:tc>
          <w:tcPr>
            <w:tcW w:w="1560" w:type="dxa"/>
            <w:noWrap/>
            <w:vAlign w:val="center"/>
          </w:tcPr>
          <w:p>
            <w:pPr>
              <w:pStyle w:val="8"/>
              <w:keepNext/>
              <w:spacing w:line="440" w:lineRule="exact"/>
              <w:ind w:left="63" w:right="63"/>
              <w:rPr>
                <w:rFonts w:ascii="仿宋" w:hAnsi="仿宋" w:eastAsia="仿宋" w:cs="仿宋"/>
                <w:color w:val="auto"/>
                <w:sz w:val="30"/>
                <w:szCs w:val="30"/>
              </w:rPr>
            </w:pPr>
          </w:p>
        </w:tc>
        <w:tc>
          <w:tcPr>
            <w:tcW w:w="2126" w:type="dxa"/>
            <w:noWrap/>
            <w:vAlign w:val="center"/>
          </w:tcPr>
          <w:p>
            <w:pPr>
              <w:pStyle w:val="8"/>
              <w:keepNext/>
              <w:spacing w:line="440" w:lineRule="exact"/>
              <w:ind w:left="63" w:right="63"/>
              <w:rPr>
                <w:rFonts w:ascii="仿宋" w:hAnsi="仿宋" w:eastAsia="仿宋" w:cs="仿宋"/>
                <w:color w:val="auto"/>
                <w:sz w:val="30"/>
                <w:szCs w:val="30"/>
              </w:rPr>
            </w:pPr>
          </w:p>
        </w:tc>
        <w:tc>
          <w:tcPr>
            <w:tcW w:w="1417" w:type="dxa"/>
            <w:noWrap/>
            <w:vAlign w:val="center"/>
          </w:tcPr>
          <w:p>
            <w:pPr>
              <w:pStyle w:val="8"/>
              <w:keepNext/>
              <w:spacing w:line="440" w:lineRule="exact"/>
              <w:ind w:left="63" w:right="63"/>
              <w:rPr>
                <w:rFonts w:ascii="仿宋" w:hAnsi="仿宋" w:eastAsia="仿宋" w:cs="仿宋"/>
                <w:color w:val="auto"/>
                <w:sz w:val="30"/>
                <w:szCs w:val="30"/>
              </w:rPr>
            </w:pPr>
          </w:p>
        </w:tc>
        <w:tc>
          <w:tcPr>
            <w:tcW w:w="851" w:type="dxa"/>
            <w:noWrap/>
            <w:vAlign w:val="center"/>
          </w:tcPr>
          <w:p>
            <w:pPr>
              <w:pStyle w:val="8"/>
              <w:keepNext/>
              <w:spacing w:line="440" w:lineRule="exact"/>
              <w:ind w:left="63" w:right="63"/>
              <w:rPr>
                <w:rFonts w:ascii="仿宋" w:hAnsi="仿宋" w:eastAsia="仿宋" w:cs="仿宋"/>
                <w:color w:val="auto"/>
                <w:sz w:val="30"/>
                <w:szCs w:val="30"/>
              </w:rPr>
            </w:pPr>
          </w:p>
        </w:tc>
        <w:tc>
          <w:tcPr>
            <w:tcW w:w="850"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843"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241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56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2126"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1"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ign w:val="center"/>
          </w:tcPr>
          <w:p>
            <w:pPr>
              <w:pStyle w:val="8"/>
              <w:keepNext/>
              <w:spacing w:line="440" w:lineRule="exact"/>
              <w:ind w:left="63" w:right="63"/>
              <w:rPr>
                <w:rFonts w:ascii="仿宋" w:hAnsi="仿宋" w:eastAsia="仿宋" w:cs="仿宋"/>
                <w:color w:val="auto"/>
                <w:sz w:val="30"/>
                <w:szCs w:val="30"/>
              </w:rPr>
            </w:pPr>
          </w:p>
        </w:tc>
        <w:tc>
          <w:tcPr>
            <w:tcW w:w="1843" w:type="dxa"/>
            <w:noWrap/>
            <w:vAlign w:val="center"/>
          </w:tcPr>
          <w:p>
            <w:pPr>
              <w:pStyle w:val="8"/>
              <w:keepNext/>
              <w:spacing w:line="440" w:lineRule="exact"/>
              <w:ind w:left="63" w:right="63"/>
              <w:rPr>
                <w:rFonts w:ascii="仿宋" w:hAnsi="仿宋" w:eastAsia="仿宋" w:cs="仿宋"/>
                <w:color w:val="auto"/>
                <w:sz w:val="30"/>
                <w:szCs w:val="30"/>
              </w:rPr>
            </w:pPr>
          </w:p>
        </w:tc>
        <w:tc>
          <w:tcPr>
            <w:tcW w:w="1417" w:type="dxa"/>
            <w:noWrap/>
            <w:vAlign w:val="center"/>
          </w:tcPr>
          <w:p>
            <w:pPr>
              <w:pStyle w:val="8"/>
              <w:keepNext/>
              <w:spacing w:line="440" w:lineRule="exact"/>
              <w:ind w:left="63" w:right="63"/>
              <w:rPr>
                <w:rFonts w:ascii="仿宋" w:hAnsi="仿宋" w:eastAsia="仿宋" w:cs="仿宋"/>
                <w:color w:val="auto"/>
                <w:sz w:val="30"/>
                <w:szCs w:val="30"/>
              </w:rPr>
            </w:pPr>
          </w:p>
        </w:tc>
        <w:tc>
          <w:tcPr>
            <w:tcW w:w="2410" w:type="dxa"/>
            <w:noWrap/>
            <w:vAlign w:val="center"/>
          </w:tcPr>
          <w:p>
            <w:pPr>
              <w:pStyle w:val="8"/>
              <w:keepNext/>
              <w:spacing w:line="440" w:lineRule="exact"/>
              <w:ind w:left="63" w:right="63"/>
              <w:rPr>
                <w:rFonts w:ascii="仿宋" w:hAnsi="仿宋" w:eastAsia="仿宋" w:cs="仿宋"/>
                <w:color w:val="auto"/>
                <w:sz w:val="30"/>
                <w:szCs w:val="30"/>
              </w:rPr>
            </w:pPr>
          </w:p>
        </w:tc>
        <w:tc>
          <w:tcPr>
            <w:tcW w:w="850" w:type="dxa"/>
            <w:noWrap/>
            <w:vAlign w:val="center"/>
          </w:tcPr>
          <w:p>
            <w:pPr>
              <w:pStyle w:val="8"/>
              <w:keepNext/>
              <w:spacing w:line="440" w:lineRule="exact"/>
              <w:ind w:left="63" w:right="63"/>
              <w:rPr>
                <w:rFonts w:ascii="仿宋" w:hAnsi="仿宋" w:eastAsia="仿宋" w:cs="仿宋"/>
                <w:color w:val="auto"/>
                <w:sz w:val="30"/>
                <w:szCs w:val="30"/>
              </w:rPr>
            </w:pPr>
          </w:p>
        </w:tc>
        <w:tc>
          <w:tcPr>
            <w:tcW w:w="1560" w:type="dxa"/>
            <w:noWrap/>
            <w:vAlign w:val="center"/>
          </w:tcPr>
          <w:p>
            <w:pPr>
              <w:pStyle w:val="8"/>
              <w:keepNext/>
              <w:spacing w:line="440" w:lineRule="exact"/>
              <w:ind w:left="63" w:right="63"/>
              <w:rPr>
                <w:rFonts w:ascii="仿宋" w:hAnsi="仿宋" w:eastAsia="仿宋" w:cs="仿宋"/>
                <w:color w:val="auto"/>
                <w:sz w:val="30"/>
                <w:szCs w:val="30"/>
              </w:rPr>
            </w:pPr>
          </w:p>
        </w:tc>
        <w:tc>
          <w:tcPr>
            <w:tcW w:w="2126" w:type="dxa"/>
            <w:noWrap/>
            <w:vAlign w:val="center"/>
          </w:tcPr>
          <w:p>
            <w:pPr>
              <w:pStyle w:val="8"/>
              <w:keepNext/>
              <w:spacing w:line="440" w:lineRule="exact"/>
              <w:ind w:left="63" w:right="63"/>
              <w:rPr>
                <w:rFonts w:ascii="仿宋" w:hAnsi="仿宋" w:eastAsia="仿宋" w:cs="仿宋"/>
                <w:color w:val="auto"/>
                <w:sz w:val="30"/>
                <w:szCs w:val="30"/>
              </w:rPr>
            </w:pPr>
          </w:p>
        </w:tc>
        <w:tc>
          <w:tcPr>
            <w:tcW w:w="1417" w:type="dxa"/>
            <w:noWrap/>
            <w:vAlign w:val="center"/>
          </w:tcPr>
          <w:p>
            <w:pPr>
              <w:pStyle w:val="8"/>
              <w:keepNext/>
              <w:spacing w:line="440" w:lineRule="exact"/>
              <w:ind w:left="63" w:right="63"/>
              <w:rPr>
                <w:rFonts w:ascii="仿宋" w:hAnsi="仿宋" w:eastAsia="仿宋" w:cs="仿宋"/>
                <w:color w:val="auto"/>
                <w:sz w:val="30"/>
                <w:szCs w:val="30"/>
              </w:rPr>
            </w:pPr>
          </w:p>
        </w:tc>
        <w:tc>
          <w:tcPr>
            <w:tcW w:w="851" w:type="dxa"/>
            <w:noWrap/>
            <w:vAlign w:val="center"/>
          </w:tcPr>
          <w:p>
            <w:pPr>
              <w:pStyle w:val="8"/>
              <w:keepNext/>
              <w:spacing w:line="440" w:lineRule="exact"/>
              <w:ind w:left="63" w:right="63"/>
              <w:rPr>
                <w:rFonts w:ascii="仿宋" w:hAnsi="仿宋" w:eastAsia="仿宋" w:cs="仿宋"/>
                <w:color w:val="auto"/>
                <w:sz w:val="30"/>
                <w:szCs w:val="30"/>
              </w:rPr>
            </w:pPr>
          </w:p>
        </w:tc>
        <w:tc>
          <w:tcPr>
            <w:tcW w:w="850"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843"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241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56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2126"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1"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843"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241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56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2126"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1"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ign w:val="center"/>
          </w:tcPr>
          <w:p>
            <w:pPr>
              <w:pStyle w:val="8"/>
              <w:keepNext/>
              <w:spacing w:line="440" w:lineRule="exact"/>
              <w:ind w:left="63" w:right="63"/>
              <w:rPr>
                <w:rFonts w:ascii="仿宋" w:hAnsi="仿宋" w:eastAsia="仿宋" w:cs="仿宋"/>
                <w:color w:val="auto"/>
                <w:sz w:val="30"/>
                <w:szCs w:val="30"/>
              </w:rPr>
            </w:pPr>
          </w:p>
        </w:tc>
        <w:tc>
          <w:tcPr>
            <w:tcW w:w="1843" w:type="dxa"/>
            <w:noWrap/>
            <w:vAlign w:val="center"/>
          </w:tcPr>
          <w:p>
            <w:pPr>
              <w:pStyle w:val="8"/>
              <w:keepNext/>
              <w:spacing w:line="440" w:lineRule="exact"/>
              <w:ind w:left="63" w:right="63"/>
              <w:rPr>
                <w:rFonts w:ascii="仿宋" w:hAnsi="仿宋" w:eastAsia="仿宋" w:cs="仿宋"/>
                <w:color w:val="auto"/>
                <w:sz w:val="30"/>
                <w:szCs w:val="30"/>
              </w:rPr>
            </w:pPr>
          </w:p>
        </w:tc>
        <w:tc>
          <w:tcPr>
            <w:tcW w:w="1417" w:type="dxa"/>
            <w:noWrap/>
            <w:vAlign w:val="center"/>
          </w:tcPr>
          <w:p>
            <w:pPr>
              <w:pStyle w:val="8"/>
              <w:keepNext/>
              <w:spacing w:line="440" w:lineRule="exact"/>
              <w:ind w:left="63" w:right="63"/>
              <w:rPr>
                <w:rFonts w:ascii="仿宋" w:hAnsi="仿宋" w:eastAsia="仿宋" w:cs="仿宋"/>
                <w:color w:val="auto"/>
                <w:sz w:val="30"/>
                <w:szCs w:val="30"/>
              </w:rPr>
            </w:pPr>
          </w:p>
        </w:tc>
        <w:tc>
          <w:tcPr>
            <w:tcW w:w="2410" w:type="dxa"/>
            <w:noWrap/>
            <w:vAlign w:val="center"/>
          </w:tcPr>
          <w:p>
            <w:pPr>
              <w:pStyle w:val="8"/>
              <w:keepNext/>
              <w:spacing w:line="440" w:lineRule="exact"/>
              <w:ind w:left="63" w:right="63"/>
              <w:rPr>
                <w:rFonts w:ascii="仿宋" w:hAnsi="仿宋" w:eastAsia="仿宋" w:cs="仿宋"/>
                <w:color w:val="auto"/>
                <w:sz w:val="30"/>
                <w:szCs w:val="30"/>
              </w:rPr>
            </w:pPr>
          </w:p>
        </w:tc>
        <w:tc>
          <w:tcPr>
            <w:tcW w:w="850" w:type="dxa"/>
            <w:noWrap/>
            <w:vAlign w:val="center"/>
          </w:tcPr>
          <w:p>
            <w:pPr>
              <w:pStyle w:val="8"/>
              <w:keepNext/>
              <w:spacing w:line="440" w:lineRule="exact"/>
              <w:ind w:left="63" w:right="63"/>
              <w:rPr>
                <w:rFonts w:ascii="仿宋" w:hAnsi="仿宋" w:eastAsia="仿宋" w:cs="仿宋"/>
                <w:color w:val="auto"/>
                <w:sz w:val="30"/>
                <w:szCs w:val="30"/>
              </w:rPr>
            </w:pPr>
          </w:p>
        </w:tc>
        <w:tc>
          <w:tcPr>
            <w:tcW w:w="1560" w:type="dxa"/>
            <w:noWrap/>
            <w:vAlign w:val="center"/>
          </w:tcPr>
          <w:p>
            <w:pPr>
              <w:pStyle w:val="8"/>
              <w:keepNext/>
              <w:spacing w:line="440" w:lineRule="exact"/>
              <w:ind w:left="63" w:right="63"/>
              <w:rPr>
                <w:rFonts w:ascii="仿宋" w:hAnsi="仿宋" w:eastAsia="仿宋" w:cs="仿宋"/>
                <w:color w:val="auto"/>
                <w:sz w:val="30"/>
                <w:szCs w:val="30"/>
              </w:rPr>
            </w:pPr>
          </w:p>
        </w:tc>
        <w:tc>
          <w:tcPr>
            <w:tcW w:w="2126" w:type="dxa"/>
            <w:noWrap/>
            <w:vAlign w:val="center"/>
          </w:tcPr>
          <w:p>
            <w:pPr>
              <w:pStyle w:val="8"/>
              <w:keepNext/>
              <w:spacing w:line="440" w:lineRule="exact"/>
              <w:ind w:left="63" w:right="63"/>
              <w:rPr>
                <w:rFonts w:ascii="仿宋" w:hAnsi="仿宋" w:eastAsia="仿宋" w:cs="仿宋"/>
                <w:color w:val="auto"/>
                <w:sz w:val="30"/>
                <w:szCs w:val="30"/>
              </w:rPr>
            </w:pPr>
          </w:p>
        </w:tc>
        <w:tc>
          <w:tcPr>
            <w:tcW w:w="1417" w:type="dxa"/>
            <w:noWrap/>
            <w:vAlign w:val="center"/>
          </w:tcPr>
          <w:p>
            <w:pPr>
              <w:pStyle w:val="8"/>
              <w:keepNext/>
              <w:spacing w:line="440" w:lineRule="exact"/>
              <w:ind w:left="63" w:right="63"/>
              <w:rPr>
                <w:rFonts w:ascii="仿宋" w:hAnsi="仿宋" w:eastAsia="仿宋" w:cs="仿宋"/>
                <w:color w:val="auto"/>
                <w:sz w:val="30"/>
                <w:szCs w:val="30"/>
              </w:rPr>
            </w:pPr>
          </w:p>
        </w:tc>
        <w:tc>
          <w:tcPr>
            <w:tcW w:w="851" w:type="dxa"/>
            <w:noWrap/>
            <w:vAlign w:val="center"/>
          </w:tcPr>
          <w:p>
            <w:pPr>
              <w:pStyle w:val="8"/>
              <w:keepNext/>
              <w:spacing w:line="440" w:lineRule="exact"/>
              <w:ind w:left="63" w:right="63"/>
              <w:rPr>
                <w:rFonts w:ascii="仿宋" w:hAnsi="仿宋" w:eastAsia="仿宋" w:cs="仿宋"/>
                <w:color w:val="auto"/>
                <w:sz w:val="30"/>
                <w:szCs w:val="30"/>
              </w:rPr>
            </w:pPr>
          </w:p>
        </w:tc>
        <w:tc>
          <w:tcPr>
            <w:tcW w:w="850"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843"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241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56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2126"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1"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843"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c>
          <w:tcPr>
            <w:tcW w:w="2410"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560"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c>
          <w:tcPr>
            <w:tcW w:w="2126"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417"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c>
          <w:tcPr>
            <w:tcW w:w="851"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r>
    </w:tbl>
    <w:p>
      <w:pPr>
        <w:spacing w:line="440" w:lineRule="exact"/>
        <w:rPr>
          <w:rFonts w:ascii="仿宋" w:hAnsi="仿宋" w:eastAsia="仿宋" w:cs="仿宋"/>
          <w:b/>
          <w:color w:val="auto"/>
          <w:sz w:val="30"/>
          <w:szCs w:val="30"/>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仿宋" w:hAnsi="仿宋" w:eastAsia="仿宋" w:cs="仿宋"/>
          <w:color w:val="auto"/>
          <w:sz w:val="30"/>
          <w:szCs w:val="30"/>
        </w:rPr>
      </w:pPr>
      <w:r>
        <w:rPr>
          <w:rFonts w:hint="eastAsia" w:ascii="仿宋" w:hAnsi="仿宋" w:eastAsia="仿宋" w:cs="仿宋"/>
          <w:color w:val="auto"/>
          <w:sz w:val="30"/>
          <w:szCs w:val="30"/>
        </w:rPr>
        <w:t>附</w:t>
      </w:r>
      <w:bookmarkStart w:id="403" w:name="_Toc267261692"/>
      <w:bookmarkStart w:id="404" w:name="_Toc296891053"/>
      <w:bookmarkStart w:id="405" w:name="_Toc296346726"/>
      <w:bookmarkStart w:id="406" w:name="_Toc296944564"/>
      <w:bookmarkStart w:id="407" w:name="_Toc296503225"/>
      <w:bookmarkStart w:id="408" w:name="_Toc296891265"/>
      <w:bookmarkStart w:id="409" w:name="_Toc296347224"/>
      <w:r>
        <w:rPr>
          <w:rFonts w:hint="eastAsia" w:ascii="仿宋" w:hAnsi="仿宋" w:eastAsia="仿宋" w:cs="仿宋"/>
          <w:color w:val="auto"/>
          <w:sz w:val="30"/>
          <w:szCs w:val="30"/>
        </w:rPr>
        <w:t>件2：</w:t>
      </w:r>
    </w:p>
    <w:bookmarkEnd w:id="403"/>
    <w:bookmarkEnd w:id="404"/>
    <w:bookmarkEnd w:id="405"/>
    <w:bookmarkEnd w:id="406"/>
    <w:bookmarkEnd w:id="407"/>
    <w:bookmarkEnd w:id="408"/>
    <w:bookmarkEnd w:id="409"/>
    <w:p>
      <w:pPr>
        <w:spacing w:beforeLines="50" w:afterLines="50" w:line="440" w:lineRule="exact"/>
        <w:jc w:val="center"/>
        <w:rPr>
          <w:rFonts w:ascii="仿宋" w:hAnsi="仿宋" w:eastAsia="仿宋" w:cs="仿宋"/>
          <w:color w:val="auto"/>
          <w:sz w:val="30"/>
          <w:szCs w:val="30"/>
        </w:rPr>
      </w:pPr>
      <w:r>
        <w:rPr>
          <w:rFonts w:hint="eastAsia" w:ascii="仿宋" w:hAnsi="仿宋" w:eastAsia="仿宋" w:cs="仿宋"/>
          <w:color w:val="auto"/>
          <w:sz w:val="30"/>
          <w:szCs w:val="30"/>
        </w:rPr>
        <w:t>发包人供应材料设备一览表</w:t>
      </w:r>
    </w:p>
    <w:tbl>
      <w:tblPr>
        <w:tblStyle w:val="23"/>
        <w:tblW w:w="9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93"/>
        <w:gridCol w:w="1189"/>
        <w:gridCol w:w="1322"/>
        <w:gridCol w:w="876"/>
        <w:gridCol w:w="793"/>
        <w:gridCol w:w="973"/>
        <w:gridCol w:w="925"/>
        <w:gridCol w:w="793"/>
        <w:gridCol w:w="1386"/>
        <w:gridCol w:w="9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5" w:hRule="atLeast"/>
          <w:jc w:val="center"/>
        </w:trPr>
        <w:tc>
          <w:tcPr>
            <w:tcW w:w="793"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序号</w:t>
            </w:r>
          </w:p>
        </w:tc>
        <w:tc>
          <w:tcPr>
            <w:tcW w:w="1189"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 xml:space="preserve">  材料、</w:t>
            </w:r>
          </w:p>
          <w:p>
            <w:pPr>
              <w:pStyle w:val="8"/>
              <w:keepNext/>
              <w:spacing w:line="440" w:lineRule="exact"/>
              <w:ind w:right="63"/>
              <w:jc w:val="both"/>
              <w:rPr>
                <w:rFonts w:ascii="仿宋" w:hAnsi="仿宋" w:eastAsia="仿宋" w:cs="仿宋"/>
                <w:color w:val="auto"/>
                <w:sz w:val="28"/>
                <w:szCs w:val="30"/>
              </w:rPr>
            </w:pPr>
            <w:r>
              <w:rPr>
                <w:rFonts w:hint="eastAsia" w:ascii="仿宋" w:hAnsi="仿宋" w:eastAsia="仿宋" w:cs="仿宋"/>
                <w:color w:val="auto"/>
                <w:sz w:val="28"/>
                <w:szCs w:val="30"/>
              </w:rPr>
              <w:t>设备品种</w:t>
            </w:r>
          </w:p>
        </w:tc>
        <w:tc>
          <w:tcPr>
            <w:tcW w:w="1322"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规格型号</w:t>
            </w:r>
          </w:p>
        </w:tc>
        <w:tc>
          <w:tcPr>
            <w:tcW w:w="876"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单位</w:t>
            </w:r>
          </w:p>
        </w:tc>
        <w:tc>
          <w:tcPr>
            <w:tcW w:w="793"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数量</w:t>
            </w:r>
          </w:p>
        </w:tc>
        <w:tc>
          <w:tcPr>
            <w:tcW w:w="973"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单价（元）</w:t>
            </w:r>
          </w:p>
        </w:tc>
        <w:tc>
          <w:tcPr>
            <w:tcW w:w="925"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质量等级</w:t>
            </w:r>
          </w:p>
        </w:tc>
        <w:tc>
          <w:tcPr>
            <w:tcW w:w="793"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供应时间</w:t>
            </w:r>
          </w:p>
        </w:tc>
        <w:tc>
          <w:tcPr>
            <w:tcW w:w="1386"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送达地点</w:t>
            </w:r>
          </w:p>
        </w:tc>
        <w:tc>
          <w:tcPr>
            <w:tcW w:w="925"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atLeast"/>
          <w:jc w:val="center"/>
        </w:trPr>
        <w:tc>
          <w:tcPr>
            <w:tcW w:w="793"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189"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322"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876"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793"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973"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925"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793"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386"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925"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793"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189"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322"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76"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793"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973"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925"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793"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386"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925"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189" w:type="dxa"/>
            <w:noWrap/>
            <w:vAlign w:val="center"/>
          </w:tcPr>
          <w:p>
            <w:pPr>
              <w:pStyle w:val="8"/>
              <w:keepNext/>
              <w:spacing w:line="440" w:lineRule="exact"/>
              <w:ind w:left="63" w:right="63"/>
              <w:rPr>
                <w:rFonts w:ascii="仿宋" w:hAnsi="仿宋" w:eastAsia="仿宋" w:cs="仿宋"/>
                <w:color w:val="auto"/>
                <w:sz w:val="30"/>
                <w:szCs w:val="30"/>
              </w:rPr>
            </w:pPr>
          </w:p>
        </w:tc>
        <w:tc>
          <w:tcPr>
            <w:tcW w:w="1322" w:type="dxa"/>
            <w:noWrap/>
            <w:vAlign w:val="center"/>
          </w:tcPr>
          <w:p>
            <w:pPr>
              <w:pStyle w:val="8"/>
              <w:keepNext/>
              <w:spacing w:line="440" w:lineRule="exact"/>
              <w:ind w:left="63" w:right="63"/>
              <w:rPr>
                <w:rFonts w:ascii="仿宋" w:hAnsi="仿宋" w:eastAsia="仿宋" w:cs="仿宋"/>
                <w:color w:val="auto"/>
                <w:sz w:val="30"/>
                <w:szCs w:val="30"/>
              </w:rPr>
            </w:pPr>
          </w:p>
        </w:tc>
        <w:tc>
          <w:tcPr>
            <w:tcW w:w="876"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973"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386"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189" w:type="dxa"/>
            <w:noWrap/>
            <w:vAlign w:val="center"/>
          </w:tcPr>
          <w:p>
            <w:pPr>
              <w:pStyle w:val="8"/>
              <w:keepNext/>
              <w:spacing w:line="440" w:lineRule="exact"/>
              <w:ind w:left="63" w:right="63"/>
              <w:rPr>
                <w:rFonts w:ascii="仿宋" w:hAnsi="仿宋" w:eastAsia="仿宋" w:cs="仿宋"/>
                <w:color w:val="auto"/>
                <w:sz w:val="30"/>
                <w:szCs w:val="30"/>
              </w:rPr>
            </w:pPr>
          </w:p>
        </w:tc>
        <w:tc>
          <w:tcPr>
            <w:tcW w:w="1322" w:type="dxa"/>
            <w:noWrap/>
            <w:vAlign w:val="center"/>
          </w:tcPr>
          <w:p>
            <w:pPr>
              <w:pStyle w:val="8"/>
              <w:keepNext/>
              <w:spacing w:line="440" w:lineRule="exact"/>
              <w:ind w:left="63" w:right="63"/>
              <w:rPr>
                <w:rFonts w:ascii="仿宋" w:hAnsi="仿宋" w:eastAsia="仿宋" w:cs="仿宋"/>
                <w:color w:val="auto"/>
                <w:sz w:val="30"/>
                <w:szCs w:val="30"/>
              </w:rPr>
            </w:pPr>
          </w:p>
        </w:tc>
        <w:tc>
          <w:tcPr>
            <w:tcW w:w="876"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973"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386"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189" w:type="dxa"/>
            <w:noWrap/>
            <w:vAlign w:val="center"/>
          </w:tcPr>
          <w:p>
            <w:pPr>
              <w:pStyle w:val="8"/>
              <w:keepNext/>
              <w:spacing w:line="440" w:lineRule="exact"/>
              <w:ind w:left="63" w:right="63"/>
              <w:rPr>
                <w:rFonts w:ascii="仿宋" w:hAnsi="仿宋" w:eastAsia="仿宋" w:cs="仿宋"/>
                <w:color w:val="auto"/>
                <w:sz w:val="30"/>
                <w:szCs w:val="30"/>
              </w:rPr>
            </w:pPr>
          </w:p>
        </w:tc>
        <w:tc>
          <w:tcPr>
            <w:tcW w:w="1322" w:type="dxa"/>
            <w:noWrap/>
            <w:vAlign w:val="center"/>
          </w:tcPr>
          <w:p>
            <w:pPr>
              <w:pStyle w:val="8"/>
              <w:keepNext/>
              <w:spacing w:line="440" w:lineRule="exact"/>
              <w:ind w:left="63" w:right="63"/>
              <w:rPr>
                <w:rFonts w:ascii="仿宋" w:hAnsi="仿宋" w:eastAsia="仿宋" w:cs="仿宋"/>
                <w:color w:val="auto"/>
                <w:sz w:val="30"/>
                <w:szCs w:val="30"/>
              </w:rPr>
            </w:pPr>
          </w:p>
        </w:tc>
        <w:tc>
          <w:tcPr>
            <w:tcW w:w="876"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973"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386"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189" w:type="dxa"/>
            <w:noWrap/>
            <w:vAlign w:val="center"/>
          </w:tcPr>
          <w:p>
            <w:pPr>
              <w:pStyle w:val="8"/>
              <w:keepNext/>
              <w:spacing w:line="440" w:lineRule="exact"/>
              <w:ind w:left="63" w:right="63"/>
              <w:rPr>
                <w:rFonts w:ascii="仿宋" w:hAnsi="仿宋" w:eastAsia="仿宋" w:cs="仿宋"/>
                <w:color w:val="auto"/>
                <w:sz w:val="30"/>
                <w:szCs w:val="30"/>
              </w:rPr>
            </w:pPr>
          </w:p>
        </w:tc>
        <w:tc>
          <w:tcPr>
            <w:tcW w:w="1322" w:type="dxa"/>
            <w:noWrap/>
            <w:vAlign w:val="center"/>
          </w:tcPr>
          <w:p>
            <w:pPr>
              <w:pStyle w:val="8"/>
              <w:keepNext/>
              <w:spacing w:line="440" w:lineRule="exact"/>
              <w:ind w:left="63" w:right="63"/>
              <w:rPr>
                <w:rFonts w:ascii="仿宋" w:hAnsi="仿宋" w:eastAsia="仿宋" w:cs="仿宋"/>
                <w:color w:val="auto"/>
                <w:sz w:val="30"/>
                <w:szCs w:val="30"/>
              </w:rPr>
            </w:pPr>
          </w:p>
        </w:tc>
        <w:tc>
          <w:tcPr>
            <w:tcW w:w="876"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973"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386"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189" w:type="dxa"/>
            <w:noWrap/>
            <w:vAlign w:val="center"/>
          </w:tcPr>
          <w:p>
            <w:pPr>
              <w:pStyle w:val="8"/>
              <w:keepNext/>
              <w:spacing w:line="440" w:lineRule="exact"/>
              <w:ind w:left="63" w:right="63"/>
              <w:rPr>
                <w:rFonts w:ascii="仿宋" w:hAnsi="仿宋" w:eastAsia="仿宋" w:cs="仿宋"/>
                <w:color w:val="auto"/>
                <w:sz w:val="30"/>
                <w:szCs w:val="30"/>
              </w:rPr>
            </w:pPr>
          </w:p>
        </w:tc>
        <w:tc>
          <w:tcPr>
            <w:tcW w:w="1322" w:type="dxa"/>
            <w:noWrap/>
            <w:vAlign w:val="center"/>
          </w:tcPr>
          <w:p>
            <w:pPr>
              <w:pStyle w:val="8"/>
              <w:keepNext/>
              <w:spacing w:line="440" w:lineRule="exact"/>
              <w:ind w:left="63" w:right="63"/>
              <w:rPr>
                <w:rFonts w:ascii="仿宋" w:hAnsi="仿宋" w:eastAsia="仿宋" w:cs="仿宋"/>
                <w:color w:val="auto"/>
                <w:sz w:val="30"/>
                <w:szCs w:val="30"/>
              </w:rPr>
            </w:pPr>
          </w:p>
        </w:tc>
        <w:tc>
          <w:tcPr>
            <w:tcW w:w="876"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973"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386"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189" w:type="dxa"/>
            <w:noWrap/>
            <w:vAlign w:val="center"/>
          </w:tcPr>
          <w:p>
            <w:pPr>
              <w:pStyle w:val="8"/>
              <w:keepNext/>
              <w:spacing w:line="440" w:lineRule="exact"/>
              <w:ind w:left="63" w:right="63"/>
              <w:rPr>
                <w:rFonts w:ascii="仿宋" w:hAnsi="仿宋" w:eastAsia="仿宋" w:cs="仿宋"/>
                <w:color w:val="auto"/>
                <w:sz w:val="30"/>
                <w:szCs w:val="30"/>
              </w:rPr>
            </w:pPr>
          </w:p>
        </w:tc>
        <w:tc>
          <w:tcPr>
            <w:tcW w:w="1322" w:type="dxa"/>
            <w:noWrap/>
            <w:vAlign w:val="center"/>
          </w:tcPr>
          <w:p>
            <w:pPr>
              <w:pStyle w:val="8"/>
              <w:keepNext/>
              <w:spacing w:line="440" w:lineRule="exact"/>
              <w:ind w:left="63" w:right="63"/>
              <w:rPr>
                <w:rFonts w:ascii="仿宋" w:hAnsi="仿宋" w:eastAsia="仿宋" w:cs="仿宋"/>
                <w:color w:val="auto"/>
                <w:sz w:val="30"/>
                <w:szCs w:val="30"/>
              </w:rPr>
            </w:pPr>
          </w:p>
        </w:tc>
        <w:tc>
          <w:tcPr>
            <w:tcW w:w="876"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973"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386"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793" w:type="dxa"/>
            <w:noWrap/>
            <w:vAlign w:val="center"/>
          </w:tcPr>
          <w:p>
            <w:pPr>
              <w:jc w:val="center"/>
              <w:rPr>
                <w:rFonts w:ascii="仿宋" w:hAnsi="仿宋" w:eastAsia="仿宋" w:cs="仿宋"/>
                <w:color w:val="auto"/>
                <w:sz w:val="30"/>
                <w:szCs w:val="30"/>
              </w:rPr>
            </w:pPr>
          </w:p>
        </w:tc>
        <w:tc>
          <w:tcPr>
            <w:tcW w:w="1189" w:type="dxa"/>
            <w:noWrap/>
            <w:vAlign w:val="center"/>
          </w:tcPr>
          <w:p>
            <w:pPr>
              <w:jc w:val="center"/>
              <w:rPr>
                <w:rFonts w:ascii="仿宋" w:hAnsi="仿宋" w:eastAsia="仿宋" w:cs="仿宋"/>
                <w:color w:val="auto"/>
                <w:sz w:val="30"/>
                <w:szCs w:val="30"/>
              </w:rPr>
            </w:pPr>
          </w:p>
        </w:tc>
        <w:tc>
          <w:tcPr>
            <w:tcW w:w="1322" w:type="dxa"/>
            <w:noWrap/>
            <w:vAlign w:val="center"/>
          </w:tcPr>
          <w:p>
            <w:pPr>
              <w:jc w:val="center"/>
              <w:rPr>
                <w:rFonts w:ascii="仿宋" w:hAnsi="仿宋" w:eastAsia="仿宋" w:cs="仿宋"/>
                <w:color w:val="auto"/>
                <w:sz w:val="30"/>
                <w:szCs w:val="30"/>
              </w:rPr>
            </w:pPr>
          </w:p>
        </w:tc>
        <w:tc>
          <w:tcPr>
            <w:tcW w:w="876"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973"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1386"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189" w:type="dxa"/>
            <w:noWrap/>
            <w:vAlign w:val="center"/>
          </w:tcPr>
          <w:p>
            <w:pPr>
              <w:pStyle w:val="8"/>
              <w:keepNext/>
              <w:spacing w:line="440" w:lineRule="exact"/>
              <w:ind w:left="63" w:right="63"/>
              <w:rPr>
                <w:rFonts w:ascii="仿宋" w:hAnsi="仿宋" w:eastAsia="仿宋" w:cs="仿宋"/>
                <w:color w:val="auto"/>
                <w:sz w:val="30"/>
                <w:szCs w:val="30"/>
              </w:rPr>
            </w:pPr>
          </w:p>
        </w:tc>
        <w:tc>
          <w:tcPr>
            <w:tcW w:w="1322" w:type="dxa"/>
            <w:noWrap/>
            <w:vAlign w:val="center"/>
          </w:tcPr>
          <w:p>
            <w:pPr>
              <w:pStyle w:val="8"/>
              <w:keepNext/>
              <w:spacing w:line="440" w:lineRule="exact"/>
              <w:ind w:left="63" w:right="63"/>
              <w:rPr>
                <w:rFonts w:ascii="仿宋" w:hAnsi="仿宋" w:eastAsia="仿宋" w:cs="仿宋"/>
                <w:color w:val="auto"/>
                <w:sz w:val="30"/>
                <w:szCs w:val="30"/>
              </w:rPr>
            </w:pPr>
          </w:p>
        </w:tc>
        <w:tc>
          <w:tcPr>
            <w:tcW w:w="876"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973"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c>
          <w:tcPr>
            <w:tcW w:w="793" w:type="dxa"/>
            <w:noWrap/>
            <w:vAlign w:val="center"/>
          </w:tcPr>
          <w:p>
            <w:pPr>
              <w:pStyle w:val="8"/>
              <w:keepNext/>
              <w:spacing w:line="440" w:lineRule="exact"/>
              <w:ind w:left="63" w:right="63"/>
              <w:rPr>
                <w:rFonts w:ascii="仿宋" w:hAnsi="仿宋" w:eastAsia="仿宋" w:cs="仿宋"/>
                <w:color w:val="auto"/>
                <w:sz w:val="30"/>
                <w:szCs w:val="30"/>
              </w:rPr>
            </w:pPr>
          </w:p>
        </w:tc>
        <w:tc>
          <w:tcPr>
            <w:tcW w:w="1386" w:type="dxa"/>
            <w:noWrap/>
            <w:vAlign w:val="center"/>
          </w:tcPr>
          <w:p>
            <w:pPr>
              <w:pStyle w:val="8"/>
              <w:keepNext/>
              <w:spacing w:line="440" w:lineRule="exact"/>
              <w:ind w:left="63" w:right="63"/>
              <w:rPr>
                <w:rFonts w:ascii="仿宋" w:hAnsi="仿宋" w:eastAsia="仿宋" w:cs="仿宋"/>
                <w:color w:val="auto"/>
                <w:sz w:val="30"/>
                <w:szCs w:val="30"/>
              </w:rPr>
            </w:pPr>
          </w:p>
        </w:tc>
        <w:tc>
          <w:tcPr>
            <w:tcW w:w="925"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793" w:type="dxa"/>
            <w:noWrap/>
            <w:vAlign w:val="center"/>
          </w:tcPr>
          <w:p>
            <w:pPr>
              <w:jc w:val="center"/>
              <w:rPr>
                <w:rFonts w:ascii="仿宋" w:hAnsi="仿宋" w:eastAsia="仿宋" w:cs="仿宋"/>
                <w:color w:val="auto"/>
                <w:sz w:val="30"/>
                <w:szCs w:val="30"/>
              </w:rPr>
            </w:pPr>
          </w:p>
        </w:tc>
        <w:tc>
          <w:tcPr>
            <w:tcW w:w="1189" w:type="dxa"/>
            <w:noWrap/>
            <w:vAlign w:val="center"/>
          </w:tcPr>
          <w:p>
            <w:pPr>
              <w:jc w:val="center"/>
              <w:rPr>
                <w:rFonts w:ascii="仿宋" w:hAnsi="仿宋" w:eastAsia="仿宋" w:cs="仿宋"/>
                <w:color w:val="auto"/>
                <w:sz w:val="30"/>
                <w:szCs w:val="30"/>
              </w:rPr>
            </w:pPr>
          </w:p>
        </w:tc>
        <w:tc>
          <w:tcPr>
            <w:tcW w:w="1322" w:type="dxa"/>
            <w:noWrap/>
            <w:vAlign w:val="center"/>
          </w:tcPr>
          <w:p>
            <w:pPr>
              <w:jc w:val="center"/>
              <w:rPr>
                <w:rFonts w:ascii="仿宋" w:hAnsi="仿宋" w:eastAsia="仿宋" w:cs="仿宋"/>
                <w:color w:val="auto"/>
                <w:sz w:val="30"/>
                <w:szCs w:val="30"/>
              </w:rPr>
            </w:pPr>
          </w:p>
        </w:tc>
        <w:tc>
          <w:tcPr>
            <w:tcW w:w="876"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973"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1386"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793" w:type="dxa"/>
            <w:noWrap/>
            <w:vAlign w:val="center"/>
          </w:tcPr>
          <w:p>
            <w:pPr>
              <w:jc w:val="center"/>
              <w:rPr>
                <w:rFonts w:ascii="仿宋" w:hAnsi="仿宋" w:eastAsia="仿宋" w:cs="仿宋"/>
                <w:color w:val="auto"/>
                <w:sz w:val="30"/>
                <w:szCs w:val="30"/>
              </w:rPr>
            </w:pPr>
          </w:p>
        </w:tc>
        <w:tc>
          <w:tcPr>
            <w:tcW w:w="1189" w:type="dxa"/>
            <w:noWrap/>
            <w:vAlign w:val="center"/>
          </w:tcPr>
          <w:p>
            <w:pPr>
              <w:jc w:val="center"/>
              <w:rPr>
                <w:rFonts w:ascii="仿宋" w:hAnsi="仿宋" w:eastAsia="仿宋" w:cs="仿宋"/>
                <w:color w:val="auto"/>
                <w:sz w:val="30"/>
                <w:szCs w:val="30"/>
              </w:rPr>
            </w:pPr>
          </w:p>
        </w:tc>
        <w:tc>
          <w:tcPr>
            <w:tcW w:w="1322" w:type="dxa"/>
            <w:noWrap/>
            <w:vAlign w:val="center"/>
          </w:tcPr>
          <w:p>
            <w:pPr>
              <w:jc w:val="center"/>
              <w:rPr>
                <w:rFonts w:ascii="仿宋" w:hAnsi="仿宋" w:eastAsia="仿宋" w:cs="仿宋"/>
                <w:color w:val="auto"/>
                <w:sz w:val="30"/>
                <w:szCs w:val="30"/>
              </w:rPr>
            </w:pPr>
          </w:p>
        </w:tc>
        <w:tc>
          <w:tcPr>
            <w:tcW w:w="876"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973"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1386"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793" w:type="dxa"/>
            <w:noWrap/>
            <w:vAlign w:val="center"/>
          </w:tcPr>
          <w:p>
            <w:pPr>
              <w:jc w:val="center"/>
              <w:rPr>
                <w:rFonts w:ascii="仿宋" w:hAnsi="仿宋" w:eastAsia="仿宋" w:cs="仿宋"/>
                <w:color w:val="auto"/>
                <w:sz w:val="30"/>
                <w:szCs w:val="30"/>
              </w:rPr>
            </w:pPr>
          </w:p>
        </w:tc>
        <w:tc>
          <w:tcPr>
            <w:tcW w:w="1189" w:type="dxa"/>
            <w:noWrap/>
            <w:vAlign w:val="center"/>
          </w:tcPr>
          <w:p>
            <w:pPr>
              <w:jc w:val="center"/>
              <w:rPr>
                <w:rFonts w:ascii="仿宋" w:hAnsi="仿宋" w:eastAsia="仿宋" w:cs="仿宋"/>
                <w:color w:val="auto"/>
                <w:sz w:val="30"/>
                <w:szCs w:val="30"/>
              </w:rPr>
            </w:pPr>
          </w:p>
        </w:tc>
        <w:tc>
          <w:tcPr>
            <w:tcW w:w="1322" w:type="dxa"/>
            <w:noWrap/>
            <w:vAlign w:val="center"/>
          </w:tcPr>
          <w:p>
            <w:pPr>
              <w:jc w:val="center"/>
              <w:rPr>
                <w:rFonts w:ascii="仿宋" w:hAnsi="仿宋" w:eastAsia="仿宋" w:cs="仿宋"/>
                <w:color w:val="auto"/>
                <w:sz w:val="30"/>
                <w:szCs w:val="30"/>
              </w:rPr>
            </w:pPr>
          </w:p>
        </w:tc>
        <w:tc>
          <w:tcPr>
            <w:tcW w:w="876"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973"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1386"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793" w:type="dxa"/>
            <w:noWrap/>
            <w:vAlign w:val="center"/>
          </w:tcPr>
          <w:p>
            <w:pPr>
              <w:jc w:val="center"/>
              <w:rPr>
                <w:rFonts w:ascii="仿宋" w:hAnsi="仿宋" w:eastAsia="仿宋" w:cs="仿宋"/>
                <w:color w:val="auto"/>
                <w:sz w:val="30"/>
                <w:szCs w:val="30"/>
              </w:rPr>
            </w:pPr>
          </w:p>
        </w:tc>
        <w:tc>
          <w:tcPr>
            <w:tcW w:w="1189" w:type="dxa"/>
            <w:noWrap/>
            <w:vAlign w:val="center"/>
          </w:tcPr>
          <w:p>
            <w:pPr>
              <w:jc w:val="center"/>
              <w:rPr>
                <w:rFonts w:ascii="仿宋" w:hAnsi="仿宋" w:eastAsia="仿宋" w:cs="仿宋"/>
                <w:color w:val="auto"/>
                <w:sz w:val="30"/>
                <w:szCs w:val="30"/>
              </w:rPr>
            </w:pPr>
          </w:p>
        </w:tc>
        <w:tc>
          <w:tcPr>
            <w:tcW w:w="1322" w:type="dxa"/>
            <w:noWrap/>
            <w:vAlign w:val="center"/>
          </w:tcPr>
          <w:p>
            <w:pPr>
              <w:jc w:val="center"/>
              <w:rPr>
                <w:rFonts w:ascii="仿宋" w:hAnsi="仿宋" w:eastAsia="仿宋" w:cs="仿宋"/>
                <w:color w:val="auto"/>
                <w:sz w:val="30"/>
                <w:szCs w:val="30"/>
              </w:rPr>
            </w:pPr>
          </w:p>
        </w:tc>
        <w:tc>
          <w:tcPr>
            <w:tcW w:w="876"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973"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1386"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793" w:type="dxa"/>
            <w:noWrap/>
            <w:vAlign w:val="center"/>
          </w:tcPr>
          <w:p>
            <w:pPr>
              <w:jc w:val="center"/>
              <w:rPr>
                <w:rFonts w:ascii="仿宋" w:hAnsi="仿宋" w:eastAsia="仿宋" w:cs="仿宋"/>
                <w:color w:val="auto"/>
                <w:sz w:val="30"/>
                <w:szCs w:val="30"/>
              </w:rPr>
            </w:pPr>
          </w:p>
        </w:tc>
        <w:tc>
          <w:tcPr>
            <w:tcW w:w="1189" w:type="dxa"/>
            <w:noWrap/>
            <w:vAlign w:val="center"/>
          </w:tcPr>
          <w:p>
            <w:pPr>
              <w:jc w:val="center"/>
              <w:rPr>
                <w:rFonts w:ascii="仿宋" w:hAnsi="仿宋" w:eastAsia="仿宋" w:cs="仿宋"/>
                <w:color w:val="auto"/>
                <w:sz w:val="30"/>
                <w:szCs w:val="30"/>
              </w:rPr>
            </w:pPr>
          </w:p>
        </w:tc>
        <w:tc>
          <w:tcPr>
            <w:tcW w:w="1322" w:type="dxa"/>
            <w:noWrap/>
            <w:vAlign w:val="center"/>
          </w:tcPr>
          <w:p>
            <w:pPr>
              <w:jc w:val="center"/>
              <w:rPr>
                <w:rFonts w:ascii="仿宋" w:hAnsi="仿宋" w:eastAsia="仿宋" w:cs="仿宋"/>
                <w:color w:val="auto"/>
                <w:sz w:val="30"/>
                <w:szCs w:val="30"/>
              </w:rPr>
            </w:pPr>
          </w:p>
        </w:tc>
        <w:tc>
          <w:tcPr>
            <w:tcW w:w="876"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973"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1386"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793" w:type="dxa"/>
            <w:noWrap/>
            <w:vAlign w:val="center"/>
          </w:tcPr>
          <w:p>
            <w:pPr>
              <w:jc w:val="center"/>
              <w:rPr>
                <w:rFonts w:ascii="仿宋" w:hAnsi="仿宋" w:eastAsia="仿宋" w:cs="仿宋"/>
                <w:color w:val="auto"/>
                <w:sz w:val="30"/>
                <w:szCs w:val="30"/>
              </w:rPr>
            </w:pPr>
          </w:p>
        </w:tc>
        <w:tc>
          <w:tcPr>
            <w:tcW w:w="1189" w:type="dxa"/>
            <w:noWrap/>
            <w:vAlign w:val="center"/>
          </w:tcPr>
          <w:p>
            <w:pPr>
              <w:jc w:val="center"/>
              <w:rPr>
                <w:rFonts w:ascii="仿宋" w:hAnsi="仿宋" w:eastAsia="仿宋" w:cs="仿宋"/>
                <w:color w:val="auto"/>
                <w:sz w:val="30"/>
                <w:szCs w:val="30"/>
              </w:rPr>
            </w:pPr>
          </w:p>
        </w:tc>
        <w:tc>
          <w:tcPr>
            <w:tcW w:w="1322" w:type="dxa"/>
            <w:noWrap/>
            <w:vAlign w:val="center"/>
          </w:tcPr>
          <w:p>
            <w:pPr>
              <w:jc w:val="center"/>
              <w:rPr>
                <w:rFonts w:ascii="仿宋" w:hAnsi="仿宋" w:eastAsia="仿宋" w:cs="仿宋"/>
                <w:color w:val="auto"/>
                <w:sz w:val="30"/>
                <w:szCs w:val="30"/>
              </w:rPr>
            </w:pPr>
          </w:p>
        </w:tc>
        <w:tc>
          <w:tcPr>
            <w:tcW w:w="876"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973"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1386"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793" w:type="dxa"/>
            <w:noWrap/>
            <w:vAlign w:val="center"/>
          </w:tcPr>
          <w:p>
            <w:pPr>
              <w:jc w:val="center"/>
              <w:rPr>
                <w:rFonts w:ascii="仿宋" w:hAnsi="仿宋" w:eastAsia="仿宋" w:cs="仿宋"/>
                <w:color w:val="auto"/>
                <w:sz w:val="30"/>
                <w:szCs w:val="30"/>
              </w:rPr>
            </w:pPr>
          </w:p>
        </w:tc>
        <w:tc>
          <w:tcPr>
            <w:tcW w:w="1189" w:type="dxa"/>
            <w:noWrap/>
            <w:vAlign w:val="center"/>
          </w:tcPr>
          <w:p>
            <w:pPr>
              <w:jc w:val="center"/>
              <w:rPr>
                <w:rFonts w:ascii="仿宋" w:hAnsi="仿宋" w:eastAsia="仿宋" w:cs="仿宋"/>
                <w:color w:val="auto"/>
                <w:sz w:val="30"/>
                <w:szCs w:val="30"/>
              </w:rPr>
            </w:pPr>
          </w:p>
        </w:tc>
        <w:tc>
          <w:tcPr>
            <w:tcW w:w="1322" w:type="dxa"/>
            <w:noWrap/>
            <w:vAlign w:val="center"/>
          </w:tcPr>
          <w:p>
            <w:pPr>
              <w:jc w:val="center"/>
              <w:rPr>
                <w:rFonts w:ascii="仿宋" w:hAnsi="仿宋" w:eastAsia="仿宋" w:cs="仿宋"/>
                <w:color w:val="auto"/>
                <w:sz w:val="30"/>
                <w:szCs w:val="30"/>
              </w:rPr>
            </w:pPr>
          </w:p>
        </w:tc>
        <w:tc>
          <w:tcPr>
            <w:tcW w:w="876"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973"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c>
          <w:tcPr>
            <w:tcW w:w="793" w:type="dxa"/>
            <w:noWrap/>
            <w:vAlign w:val="center"/>
          </w:tcPr>
          <w:p>
            <w:pPr>
              <w:jc w:val="center"/>
              <w:rPr>
                <w:rFonts w:ascii="仿宋" w:hAnsi="仿宋" w:eastAsia="仿宋" w:cs="仿宋"/>
                <w:color w:val="auto"/>
                <w:sz w:val="30"/>
                <w:szCs w:val="30"/>
              </w:rPr>
            </w:pPr>
          </w:p>
        </w:tc>
        <w:tc>
          <w:tcPr>
            <w:tcW w:w="1386" w:type="dxa"/>
            <w:noWrap/>
            <w:vAlign w:val="center"/>
          </w:tcPr>
          <w:p>
            <w:pPr>
              <w:jc w:val="center"/>
              <w:rPr>
                <w:rFonts w:ascii="仿宋" w:hAnsi="仿宋" w:eastAsia="仿宋" w:cs="仿宋"/>
                <w:color w:val="auto"/>
                <w:sz w:val="30"/>
                <w:szCs w:val="30"/>
              </w:rPr>
            </w:pPr>
          </w:p>
        </w:tc>
        <w:tc>
          <w:tcPr>
            <w:tcW w:w="925" w:type="dxa"/>
            <w:noWrap/>
            <w:vAlign w:val="center"/>
          </w:tcPr>
          <w:p>
            <w:pPr>
              <w:jc w:val="cente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5" w:hRule="atLeast"/>
          <w:jc w:val="center"/>
        </w:trPr>
        <w:tc>
          <w:tcPr>
            <w:tcW w:w="793" w:type="dxa"/>
            <w:tcBorders>
              <w:bottom w:val="single" w:color="auto" w:sz="12" w:space="0"/>
            </w:tcBorders>
            <w:noWrap/>
            <w:vAlign w:val="center"/>
          </w:tcPr>
          <w:p>
            <w:pPr>
              <w:jc w:val="center"/>
              <w:rPr>
                <w:rFonts w:ascii="仿宋" w:hAnsi="仿宋" w:eastAsia="仿宋" w:cs="仿宋"/>
                <w:color w:val="auto"/>
                <w:sz w:val="30"/>
                <w:szCs w:val="30"/>
              </w:rPr>
            </w:pPr>
          </w:p>
        </w:tc>
        <w:tc>
          <w:tcPr>
            <w:tcW w:w="1189" w:type="dxa"/>
            <w:tcBorders>
              <w:bottom w:val="single" w:color="auto" w:sz="12" w:space="0"/>
            </w:tcBorders>
            <w:noWrap/>
            <w:vAlign w:val="center"/>
          </w:tcPr>
          <w:p>
            <w:pPr>
              <w:jc w:val="center"/>
              <w:rPr>
                <w:rFonts w:ascii="仿宋" w:hAnsi="仿宋" w:eastAsia="仿宋" w:cs="仿宋"/>
                <w:color w:val="auto"/>
                <w:sz w:val="30"/>
                <w:szCs w:val="30"/>
              </w:rPr>
            </w:pPr>
          </w:p>
        </w:tc>
        <w:tc>
          <w:tcPr>
            <w:tcW w:w="1322" w:type="dxa"/>
            <w:tcBorders>
              <w:bottom w:val="single" w:color="auto" w:sz="12" w:space="0"/>
            </w:tcBorders>
            <w:noWrap/>
            <w:vAlign w:val="center"/>
          </w:tcPr>
          <w:p>
            <w:pPr>
              <w:jc w:val="center"/>
              <w:rPr>
                <w:rFonts w:ascii="仿宋" w:hAnsi="仿宋" w:eastAsia="仿宋" w:cs="仿宋"/>
                <w:color w:val="auto"/>
                <w:sz w:val="30"/>
                <w:szCs w:val="30"/>
              </w:rPr>
            </w:pPr>
          </w:p>
        </w:tc>
        <w:tc>
          <w:tcPr>
            <w:tcW w:w="876" w:type="dxa"/>
            <w:tcBorders>
              <w:bottom w:val="single" w:color="auto" w:sz="12" w:space="0"/>
            </w:tcBorders>
            <w:noWrap/>
            <w:vAlign w:val="center"/>
          </w:tcPr>
          <w:p>
            <w:pPr>
              <w:jc w:val="center"/>
              <w:rPr>
                <w:rFonts w:ascii="仿宋" w:hAnsi="仿宋" w:eastAsia="仿宋" w:cs="仿宋"/>
                <w:color w:val="auto"/>
                <w:sz w:val="30"/>
                <w:szCs w:val="30"/>
              </w:rPr>
            </w:pPr>
          </w:p>
        </w:tc>
        <w:tc>
          <w:tcPr>
            <w:tcW w:w="793" w:type="dxa"/>
            <w:tcBorders>
              <w:bottom w:val="single" w:color="auto" w:sz="12" w:space="0"/>
            </w:tcBorders>
            <w:noWrap/>
            <w:vAlign w:val="center"/>
          </w:tcPr>
          <w:p>
            <w:pPr>
              <w:jc w:val="center"/>
              <w:rPr>
                <w:rFonts w:ascii="仿宋" w:hAnsi="仿宋" w:eastAsia="仿宋" w:cs="仿宋"/>
                <w:color w:val="auto"/>
                <w:sz w:val="30"/>
                <w:szCs w:val="30"/>
              </w:rPr>
            </w:pPr>
          </w:p>
        </w:tc>
        <w:tc>
          <w:tcPr>
            <w:tcW w:w="973" w:type="dxa"/>
            <w:tcBorders>
              <w:bottom w:val="single" w:color="auto" w:sz="12" w:space="0"/>
            </w:tcBorders>
            <w:noWrap/>
            <w:vAlign w:val="center"/>
          </w:tcPr>
          <w:p>
            <w:pPr>
              <w:jc w:val="center"/>
              <w:rPr>
                <w:rFonts w:ascii="仿宋" w:hAnsi="仿宋" w:eastAsia="仿宋" w:cs="仿宋"/>
                <w:color w:val="auto"/>
                <w:sz w:val="30"/>
                <w:szCs w:val="30"/>
              </w:rPr>
            </w:pPr>
          </w:p>
        </w:tc>
        <w:tc>
          <w:tcPr>
            <w:tcW w:w="925" w:type="dxa"/>
            <w:tcBorders>
              <w:bottom w:val="single" w:color="auto" w:sz="12" w:space="0"/>
            </w:tcBorders>
            <w:noWrap/>
            <w:vAlign w:val="center"/>
          </w:tcPr>
          <w:p>
            <w:pPr>
              <w:jc w:val="center"/>
              <w:rPr>
                <w:rFonts w:ascii="仿宋" w:hAnsi="仿宋" w:eastAsia="仿宋" w:cs="仿宋"/>
                <w:color w:val="auto"/>
                <w:sz w:val="30"/>
                <w:szCs w:val="30"/>
              </w:rPr>
            </w:pPr>
          </w:p>
        </w:tc>
        <w:tc>
          <w:tcPr>
            <w:tcW w:w="793" w:type="dxa"/>
            <w:tcBorders>
              <w:bottom w:val="single" w:color="auto" w:sz="12" w:space="0"/>
            </w:tcBorders>
            <w:noWrap/>
            <w:vAlign w:val="center"/>
          </w:tcPr>
          <w:p>
            <w:pPr>
              <w:jc w:val="center"/>
              <w:rPr>
                <w:rFonts w:ascii="仿宋" w:hAnsi="仿宋" w:eastAsia="仿宋" w:cs="仿宋"/>
                <w:color w:val="auto"/>
                <w:sz w:val="30"/>
                <w:szCs w:val="30"/>
              </w:rPr>
            </w:pPr>
          </w:p>
        </w:tc>
        <w:tc>
          <w:tcPr>
            <w:tcW w:w="1386" w:type="dxa"/>
            <w:tcBorders>
              <w:bottom w:val="single" w:color="auto" w:sz="12" w:space="0"/>
            </w:tcBorders>
            <w:noWrap/>
            <w:vAlign w:val="center"/>
          </w:tcPr>
          <w:p>
            <w:pPr>
              <w:jc w:val="center"/>
              <w:rPr>
                <w:rFonts w:ascii="仿宋" w:hAnsi="仿宋" w:eastAsia="仿宋" w:cs="仿宋"/>
                <w:color w:val="auto"/>
                <w:sz w:val="30"/>
                <w:szCs w:val="30"/>
              </w:rPr>
            </w:pPr>
          </w:p>
        </w:tc>
        <w:tc>
          <w:tcPr>
            <w:tcW w:w="925" w:type="dxa"/>
            <w:tcBorders>
              <w:bottom w:val="single" w:color="auto" w:sz="12" w:space="0"/>
            </w:tcBorders>
            <w:noWrap/>
            <w:vAlign w:val="center"/>
          </w:tcPr>
          <w:p>
            <w:pPr>
              <w:jc w:val="center"/>
              <w:rPr>
                <w:rFonts w:ascii="仿宋" w:hAnsi="仿宋" w:eastAsia="仿宋" w:cs="仿宋"/>
                <w:color w:val="auto"/>
                <w:sz w:val="30"/>
                <w:szCs w:val="30"/>
              </w:rPr>
            </w:pPr>
          </w:p>
        </w:tc>
      </w:tr>
    </w:tbl>
    <w:p>
      <w:pPr>
        <w:spacing w:line="440" w:lineRule="exact"/>
        <w:rPr>
          <w:rFonts w:ascii="仿宋" w:hAnsi="仿宋" w:eastAsia="仿宋" w:cs="仿宋"/>
          <w:color w:val="auto"/>
          <w:sz w:val="30"/>
          <w:szCs w:val="30"/>
        </w:rPr>
      </w:pPr>
    </w:p>
    <w:p>
      <w:pPr>
        <w:spacing w:line="440" w:lineRule="exact"/>
        <w:rPr>
          <w:rFonts w:ascii="仿宋" w:hAnsi="仿宋" w:eastAsia="仿宋" w:cs="仿宋"/>
          <w:color w:val="auto"/>
          <w:sz w:val="30"/>
          <w:szCs w:val="30"/>
        </w:rPr>
      </w:pPr>
      <w:r>
        <w:rPr>
          <w:rFonts w:hint="eastAsia" w:ascii="仿宋" w:hAnsi="仿宋" w:eastAsia="仿宋" w:cs="仿宋"/>
          <w:color w:val="auto"/>
          <w:sz w:val="30"/>
          <w:szCs w:val="30"/>
        </w:rPr>
        <w:t xml:space="preserve">附件3：    </w:t>
      </w:r>
    </w:p>
    <w:p>
      <w:pPr>
        <w:spacing w:beforeLines="50" w:afterLines="50" w:line="440" w:lineRule="exact"/>
        <w:jc w:val="center"/>
        <w:rPr>
          <w:rFonts w:ascii="仿宋" w:hAnsi="仿宋" w:eastAsia="仿宋" w:cs="仿宋"/>
          <w:color w:val="auto"/>
          <w:sz w:val="30"/>
          <w:szCs w:val="30"/>
        </w:rPr>
      </w:pPr>
      <w:r>
        <w:rPr>
          <w:rFonts w:hint="eastAsia" w:ascii="仿宋" w:hAnsi="仿宋" w:eastAsia="仿宋" w:cs="仿宋"/>
          <w:color w:val="auto"/>
          <w:sz w:val="30"/>
          <w:szCs w:val="30"/>
        </w:rPr>
        <w:t>工程质量保修书</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发包人（全称）：</w:t>
      </w:r>
    </w:p>
    <w:p>
      <w:pPr>
        <w:spacing w:line="440" w:lineRule="exact"/>
        <w:rPr>
          <w:rFonts w:ascii="仿宋" w:hAnsi="仿宋" w:eastAsia="仿宋" w:cs="仿宋"/>
          <w:color w:val="auto"/>
          <w:sz w:val="30"/>
          <w:szCs w:val="30"/>
        </w:rPr>
      </w:pPr>
      <w:r>
        <w:rPr>
          <w:rFonts w:hint="eastAsia" w:ascii="仿宋" w:hAnsi="仿宋" w:eastAsia="仿宋" w:cs="仿宋"/>
          <w:color w:val="auto"/>
          <w:sz w:val="30"/>
          <w:szCs w:val="30"/>
        </w:rPr>
        <w:t>　　承包人（全称）：</w:t>
      </w:r>
    </w:p>
    <w:p>
      <w:pPr>
        <w:spacing w:line="440" w:lineRule="exact"/>
        <w:rPr>
          <w:rFonts w:ascii="仿宋" w:hAnsi="仿宋" w:eastAsia="仿宋" w:cs="仿宋"/>
          <w:color w:val="auto"/>
          <w:sz w:val="30"/>
          <w:szCs w:val="30"/>
        </w:rPr>
      </w:pP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为保证工程在合理使用期限内正常使用，合同双方当事人根据《中华人民共和国建筑法》、《建设工程质量管理条例》和《房屋建筑工程质量保修办法》等规定，经协商一致，订立本质量保修书。</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1．质量保修范围</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质量保修范围包括道路、排水、照明、绿化及交通设施工程以及双方约定其他项目。具体质量保修范围，合同双方当事人约定如下：</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承包人承担的质量保修范围为承包人负责设计和施工的部位以及承包人承包范围内的其它所有工程内容。</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2．质量保修期</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2.1 质量保修期：从合同工程实际竣工验收合格之日算起。单项竣工验收的工程，按单项工程分别计算质量保修期。</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2.2 合同工程质量保修期，合同双方当事人约定如下：</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1）地基基础工程、主体结构工程为设计文件规定的合理使用年限；</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2）屋面防水工程、有防水要求的卫生间、房间和外墙面的防渗漏工程为5 年；</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3）电气管线工程、给排水管道工程为2 年；</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4）供热、供冷系统工程为2 个采暖期、供冷期；</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5）装饰装修工程为1 年；</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6）本工程道路、排水排工程保修期从工程竣工验收之日起算</w:t>
      </w: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rPr>
        <w:t>年，LED 路灯三年、绿化壹年、交通设施工程壹年半。质量保修期自工程竣工验收合格之日起计算。</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三、缺陷责任期</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工程缺陷责任期为</w:t>
      </w:r>
      <w:r>
        <w:rPr>
          <w:rFonts w:hint="eastAsia" w:ascii="仿宋" w:hAnsi="仿宋" w:eastAsia="仿宋" w:cs="仿宋"/>
          <w:color w:val="auto"/>
          <w:sz w:val="30"/>
          <w:szCs w:val="30"/>
          <w:lang w:val="en-US" w:eastAsia="zh-CN"/>
        </w:rPr>
        <w:t>12</w:t>
      </w:r>
      <w:r>
        <w:rPr>
          <w:rFonts w:hint="eastAsia" w:ascii="仿宋" w:hAnsi="仿宋" w:eastAsia="仿宋" w:cs="仿宋"/>
          <w:color w:val="auto"/>
          <w:sz w:val="30"/>
          <w:szCs w:val="30"/>
        </w:rPr>
        <w:t>个月，缺陷责任期自工程通过竣工验收之日起计算。单位工程先于全部工程进行验收，单位工程缺陷责任期自单位工程验收合格之日起算。缺陷责任期终止后，发包人应退还剩余的质量保证金。</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4．质量保修责任</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4.1 属于保修范围的项目，承包人应在接到发包人通知后的2 天内派人保修。承包人未能在规定时间内派人保修，发包人可自行或委托第三方保修，所发生的费用由承包人负责。</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4.2 发生紧急抢修事故的，承包人在接到通知后，应立即到达事故现场抢修。</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4.3 在国家规定的合理使用期限内，承包人应确保地基基础工程和主体结构的质量和安全。凡出现质量问题，应立即报告当地建设行政主管部门，经设计人提出保修方案后，承包人应立即实施保修。</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4.4 质量保修完成后，由发包人组织验收。</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5．质量保修费用</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质量保修等费用，由造成质量缺陷的责任方承担。</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6．质量保证金</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质量保证金的约定、支付和使用与本合同《通用条款》、《专用条款》赋予的规定一致。</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7．其它</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7.1 合同双方当事人约定的其他质量保修事项：</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7.2 本质量保修书，由合同双方当事人在承包人向发包人提交竣工验收申请报告前签署，作为施工合同的附件。</w:t>
      </w:r>
    </w:p>
    <w:p>
      <w:pPr>
        <w:spacing w:line="4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7.3 本质量保修书，自合同双方当事人签署之日起生效，至质量保修期满后自动失效。</w:t>
      </w:r>
    </w:p>
    <w:p>
      <w:pPr>
        <w:spacing w:line="360" w:lineRule="auto"/>
        <w:ind w:firstLine="420"/>
        <w:rPr>
          <w:rFonts w:ascii="仿宋" w:hAnsi="仿宋" w:eastAsia="仿宋" w:cs="仿宋"/>
          <w:color w:val="auto"/>
          <w:sz w:val="30"/>
          <w:szCs w:val="30"/>
        </w:rPr>
      </w:pP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发包人(公章)：</w:t>
      </w:r>
      <w:r>
        <w:rPr>
          <w:rFonts w:hint="eastAsia" w:ascii="仿宋" w:hAnsi="仿宋" w:eastAsia="仿宋" w:cs="仿宋"/>
          <w:color w:val="auto"/>
          <w:sz w:val="30"/>
          <w:szCs w:val="30"/>
          <w:u w:val="single"/>
        </w:rPr>
        <w:t xml:space="preserve">       </w:t>
      </w:r>
      <w:r>
        <w:rPr>
          <w:rFonts w:hint="eastAsia" w:ascii="仿宋" w:hAnsi="仿宋" w:eastAsia="仿宋" w:cs="仿宋"/>
          <w:color w:val="auto"/>
          <w:sz w:val="30"/>
          <w:szCs w:val="30"/>
        </w:rPr>
        <w:t xml:space="preserve">     承包人(公章)：</w:t>
      </w:r>
      <w:r>
        <w:rPr>
          <w:rFonts w:hint="eastAsia" w:ascii="仿宋" w:hAnsi="仿宋" w:eastAsia="仿宋" w:cs="仿宋"/>
          <w:color w:val="auto"/>
          <w:sz w:val="30"/>
          <w:szCs w:val="30"/>
          <w:u w:val="single"/>
        </w:rPr>
        <w:t xml:space="preserve">           </w:t>
      </w:r>
    </w:p>
    <w:p>
      <w:pPr>
        <w:spacing w:line="360" w:lineRule="auto"/>
        <w:ind w:left="5400" w:hanging="5400" w:hangingChars="1800"/>
        <w:rPr>
          <w:rFonts w:ascii="仿宋" w:hAnsi="仿宋" w:eastAsia="仿宋" w:cs="仿宋"/>
          <w:color w:val="auto"/>
          <w:sz w:val="30"/>
          <w:szCs w:val="30"/>
        </w:rPr>
      </w:pPr>
      <w:r>
        <w:rPr>
          <w:rFonts w:hint="eastAsia" w:ascii="仿宋" w:hAnsi="仿宋" w:eastAsia="仿宋" w:cs="仿宋"/>
          <w:color w:val="auto"/>
          <w:sz w:val="30"/>
          <w:szCs w:val="30"/>
        </w:rPr>
        <w:t>地  址：</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 xml:space="preserve">     地  址：</w:t>
      </w:r>
      <w:r>
        <w:rPr>
          <w:rFonts w:hint="eastAsia" w:ascii="仿宋" w:hAnsi="仿宋" w:eastAsia="仿宋" w:cs="仿宋"/>
          <w:color w:val="auto"/>
          <w:sz w:val="30"/>
          <w:szCs w:val="30"/>
          <w:u w:val="single"/>
        </w:rPr>
        <w:t xml:space="preserve">           </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法定代表人(签字或盖章)：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法定代表人(签字或盖章)：</w:t>
      </w:r>
      <w:r>
        <w:rPr>
          <w:rFonts w:hint="eastAsia" w:ascii="仿宋" w:hAnsi="仿宋" w:eastAsia="仿宋" w:cs="仿宋"/>
          <w:color w:val="auto"/>
          <w:sz w:val="30"/>
          <w:szCs w:val="30"/>
          <w:u w:val="single"/>
        </w:rPr>
        <w:t xml:space="preserve">       </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委托代理人(签字或盖章)：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委托代理人(签字或盖章)：</w:t>
      </w:r>
      <w:r>
        <w:rPr>
          <w:rFonts w:hint="eastAsia" w:ascii="仿宋" w:hAnsi="仿宋" w:eastAsia="仿宋" w:cs="仿宋"/>
          <w:color w:val="auto"/>
          <w:sz w:val="30"/>
          <w:szCs w:val="30"/>
          <w:u w:val="single"/>
        </w:rPr>
        <w:t xml:space="preserve">       </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电  话：</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电  话：</w:t>
      </w:r>
      <w:r>
        <w:rPr>
          <w:rFonts w:hint="eastAsia" w:ascii="仿宋" w:hAnsi="仿宋" w:eastAsia="仿宋" w:cs="仿宋"/>
          <w:color w:val="auto"/>
          <w:sz w:val="30"/>
          <w:szCs w:val="30"/>
          <w:u w:val="single"/>
        </w:rPr>
        <w:t xml:space="preserve">     </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传  真：</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传  真： </w:t>
      </w:r>
      <w:r>
        <w:rPr>
          <w:rFonts w:hint="eastAsia" w:ascii="仿宋" w:hAnsi="仿宋" w:eastAsia="仿宋" w:cs="仿宋"/>
          <w:color w:val="auto"/>
          <w:sz w:val="30"/>
          <w:szCs w:val="30"/>
          <w:u w:val="single"/>
        </w:rPr>
        <w:t xml:space="preserve">      </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开户银行：</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开户银行：</w:t>
      </w:r>
      <w:r>
        <w:rPr>
          <w:rFonts w:hint="eastAsia" w:ascii="仿宋" w:hAnsi="仿宋" w:eastAsia="仿宋" w:cs="仿宋"/>
          <w:color w:val="auto"/>
          <w:sz w:val="30"/>
          <w:szCs w:val="30"/>
          <w:u w:val="single"/>
        </w:rPr>
        <w:t xml:space="preserve">       </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账  号：</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 xml:space="preserve">    账  号：</w:t>
      </w:r>
      <w:r>
        <w:rPr>
          <w:rFonts w:hint="eastAsia" w:ascii="仿宋" w:hAnsi="仿宋" w:eastAsia="仿宋" w:cs="仿宋"/>
          <w:color w:val="auto"/>
          <w:sz w:val="30"/>
          <w:szCs w:val="30"/>
          <w:u w:val="single"/>
        </w:rPr>
        <w:t></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邮政编码：</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 xml:space="preserve">    邮政编码：</w:t>
      </w:r>
      <w:r>
        <w:rPr>
          <w:rFonts w:hint="eastAsia" w:ascii="仿宋" w:hAnsi="仿宋" w:eastAsia="仿宋" w:cs="仿宋"/>
          <w:color w:val="auto"/>
          <w:sz w:val="30"/>
          <w:szCs w:val="30"/>
          <w:u w:val="single"/>
        </w:rPr>
        <w:t xml:space="preserve"> </w:t>
      </w:r>
    </w:p>
    <w:p>
      <w:pPr>
        <w:spacing w:line="440" w:lineRule="exact"/>
        <w:rPr>
          <w:rFonts w:ascii="仿宋" w:hAnsi="仿宋" w:eastAsia="仿宋" w:cs="仿宋"/>
          <w:color w:val="auto"/>
          <w:sz w:val="30"/>
          <w:szCs w:val="30"/>
        </w:rPr>
      </w:pPr>
      <w:r>
        <w:rPr>
          <w:rFonts w:hint="eastAsia" w:ascii="仿宋" w:hAnsi="仿宋" w:eastAsia="仿宋" w:cs="仿宋"/>
          <w:b/>
          <w:color w:val="auto"/>
          <w:sz w:val="30"/>
          <w:szCs w:val="30"/>
        </w:rPr>
        <w:br w:type="page"/>
      </w:r>
      <w:r>
        <w:rPr>
          <w:rFonts w:hint="eastAsia" w:ascii="仿宋" w:hAnsi="仿宋" w:eastAsia="仿宋" w:cs="仿宋"/>
          <w:color w:val="auto"/>
          <w:sz w:val="30"/>
          <w:szCs w:val="30"/>
        </w:rPr>
        <w:t>附件4：</w:t>
      </w:r>
    </w:p>
    <w:p>
      <w:pPr>
        <w:spacing w:beforeLines="50" w:afterLines="50" w:line="440" w:lineRule="exact"/>
        <w:jc w:val="center"/>
        <w:rPr>
          <w:rFonts w:ascii="仿宋" w:hAnsi="仿宋" w:eastAsia="仿宋" w:cs="仿宋"/>
          <w:color w:val="auto"/>
          <w:sz w:val="30"/>
          <w:szCs w:val="30"/>
        </w:rPr>
      </w:pPr>
      <w:r>
        <w:rPr>
          <w:rFonts w:hint="eastAsia" w:ascii="仿宋" w:hAnsi="仿宋" w:eastAsia="仿宋" w:cs="仿宋"/>
          <w:color w:val="auto"/>
          <w:sz w:val="30"/>
          <w:szCs w:val="30"/>
        </w:rPr>
        <w:t>主要建设工程文件目录</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文件名称</w:t>
            </w:r>
          </w:p>
        </w:tc>
        <w:tc>
          <w:tcPr>
            <w:tcW w:w="1276"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套数</w:t>
            </w:r>
          </w:p>
        </w:tc>
        <w:tc>
          <w:tcPr>
            <w:tcW w:w="1450"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费用（元）</w:t>
            </w:r>
          </w:p>
        </w:tc>
        <w:tc>
          <w:tcPr>
            <w:tcW w:w="1243"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质量</w:t>
            </w:r>
          </w:p>
        </w:tc>
        <w:tc>
          <w:tcPr>
            <w:tcW w:w="1450" w:type="dxa"/>
            <w:tcBorders>
              <w:top w:val="single" w:color="auto" w:sz="12" w:space="0"/>
              <w:bottom w:val="double" w:color="auto" w:sz="6" w:space="0"/>
            </w:tcBorders>
            <w:noWrap/>
          </w:tcPr>
          <w:p>
            <w:pPr>
              <w:spacing w:line="440" w:lineRule="exact"/>
              <w:jc w:val="center"/>
              <w:rPr>
                <w:rFonts w:ascii="仿宋" w:hAnsi="仿宋" w:eastAsia="仿宋" w:cs="仿宋"/>
                <w:color w:val="auto"/>
                <w:sz w:val="28"/>
                <w:szCs w:val="30"/>
              </w:rPr>
            </w:pPr>
            <w:r>
              <w:rPr>
                <w:rFonts w:hint="eastAsia" w:ascii="仿宋" w:hAnsi="仿宋" w:eastAsia="仿宋" w:cs="仿宋"/>
                <w:color w:val="auto"/>
                <w:sz w:val="28"/>
                <w:szCs w:val="30"/>
              </w:rPr>
              <w:t>移交时间</w:t>
            </w:r>
          </w:p>
        </w:tc>
        <w:tc>
          <w:tcPr>
            <w:tcW w:w="1667" w:type="dxa"/>
            <w:tcBorders>
              <w:top w:val="single" w:color="auto" w:sz="12" w:space="0"/>
              <w:bottom w:val="double" w:color="auto" w:sz="6" w:space="0"/>
            </w:tcBorders>
            <w:noWrap/>
          </w:tcPr>
          <w:p>
            <w:pPr>
              <w:spacing w:line="440" w:lineRule="exact"/>
              <w:jc w:val="center"/>
              <w:rPr>
                <w:rFonts w:ascii="仿宋" w:hAnsi="仿宋" w:eastAsia="仿宋" w:cs="仿宋"/>
                <w:color w:val="auto"/>
                <w:sz w:val="28"/>
                <w:szCs w:val="30"/>
              </w:rPr>
            </w:pPr>
            <w:r>
              <w:rPr>
                <w:rFonts w:hint="eastAsia" w:ascii="仿宋" w:hAnsi="仿宋" w:eastAsia="仿宋" w:cs="仿宋"/>
                <w:color w:val="auto"/>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276"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450"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243"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450"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667"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276"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243"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667"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8"/>
              <w:keepNext/>
              <w:spacing w:line="440" w:lineRule="exact"/>
              <w:ind w:left="63" w:right="63"/>
              <w:rPr>
                <w:rFonts w:ascii="仿宋" w:hAnsi="仿宋" w:eastAsia="仿宋" w:cs="仿宋"/>
                <w:color w:val="auto"/>
                <w:sz w:val="30"/>
                <w:szCs w:val="30"/>
              </w:rPr>
            </w:pPr>
          </w:p>
        </w:tc>
        <w:tc>
          <w:tcPr>
            <w:tcW w:w="1276"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243"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667"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8"/>
              <w:keepNext/>
              <w:spacing w:line="440" w:lineRule="exact"/>
              <w:ind w:left="63" w:right="63"/>
              <w:rPr>
                <w:rFonts w:ascii="仿宋" w:hAnsi="仿宋" w:eastAsia="仿宋" w:cs="仿宋"/>
                <w:color w:val="auto"/>
                <w:sz w:val="30"/>
                <w:szCs w:val="30"/>
              </w:rPr>
            </w:pPr>
          </w:p>
        </w:tc>
        <w:tc>
          <w:tcPr>
            <w:tcW w:w="1276"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243"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667"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8"/>
              <w:keepNext/>
              <w:spacing w:line="440" w:lineRule="exact"/>
              <w:ind w:left="63" w:right="63"/>
              <w:rPr>
                <w:rFonts w:ascii="仿宋" w:hAnsi="仿宋" w:eastAsia="仿宋" w:cs="仿宋"/>
                <w:color w:val="auto"/>
                <w:sz w:val="30"/>
                <w:szCs w:val="30"/>
              </w:rPr>
            </w:pPr>
          </w:p>
        </w:tc>
        <w:tc>
          <w:tcPr>
            <w:tcW w:w="1276"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243"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667"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8"/>
              <w:keepNext/>
              <w:spacing w:line="440" w:lineRule="exact"/>
              <w:ind w:left="63" w:right="63"/>
              <w:rPr>
                <w:rFonts w:ascii="仿宋" w:hAnsi="仿宋" w:eastAsia="仿宋" w:cs="仿宋"/>
                <w:color w:val="auto"/>
                <w:sz w:val="30"/>
                <w:szCs w:val="30"/>
              </w:rPr>
            </w:pPr>
          </w:p>
        </w:tc>
        <w:tc>
          <w:tcPr>
            <w:tcW w:w="1276"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243"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667"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8"/>
              <w:keepNext/>
              <w:spacing w:line="440" w:lineRule="exact"/>
              <w:ind w:left="63" w:right="63"/>
              <w:rPr>
                <w:rFonts w:ascii="仿宋" w:hAnsi="仿宋" w:eastAsia="仿宋" w:cs="仿宋"/>
                <w:color w:val="auto"/>
                <w:sz w:val="30"/>
                <w:szCs w:val="30"/>
              </w:rPr>
            </w:pPr>
          </w:p>
        </w:tc>
        <w:tc>
          <w:tcPr>
            <w:tcW w:w="1276"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243"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667"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8"/>
              <w:keepNext/>
              <w:spacing w:line="440" w:lineRule="exact"/>
              <w:ind w:left="63" w:right="63"/>
              <w:rPr>
                <w:rFonts w:ascii="仿宋" w:hAnsi="仿宋" w:eastAsia="仿宋" w:cs="仿宋"/>
                <w:color w:val="auto"/>
                <w:sz w:val="30"/>
                <w:szCs w:val="30"/>
              </w:rPr>
            </w:pPr>
          </w:p>
        </w:tc>
        <w:tc>
          <w:tcPr>
            <w:tcW w:w="1276"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243"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667"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s="仿宋"/>
                <w:color w:val="auto"/>
                <w:sz w:val="30"/>
                <w:szCs w:val="30"/>
              </w:rPr>
            </w:pPr>
          </w:p>
        </w:tc>
        <w:tc>
          <w:tcPr>
            <w:tcW w:w="1276"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243"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667"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ign w:val="center"/>
          </w:tcPr>
          <w:p>
            <w:pPr>
              <w:pStyle w:val="8"/>
              <w:keepNext/>
              <w:spacing w:line="440" w:lineRule="exact"/>
              <w:ind w:left="63" w:right="63"/>
              <w:rPr>
                <w:rFonts w:ascii="仿宋" w:hAnsi="仿宋" w:eastAsia="仿宋" w:cs="仿宋"/>
                <w:color w:val="auto"/>
                <w:sz w:val="30"/>
                <w:szCs w:val="30"/>
              </w:rPr>
            </w:pPr>
          </w:p>
        </w:tc>
        <w:tc>
          <w:tcPr>
            <w:tcW w:w="1276"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243" w:type="dxa"/>
            <w:noWrap/>
            <w:vAlign w:val="center"/>
          </w:tcPr>
          <w:p>
            <w:pPr>
              <w:pStyle w:val="8"/>
              <w:keepNext/>
              <w:spacing w:line="440" w:lineRule="exact"/>
              <w:ind w:left="63" w:right="63"/>
              <w:rPr>
                <w:rFonts w:ascii="仿宋" w:hAnsi="仿宋" w:eastAsia="仿宋" w:cs="仿宋"/>
                <w:color w:val="auto"/>
                <w:sz w:val="30"/>
                <w:szCs w:val="30"/>
              </w:rPr>
            </w:pPr>
          </w:p>
        </w:tc>
        <w:tc>
          <w:tcPr>
            <w:tcW w:w="1450" w:type="dxa"/>
            <w:noWrap/>
            <w:vAlign w:val="center"/>
          </w:tcPr>
          <w:p>
            <w:pPr>
              <w:pStyle w:val="8"/>
              <w:keepNext/>
              <w:spacing w:line="440" w:lineRule="exact"/>
              <w:ind w:left="63" w:right="63"/>
              <w:rPr>
                <w:rFonts w:ascii="仿宋" w:hAnsi="仿宋" w:eastAsia="仿宋" w:cs="仿宋"/>
                <w:color w:val="auto"/>
                <w:sz w:val="30"/>
                <w:szCs w:val="30"/>
              </w:rPr>
            </w:pPr>
          </w:p>
        </w:tc>
        <w:tc>
          <w:tcPr>
            <w:tcW w:w="1667"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s="仿宋"/>
                <w:color w:val="auto"/>
                <w:sz w:val="30"/>
                <w:szCs w:val="30"/>
              </w:rPr>
            </w:pPr>
          </w:p>
        </w:tc>
        <w:tc>
          <w:tcPr>
            <w:tcW w:w="1276"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243"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667"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s="仿宋"/>
                <w:color w:val="auto"/>
                <w:sz w:val="30"/>
                <w:szCs w:val="30"/>
              </w:rPr>
            </w:pPr>
          </w:p>
        </w:tc>
        <w:tc>
          <w:tcPr>
            <w:tcW w:w="1276"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243"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667"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s="仿宋"/>
                <w:color w:val="auto"/>
                <w:sz w:val="30"/>
                <w:szCs w:val="30"/>
              </w:rPr>
            </w:pPr>
          </w:p>
        </w:tc>
        <w:tc>
          <w:tcPr>
            <w:tcW w:w="1276"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243"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667"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s="仿宋"/>
                <w:color w:val="auto"/>
                <w:sz w:val="30"/>
                <w:szCs w:val="30"/>
              </w:rPr>
            </w:pPr>
          </w:p>
        </w:tc>
        <w:tc>
          <w:tcPr>
            <w:tcW w:w="1276"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243"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667"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s="仿宋"/>
                <w:color w:val="auto"/>
                <w:sz w:val="30"/>
                <w:szCs w:val="30"/>
              </w:rPr>
            </w:pPr>
          </w:p>
        </w:tc>
        <w:tc>
          <w:tcPr>
            <w:tcW w:w="1276"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243"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667"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s="仿宋"/>
                <w:color w:val="auto"/>
                <w:sz w:val="30"/>
                <w:szCs w:val="30"/>
              </w:rPr>
            </w:pPr>
          </w:p>
        </w:tc>
        <w:tc>
          <w:tcPr>
            <w:tcW w:w="1276"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243"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667"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s="仿宋"/>
                <w:color w:val="auto"/>
                <w:sz w:val="30"/>
                <w:szCs w:val="30"/>
              </w:rPr>
            </w:pPr>
          </w:p>
        </w:tc>
        <w:tc>
          <w:tcPr>
            <w:tcW w:w="1276"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243"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667"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tcPr>
          <w:p>
            <w:pPr>
              <w:rPr>
                <w:rFonts w:ascii="仿宋" w:hAnsi="仿宋" w:eastAsia="仿宋" w:cs="仿宋"/>
                <w:color w:val="auto"/>
                <w:sz w:val="30"/>
                <w:szCs w:val="30"/>
              </w:rPr>
            </w:pPr>
          </w:p>
        </w:tc>
        <w:tc>
          <w:tcPr>
            <w:tcW w:w="1276"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243" w:type="dxa"/>
            <w:noWrap/>
          </w:tcPr>
          <w:p>
            <w:pPr>
              <w:rPr>
                <w:rFonts w:ascii="仿宋" w:hAnsi="仿宋" w:eastAsia="仿宋" w:cs="仿宋"/>
                <w:color w:val="auto"/>
                <w:sz w:val="30"/>
                <w:szCs w:val="30"/>
              </w:rPr>
            </w:pPr>
          </w:p>
        </w:tc>
        <w:tc>
          <w:tcPr>
            <w:tcW w:w="1450" w:type="dxa"/>
            <w:noWrap/>
          </w:tcPr>
          <w:p>
            <w:pPr>
              <w:rPr>
                <w:rFonts w:ascii="仿宋" w:hAnsi="仿宋" w:eastAsia="仿宋" w:cs="仿宋"/>
                <w:color w:val="auto"/>
                <w:sz w:val="30"/>
                <w:szCs w:val="30"/>
              </w:rPr>
            </w:pPr>
          </w:p>
        </w:tc>
        <w:tc>
          <w:tcPr>
            <w:tcW w:w="1667"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noWrap/>
          </w:tcPr>
          <w:p>
            <w:pPr>
              <w:rPr>
                <w:rFonts w:ascii="仿宋" w:hAnsi="仿宋" w:eastAsia="仿宋" w:cs="仿宋"/>
                <w:color w:val="auto"/>
                <w:sz w:val="30"/>
                <w:szCs w:val="30"/>
              </w:rPr>
            </w:pPr>
          </w:p>
        </w:tc>
        <w:tc>
          <w:tcPr>
            <w:tcW w:w="1276" w:type="dxa"/>
            <w:tcBorders>
              <w:bottom w:val="single" w:color="auto" w:sz="12" w:space="0"/>
            </w:tcBorders>
            <w:noWrap/>
          </w:tcPr>
          <w:p>
            <w:pPr>
              <w:rPr>
                <w:rFonts w:ascii="仿宋" w:hAnsi="仿宋" w:eastAsia="仿宋" w:cs="仿宋"/>
                <w:color w:val="auto"/>
                <w:sz w:val="30"/>
                <w:szCs w:val="30"/>
              </w:rPr>
            </w:pPr>
          </w:p>
        </w:tc>
        <w:tc>
          <w:tcPr>
            <w:tcW w:w="1450" w:type="dxa"/>
            <w:tcBorders>
              <w:bottom w:val="single" w:color="auto" w:sz="12" w:space="0"/>
            </w:tcBorders>
            <w:noWrap/>
          </w:tcPr>
          <w:p>
            <w:pPr>
              <w:rPr>
                <w:rFonts w:ascii="仿宋" w:hAnsi="仿宋" w:eastAsia="仿宋" w:cs="仿宋"/>
                <w:color w:val="auto"/>
                <w:sz w:val="30"/>
                <w:szCs w:val="30"/>
              </w:rPr>
            </w:pPr>
          </w:p>
        </w:tc>
        <w:tc>
          <w:tcPr>
            <w:tcW w:w="1243" w:type="dxa"/>
            <w:tcBorders>
              <w:bottom w:val="single" w:color="auto" w:sz="12" w:space="0"/>
            </w:tcBorders>
            <w:noWrap/>
          </w:tcPr>
          <w:p>
            <w:pPr>
              <w:rPr>
                <w:rFonts w:ascii="仿宋" w:hAnsi="仿宋" w:eastAsia="仿宋" w:cs="仿宋"/>
                <w:color w:val="auto"/>
                <w:sz w:val="30"/>
                <w:szCs w:val="30"/>
              </w:rPr>
            </w:pPr>
          </w:p>
        </w:tc>
        <w:tc>
          <w:tcPr>
            <w:tcW w:w="1450" w:type="dxa"/>
            <w:tcBorders>
              <w:bottom w:val="single" w:color="auto" w:sz="12" w:space="0"/>
            </w:tcBorders>
            <w:noWrap/>
          </w:tcPr>
          <w:p>
            <w:pPr>
              <w:rPr>
                <w:rFonts w:ascii="仿宋" w:hAnsi="仿宋" w:eastAsia="仿宋" w:cs="仿宋"/>
                <w:color w:val="auto"/>
                <w:sz w:val="30"/>
                <w:szCs w:val="30"/>
              </w:rPr>
            </w:pPr>
          </w:p>
        </w:tc>
        <w:tc>
          <w:tcPr>
            <w:tcW w:w="1667" w:type="dxa"/>
            <w:tcBorders>
              <w:bottom w:val="single" w:color="auto" w:sz="12" w:space="0"/>
            </w:tcBorders>
            <w:noWrap/>
          </w:tcPr>
          <w:p>
            <w:pPr>
              <w:rPr>
                <w:rFonts w:ascii="仿宋" w:hAnsi="仿宋" w:eastAsia="仿宋" w:cs="仿宋"/>
                <w:color w:val="auto"/>
                <w:sz w:val="30"/>
                <w:szCs w:val="30"/>
              </w:rPr>
            </w:pPr>
          </w:p>
        </w:tc>
      </w:tr>
    </w:tbl>
    <w:p>
      <w:pPr>
        <w:spacing w:line="440" w:lineRule="exact"/>
        <w:rPr>
          <w:rFonts w:ascii="仿宋" w:hAnsi="仿宋" w:eastAsia="仿宋" w:cs="仿宋"/>
          <w:color w:val="auto"/>
          <w:sz w:val="30"/>
          <w:szCs w:val="30"/>
        </w:rPr>
      </w:pPr>
    </w:p>
    <w:p>
      <w:pPr>
        <w:spacing w:line="440" w:lineRule="exact"/>
        <w:rPr>
          <w:rFonts w:ascii="仿宋" w:hAnsi="仿宋" w:eastAsia="仿宋" w:cs="仿宋"/>
          <w:color w:val="auto"/>
          <w:sz w:val="30"/>
          <w:szCs w:val="30"/>
        </w:rPr>
      </w:pPr>
      <w:r>
        <w:rPr>
          <w:rFonts w:hint="eastAsia" w:ascii="仿宋" w:hAnsi="仿宋" w:eastAsia="仿宋" w:cs="仿宋"/>
          <w:color w:val="auto"/>
          <w:sz w:val="30"/>
          <w:szCs w:val="30"/>
        </w:rPr>
        <w:br w:type="page"/>
      </w:r>
      <w:r>
        <w:rPr>
          <w:rFonts w:hint="eastAsia" w:ascii="仿宋" w:hAnsi="仿宋" w:eastAsia="仿宋" w:cs="仿宋"/>
          <w:color w:val="auto"/>
          <w:sz w:val="30"/>
          <w:szCs w:val="30"/>
        </w:rPr>
        <w:t>附件5：</w:t>
      </w:r>
    </w:p>
    <w:p>
      <w:pPr>
        <w:spacing w:beforeLines="50" w:afterLines="50" w:line="440" w:lineRule="exact"/>
        <w:jc w:val="center"/>
        <w:rPr>
          <w:rFonts w:ascii="仿宋" w:hAnsi="仿宋" w:eastAsia="仿宋" w:cs="仿宋"/>
          <w:color w:val="auto"/>
          <w:sz w:val="30"/>
          <w:szCs w:val="30"/>
        </w:rPr>
      </w:pPr>
      <w:r>
        <w:rPr>
          <w:rFonts w:hint="eastAsia" w:ascii="仿宋" w:hAnsi="仿宋" w:eastAsia="仿宋" w:cs="仿宋"/>
          <w:color w:val="auto"/>
          <w:sz w:val="30"/>
          <w:szCs w:val="30"/>
        </w:rPr>
        <w:t>承包人用于本工程施工的机械设备表</w:t>
      </w:r>
    </w:p>
    <w:tbl>
      <w:tblPr>
        <w:tblStyle w:val="23"/>
        <w:tblW w:w="96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8"/>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8"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序号</w:t>
            </w:r>
          </w:p>
        </w:tc>
        <w:tc>
          <w:tcPr>
            <w:tcW w:w="1418"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机械或设备名称</w:t>
            </w:r>
          </w:p>
        </w:tc>
        <w:tc>
          <w:tcPr>
            <w:tcW w:w="850"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规格型号</w:t>
            </w:r>
          </w:p>
        </w:tc>
        <w:tc>
          <w:tcPr>
            <w:tcW w:w="1058"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数量</w:t>
            </w:r>
          </w:p>
        </w:tc>
        <w:tc>
          <w:tcPr>
            <w:tcW w:w="880"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产地</w:t>
            </w:r>
          </w:p>
        </w:tc>
        <w:tc>
          <w:tcPr>
            <w:tcW w:w="1020"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制造年份</w:t>
            </w:r>
          </w:p>
        </w:tc>
        <w:tc>
          <w:tcPr>
            <w:tcW w:w="1480"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额定功率(kW)</w:t>
            </w:r>
          </w:p>
        </w:tc>
        <w:tc>
          <w:tcPr>
            <w:tcW w:w="1020"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生产能力</w:t>
            </w:r>
          </w:p>
        </w:tc>
        <w:tc>
          <w:tcPr>
            <w:tcW w:w="921"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418"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058"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880"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020"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480"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020"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c>
          <w:tcPr>
            <w:tcW w:w="921" w:type="dxa"/>
            <w:tcBorders>
              <w:top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18"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5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058"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88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02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48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020"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921"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vAlign w:val="center"/>
          </w:tcPr>
          <w:p>
            <w:pPr>
              <w:pStyle w:val="8"/>
              <w:keepNext/>
              <w:spacing w:line="440" w:lineRule="exact"/>
              <w:ind w:left="63" w:right="63"/>
              <w:rPr>
                <w:rFonts w:ascii="仿宋" w:hAnsi="仿宋" w:eastAsia="仿宋" w:cs="仿宋"/>
                <w:color w:val="auto"/>
                <w:sz w:val="30"/>
                <w:szCs w:val="30"/>
              </w:rPr>
            </w:pPr>
          </w:p>
        </w:tc>
        <w:tc>
          <w:tcPr>
            <w:tcW w:w="1418" w:type="dxa"/>
            <w:noWrap/>
            <w:vAlign w:val="center"/>
          </w:tcPr>
          <w:p>
            <w:pPr>
              <w:pStyle w:val="8"/>
              <w:keepNext/>
              <w:spacing w:line="440" w:lineRule="exact"/>
              <w:ind w:left="63" w:right="63"/>
              <w:rPr>
                <w:rFonts w:ascii="仿宋" w:hAnsi="仿宋" w:eastAsia="仿宋" w:cs="仿宋"/>
                <w:color w:val="auto"/>
                <w:sz w:val="30"/>
                <w:szCs w:val="30"/>
              </w:rPr>
            </w:pPr>
          </w:p>
        </w:tc>
        <w:tc>
          <w:tcPr>
            <w:tcW w:w="850" w:type="dxa"/>
            <w:noWrap/>
            <w:vAlign w:val="center"/>
          </w:tcPr>
          <w:p>
            <w:pPr>
              <w:pStyle w:val="8"/>
              <w:keepNext/>
              <w:spacing w:line="440" w:lineRule="exact"/>
              <w:ind w:left="63" w:right="63"/>
              <w:rPr>
                <w:rFonts w:ascii="仿宋" w:hAnsi="仿宋" w:eastAsia="仿宋" w:cs="仿宋"/>
                <w:color w:val="auto"/>
                <w:sz w:val="30"/>
                <w:szCs w:val="30"/>
              </w:rPr>
            </w:pPr>
          </w:p>
        </w:tc>
        <w:tc>
          <w:tcPr>
            <w:tcW w:w="1058" w:type="dxa"/>
            <w:noWrap/>
            <w:vAlign w:val="center"/>
          </w:tcPr>
          <w:p>
            <w:pPr>
              <w:pStyle w:val="8"/>
              <w:keepNext/>
              <w:spacing w:line="440" w:lineRule="exact"/>
              <w:ind w:left="63" w:right="63"/>
              <w:rPr>
                <w:rFonts w:ascii="仿宋" w:hAnsi="仿宋" w:eastAsia="仿宋" w:cs="仿宋"/>
                <w:color w:val="auto"/>
                <w:sz w:val="30"/>
                <w:szCs w:val="30"/>
              </w:rPr>
            </w:pPr>
          </w:p>
        </w:tc>
        <w:tc>
          <w:tcPr>
            <w:tcW w:w="8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14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921"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vAlign w:val="center"/>
          </w:tcPr>
          <w:p>
            <w:pPr>
              <w:pStyle w:val="8"/>
              <w:keepNext/>
              <w:spacing w:line="440" w:lineRule="exact"/>
              <w:ind w:left="63" w:right="63"/>
              <w:rPr>
                <w:rFonts w:ascii="仿宋" w:hAnsi="仿宋" w:eastAsia="仿宋" w:cs="仿宋"/>
                <w:color w:val="auto"/>
                <w:sz w:val="30"/>
                <w:szCs w:val="30"/>
              </w:rPr>
            </w:pPr>
          </w:p>
        </w:tc>
        <w:tc>
          <w:tcPr>
            <w:tcW w:w="1418" w:type="dxa"/>
            <w:noWrap/>
            <w:vAlign w:val="center"/>
          </w:tcPr>
          <w:p>
            <w:pPr>
              <w:pStyle w:val="8"/>
              <w:keepNext/>
              <w:spacing w:line="440" w:lineRule="exact"/>
              <w:ind w:left="63" w:right="63"/>
              <w:rPr>
                <w:rFonts w:ascii="仿宋" w:hAnsi="仿宋" w:eastAsia="仿宋" w:cs="仿宋"/>
                <w:color w:val="auto"/>
                <w:sz w:val="30"/>
                <w:szCs w:val="30"/>
              </w:rPr>
            </w:pPr>
          </w:p>
        </w:tc>
        <w:tc>
          <w:tcPr>
            <w:tcW w:w="850" w:type="dxa"/>
            <w:noWrap/>
            <w:vAlign w:val="center"/>
          </w:tcPr>
          <w:p>
            <w:pPr>
              <w:pStyle w:val="8"/>
              <w:keepNext/>
              <w:spacing w:line="440" w:lineRule="exact"/>
              <w:ind w:left="63" w:right="63"/>
              <w:rPr>
                <w:rFonts w:ascii="仿宋" w:hAnsi="仿宋" w:eastAsia="仿宋" w:cs="仿宋"/>
                <w:color w:val="auto"/>
                <w:sz w:val="30"/>
                <w:szCs w:val="30"/>
              </w:rPr>
            </w:pPr>
          </w:p>
        </w:tc>
        <w:tc>
          <w:tcPr>
            <w:tcW w:w="1058" w:type="dxa"/>
            <w:noWrap/>
            <w:vAlign w:val="center"/>
          </w:tcPr>
          <w:p>
            <w:pPr>
              <w:pStyle w:val="8"/>
              <w:keepNext/>
              <w:spacing w:line="440" w:lineRule="exact"/>
              <w:ind w:left="63" w:right="63"/>
              <w:rPr>
                <w:rFonts w:ascii="仿宋" w:hAnsi="仿宋" w:eastAsia="仿宋" w:cs="仿宋"/>
                <w:color w:val="auto"/>
                <w:sz w:val="30"/>
                <w:szCs w:val="30"/>
              </w:rPr>
            </w:pPr>
          </w:p>
        </w:tc>
        <w:tc>
          <w:tcPr>
            <w:tcW w:w="8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14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921"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vAlign w:val="center"/>
          </w:tcPr>
          <w:p>
            <w:pPr>
              <w:pStyle w:val="8"/>
              <w:keepNext/>
              <w:spacing w:line="440" w:lineRule="exact"/>
              <w:ind w:left="63" w:right="63"/>
              <w:rPr>
                <w:rFonts w:ascii="仿宋" w:hAnsi="仿宋" w:eastAsia="仿宋" w:cs="仿宋"/>
                <w:color w:val="auto"/>
                <w:sz w:val="30"/>
                <w:szCs w:val="30"/>
              </w:rPr>
            </w:pPr>
          </w:p>
        </w:tc>
        <w:tc>
          <w:tcPr>
            <w:tcW w:w="1418" w:type="dxa"/>
            <w:noWrap/>
            <w:vAlign w:val="center"/>
          </w:tcPr>
          <w:p>
            <w:pPr>
              <w:pStyle w:val="8"/>
              <w:keepNext/>
              <w:spacing w:line="440" w:lineRule="exact"/>
              <w:ind w:left="63" w:right="63"/>
              <w:rPr>
                <w:rFonts w:ascii="仿宋" w:hAnsi="仿宋" w:eastAsia="仿宋" w:cs="仿宋"/>
                <w:color w:val="auto"/>
                <w:sz w:val="30"/>
                <w:szCs w:val="30"/>
              </w:rPr>
            </w:pPr>
          </w:p>
        </w:tc>
        <w:tc>
          <w:tcPr>
            <w:tcW w:w="850" w:type="dxa"/>
            <w:noWrap/>
            <w:vAlign w:val="center"/>
          </w:tcPr>
          <w:p>
            <w:pPr>
              <w:pStyle w:val="8"/>
              <w:keepNext/>
              <w:spacing w:line="440" w:lineRule="exact"/>
              <w:ind w:left="63" w:right="63"/>
              <w:rPr>
                <w:rFonts w:ascii="仿宋" w:hAnsi="仿宋" w:eastAsia="仿宋" w:cs="仿宋"/>
                <w:color w:val="auto"/>
                <w:sz w:val="30"/>
                <w:szCs w:val="30"/>
              </w:rPr>
            </w:pPr>
          </w:p>
        </w:tc>
        <w:tc>
          <w:tcPr>
            <w:tcW w:w="1058" w:type="dxa"/>
            <w:noWrap/>
            <w:vAlign w:val="center"/>
          </w:tcPr>
          <w:p>
            <w:pPr>
              <w:pStyle w:val="8"/>
              <w:keepNext/>
              <w:spacing w:line="440" w:lineRule="exact"/>
              <w:ind w:left="63" w:right="63"/>
              <w:rPr>
                <w:rFonts w:ascii="仿宋" w:hAnsi="仿宋" w:eastAsia="仿宋" w:cs="仿宋"/>
                <w:color w:val="auto"/>
                <w:sz w:val="30"/>
                <w:szCs w:val="30"/>
              </w:rPr>
            </w:pPr>
          </w:p>
        </w:tc>
        <w:tc>
          <w:tcPr>
            <w:tcW w:w="8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14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921"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vAlign w:val="center"/>
          </w:tcPr>
          <w:p>
            <w:pPr>
              <w:pStyle w:val="8"/>
              <w:keepNext/>
              <w:spacing w:line="440" w:lineRule="exact"/>
              <w:ind w:left="63" w:right="63"/>
              <w:rPr>
                <w:rFonts w:ascii="仿宋" w:hAnsi="仿宋" w:eastAsia="仿宋" w:cs="仿宋"/>
                <w:color w:val="auto"/>
                <w:sz w:val="30"/>
                <w:szCs w:val="30"/>
              </w:rPr>
            </w:pPr>
          </w:p>
        </w:tc>
        <w:tc>
          <w:tcPr>
            <w:tcW w:w="1418" w:type="dxa"/>
            <w:noWrap/>
            <w:vAlign w:val="center"/>
          </w:tcPr>
          <w:p>
            <w:pPr>
              <w:pStyle w:val="8"/>
              <w:keepNext/>
              <w:spacing w:line="440" w:lineRule="exact"/>
              <w:ind w:left="63" w:right="63"/>
              <w:rPr>
                <w:rFonts w:ascii="仿宋" w:hAnsi="仿宋" w:eastAsia="仿宋" w:cs="仿宋"/>
                <w:color w:val="auto"/>
                <w:sz w:val="30"/>
                <w:szCs w:val="30"/>
              </w:rPr>
            </w:pPr>
          </w:p>
        </w:tc>
        <w:tc>
          <w:tcPr>
            <w:tcW w:w="850" w:type="dxa"/>
            <w:noWrap/>
            <w:vAlign w:val="center"/>
          </w:tcPr>
          <w:p>
            <w:pPr>
              <w:pStyle w:val="8"/>
              <w:keepNext/>
              <w:spacing w:line="440" w:lineRule="exact"/>
              <w:ind w:left="63" w:right="63"/>
              <w:rPr>
                <w:rFonts w:ascii="仿宋" w:hAnsi="仿宋" w:eastAsia="仿宋" w:cs="仿宋"/>
                <w:color w:val="auto"/>
                <w:sz w:val="30"/>
                <w:szCs w:val="30"/>
              </w:rPr>
            </w:pPr>
          </w:p>
        </w:tc>
        <w:tc>
          <w:tcPr>
            <w:tcW w:w="1058" w:type="dxa"/>
            <w:noWrap/>
            <w:vAlign w:val="center"/>
          </w:tcPr>
          <w:p>
            <w:pPr>
              <w:pStyle w:val="8"/>
              <w:keepNext/>
              <w:spacing w:line="440" w:lineRule="exact"/>
              <w:ind w:left="63" w:right="63"/>
              <w:rPr>
                <w:rFonts w:ascii="仿宋" w:hAnsi="仿宋" w:eastAsia="仿宋" w:cs="仿宋"/>
                <w:color w:val="auto"/>
                <w:sz w:val="30"/>
                <w:szCs w:val="30"/>
              </w:rPr>
            </w:pPr>
          </w:p>
        </w:tc>
        <w:tc>
          <w:tcPr>
            <w:tcW w:w="8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14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921"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vAlign w:val="center"/>
          </w:tcPr>
          <w:p>
            <w:pPr>
              <w:pStyle w:val="8"/>
              <w:keepNext/>
              <w:spacing w:line="440" w:lineRule="exact"/>
              <w:ind w:left="63" w:right="63"/>
              <w:rPr>
                <w:rFonts w:ascii="仿宋" w:hAnsi="仿宋" w:eastAsia="仿宋" w:cs="仿宋"/>
                <w:color w:val="auto"/>
                <w:sz w:val="30"/>
                <w:szCs w:val="30"/>
              </w:rPr>
            </w:pPr>
          </w:p>
        </w:tc>
        <w:tc>
          <w:tcPr>
            <w:tcW w:w="1418" w:type="dxa"/>
            <w:noWrap/>
            <w:vAlign w:val="center"/>
          </w:tcPr>
          <w:p>
            <w:pPr>
              <w:pStyle w:val="8"/>
              <w:keepNext/>
              <w:spacing w:line="440" w:lineRule="exact"/>
              <w:ind w:left="63" w:right="63"/>
              <w:rPr>
                <w:rFonts w:ascii="仿宋" w:hAnsi="仿宋" w:eastAsia="仿宋" w:cs="仿宋"/>
                <w:color w:val="auto"/>
                <w:sz w:val="30"/>
                <w:szCs w:val="30"/>
              </w:rPr>
            </w:pPr>
          </w:p>
        </w:tc>
        <w:tc>
          <w:tcPr>
            <w:tcW w:w="850" w:type="dxa"/>
            <w:noWrap/>
            <w:vAlign w:val="center"/>
          </w:tcPr>
          <w:p>
            <w:pPr>
              <w:pStyle w:val="8"/>
              <w:keepNext/>
              <w:spacing w:line="440" w:lineRule="exact"/>
              <w:ind w:left="63" w:right="63"/>
              <w:rPr>
                <w:rFonts w:ascii="仿宋" w:hAnsi="仿宋" w:eastAsia="仿宋" w:cs="仿宋"/>
                <w:color w:val="auto"/>
                <w:sz w:val="30"/>
                <w:szCs w:val="30"/>
              </w:rPr>
            </w:pPr>
          </w:p>
        </w:tc>
        <w:tc>
          <w:tcPr>
            <w:tcW w:w="1058" w:type="dxa"/>
            <w:noWrap/>
            <w:vAlign w:val="center"/>
          </w:tcPr>
          <w:p>
            <w:pPr>
              <w:pStyle w:val="8"/>
              <w:keepNext/>
              <w:spacing w:line="440" w:lineRule="exact"/>
              <w:ind w:left="63" w:right="63"/>
              <w:rPr>
                <w:rFonts w:ascii="仿宋" w:hAnsi="仿宋" w:eastAsia="仿宋" w:cs="仿宋"/>
                <w:color w:val="auto"/>
                <w:sz w:val="30"/>
                <w:szCs w:val="30"/>
              </w:rPr>
            </w:pPr>
          </w:p>
        </w:tc>
        <w:tc>
          <w:tcPr>
            <w:tcW w:w="8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14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921"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vAlign w:val="center"/>
          </w:tcPr>
          <w:p>
            <w:pPr>
              <w:pStyle w:val="8"/>
              <w:keepNext/>
              <w:spacing w:line="440" w:lineRule="exact"/>
              <w:ind w:left="63" w:right="63"/>
              <w:rPr>
                <w:rFonts w:ascii="仿宋" w:hAnsi="仿宋" w:eastAsia="仿宋" w:cs="仿宋"/>
                <w:color w:val="auto"/>
                <w:sz w:val="30"/>
                <w:szCs w:val="30"/>
              </w:rPr>
            </w:pPr>
          </w:p>
        </w:tc>
        <w:tc>
          <w:tcPr>
            <w:tcW w:w="1418" w:type="dxa"/>
            <w:noWrap/>
            <w:vAlign w:val="center"/>
          </w:tcPr>
          <w:p>
            <w:pPr>
              <w:pStyle w:val="8"/>
              <w:keepNext/>
              <w:spacing w:line="440" w:lineRule="exact"/>
              <w:ind w:left="63" w:right="63"/>
              <w:rPr>
                <w:rFonts w:ascii="仿宋" w:hAnsi="仿宋" w:eastAsia="仿宋" w:cs="仿宋"/>
                <w:color w:val="auto"/>
                <w:sz w:val="30"/>
                <w:szCs w:val="30"/>
              </w:rPr>
            </w:pPr>
          </w:p>
        </w:tc>
        <w:tc>
          <w:tcPr>
            <w:tcW w:w="850" w:type="dxa"/>
            <w:noWrap/>
            <w:vAlign w:val="center"/>
          </w:tcPr>
          <w:p>
            <w:pPr>
              <w:pStyle w:val="8"/>
              <w:keepNext/>
              <w:spacing w:line="440" w:lineRule="exact"/>
              <w:ind w:left="63" w:right="63"/>
              <w:rPr>
                <w:rFonts w:ascii="仿宋" w:hAnsi="仿宋" w:eastAsia="仿宋" w:cs="仿宋"/>
                <w:color w:val="auto"/>
                <w:sz w:val="30"/>
                <w:szCs w:val="30"/>
              </w:rPr>
            </w:pPr>
          </w:p>
        </w:tc>
        <w:tc>
          <w:tcPr>
            <w:tcW w:w="1058" w:type="dxa"/>
            <w:noWrap/>
            <w:vAlign w:val="center"/>
          </w:tcPr>
          <w:p>
            <w:pPr>
              <w:pStyle w:val="8"/>
              <w:keepNext/>
              <w:spacing w:line="440" w:lineRule="exact"/>
              <w:ind w:left="63" w:right="63"/>
              <w:rPr>
                <w:rFonts w:ascii="仿宋" w:hAnsi="仿宋" w:eastAsia="仿宋" w:cs="仿宋"/>
                <w:color w:val="auto"/>
                <w:sz w:val="30"/>
                <w:szCs w:val="30"/>
              </w:rPr>
            </w:pPr>
          </w:p>
        </w:tc>
        <w:tc>
          <w:tcPr>
            <w:tcW w:w="8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14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921"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tcPr>
          <w:p>
            <w:pPr>
              <w:rPr>
                <w:rFonts w:ascii="仿宋" w:hAnsi="仿宋" w:eastAsia="仿宋" w:cs="仿宋"/>
                <w:color w:val="auto"/>
                <w:sz w:val="30"/>
                <w:szCs w:val="30"/>
              </w:rPr>
            </w:pPr>
          </w:p>
        </w:tc>
        <w:tc>
          <w:tcPr>
            <w:tcW w:w="1418" w:type="dxa"/>
            <w:noWrap/>
          </w:tcPr>
          <w:p>
            <w:pPr>
              <w:rPr>
                <w:rFonts w:ascii="仿宋" w:hAnsi="仿宋" w:eastAsia="仿宋" w:cs="仿宋"/>
                <w:color w:val="auto"/>
                <w:sz w:val="30"/>
                <w:szCs w:val="30"/>
              </w:rPr>
            </w:pPr>
          </w:p>
        </w:tc>
        <w:tc>
          <w:tcPr>
            <w:tcW w:w="850" w:type="dxa"/>
            <w:noWrap/>
          </w:tcPr>
          <w:p>
            <w:pPr>
              <w:rPr>
                <w:rFonts w:ascii="仿宋" w:hAnsi="仿宋" w:eastAsia="仿宋" w:cs="仿宋"/>
                <w:color w:val="auto"/>
                <w:sz w:val="30"/>
                <w:szCs w:val="30"/>
              </w:rPr>
            </w:pPr>
          </w:p>
        </w:tc>
        <w:tc>
          <w:tcPr>
            <w:tcW w:w="1058" w:type="dxa"/>
            <w:noWrap/>
          </w:tcPr>
          <w:p>
            <w:pPr>
              <w:rPr>
                <w:rFonts w:ascii="仿宋" w:hAnsi="仿宋" w:eastAsia="仿宋" w:cs="仿宋"/>
                <w:color w:val="auto"/>
                <w:sz w:val="30"/>
                <w:szCs w:val="30"/>
              </w:rPr>
            </w:pPr>
          </w:p>
        </w:tc>
        <w:tc>
          <w:tcPr>
            <w:tcW w:w="8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14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921"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vAlign w:val="center"/>
          </w:tcPr>
          <w:p>
            <w:pPr>
              <w:pStyle w:val="8"/>
              <w:keepNext/>
              <w:spacing w:line="440" w:lineRule="exact"/>
              <w:ind w:left="63" w:right="63"/>
              <w:rPr>
                <w:rFonts w:ascii="仿宋" w:hAnsi="仿宋" w:eastAsia="仿宋" w:cs="仿宋"/>
                <w:color w:val="auto"/>
                <w:sz w:val="30"/>
                <w:szCs w:val="30"/>
              </w:rPr>
            </w:pPr>
          </w:p>
        </w:tc>
        <w:tc>
          <w:tcPr>
            <w:tcW w:w="1418" w:type="dxa"/>
            <w:noWrap/>
            <w:vAlign w:val="center"/>
          </w:tcPr>
          <w:p>
            <w:pPr>
              <w:pStyle w:val="8"/>
              <w:keepNext/>
              <w:spacing w:line="440" w:lineRule="exact"/>
              <w:ind w:left="63" w:right="63"/>
              <w:rPr>
                <w:rFonts w:ascii="仿宋" w:hAnsi="仿宋" w:eastAsia="仿宋" w:cs="仿宋"/>
                <w:color w:val="auto"/>
                <w:sz w:val="30"/>
                <w:szCs w:val="30"/>
              </w:rPr>
            </w:pPr>
          </w:p>
        </w:tc>
        <w:tc>
          <w:tcPr>
            <w:tcW w:w="850" w:type="dxa"/>
            <w:noWrap/>
            <w:vAlign w:val="center"/>
          </w:tcPr>
          <w:p>
            <w:pPr>
              <w:pStyle w:val="8"/>
              <w:keepNext/>
              <w:spacing w:line="440" w:lineRule="exact"/>
              <w:ind w:left="63" w:right="63"/>
              <w:rPr>
                <w:rFonts w:ascii="仿宋" w:hAnsi="仿宋" w:eastAsia="仿宋" w:cs="仿宋"/>
                <w:color w:val="auto"/>
                <w:sz w:val="30"/>
                <w:szCs w:val="30"/>
              </w:rPr>
            </w:pPr>
          </w:p>
        </w:tc>
        <w:tc>
          <w:tcPr>
            <w:tcW w:w="1058" w:type="dxa"/>
            <w:noWrap/>
            <w:vAlign w:val="center"/>
          </w:tcPr>
          <w:p>
            <w:pPr>
              <w:pStyle w:val="8"/>
              <w:keepNext/>
              <w:spacing w:line="440" w:lineRule="exact"/>
              <w:ind w:left="63" w:right="63"/>
              <w:rPr>
                <w:rFonts w:ascii="仿宋" w:hAnsi="仿宋" w:eastAsia="仿宋" w:cs="仿宋"/>
                <w:color w:val="auto"/>
                <w:sz w:val="30"/>
                <w:szCs w:val="30"/>
              </w:rPr>
            </w:pPr>
          </w:p>
        </w:tc>
        <w:tc>
          <w:tcPr>
            <w:tcW w:w="8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1480" w:type="dxa"/>
            <w:noWrap/>
            <w:vAlign w:val="center"/>
          </w:tcPr>
          <w:p>
            <w:pPr>
              <w:pStyle w:val="8"/>
              <w:keepNext/>
              <w:spacing w:line="440" w:lineRule="exact"/>
              <w:ind w:left="63" w:right="63"/>
              <w:rPr>
                <w:rFonts w:ascii="仿宋" w:hAnsi="仿宋" w:eastAsia="仿宋" w:cs="仿宋"/>
                <w:color w:val="auto"/>
                <w:sz w:val="30"/>
                <w:szCs w:val="30"/>
              </w:rPr>
            </w:pPr>
          </w:p>
        </w:tc>
        <w:tc>
          <w:tcPr>
            <w:tcW w:w="1020" w:type="dxa"/>
            <w:noWrap/>
            <w:vAlign w:val="center"/>
          </w:tcPr>
          <w:p>
            <w:pPr>
              <w:pStyle w:val="8"/>
              <w:keepNext/>
              <w:spacing w:line="440" w:lineRule="exact"/>
              <w:ind w:left="63" w:right="63"/>
              <w:rPr>
                <w:rFonts w:ascii="仿宋" w:hAnsi="仿宋" w:eastAsia="仿宋" w:cs="仿宋"/>
                <w:color w:val="auto"/>
                <w:sz w:val="30"/>
                <w:szCs w:val="30"/>
              </w:rPr>
            </w:pPr>
          </w:p>
        </w:tc>
        <w:tc>
          <w:tcPr>
            <w:tcW w:w="921"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tcPr>
          <w:p>
            <w:pPr>
              <w:rPr>
                <w:rFonts w:ascii="仿宋" w:hAnsi="仿宋" w:eastAsia="仿宋" w:cs="仿宋"/>
                <w:color w:val="auto"/>
                <w:sz w:val="30"/>
                <w:szCs w:val="30"/>
              </w:rPr>
            </w:pPr>
          </w:p>
        </w:tc>
        <w:tc>
          <w:tcPr>
            <w:tcW w:w="1418" w:type="dxa"/>
            <w:noWrap/>
          </w:tcPr>
          <w:p>
            <w:pPr>
              <w:rPr>
                <w:rFonts w:ascii="仿宋" w:hAnsi="仿宋" w:eastAsia="仿宋" w:cs="仿宋"/>
                <w:color w:val="auto"/>
                <w:sz w:val="30"/>
                <w:szCs w:val="30"/>
              </w:rPr>
            </w:pPr>
          </w:p>
        </w:tc>
        <w:tc>
          <w:tcPr>
            <w:tcW w:w="850" w:type="dxa"/>
            <w:noWrap/>
          </w:tcPr>
          <w:p>
            <w:pPr>
              <w:rPr>
                <w:rFonts w:ascii="仿宋" w:hAnsi="仿宋" w:eastAsia="仿宋" w:cs="仿宋"/>
                <w:color w:val="auto"/>
                <w:sz w:val="30"/>
                <w:szCs w:val="30"/>
              </w:rPr>
            </w:pPr>
          </w:p>
        </w:tc>
        <w:tc>
          <w:tcPr>
            <w:tcW w:w="1058" w:type="dxa"/>
            <w:noWrap/>
          </w:tcPr>
          <w:p>
            <w:pPr>
              <w:rPr>
                <w:rFonts w:ascii="仿宋" w:hAnsi="仿宋" w:eastAsia="仿宋" w:cs="仿宋"/>
                <w:color w:val="auto"/>
                <w:sz w:val="30"/>
                <w:szCs w:val="30"/>
              </w:rPr>
            </w:pPr>
          </w:p>
        </w:tc>
        <w:tc>
          <w:tcPr>
            <w:tcW w:w="8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14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921"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tcPr>
          <w:p>
            <w:pPr>
              <w:rPr>
                <w:rFonts w:ascii="仿宋" w:hAnsi="仿宋" w:eastAsia="仿宋" w:cs="仿宋"/>
                <w:color w:val="auto"/>
                <w:sz w:val="30"/>
                <w:szCs w:val="30"/>
              </w:rPr>
            </w:pPr>
          </w:p>
        </w:tc>
        <w:tc>
          <w:tcPr>
            <w:tcW w:w="1418" w:type="dxa"/>
            <w:noWrap/>
          </w:tcPr>
          <w:p>
            <w:pPr>
              <w:rPr>
                <w:rFonts w:ascii="仿宋" w:hAnsi="仿宋" w:eastAsia="仿宋" w:cs="仿宋"/>
                <w:color w:val="auto"/>
                <w:sz w:val="30"/>
                <w:szCs w:val="30"/>
              </w:rPr>
            </w:pPr>
          </w:p>
        </w:tc>
        <w:tc>
          <w:tcPr>
            <w:tcW w:w="850" w:type="dxa"/>
            <w:noWrap/>
          </w:tcPr>
          <w:p>
            <w:pPr>
              <w:rPr>
                <w:rFonts w:ascii="仿宋" w:hAnsi="仿宋" w:eastAsia="仿宋" w:cs="仿宋"/>
                <w:color w:val="auto"/>
                <w:sz w:val="30"/>
                <w:szCs w:val="30"/>
              </w:rPr>
            </w:pPr>
          </w:p>
        </w:tc>
        <w:tc>
          <w:tcPr>
            <w:tcW w:w="1058" w:type="dxa"/>
            <w:noWrap/>
          </w:tcPr>
          <w:p>
            <w:pPr>
              <w:rPr>
                <w:rFonts w:ascii="仿宋" w:hAnsi="仿宋" w:eastAsia="仿宋" w:cs="仿宋"/>
                <w:color w:val="auto"/>
                <w:sz w:val="30"/>
                <w:szCs w:val="30"/>
              </w:rPr>
            </w:pPr>
          </w:p>
        </w:tc>
        <w:tc>
          <w:tcPr>
            <w:tcW w:w="8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14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921"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tcPr>
          <w:p>
            <w:pPr>
              <w:rPr>
                <w:rFonts w:ascii="仿宋" w:hAnsi="仿宋" w:eastAsia="仿宋" w:cs="仿宋"/>
                <w:color w:val="auto"/>
                <w:sz w:val="30"/>
                <w:szCs w:val="30"/>
              </w:rPr>
            </w:pPr>
          </w:p>
        </w:tc>
        <w:tc>
          <w:tcPr>
            <w:tcW w:w="1418" w:type="dxa"/>
            <w:noWrap/>
          </w:tcPr>
          <w:p>
            <w:pPr>
              <w:rPr>
                <w:rFonts w:ascii="仿宋" w:hAnsi="仿宋" w:eastAsia="仿宋" w:cs="仿宋"/>
                <w:color w:val="auto"/>
                <w:sz w:val="30"/>
                <w:szCs w:val="30"/>
              </w:rPr>
            </w:pPr>
          </w:p>
        </w:tc>
        <w:tc>
          <w:tcPr>
            <w:tcW w:w="850" w:type="dxa"/>
            <w:noWrap/>
          </w:tcPr>
          <w:p>
            <w:pPr>
              <w:rPr>
                <w:rFonts w:ascii="仿宋" w:hAnsi="仿宋" w:eastAsia="仿宋" w:cs="仿宋"/>
                <w:color w:val="auto"/>
                <w:sz w:val="30"/>
                <w:szCs w:val="30"/>
              </w:rPr>
            </w:pPr>
          </w:p>
        </w:tc>
        <w:tc>
          <w:tcPr>
            <w:tcW w:w="1058" w:type="dxa"/>
            <w:noWrap/>
          </w:tcPr>
          <w:p>
            <w:pPr>
              <w:rPr>
                <w:rFonts w:ascii="仿宋" w:hAnsi="仿宋" w:eastAsia="仿宋" w:cs="仿宋"/>
                <w:color w:val="auto"/>
                <w:sz w:val="30"/>
                <w:szCs w:val="30"/>
              </w:rPr>
            </w:pPr>
          </w:p>
        </w:tc>
        <w:tc>
          <w:tcPr>
            <w:tcW w:w="8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14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921"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tcPr>
          <w:p>
            <w:pPr>
              <w:rPr>
                <w:rFonts w:ascii="仿宋" w:hAnsi="仿宋" w:eastAsia="仿宋" w:cs="仿宋"/>
                <w:color w:val="auto"/>
                <w:sz w:val="30"/>
                <w:szCs w:val="30"/>
              </w:rPr>
            </w:pPr>
          </w:p>
        </w:tc>
        <w:tc>
          <w:tcPr>
            <w:tcW w:w="1418" w:type="dxa"/>
            <w:noWrap/>
          </w:tcPr>
          <w:p>
            <w:pPr>
              <w:rPr>
                <w:rFonts w:ascii="仿宋" w:hAnsi="仿宋" w:eastAsia="仿宋" w:cs="仿宋"/>
                <w:color w:val="auto"/>
                <w:sz w:val="30"/>
                <w:szCs w:val="30"/>
              </w:rPr>
            </w:pPr>
          </w:p>
        </w:tc>
        <w:tc>
          <w:tcPr>
            <w:tcW w:w="850" w:type="dxa"/>
            <w:noWrap/>
          </w:tcPr>
          <w:p>
            <w:pPr>
              <w:rPr>
                <w:rFonts w:ascii="仿宋" w:hAnsi="仿宋" w:eastAsia="仿宋" w:cs="仿宋"/>
                <w:color w:val="auto"/>
                <w:sz w:val="30"/>
                <w:szCs w:val="30"/>
              </w:rPr>
            </w:pPr>
          </w:p>
        </w:tc>
        <w:tc>
          <w:tcPr>
            <w:tcW w:w="1058" w:type="dxa"/>
            <w:noWrap/>
          </w:tcPr>
          <w:p>
            <w:pPr>
              <w:rPr>
                <w:rFonts w:ascii="仿宋" w:hAnsi="仿宋" w:eastAsia="仿宋" w:cs="仿宋"/>
                <w:color w:val="auto"/>
                <w:sz w:val="30"/>
                <w:szCs w:val="30"/>
              </w:rPr>
            </w:pPr>
          </w:p>
        </w:tc>
        <w:tc>
          <w:tcPr>
            <w:tcW w:w="8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14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921"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tcPr>
          <w:p>
            <w:pPr>
              <w:rPr>
                <w:rFonts w:ascii="仿宋" w:hAnsi="仿宋" w:eastAsia="仿宋" w:cs="仿宋"/>
                <w:color w:val="auto"/>
                <w:sz w:val="30"/>
                <w:szCs w:val="30"/>
              </w:rPr>
            </w:pPr>
          </w:p>
        </w:tc>
        <w:tc>
          <w:tcPr>
            <w:tcW w:w="1418" w:type="dxa"/>
            <w:noWrap/>
          </w:tcPr>
          <w:p>
            <w:pPr>
              <w:rPr>
                <w:rFonts w:ascii="仿宋" w:hAnsi="仿宋" w:eastAsia="仿宋" w:cs="仿宋"/>
                <w:color w:val="auto"/>
                <w:sz w:val="30"/>
                <w:szCs w:val="30"/>
              </w:rPr>
            </w:pPr>
          </w:p>
        </w:tc>
        <w:tc>
          <w:tcPr>
            <w:tcW w:w="850" w:type="dxa"/>
            <w:noWrap/>
          </w:tcPr>
          <w:p>
            <w:pPr>
              <w:rPr>
                <w:rFonts w:ascii="仿宋" w:hAnsi="仿宋" w:eastAsia="仿宋" w:cs="仿宋"/>
                <w:color w:val="auto"/>
                <w:sz w:val="30"/>
                <w:szCs w:val="30"/>
              </w:rPr>
            </w:pPr>
          </w:p>
        </w:tc>
        <w:tc>
          <w:tcPr>
            <w:tcW w:w="1058" w:type="dxa"/>
            <w:noWrap/>
          </w:tcPr>
          <w:p>
            <w:pPr>
              <w:rPr>
                <w:rFonts w:ascii="仿宋" w:hAnsi="仿宋" w:eastAsia="仿宋" w:cs="仿宋"/>
                <w:color w:val="auto"/>
                <w:sz w:val="30"/>
                <w:szCs w:val="30"/>
              </w:rPr>
            </w:pPr>
          </w:p>
        </w:tc>
        <w:tc>
          <w:tcPr>
            <w:tcW w:w="8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14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921"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tcPr>
          <w:p>
            <w:pPr>
              <w:rPr>
                <w:rFonts w:ascii="仿宋" w:hAnsi="仿宋" w:eastAsia="仿宋" w:cs="仿宋"/>
                <w:color w:val="auto"/>
                <w:sz w:val="30"/>
                <w:szCs w:val="30"/>
              </w:rPr>
            </w:pPr>
          </w:p>
        </w:tc>
        <w:tc>
          <w:tcPr>
            <w:tcW w:w="1418" w:type="dxa"/>
            <w:noWrap/>
          </w:tcPr>
          <w:p>
            <w:pPr>
              <w:rPr>
                <w:rFonts w:ascii="仿宋" w:hAnsi="仿宋" w:eastAsia="仿宋" w:cs="仿宋"/>
                <w:color w:val="auto"/>
                <w:sz w:val="30"/>
                <w:szCs w:val="30"/>
              </w:rPr>
            </w:pPr>
          </w:p>
        </w:tc>
        <w:tc>
          <w:tcPr>
            <w:tcW w:w="850" w:type="dxa"/>
            <w:noWrap/>
          </w:tcPr>
          <w:p>
            <w:pPr>
              <w:rPr>
                <w:rFonts w:ascii="仿宋" w:hAnsi="仿宋" w:eastAsia="仿宋" w:cs="仿宋"/>
                <w:color w:val="auto"/>
                <w:sz w:val="30"/>
                <w:szCs w:val="30"/>
              </w:rPr>
            </w:pPr>
          </w:p>
        </w:tc>
        <w:tc>
          <w:tcPr>
            <w:tcW w:w="1058" w:type="dxa"/>
            <w:noWrap/>
          </w:tcPr>
          <w:p>
            <w:pPr>
              <w:rPr>
                <w:rFonts w:ascii="仿宋" w:hAnsi="仿宋" w:eastAsia="仿宋" w:cs="仿宋"/>
                <w:color w:val="auto"/>
                <w:sz w:val="30"/>
                <w:szCs w:val="30"/>
              </w:rPr>
            </w:pPr>
          </w:p>
        </w:tc>
        <w:tc>
          <w:tcPr>
            <w:tcW w:w="8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14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921"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tcPr>
          <w:p>
            <w:pPr>
              <w:rPr>
                <w:rFonts w:ascii="仿宋" w:hAnsi="仿宋" w:eastAsia="仿宋" w:cs="仿宋"/>
                <w:color w:val="auto"/>
                <w:sz w:val="30"/>
                <w:szCs w:val="30"/>
              </w:rPr>
            </w:pPr>
          </w:p>
        </w:tc>
        <w:tc>
          <w:tcPr>
            <w:tcW w:w="1418" w:type="dxa"/>
            <w:noWrap/>
          </w:tcPr>
          <w:p>
            <w:pPr>
              <w:rPr>
                <w:rFonts w:ascii="仿宋" w:hAnsi="仿宋" w:eastAsia="仿宋" w:cs="仿宋"/>
                <w:color w:val="auto"/>
                <w:sz w:val="30"/>
                <w:szCs w:val="30"/>
              </w:rPr>
            </w:pPr>
          </w:p>
        </w:tc>
        <w:tc>
          <w:tcPr>
            <w:tcW w:w="850" w:type="dxa"/>
            <w:noWrap/>
          </w:tcPr>
          <w:p>
            <w:pPr>
              <w:rPr>
                <w:rFonts w:ascii="仿宋" w:hAnsi="仿宋" w:eastAsia="仿宋" w:cs="仿宋"/>
                <w:color w:val="auto"/>
                <w:sz w:val="30"/>
                <w:szCs w:val="30"/>
              </w:rPr>
            </w:pPr>
          </w:p>
        </w:tc>
        <w:tc>
          <w:tcPr>
            <w:tcW w:w="1058" w:type="dxa"/>
            <w:noWrap/>
          </w:tcPr>
          <w:p>
            <w:pPr>
              <w:rPr>
                <w:rFonts w:ascii="仿宋" w:hAnsi="仿宋" w:eastAsia="仿宋" w:cs="仿宋"/>
                <w:color w:val="auto"/>
                <w:sz w:val="30"/>
                <w:szCs w:val="30"/>
              </w:rPr>
            </w:pPr>
          </w:p>
        </w:tc>
        <w:tc>
          <w:tcPr>
            <w:tcW w:w="8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14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921"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noWrap/>
          </w:tcPr>
          <w:p>
            <w:pPr>
              <w:rPr>
                <w:rFonts w:ascii="仿宋" w:hAnsi="仿宋" w:eastAsia="仿宋" w:cs="仿宋"/>
                <w:color w:val="auto"/>
                <w:sz w:val="30"/>
                <w:szCs w:val="30"/>
              </w:rPr>
            </w:pPr>
          </w:p>
        </w:tc>
        <w:tc>
          <w:tcPr>
            <w:tcW w:w="1418" w:type="dxa"/>
            <w:noWrap/>
          </w:tcPr>
          <w:p>
            <w:pPr>
              <w:rPr>
                <w:rFonts w:ascii="仿宋" w:hAnsi="仿宋" w:eastAsia="仿宋" w:cs="仿宋"/>
                <w:color w:val="auto"/>
                <w:sz w:val="30"/>
                <w:szCs w:val="30"/>
              </w:rPr>
            </w:pPr>
          </w:p>
        </w:tc>
        <w:tc>
          <w:tcPr>
            <w:tcW w:w="850" w:type="dxa"/>
            <w:noWrap/>
          </w:tcPr>
          <w:p>
            <w:pPr>
              <w:rPr>
                <w:rFonts w:ascii="仿宋" w:hAnsi="仿宋" w:eastAsia="仿宋" w:cs="仿宋"/>
                <w:color w:val="auto"/>
                <w:sz w:val="30"/>
                <w:szCs w:val="30"/>
              </w:rPr>
            </w:pPr>
          </w:p>
        </w:tc>
        <w:tc>
          <w:tcPr>
            <w:tcW w:w="1058" w:type="dxa"/>
            <w:noWrap/>
          </w:tcPr>
          <w:p>
            <w:pPr>
              <w:rPr>
                <w:rFonts w:ascii="仿宋" w:hAnsi="仿宋" w:eastAsia="仿宋" w:cs="仿宋"/>
                <w:color w:val="auto"/>
                <w:sz w:val="30"/>
                <w:szCs w:val="30"/>
              </w:rPr>
            </w:pPr>
          </w:p>
        </w:tc>
        <w:tc>
          <w:tcPr>
            <w:tcW w:w="8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1480" w:type="dxa"/>
            <w:noWrap/>
          </w:tcPr>
          <w:p>
            <w:pPr>
              <w:rPr>
                <w:rFonts w:ascii="仿宋" w:hAnsi="仿宋" w:eastAsia="仿宋" w:cs="仿宋"/>
                <w:color w:val="auto"/>
                <w:sz w:val="30"/>
                <w:szCs w:val="30"/>
              </w:rPr>
            </w:pPr>
          </w:p>
        </w:tc>
        <w:tc>
          <w:tcPr>
            <w:tcW w:w="1020" w:type="dxa"/>
            <w:noWrap/>
          </w:tcPr>
          <w:p>
            <w:pPr>
              <w:rPr>
                <w:rFonts w:ascii="仿宋" w:hAnsi="仿宋" w:eastAsia="仿宋" w:cs="仿宋"/>
                <w:color w:val="auto"/>
                <w:sz w:val="30"/>
                <w:szCs w:val="30"/>
              </w:rPr>
            </w:pPr>
          </w:p>
        </w:tc>
        <w:tc>
          <w:tcPr>
            <w:tcW w:w="921" w:type="dxa"/>
            <w:noWrap/>
          </w:tcPr>
          <w:p>
            <w:pPr>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8" w:type="dxa"/>
            <w:tcBorders>
              <w:bottom w:val="single" w:color="auto" w:sz="12" w:space="0"/>
            </w:tcBorders>
            <w:noWrap/>
          </w:tcPr>
          <w:p>
            <w:pPr>
              <w:rPr>
                <w:rFonts w:ascii="仿宋" w:hAnsi="仿宋" w:eastAsia="仿宋" w:cs="仿宋"/>
                <w:color w:val="auto"/>
                <w:sz w:val="30"/>
                <w:szCs w:val="30"/>
              </w:rPr>
            </w:pPr>
          </w:p>
        </w:tc>
        <w:tc>
          <w:tcPr>
            <w:tcW w:w="1418" w:type="dxa"/>
            <w:tcBorders>
              <w:bottom w:val="single" w:color="auto" w:sz="12" w:space="0"/>
            </w:tcBorders>
            <w:noWrap/>
          </w:tcPr>
          <w:p>
            <w:pPr>
              <w:rPr>
                <w:rFonts w:ascii="仿宋" w:hAnsi="仿宋" w:eastAsia="仿宋" w:cs="仿宋"/>
                <w:color w:val="auto"/>
                <w:sz w:val="30"/>
                <w:szCs w:val="30"/>
              </w:rPr>
            </w:pPr>
          </w:p>
        </w:tc>
        <w:tc>
          <w:tcPr>
            <w:tcW w:w="850" w:type="dxa"/>
            <w:tcBorders>
              <w:bottom w:val="single" w:color="auto" w:sz="12" w:space="0"/>
            </w:tcBorders>
            <w:noWrap/>
          </w:tcPr>
          <w:p>
            <w:pPr>
              <w:rPr>
                <w:rFonts w:ascii="仿宋" w:hAnsi="仿宋" w:eastAsia="仿宋" w:cs="仿宋"/>
                <w:color w:val="auto"/>
                <w:sz w:val="30"/>
                <w:szCs w:val="30"/>
              </w:rPr>
            </w:pPr>
          </w:p>
        </w:tc>
        <w:tc>
          <w:tcPr>
            <w:tcW w:w="1058" w:type="dxa"/>
            <w:tcBorders>
              <w:bottom w:val="single" w:color="auto" w:sz="12" w:space="0"/>
            </w:tcBorders>
            <w:noWrap/>
          </w:tcPr>
          <w:p>
            <w:pPr>
              <w:rPr>
                <w:rFonts w:ascii="仿宋" w:hAnsi="仿宋" w:eastAsia="仿宋" w:cs="仿宋"/>
                <w:color w:val="auto"/>
                <w:sz w:val="30"/>
                <w:szCs w:val="30"/>
              </w:rPr>
            </w:pPr>
          </w:p>
        </w:tc>
        <w:tc>
          <w:tcPr>
            <w:tcW w:w="880" w:type="dxa"/>
            <w:tcBorders>
              <w:bottom w:val="single" w:color="auto" w:sz="12" w:space="0"/>
            </w:tcBorders>
            <w:noWrap/>
          </w:tcPr>
          <w:p>
            <w:pPr>
              <w:rPr>
                <w:rFonts w:ascii="仿宋" w:hAnsi="仿宋" w:eastAsia="仿宋" w:cs="仿宋"/>
                <w:color w:val="auto"/>
                <w:sz w:val="30"/>
                <w:szCs w:val="30"/>
              </w:rPr>
            </w:pPr>
          </w:p>
        </w:tc>
        <w:tc>
          <w:tcPr>
            <w:tcW w:w="1020" w:type="dxa"/>
            <w:tcBorders>
              <w:bottom w:val="single" w:color="auto" w:sz="12" w:space="0"/>
            </w:tcBorders>
            <w:noWrap/>
          </w:tcPr>
          <w:p>
            <w:pPr>
              <w:rPr>
                <w:rFonts w:ascii="仿宋" w:hAnsi="仿宋" w:eastAsia="仿宋" w:cs="仿宋"/>
                <w:color w:val="auto"/>
                <w:sz w:val="30"/>
                <w:szCs w:val="30"/>
              </w:rPr>
            </w:pPr>
          </w:p>
        </w:tc>
        <w:tc>
          <w:tcPr>
            <w:tcW w:w="1480" w:type="dxa"/>
            <w:tcBorders>
              <w:bottom w:val="single" w:color="auto" w:sz="12" w:space="0"/>
            </w:tcBorders>
            <w:noWrap/>
          </w:tcPr>
          <w:p>
            <w:pPr>
              <w:rPr>
                <w:rFonts w:ascii="仿宋" w:hAnsi="仿宋" w:eastAsia="仿宋" w:cs="仿宋"/>
                <w:color w:val="auto"/>
                <w:sz w:val="30"/>
                <w:szCs w:val="30"/>
              </w:rPr>
            </w:pPr>
          </w:p>
        </w:tc>
        <w:tc>
          <w:tcPr>
            <w:tcW w:w="1020" w:type="dxa"/>
            <w:tcBorders>
              <w:bottom w:val="single" w:color="auto" w:sz="12" w:space="0"/>
            </w:tcBorders>
            <w:noWrap/>
          </w:tcPr>
          <w:p>
            <w:pPr>
              <w:rPr>
                <w:rFonts w:ascii="仿宋" w:hAnsi="仿宋" w:eastAsia="仿宋" w:cs="仿宋"/>
                <w:color w:val="auto"/>
                <w:sz w:val="30"/>
                <w:szCs w:val="30"/>
              </w:rPr>
            </w:pPr>
          </w:p>
        </w:tc>
        <w:tc>
          <w:tcPr>
            <w:tcW w:w="921" w:type="dxa"/>
            <w:tcBorders>
              <w:bottom w:val="single" w:color="auto" w:sz="12" w:space="0"/>
            </w:tcBorders>
            <w:noWrap/>
          </w:tcPr>
          <w:p>
            <w:pPr>
              <w:rPr>
                <w:rFonts w:ascii="仿宋" w:hAnsi="仿宋" w:eastAsia="仿宋" w:cs="仿宋"/>
                <w:color w:val="auto"/>
                <w:sz w:val="30"/>
                <w:szCs w:val="30"/>
              </w:rPr>
            </w:pPr>
          </w:p>
        </w:tc>
      </w:tr>
    </w:tbl>
    <w:p>
      <w:pPr>
        <w:spacing w:line="440" w:lineRule="exact"/>
        <w:rPr>
          <w:rFonts w:ascii="仿宋" w:hAnsi="仿宋" w:eastAsia="仿宋" w:cs="仿宋"/>
          <w:color w:val="auto"/>
          <w:sz w:val="30"/>
          <w:szCs w:val="30"/>
        </w:rPr>
      </w:pPr>
      <w:r>
        <w:rPr>
          <w:rFonts w:hint="eastAsia" w:ascii="仿宋" w:hAnsi="仿宋" w:eastAsia="仿宋" w:cs="仿宋"/>
          <w:color w:val="auto"/>
          <w:sz w:val="30"/>
          <w:szCs w:val="30"/>
        </w:rPr>
        <w:t>附</w:t>
      </w:r>
      <w:bookmarkStart w:id="410" w:name="_Toc296503228"/>
      <w:bookmarkStart w:id="411" w:name="_Toc296944567"/>
      <w:bookmarkStart w:id="412" w:name="_Toc296891268"/>
      <w:bookmarkStart w:id="413" w:name="_Toc296346729"/>
      <w:bookmarkStart w:id="414" w:name="_Toc296347227"/>
      <w:bookmarkStart w:id="415" w:name="_Toc296891056"/>
      <w:bookmarkStart w:id="416" w:name="_Toc267261699"/>
      <w:r>
        <w:rPr>
          <w:rFonts w:hint="eastAsia" w:ascii="仿宋" w:hAnsi="仿宋" w:eastAsia="仿宋" w:cs="仿宋"/>
          <w:color w:val="auto"/>
          <w:sz w:val="30"/>
          <w:szCs w:val="30"/>
        </w:rPr>
        <w:t>件6：</w:t>
      </w:r>
    </w:p>
    <w:bookmarkEnd w:id="410"/>
    <w:bookmarkEnd w:id="411"/>
    <w:bookmarkEnd w:id="412"/>
    <w:bookmarkEnd w:id="413"/>
    <w:bookmarkEnd w:id="414"/>
    <w:bookmarkEnd w:id="415"/>
    <w:bookmarkEnd w:id="416"/>
    <w:p>
      <w:pPr>
        <w:spacing w:beforeLines="50" w:afterLines="50" w:line="440" w:lineRule="exact"/>
        <w:jc w:val="center"/>
        <w:rPr>
          <w:rFonts w:ascii="仿宋" w:hAnsi="仿宋" w:eastAsia="仿宋" w:cs="仿宋"/>
          <w:color w:val="auto"/>
          <w:sz w:val="30"/>
          <w:szCs w:val="30"/>
        </w:rPr>
      </w:pPr>
      <w:r>
        <w:rPr>
          <w:rFonts w:hint="eastAsia" w:ascii="仿宋" w:hAnsi="仿宋" w:eastAsia="仿宋" w:cs="仿宋"/>
          <w:color w:val="auto"/>
          <w:sz w:val="30"/>
          <w:szCs w:val="30"/>
        </w:rPr>
        <w:t>承包人主要施工管理人员表</w:t>
      </w:r>
    </w:p>
    <w:tbl>
      <w:tblPr>
        <w:tblStyle w:val="23"/>
        <w:tblW w:w="96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43"/>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名    称</w:t>
            </w:r>
          </w:p>
        </w:tc>
        <w:tc>
          <w:tcPr>
            <w:tcW w:w="1418"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姓名</w:t>
            </w:r>
          </w:p>
        </w:tc>
        <w:tc>
          <w:tcPr>
            <w:tcW w:w="1134"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r>
              <w:rPr>
                <w:rFonts w:hint="eastAsia" w:ascii="仿宋" w:hAnsi="仿宋" w:eastAsia="仿宋" w:cs="仿宋"/>
                <w:color w:val="auto"/>
                <w:sz w:val="30"/>
                <w:szCs w:val="30"/>
              </w:rPr>
              <w:t>职务</w:t>
            </w:r>
          </w:p>
        </w:tc>
        <w:tc>
          <w:tcPr>
            <w:tcW w:w="1134"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r>
              <w:rPr>
                <w:rFonts w:hint="eastAsia" w:ascii="仿宋" w:hAnsi="仿宋" w:eastAsia="仿宋" w:cs="仿宋"/>
                <w:color w:val="auto"/>
                <w:sz w:val="30"/>
                <w:szCs w:val="30"/>
              </w:rPr>
              <w:t>职称</w:t>
            </w:r>
          </w:p>
        </w:tc>
        <w:tc>
          <w:tcPr>
            <w:tcW w:w="4252"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r>
              <w:rPr>
                <w:rFonts w:hint="eastAsia" w:ascii="仿宋" w:hAnsi="仿宋" w:eastAsia="仿宋" w:cs="仿宋"/>
                <w:color w:val="auto"/>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681" w:type="dxa"/>
            <w:gridSpan w:val="5"/>
            <w:tcBorders>
              <w:top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tcBorders>
              <w:top w:val="nil"/>
              <w:bottom w:val="nil"/>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项目主管</w:t>
            </w:r>
          </w:p>
        </w:tc>
        <w:tc>
          <w:tcPr>
            <w:tcW w:w="1418" w:type="dxa"/>
            <w:tcBorders>
              <w:top w:val="nil"/>
            </w:tcBorders>
            <w:noWrap/>
            <w:vAlign w:val="center"/>
          </w:tcPr>
          <w:p>
            <w:pPr>
              <w:pStyle w:val="8"/>
              <w:keepNext/>
              <w:spacing w:line="440" w:lineRule="exact"/>
              <w:ind w:left="63" w:right="63"/>
              <w:rPr>
                <w:rFonts w:ascii="仿宋" w:hAnsi="仿宋" w:eastAsia="仿宋" w:cs="仿宋"/>
                <w:color w:val="auto"/>
                <w:sz w:val="28"/>
                <w:szCs w:val="30"/>
              </w:rPr>
            </w:pPr>
          </w:p>
        </w:tc>
        <w:tc>
          <w:tcPr>
            <w:tcW w:w="1134"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134"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4252"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tcBorders>
              <w:bottom w:val="nil"/>
            </w:tcBorders>
            <w:noWrap/>
            <w:vAlign w:val="center"/>
          </w:tcPr>
          <w:p>
            <w:pPr>
              <w:pStyle w:val="8"/>
              <w:keepNext/>
              <w:spacing w:line="440" w:lineRule="exact"/>
              <w:ind w:left="63" w:right="63"/>
              <w:rPr>
                <w:rFonts w:ascii="仿宋" w:hAnsi="仿宋" w:eastAsia="仿宋" w:cs="仿宋"/>
                <w:color w:val="auto"/>
                <w:sz w:val="28"/>
                <w:szCs w:val="30"/>
              </w:rPr>
            </w:pP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tcBorders>
              <w:top w:val="nil"/>
              <w:bottom w:val="nil"/>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其他人员</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tcBorders>
              <w:top w:val="nil"/>
              <w:bottom w:val="nil"/>
            </w:tcBorders>
            <w:noWrap/>
            <w:vAlign w:val="center"/>
          </w:tcPr>
          <w:p>
            <w:pPr>
              <w:pStyle w:val="8"/>
              <w:keepNext/>
              <w:spacing w:line="440" w:lineRule="exact"/>
              <w:ind w:left="63" w:right="63"/>
              <w:rPr>
                <w:rFonts w:ascii="仿宋" w:hAnsi="仿宋" w:eastAsia="仿宋" w:cs="仿宋"/>
                <w:color w:val="auto"/>
                <w:sz w:val="28"/>
                <w:szCs w:val="30"/>
              </w:rPr>
            </w:pP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681" w:type="dxa"/>
            <w:gridSpan w:val="5"/>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项目经理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项目副经理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技术负责人</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造价管理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质量管理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材料管理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计划管理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安全管理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vMerge w:val="restart"/>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其他人员</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vMerge w:val="continue"/>
            <w:noWrap/>
            <w:vAlign w:val="center"/>
          </w:tcPr>
          <w:p>
            <w:pPr>
              <w:pStyle w:val="8"/>
              <w:keepNext/>
              <w:spacing w:line="440" w:lineRule="exact"/>
              <w:ind w:left="63" w:right="63"/>
              <w:rPr>
                <w:rFonts w:ascii="仿宋" w:hAnsi="仿宋" w:eastAsia="仿宋" w:cs="仿宋"/>
                <w:color w:val="auto"/>
                <w:sz w:val="28"/>
                <w:szCs w:val="30"/>
              </w:rPr>
            </w:pPr>
          </w:p>
        </w:tc>
        <w:tc>
          <w:tcPr>
            <w:tcW w:w="1418" w:type="dxa"/>
            <w:tcBorders>
              <w:bottom w:val="nil"/>
            </w:tcBorders>
            <w:noWrap/>
            <w:vAlign w:val="center"/>
          </w:tcPr>
          <w:p>
            <w:pPr>
              <w:pStyle w:val="8"/>
              <w:keepNext/>
              <w:spacing w:line="440" w:lineRule="exact"/>
              <w:ind w:left="63" w:right="63"/>
              <w:rPr>
                <w:rFonts w:ascii="仿宋" w:hAnsi="仿宋" w:eastAsia="仿宋" w:cs="仿宋"/>
                <w:color w:val="auto"/>
                <w:sz w:val="28"/>
                <w:szCs w:val="30"/>
              </w:rPr>
            </w:pPr>
          </w:p>
        </w:tc>
        <w:tc>
          <w:tcPr>
            <w:tcW w:w="1134" w:type="dxa"/>
            <w:tcBorders>
              <w:bottom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134" w:type="dxa"/>
            <w:tcBorders>
              <w:bottom w:val="nil"/>
            </w:tcBorders>
            <w:noWrap/>
            <w:vAlign w:val="center"/>
          </w:tcPr>
          <w:p>
            <w:pPr>
              <w:pStyle w:val="8"/>
              <w:keepNext/>
              <w:spacing w:line="440" w:lineRule="exact"/>
              <w:ind w:left="63" w:right="63"/>
              <w:rPr>
                <w:rFonts w:ascii="仿宋" w:hAnsi="仿宋" w:eastAsia="仿宋" w:cs="仿宋"/>
                <w:color w:val="auto"/>
                <w:sz w:val="30"/>
                <w:szCs w:val="30"/>
              </w:rPr>
            </w:pPr>
          </w:p>
        </w:tc>
        <w:tc>
          <w:tcPr>
            <w:tcW w:w="4252" w:type="dxa"/>
            <w:tcBorders>
              <w:bottom w:val="nil"/>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vMerge w:val="continue"/>
            <w:noWrap/>
            <w:vAlign w:val="center"/>
          </w:tcPr>
          <w:p>
            <w:pPr>
              <w:pStyle w:val="8"/>
              <w:keepNext/>
              <w:spacing w:line="440" w:lineRule="exact"/>
              <w:ind w:left="63" w:right="63"/>
              <w:rPr>
                <w:rFonts w:ascii="仿宋" w:hAnsi="仿宋" w:eastAsia="仿宋" w:cs="仿宋"/>
                <w:color w:val="auto"/>
                <w:sz w:val="28"/>
                <w:szCs w:val="30"/>
              </w:rPr>
            </w:pP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vMerge w:val="continue"/>
            <w:noWrap/>
            <w:vAlign w:val="center"/>
          </w:tcPr>
          <w:p>
            <w:pPr>
              <w:pStyle w:val="8"/>
              <w:keepNext/>
              <w:spacing w:line="440" w:lineRule="exact"/>
              <w:ind w:left="63" w:right="63"/>
              <w:rPr>
                <w:rFonts w:ascii="仿宋" w:hAnsi="仿宋" w:eastAsia="仿宋" w:cs="仿宋"/>
                <w:color w:val="auto"/>
                <w:sz w:val="28"/>
                <w:szCs w:val="30"/>
              </w:rPr>
            </w:pP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vMerge w:val="continue"/>
            <w:noWrap/>
            <w:vAlign w:val="center"/>
          </w:tcPr>
          <w:p>
            <w:pPr>
              <w:pStyle w:val="8"/>
              <w:keepNext/>
              <w:spacing w:line="440" w:lineRule="exact"/>
              <w:ind w:left="63" w:right="63"/>
              <w:rPr>
                <w:rFonts w:ascii="仿宋" w:hAnsi="仿宋" w:eastAsia="仿宋" w:cs="仿宋"/>
                <w:color w:val="auto"/>
                <w:sz w:val="28"/>
                <w:szCs w:val="30"/>
              </w:rPr>
            </w:pP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43" w:type="dxa"/>
            <w:vMerge w:val="continue"/>
            <w:tcBorders>
              <w:bottom w:val="single" w:color="auto" w:sz="12" w:space="0"/>
            </w:tcBorders>
            <w:noWrap/>
            <w:vAlign w:val="center"/>
          </w:tcPr>
          <w:p>
            <w:pPr>
              <w:pStyle w:val="8"/>
              <w:keepNext/>
              <w:spacing w:line="440" w:lineRule="exact"/>
              <w:ind w:left="63" w:right="63"/>
              <w:rPr>
                <w:rFonts w:ascii="仿宋" w:hAnsi="仿宋" w:eastAsia="仿宋" w:cs="仿宋"/>
                <w:color w:val="auto"/>
                <w:sz w:val="28"/>
                <w:szCs w:val="30"/>
              </w:rPr>
            </w:pPr>
          </w:p>
        </w:tc>
        <w:tc>
          <w:tcPr>
            <w:tcW w:w="1418"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28"/>
                <w:szCs w:val="30"/>
              </w:rPr>
            </w:pPr>
          </w:p>
        </w:tc>
        <w:tc>
          <w:tcPr>
            <w:tcW w:w="1134"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134"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c>
          <w:tcPr>
            <w:tcW w:w="4252"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r>
    </w:tbl>
    <w:p>
      <w:pPr>
        <w:spacing w:line="440" w:lineRule="exact"/>
        <w:rPr>
          <w:rFonts w:ascii="仿宋" w:hAnsi="仿宋" w:eastAsia="仿宋" w:cs="仿宋"/>
          <w:color w:val="auto"/>
          <w:sz w:val="30"/>
          <w:szCs w:val="30"/>
        </w:rPr>
      </w:pPr>
      <w:r>
        <w:rPr>
          <w:rFonts w:hint="eastAsia" w:ascii="仿宋" w:hAnsi="仿宋" w:eastAsia="仿宋" w:cs="仿宋"/>
          <w:color w:val="auto"/>
          <w:sz w:val="30"/>
          <w:szCs w:val="30"/>
        </w:rPr>
        <w:br w:type="page"/>
      </w:r>
      <w:r>
        <w:rPr>
          <w:rFonts w:hint="eastAsia" w:ascii="仿宋" w:hAnsi="仿宋" w:eastAsia="仿宋" w:cs="仿宋"/>
          <w:color w:val="auto"/>
          <w:sz w:val="30"/>
          <w:szCs w:val="30"/>
        </w:rPr>
        <w:t>附件7：</w:t>
      </w:r>
    </w:p>
    <w:p>
      <w:pPr>
        <w:spacing w:beforeLines="50" w:afterLines="50" w:line="440" w:lineRule="exact"/>
        <w:jc w:val="center"/>
        <w:rPr>
          <w:rFonts w:ascii="仿宋" w:hAnsi="仿宋" w:eastAsia="仿宋" w:cs="仿宋"/>
          <w:color w:val="auto"/>
          <w:sz w:val="30"/>
          <w:szCs w:val="30"/>
        </w:rPr>
      </w:pPr>
      <w:r>
        <w:rPr>
          <w:rFonts w:hint="eastAsia" w:ascii="仿宋" w:hAnsi="仿宋" w:eastAsia="仿宋" w:cs="仿宋"/>
          <w:color w:val="auto"/>
          <w:sz w:val="30"/>
          <w:szCs w:val="30"/>
        </w:rPr>
        <w:t>分包人主要施工管理人员表</w:t>
      </w:r>
    </w:p>
    <w:tbl>
      <w:tblPr>
        <w:tblStyle w:val="23"/>
        <w:tblW w:w="95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13"/>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名    称</w:t>
            </w:r>
          </w:p>
        </w:tc>
        <w:tc>
          <w:tcPr>
            <w:tcW w:w="1418"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姓名</w:t>
            </w:r>
          </w:p>
        </w:tc>
        <w:tc>
          <w:tcPr>
            <w:tcW w:w="1134"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r>
              <w:rPr>
                <w:rFonts w:hint="eastAsia" w:ascii="仿宋" w:hAnsi="仿宋" w:eastAsia="仿宋" w:cs="仿宋"/>
                <w:color w:val="auto"/>
                <w:sz w:val="30"/>
                <w:szCs w:val="30"/>
              </w:rPr>
              <w:t>职务</w:t>
            </w:r>
          </w:p>
        </w:tc>
        <w:tc>
          <w:tcPr>
            <w:tcW w:w="1134"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r>
              <w:rPr>
                <w:rFonts w:hint="eastAsia" w:ascii="仿宋" w:hAnsi="仿宋" w:eastAsia="仿宋" w:cs="仿宋"/>
                <w:color w:val="auto"/>
                <w:sz w:val="30"/>
                <w:szCs w:val="30"/>
              </w:rPr>
              <w:t>职称</w:t>
            </w:r>
          </w:p>
        </w:tc>
        <w:tc>
          <w:tcPr>
            <w:tcW w:w="4252" w:type="dxa"/>
            <w:tcBorders>
              <w:top w:val="single" w:color="auto" w:sz="12" w:space="0"/>
              <w:bottom w:val="double" w:color="auto" w:sz="6" w:space="0"/>
            </w:tcBorders>
            <w:noWrap/>
            <w:vAlign w:val="center"/>
          </w:tcPr>
          <w:p>
            <w:pPr>
              <w:pStyle w:val="8"/>
              <w:keepNext/>
              <w:spacing w:line="440" w:lineRule="exact"/>
              <w:ind w:left="63" w:right="63"/>
              <w:rPr>
                <w:rFonts w:ascii="仿宋" w:hAnsi="仿宋" w:eastAsia="仿宋" w:cs="仿宋"/>
                <w:color w:val="auto"/>
                <w:sz w:val="30"/>
                <w:szCs w:val="30"/>
              </w:rPr>
            </w:pPr>
            <w:r>
              <w:rPr>
                <w:rFonts w:hint="eastAsia" w:ascii="仿宋" w:hAnsi="仿宋" w:eastAsia="仿宋" w:cs="仿宋"/>
                <w:color w:val="auto"/>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51" w:type="dxa"/>
            <w:gridSpan w:val="5"/>
            <w:tcBorders>
              <w:top w:val="double" w:color="auto" w:sz="6" w:space="0"/>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tcBorders>
              <w:top w:val="nil"/>
              <w:bottom w:val="nil"/>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项目主管</w:t>
            </w:r>
          </w:p>
        </w:tc>
        <w:tc>
          <w:tcPr>
            <w:tcW w:w="1418" w:type="dxa"/>
            <w:tcBorders>
              <w:top w:val="nil"/>
            </w:tcBorders>
            <w:noWrap/>
            <w:vAlign w:val="center"/>
          </w:tcPr>
          <w:p>
            <w:pPr>
              <w:pStyle w:val="8"/>
              <w:keepNext/>
              <w:spacing w:line="440" w:lineRule="exact"/>
              <w:ind w:left="63" w:right="63"/>
              <w:rPr>
                <w:rFonts w:ascii="仿宋" w:hAnsi="仿宋" w:eastAsia="仿宋" w:cs="仿宋"/>
                <w:color w:val="auto"/>
                <w:sz w:val="28"/>
                <w:szCs w:val="30"/>
              </w:rPr>
            </w:pPr>
          </w:p>
        </w:tc>
        <w:tc>
          <w:tcPr>
            <w:tcW w:w="1134"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134"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c>
          <w:tcPr>
            <w:tcW w:w="4252" w:type="dxa"/>
            <w:tcBorders>
              <w:top w:val="nil"/>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tcBorders>
              <w:bottom w:val="nil"/>
            </w:tcBorders>
            <w:noWrap/>
            <w:vAlign w:val="center"/>
          </w:tcPr>
          <w:p>
            <w:pPr>
              <w:pStyle w:val="8"/>
              <w:keepNext/>
              <w:spacing w:line="440" w:lineRule="exact"/>
              <w:ind w:left="63" w:right="63"/>
              <w:rPr>
                <w:rFonts w:ascii="仿宋" w:hAnsi="仿宋" w:eastAsia="仿宋" w:cs="仿宋"/>
                <w:color w:val="auto"/>
                <w:sz w:val="28"/>
                <w:szCs w:val="30"/>
              </w:rPr>
            </w:pP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tcBorders>
              <w:top w:val="nil"/>
              <w:bottom w:val="nil"/>
            </w:tcBorders>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其他人员</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tcBorders>
              <w:top w:val="nil"/>
              <w:bottom w:val="nil"/>
            </w:tcBorders>
            <w:noWrap/>
            <w:vAlign w:val="center"/>
          </w:tcPr>
          <w:p>
            <w:pPr>
              <w:pStyle w:val="8"/>
              <w:keepNext/>
              <w:spacing w:line="440" w:lineRule="exact"/>
              <w:ind w:left="63" w:right="63"/>
              <w:rPr>
                <w:rFonts w:ascii="仿宋" w:hAnsi="仿宋" w:eastAsia="仿宋" w:cs="仿宋"/>
                <w:color w:val="auto"/>
                <w:sz w:val="28"/>
                <w:szCs w:val="30"/>
              </w:rPr>
            </w:pP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51" w:type="dxa"/>
            <w:gridSpan w:val="5"/>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项目经理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项目副经理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技术负责人</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造价管理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质量管理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材料管理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计划管理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安全管理</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vMerge w:val="restart"/>
            <w:noWrap/>
            <w:vAlign w:val="center"/>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其他人员</w:t>
            </w: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vMerge w:val="continue"/>
            <w:noWrap/>
            <w:vAlign w:val="center"/>
          </w:tcPr>
          <w:p>
            <w:pPr>
              <w:pStyle w:val="8"/>
              <w:keepNext/>
              <w:spacing w:line="440" w:lineRule="exact"/>
              <w:ind w:left="63" w:right="63"/>
              <w:rPr>
                <w:rFonts w:ascii="仿宋" w:hAnsi="仿宋" w:eastAsia="仿宋" w:cs="仿宋"/>
                <w:color w:val="auto"/>
                <w:sz w:val="28"/>
                <w:szCs w:val="30"/>
              </w:rPr>
            </w:pPr>
          </w:p>
        </w:tc>
        <w:tc>
          <w:tcPr>
            <w:tcW w:w="1418" w:type="dxa"/>
            <w:tcBorders>
              <w:bottom w:val="nil"/>
            </w:tcBorders>
            <w:noWrap/>
            <w:vAlign w:val="center"/>
          </w:tcPr>
          <w:p>
            <w:pPr>
              <w:pStyle w:val="8"/>
              <w:keepNext/>
              <w:spacing w:line="440" w:lineRule="exact"/>
              <w:ind w:left="63" w:right="63"/>
              <w:rPr>
                <w:rFonts w:ascii="仿宋" w:hAnsi="仿宋" w:eastAsia="仿宋" w:cs="仿宋"/>
                <w:color w:val="auto"/>
                <w:sz w:val="28"/>
                <w:szCs w:val="30"/>
              </w:rPr>
            </w:pPr>
          </w:p>
        </w:tc>
        <w:tc>
          <w:tcPr>
            <w:tcW w:w="1134" w:type="dxa"/>
            <w:tcBorders>
              <w:bottom w:val="nil"/>
            </w:tcBorders>
            <w:noWrap/>
            <w:vAlign w:val="center"/>
          </w:tcPr>
          <w:p>
            <w:pPr>
              <w:pStyle w:val="8"/>
              <w:keepNext/>
              <w:spacing w:line="440" w:lineRule="exact"/>
              <w:ind w:left="63" w:right="63"/>
              <w:rPr>
                <w:rFonts w:ascii="仿宋" w:hAnsi="仿宋" w:eastAsia="仿宋" w:cs="仿宋"/>
                <w:color w:val="auto"/>
                <w:sz w:val="30"/>
                <w:szCs w:val="30"/>
              </w:rPr>
            </w:pPr>
          </w:p>
        </w:tc>
        <w:tc>
          <w:tcPr>
            <w:tcW w:w="1134" w:type="dxa"/>
            <w:tcBorders>
              <w:bottom w:val="nil"/>
            </w:tcBorders>
            <w:noWrap/>
            <w:vAlign w:val="center"/>
          </w:tcPr>
          <w:p>
            <w:pPr>
              <w:pStyle w:val="8"/>
              <w:keepNext/>
              <w:spacing w:line="440" w:lineRule="exact"/>
              <w:ind w:left="63" w:right="63"/>
              <w:rPr>
                <w:rFonts w:ascii="仿宋" w:hAnsi="仿宋" w:eastAsia="仿宋" w:cs="仿宋"/>
                <w:color w:val="auto"/>
                <w:sz w:val="30"/>
                <w:szCs w:val="30"/>
              </w:rPr>
            </w:pPr>
          </w:p>
        </w:tc>
        <w:tc>
          <w:tcPr>
            <w:tcW w:w="4252" w:type="dxa"/>
            <w:tcBorders>
              <w:bottom w:val="nil"/>
            </w:tcBorders>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vMerge w:val="continue"/>
            <w:noWrap/>
            <w:vAlign w:val="center"/>
          </w:tcPr>
          <w:p>
            <w:pPr>
              <w:pStyle w:val="8"/>
              <w:keepNext/>
              <w:spacing w:line="440" w:lineRule="exact"/>
              <w:ind w:left="63" w:right="63"/>
              <w:rPr>
                <w:rFonts w:ascii="仿宋" w:hAnsi="仿宋" w:eastAsia="仿宋" w:cs="仿宋"/>
                <w:color w:val="auto"/>
                <w:sz w:val="28"/>
                <w:szCs w:val="30"/>
              </w:rPr>
            </w:pP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vMerge w:val="continue"/>
            <w:noWrap/>
            <w:vAlign w:val="center"/>
          </w:tcPr>
          <w:p>
            <w:pPr>
              <w:pStyle w:val="8"/>
              <w:keepNext/>
              <w:spacing w:line="440" w:lineRule="exact"/>
              <w:ind w:left="63" w:right="63"/>
              <w:rPr>
                <w:rFonts w:ascii="仿宋" w:hAnsi="仿宋" w:eastAsia="仿宋" w:cs="仿宋"/>
                <w:color w:val="auto"/>
                <w:sz w:val="28"/>
                <w:szCs w:val="30"/>
              </w:rPr>
            </w:pP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vMerge w:val="continue"/>
            <w:noWrap/>
            <w:vAlign w:val="center"/>
          </w:tcPr>
          <w:p>
            <w:pPr>
              <w:pStyle w:val="8"/>
              <w:keepNext/>
              <w:spacing w:line="440" w:lineRule="exact"/>
              <w:ind w:left="63" w:right="63"/>
              <w:rPr>
                <w:rFonts w:ascii="仿宋" w:hAnsi="仿宋" w:eastAsia="仿宋" w:cs="仿宋"/>
                <w:color w:val="auto"/>
                <w:sz w:val="28"/>
                <w:szCs w:val="30"/>
              </w:rPr>
            </w:pPr>
          </w:p>
        </w:tc>
        <w:tc>
          <w:tcPr>
            <w:tcW w:w="1418" w:type="dxa"/>
            <w:noWrap/>
            <w:vAlign w:val="center"/>
          </w:tcPr>
          <w:p>
            <w:pPr>
              <w:pStyle w:val="8"/>
              <w:keepNext/>
              <w:spacing w:line="440" w:lineRule="exact"/>
              <w:ind w:left="63" w:right="63"/>
              <w:rPr>
                <w:rFonts w:ascii="仿宋" w:hAnsi="仿宋" w:eastAsia="仿宋" w:cs="仿宋"/>
                <w:color w:val="auto"/>
                <w:sz w:val="28"/>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1134" w:type="dxa"/>
            <w:noWrap/>
            <w:vAlign w:val="center"/>
          </w:tcPr>
          <w:p>
            <w:pPr>
              <w:pStyle w:val="8"/>
              <w:keepNext/>
              <w:spacing w:line="440" w:lineRule="exact"/>
              <w:ind w:left="63" w:right="63"/>
              <w:rPr>
                <w:rFonts w:ascii="仿宋" w:hAnsi="仿宋" w:eastAsia="仿宋" w:cs="仿宋"/>
                <w:color w:val="auto"/>
                <w:sz w:val="30"/>
                <w:szCs w:val="30"/>
              </w:rPr>
            </w:pPr>
          </w:p>
        </w:tc>
        <w:tc>
          <w:tcPr>
            <w:tcW w:w="4252" w:type="dxa"/>
            <w:noWrap/>
            <w:vAlign w:val="center"/>
          </w:tcPr>
          <w:p>
            <w:pPr>
              <w:pStyle w:val="8"/>
              <w:keepNext/>
              <w:spacing w:line="440" w:lineRule="exact"/>
              <w:ind w:left="63" w:right="63"/>
              <w:rPr>
                <w:rFonts w:ascii="仿宋" w:hAnsi="仿宋" w:eastAsia="仿宋" w:cs="仿宋"/>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3" w:type="dxa"/>
            <w:vMerge w:val="continue"/>
            <w:tcBorders>
              <w:bottom w:val="single" w:color="auto" w:sz="12" w:space="0"/>
            </w:tcBorders>
            <w:noWrap/>
            <w:vAlign w:val="center"/>
          </w:tcPr>
          <w:p>
            <w:pPr>
              <w:pStyle w:val="8"/>
              <w:keepNext/>
              <w:spacing w:line="440" w:lineRule="exact"/>
              <w:ind w:left="63" w:right="63"/>
              <w:rPr>
                <w:rFonts w:ascii="仿宋" w:hAnsi="仿宋" w:eastAsia="仿宋" w:cs="仿宋"/>
                <w:color w:val="auto"/>
                <w:sz w:val="28"/>
                <w:szCs w:val="30"/>
              </w:rPr>
            </w:pPr>
          </w:p>
        </w:tc>
        <w:tc>
          <w:tcPr>
            <w:tcW w:w="1418"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28"/>
                <w:szCs w:val="30"/>
              </w:rPr>
            </w:pPr>
          </w:p>
        </w:tc>
        <w:tc>
          <w:tcPr>
            <w:tcW w:w="1134"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c>
          <w:tcPr>
            <w:tcW w:w="1134"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c>
          <w:tcPr>
            <w:tcW w:w="4252" w:type="dxa"/>
            <w:tcBorders>
              <w:bottom w:val="single" w:color="auto" w:sz="12" w:space="0"/>
            </w:tcBorders>
            <w:noWrap/>
            <w:vAlign w:val="center"/>
          </w:tcPr>
          <w:p>
            <w:pPr>
              <w:pStyle w:val="8"/>
              <w:keepNext/>
              <w:spacing w:line="440" w:lineRule="exact"/>
              <w:ind w:left="63" w:right="63"/>
              <w:rPr>
                <w:rFonts w:ascii="仿宋" w:hAnsi="仿宋" w:eastAsia="仿宋" w:cs="仿宋"/>
                <w:color w:val="auto"/>
                <w:sz w:val="30"/>
                <w:szCs w:val="30"/>
              </w:rPr>
            </w:pPr>
          </w:p>
        </w:tc>
      </w:tr>
    </w:tbl>
    <w:p>
      <w:pPr>
        <w:spacing w:line="440" w:lineRule="exact"/>
        <w:rPr>
          <w:rFonts w:ascii="仿宋" w:hAnsi="仿宋" w:eastAsia="仿宋" w:cs="仿宋"/>
          <w:color w:val="auto"/>
          <w:sz w:val="30"/>
          <w:szCs w:val="30"/>
        </w:rPr>
      </w:pPr>
      <w:r>
        <w:rPr>
          <w:rFonts w:hint="eastAsia" w:ascii="仿宋" w:hAnsi="仿宋" w:eastAsia="仿宋" w:cs="仿宋"/>
          <w:color w:val="auto"/>
          <w:sz w:val="30"/>
          <w:szCs w:val="30"/>
        </w:rPr>
        <w:br w:type="page"/>
      </w:r>
      <w:bookmarkStart w:id="417" w:name="_Toc267261701"/>
      <w:r>
        <w:rPr>
          <w:rFonts w:hint="eastAsia" w:ascii="仿宋" w:hAnsi="仿宋" w:eastAsia="仿宋" w:cs="仿宋"/>
          <w:color w:val="auto"/>
          <w:sz w:val="30"/>
          <w:szCs w:val="30"/>
        </w:rPr>
        <w:t>附</w:t>
      </w:r>
      <w:bookmarkStart w:id="418" w:name="_Toc296346732"/>
      <w:bookmarkStart w:id="419" w:name="_Toc296891271"/>
      <w:bookmarkStart w:id="420" w:name="_Toc296347230"/>
      <w:bookmarkStart w:id="421" w:name="_Toc296944570"/>
      <w:bookmarkStart w:id="422" w:name="_Toc296503231"/>
      <w:bookmarkStart w:id="423" w:name="_Toc296891059"/>
      <w:r>
        <w:rPr>
          <w:rFonts w:hint="eastAsia" w:ascii="仿宋" w:hAnsi="仿宋" w:eastAsia="仿宋" w:cs="仿宋"/>
          <w:color w:val="auto"/>
          <w:sz w:val="30"/>
          <w:szCs w:val="30"/>
        </w:rPr>
        <w:t>件8：</w:t>
      </w:r>
    </w:p>
    <w:bookmarkEnd w:id="417"/>
    <w:bookmarkEnd w:id="418"/>
    <w:bookmarkEnd w:id="419"/>
    <w:bookmarkEnd w:id="420"/>
    <w:bookmarkEnd w:id="421"/>
    <w:bookmarkEnd w:id="422"/>
    <w:bookmarkEnd w:id="423"/>
    <w:p>
      <w:pPr>
        <w:spacing w:beforeLines="50" w:afterLines="50" w:line="440" w:lineRule="exact"/>
        <w:jc w:val="center"/>
        <w:rPr>
          <w:rFonts w:ascii="仿宋" w:hAnsi="仿宋" w:eastAsia="仿宋" w:cs="仿宋"/>
          <w:color w:val="auto"/>
          <w:sz w:val="30"/>
          <w:szCs w:val="30"/>
        </w:rPr>
      </w:pPr>
      <w:r>
        <w:rPr>
          <w:rFonts w:hint="eastAsia" w:ascii="仿宋" w:hAnsi="仿宋" w:eastAsia="仿宋" w:cs="仿宋"/>
          <w:color w:val="auto"/>
          <w:sz w:val="30"/>
          <w:szCs w:val="30"/>
        </w:rPr>
        <w:t>履约担保</w:t>
      </w:r>
    </w:p>
    <w:p>
      <w:pPr>
        <w:spacing w:line="440" w:lineRule="exact"/>
        <w:rPr>
          <w:rFonts w:ascii="仿宋" w:hAnsi="仿宋" w:eastAsia="仿宋" w:cs="仿宋"/>
          <w:color w:val="auto"/>
          <w:sz w:val="30"/>
          <w:szCs w:val="30"/>
        </w:rPr>
      </w:pPr>
      <w:r>
        <w:rPr>
          <w:rFonts w:hint="eastAsia" w:ascii="仿宋" w:hAnsi="仿宋" w:eastAsia="仿宋" w:cs="仿宋"/>
          <w:color w:val="auto"/>
          <w:sz w:val="30"/>
          <w:szCs w:val="30"/>
          <w:u w:val="single"/>
        </w:rPr>
        <w:tab/>
      </w:r>
      <w:r>
        <w:rPr>
          <w:rFonts w:hint="eastAsia" w:ascii="仿宋" w:hAnsi="仿宋" w:eastAsia="仿宋" w:cs="仿宋"/>
          <w:color w:val="auto"/>
          <w:sz w:val="30"/>
          <w:szCs w:val="30"/>
        </w:rPr>
        <w:t>（发包人名称）：</w:t>
      </w:r>
    </w:p>
    <w:p>
      <w:pPr>
        <w:spacing w:line="440" w:lineRule="exact"/>
        <w:rPr>
          <w:rFonts w:ascii="仿宋" w:hAnsi="仿宋" w:eastAsia="仿宋" w:cs="仿宋"/>
          <w:color w:val="auto"/>
          <w:sz w:val="30"/>
          <w:szCs w:val="30"/>
        </w:rPr>
      </w:pP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鉴于（发包人名称，以下简称“发包人”）与</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 担保金额人民币（大写）元（¥）。</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 担保有效期自你方与承包人签订的合同生效之日起至你方签发或应签发工程接收证书之日止。</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 在本担保有效期内，因承包人违反合同约定的义务给你方造成经济损失时，我方在收到你方以书面形式提出的在担保金额内的赔偿要求后，在7天内无条件支付。</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 你方和承包人按合同约定变更合同时，我方承担本担保规定的义务不变。</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5. 因本保函发生的纠纷，可由双方协商解决，协商不成的，任何一方均可提请仲裁委员会仲裁。</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6. 本保函自我方法定代表人（或其授权代理人）签字并加盖公章之日起生效。</w:t>
      </w:r>
    </w:p>
    <w:p>
      <w:pPr>
        <w:spacing w:line="360" w:lineRule="auto"/>
        <w:rPr>
          <w:rFonts w:ascii="仿宋" w:hAnsi="仿宋" w:eastAsia="仿宋" w:cs="仿宋"/>
          <w:color w:val="auto"/>
          <w:sz w:val="30"/>
          <w:szCs w:val="30"/>
        </w:rPr>
      </w:pP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担 保 人：（盖单位章）</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法定代表人或其委托代理人：（签字）</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地    址：</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邮政编码：</w:t>
      </w:r>
    </w:p>
    <w:p>
      <w:pPr>
        <w:spacing w:line="360" w:lineRule="auto"/>
        <w:rPr>
          <w:rFonts w:ascii="仿宋" w:hAnsi="仿宋" w:eastAsia="仿宋" w:cs="仿宋"/>
          <w:color w:val="auto"/>
          <w:sz w:val="30"/>
          <w:szCs w:val="30"/>
          <w:u w:val="single"/>
        </w:rPr>
      </w:pPr>
      <w:r>
        <w:rPr>
          <w:rFonts w:hint="eastAsia" w:ascii="仿宋" w:hAnsi="仿宋" w:eastAsia="仿宋" w:cs="仿宋"/>
          <w:color w:val="auto"/>
          <w:sz w:val="30"/>
          <w:szCs w:val="30"/>
        </w:rPr>
        <w:t>电    话：</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传    真：</w:t>
      </w:r>
    </w:p>
    <w:p>
      <w:pPr>
        <w:spacing w:line="360" w:lineRule="auto"/>
        <w:jc w:val="left"/>
        <w:rPr>
          <w:rFonts w:ascii="仿宋" w:hAnsi="仿宋" w:eastAsia="仿宋" w:cs="仿宋"/>
          <w:color w:val="auto"/>
          <w:sz w:val="30"/>
          <w:szCs w:val="30"/>
          <w:u w:val="single"/>
        </w:rPr>
      </w:pPr>
    </w:p>
    <w:p>
      <w:pPr>
        <w:spacing w:line="360" w:lineRule="auto"/>
        <w:ind w:left="1899" w:hanging="1899" w:hangingChars="633"/>
        <w:rPr>
          <w:rFonts w:ascii="仿宋" w:hAnsi="仿宋" w:eastAsia="仿宋" w:cs="仿宋"/>
          <w:color w:val="auto"/>
          <w:sz w:val="30"/>
          <w:szCs w:val="30"/>
        </w:rPr>
      </w:pPr>
      <w:r>
        <w:rPr>
          <w:rFonts w:hint="eastAsia" w:ascii="仿宋" w:hAnsi="仿宋" w:eastAsia="仿宋" w:cs="仿宋"/>
          <w:color w:val="auto"/>
          <w:sz w:val="30"/>
          <w:szCs w:val="30"/>
        </w:rPr>
        <w:t>年月日</w:t>
      </w:r>
    </w:p>
    <w:p>
      <w:pPr>
        <w:spacing w:line="360" w:lineRule="auto"/>
        <w:ind w:left="1899" w:hanging="1899" w:hangingChars="633"/>
        <w:rPr>
          <w:rFonts w:ascii="仿宋" w:hAnsi="仿宋" w:eastAsia="仿宋" w:cs="仿宋"/>
          <w:color w:val="auto"/>
          <w:sz w:val="30"/>
          <w:szCs w:val="30"/>
        </w:rPr>
      </w:pPr>
    </w:p>
    <w:p>
      <w:pPr>
        <w:spacing w:line="360" w:lineRule="auto"/>
        <w:ind w:left="1899" w:hanging="1899" w:hangingChars="633"/>
        <w:rPr>
          <w:rFonts w:ascii="仿宋" w:hAnsi="仿宋" w:eastAsia="仿宋" w:cs="仿宋"/>
          <w:color w:val="auto"/>
          <w:sz w:val="30"/>
          <w:szCs w:val="30"/>
        </w:rPr>
      </w:pPr>
    </w:p>
    <w:p>
      <w:pPr>
        <w:spacing w:line="360" w:lineRule="auto"/>
        <w:ind w:left="1899" w:hanging="1899" w:hangingChars="633"/>
        <w:rPr>
          <w:rFonts w:ascii="仿宋" w:hAnsi="仿宋" w:eastAsia="仿宋" w:cs="仿宋"/>
          <w:color w:val="auto"/>
          <w:sz w:val="30"/>
          <w:szCs w:val="30"/>
        </w:rPr>
      </w:pPr>
    </w:p>
    <w:p>
      <w:pPr>
        <w:spacing w:line="360" w:lineRule="auto"/>
        <w:ind w:left="1899" w:hanging="1899" w:hangingChars="633"/>
        <w:rPr>
          <w:rFonts w:ascii="仿宋" w:hAnsi="仿宋" w:eastAsia="仿宋" w:cs="仿宋"/>
          <w:color w:val="auto"/>
          <w:sz w:val="30"/>
          <w:szCs w:val="30"/>
        </w:rPr>
      </w:pPr>
    </w:p>
    <w:p>
      <w:pPr>
        <w:spacing w:line="360" w:lineRule="auto"/>
        <w:ind w:left="1899" w:hanging="1899" w:hangingChars="633"/>
        <w:rPr>
          <w:rFonts w:ascii="仿宋" w:hAnsi="仿宋" w:eastAsia="仿宋" w:cs="仿宋"/>
          <w:color w:val="auto"/>
          <w:sz w:val="30"/>
          <w:szCs w:val="30"/>
        </w:rPr>
      </w:pPr>
    </w:p>
    <w:p>
      <w:pPr>
        <w:spacing w:line="360" w:lineRule="auto"/>
        <w:ind w:left="1899" w:hanging="1899" w:hangingChars="633"/>
        <w:rPr>
          <w:rFonts w:ascii="仿宋" w:hAnsi="仿宋" w:eastAsia="仿宋" w:cs="仿宋"/>
          <w:color w:val="auto"/>
          <w:sz w:val="30"/>
          <w:szCs w:val="30"/>
        </w:rPr>
      </w:pPr>
    </w:p>
    <w:p>
      <w:pPr>
        <w:spacing w:line="360" w:lineRule="auto"/>
        <w:ind w:left="1899" w:hanging="1899" w:hangingChars="633"/>
        <w:rPr>
          <w:rFonts w:ascii="仿宋" w:hAnsi="仿宋" w:eastAsia="仿宋" w:cs="仿宋"/>
          <w:color w:val="auto"/>
          <w:sz w:val="30"/>
          <w:szCs w:val="30"/>
        </w:rPr>
      </w:pPr>
    </w:p>
    <w:p>
      <w:pPr>
        <w:spacing w:line="360" w:lineRule="auto"/>
        <w:ind w:left="1899" w:hanging="1899" w:hangingChars="633"/>
        <w:rPr>
          <w:rFonts w:ascii="仿宋" w:hAnsi="仿宋" w:eastAsia="仿宋" w:cs="仿宋"/>
          <w:color w:val="auto"/>
          <w:sz w:val="30"/>
          <w:szCs w:val="30"/>
        </w:rPr>
      </w:pPr>
    </w:p>
    <w:p>
      <w:pPr>
        <w:pStyle w:val="2"/>
        <w:rPr>
          <w:rFonts w:ascii="仿宋" w:hAnsi="仿宋" w:eastAsia="仿宋" w:cs="仿宋"/>
          <w:color w:val="auto"/>
          <w:sz w:val="30"/>
          <w:szCs w:val="30"/>
        </w:rPr>
      </w:pPr>
    </w:p>
    <w:p>
      <w:pPr>
        <w:rPr>
          <w:rFonts w:ascii="仿宋" w:hAnsi="仿宋" w:eastAsia="仿宋" w:cs="仿宋"/>
          <w:color w:val="auto"/>
          <w:sz w:val="30"/>
          <w:szCs w:val="30"/>
        </w:rPr>
      </w:pPr>
    </w:p>
    <w:p>
      <w:pPr>
        <w:pStyle w:val="2"/>
        <w:rPr>
          <w:color w:val="auto"/>
        </w:rPr>
      </w:pPr>
    </w:p>
    <w:p>
      <w:pPr>
        <w:spacing w:line="360" w:lineRule="auto"/>
        <w:ind w:left="1899" w:hanging="1899" w:hangingChars="633"/>
        <w:rPr>
          <w:rFonts w:ascii="仿宋" w:hAnsi="仿宋" w:eastAsia="仿宋" w:cs="仿宋"/>
          <w:color w:val="auto"/>
          <w:sz w:val="30"/>
          <w:szCs w:val="30"/>
        </w:rPr>
      </w:pPr>
    </w:p>
    <w:p>
      <w:pPr>
        <w:spacing w:line="360" w:lineRule="auto"/>
        <w:ind w:left="1899" w:hanging="1899" w:hangingChars="633"/>
        <w:rPr>
          <w:rFonts w:ascii="仿宋" w:hAnsi="仿宋" w:eastAsia="仿宋" w:cs="仿宋"/>
          <w:color w:val="auto"/>
          <w:sz w:val="30"/>
          <w:szCs w:val="30"/>
        </w:rPr>
      </w:pPr>
    </w:p>
    <w:p>
      <w:pPr>
        <w:spacing w:line="360" w:lineRule="auto"/>
        <w:ind w:left="1899" w:hanging="1899" w:hangingChars="633"/>
        <w:rPr>
          <w:rFonts w:ascii="仿宋" w:hAnsi="仿宋" w:eastAsia="仿宋" w:cs="仿宋"/>
          <w:color w:val="auto"/>
          <w:sz w:val="30"/>
          <w:szCs w:val="30"/>
        </w:rPr>
      </w:pPr>
    </w:p>
    <w:p>
      <w:pPr>
        <w:spacing w:line="360" w:lineRule="auto"/>
        <w:rPr>
          <w:rFonts w:ascii="仿宋" w:hAnsi="仿宋" w:eastAsia="仿宋" w:cs="仿宋"/>
          <w:color w:val="auto"/>
          <w:sz w:val="30"/>
          <w:szCs w:val="30"/>
        </w:rPr>
      </w:pP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附</w:t>
      </w:r>
      <w:bookmarkStart w:id="424" w:name="_Toc267261702"/>
      <w:bookmarkStart w:id="425" w:name="_Toc296346733"/>
      <w:bookmarkStart w:id="426" w:name="_Toc296944571"/>
      <w:bookmarkStart w:id="427" w:name="_Toc296347231"/>
      <w:bookmarkStart w:id="428" w:name="_Toc296891272"/>
      <w:bookmarkStart w:id="429" w:name="_Toc296503232"/>
      <w:bookmarkStart w:id="430" w:name="_Toc296891060"/>
      <w:r>
        <w:rPr>
          <w:rFonts w:hint="eastAsia" w:ascii="仿宋" w:hAnsi="仿宋" w:eastAsia="仿宋" w:cs="仿宋"/>
          <w:color w:val="auto"/>
          <w:sz w:val="30"/>
          <w:szCs w:val="30"/>
        </w:rPr>
        <w:t>件9 ：</w:t>
      </w:r>
    </w:p>
    <w:bookmarkEnd w:id="424"/>
    <w:bookmarkEnd w:id="425"/>
    <w:bookmarkEnd w:id="426"/>
    <w:bookmarkEnd w:id="427"/>
    <w:bookmarkEnd w:id="428"/>
    <w:bookmarkEnd w:id="429"/>
    <w:bookmarkEnd w:id="430"/>
    <w:p>
      <w:pPr>
        <w:spacing w:beforeLines="50" w:afterLines="50" w:line="440" w:lineRule="exact"/>
        <w:jc w:val="center"/>
        <w:rPr>
          <w:rFonts w:ascii="仿宋" w:hAnsi="仿宋" w:eastAsia="仿宋" w:cs="仿宋"/>
          <w:color w:val="auto"/>
          <w:sz w:val="30"/>
          <w:szCs w:val="30"/>
        </w:rPr>
      </w:pPr>
      <w:r>
        <w:rPr>
          <w:rFonts w:hint="eastAsia" w:ascii="仿宋" w:hAnsi="仿宋" w:eastAsia="仿宋" w:cs="仿宋"/>
          <w:color w:val="auto"/>
          <w:sz w:val="30"/>
          <w:szCs w:val="30"/>
        </w:rPr>
        <w:t>预付款担保</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rPr>
        <w:t xml:space="preserve"> （发包人名称）：</w:t>
      </w:r>
    </w:p>
    <w:p>
      <w:pPr>
        <w:spacing w:line="360" w:lineRule="auto"/>
        <w:rPr>
          <w:rFonts w:ascii="仿宋" w:hAnsi="仿宋" w:eastAsia="仿宋" w:cs="仿宋"/>
          <w:color w:val="auto"/>
          <w:sz w:val="30"/>
          <w:szCs w:val="30"/>
        </w:rPr>
      </w:pP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根据（承包人名称）（以下称“承包人”）与</w:t>
      </w:r>
    </w:p>
    <w:p>
      <w:pPr>
        <w:spacing w:line="360" w:lineRule="auto"/>
        <w:outlineLvl w:val="0"/>
        <w:rPr>
          <w:rFonts w:ascii="仿宋" w:hAnsi="仿宋" w:eastAsia="仿宋" w:cs="仿宋"/>
          <w:color w:val="auto"/>
          <w:sz w:val="30"/>
          <w:szCs w:val="30"/>
        </w:rPr>
      </w:pPr>
      <w:bookmarkStart w:id="431" w:name="_Toc3557"/>
      <w:bookmarkStart w:id="432" w:name="_Toc16793"/>
      <w:r>
        <w:rPr>
          <w:rFonts w:hint="eastAsia" w:ascii="仿宋" w:hAnsi="仿宋" w:eastAsia="仿宋" w:cs="仿宋"/>
          <w:color w:val="auto"/>
          <w:sz w:val="30"/>
          <w:szCs w:val="30"/>
        </w:rPr>
        <w:t>（发包人名称）（以下简称“发包人”）</w:t>
      </w:r>
      <w:bookmarkEnd w:id="431"/>
      <w:bookmarkEnd w:id="432"/>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于年月日签订的（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 担保金额人民币（大写）元（¥）。</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 担保有效期自预付款支付给承包人起生效，至你方签发的进度款支付证书说明已完全扣清止。</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 你方和承包人按合同约定变更合同时，我方承担本保函规定的义务不变。</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5. 因本保函发生的纠纷，可由双方协商解决，协商不成的，任何一方均可提请仲裁委员会仲裁。</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6. 本保函自我方法定代表人（或其授权代理人）签字并加盖公章之日起生效。</w:t>
      </w:r>
    </w:p>
    <w:p>
      <w:pPr>
        <w:spacing w:line="360" w:lineRule="auto"/>
        <w:rPr>
          <w:rFonts w:ascii="仿宋" w:hAnsi="仿宋" w:eastAsia="仿宋" w:cs="仿宋"/>
          <w:color w:val="auto"/>
          <w:sz w:val="30"/>
          <w:szCs w:val="30"/>
        </w:rPr>
      </w:pPr>
    </w:p>
    <w:p>
      <w:pPr>
        <w:spacing w:line="360" w:lineRule="auto"/>
        <w:rPr>
          <w:rFonts w:ascii="仿宋" w:hAnsi="仿宋" w:eastAsia="仿宋" w:cs="仿宋"/>
          <w:color w:val="auto"/>
          <w:sz w:val="30"/>
          <w:szCs w:val="30"/>
        </w:rPr>
      </w:pP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担保人：（盖单位章）</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法定代表人或其委托代理人：（签字）</w:t>
      </w: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地    址：</w:t>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p>
    <w:p>
      <w:pPr>
        <w:spacing w:line="360" w:lineRule="auto"/>
        <w:rPr>
          <w:rFonts w:ascii="仿宋" w:hAnsi="仿宋" w:eastAsia="仿宋" w:cs="仿宋"/>
          <w:color w:val="auto"/>
          <w:sz w:val="30"/>
          <w:szCs w:val="30"/>
          <w:u w:val="single"/>
        </w:rPr>
      </w:pPr>
      <w:r>
        <w:rPr>
          <w:rFonts w:hint="eastAsia" w:ascii="仿宋" w:hAnsi="仿宋" w:eastAsia="仿宋" w:cs="仿宋"/>
          <w:color w:val="auto"/>
          <w:sz w:val="30"/>
          <w:szCs w:val="30"/>
        </w:rPr>
        <w:t>邮政编码：</w:t>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p>
    <w:p>
      <w:pPr>
        <w:spacing w:line="360" w:lineRule="auto"/>
        <w:rPr>
          <w:rFonts w:ascii="仿宋" w:hAnsi="仿宋" w:eastAsia="仿宋" w:cs="仿宋"/>
          <w:color w:val="auto"/>
          <w:sz w:val="30"/>
          <w:szCs w:val="30"/>
          <w:u w:val="single"/>
        </w:rPr>
      </w:pPr>
      <w:r>
        <w:rPr>
          <w:rFonts w:hint="eastAsia" w:ascii="仿宋" w:hAnsi="仿宋" w:eastAsia="仿宋" w:cs="仿宋"/>
          <w:color w:val="auto"/>
          <w:sz w:val="30"/>
          <w:szCs w:val="30"/>
        </w:rPr>
        <w:t>电    话：</w:t>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p>
    <w:p>
      <w:pPr>
        <w:spacing w:line="360" w:lineRule="auto"/>
        <w:rPr>
          <w:rFonts w:ascii="仿宋" w:hAnsi="仿宋" w:eastAsia="仿宋" w:cs="仿宋"/>
          <w:color w:val="auto"/>
          <w:sz w:val="30"/>
          <w:szCs w:val="30"/>
          <w:u w:val="single"/>
        </w:rPr>
      </w:pPr>
      <w:r>
        <w:rPr>
          <w:rFonts w:hint="eastAsia" w:ascii="仿宋" w:hAnsi="仿宋" w:eastAsia="仿宋" w:cs="仿宋"/>
          <w:color w:val="auto"/>
          <w:sz w:val="30"/>
          <w:szCs w:val="30"/>
        </w:rPr>
        <w:t>传    真：</w:t>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r>
        <w:rPr>
          <w:rFonts w:hint="eastAsia" w:ascii="仿宋" w:hAnsi="仿宋" w:eastAsia="仿宋" w:cs="仿宋"/>
          <w:color w:val="auto"/>
          <w:sz w:val="30"/>
          <w:szCs w:val="30"/>
          <w:u w:val="single"/>
        </w:rPr>
        <w:tab/>
      </w:r>
    </w:p>
    <w:p>
      <w:pPr>
        <w:spacing w:line="360" w:lineRule="auto"/>
        <w:rPr>
          <w:rFonts w:ascii="仿宋" w:hAnsi="仿宋" w:eastAsia="仿宋" w:cs="仿宋"/>
          <w:color w:val="auto"/>
          <w:sz w:val="30"/>
          <w:szCs w:val="30"/>
        </w:rPr>
      </w:pPr>
    </w:p>
    <w:p>
      <w:pPr>
        <w:spacing w:line="360" w:lineRule="auto"/>
        <w:rPr>
          <w:rFonts w:ascii="仿宋" w:hAnsi="仿宋" w:eastAsia="仿宋" w:cs="仿宋"/>
          <w:color w:val="auto"/>
          <w:sz w:val="30"/>
          <w:szCs w:val="30"/>
          <w:u w:val="single"/>
        </w:rPr>
      </w:pPr>
    </w:p>
    <w:p>
      <w:pPr>
        <w:spacing w:line="360" w:lineRule="auto"/>
        <w:rPr>
          <w:rFonts w:ascii="仿宋" w:hAnsi="仿宋" w:eastAsia="仿宋" w:cs="仿宋"/>
          <w:color w:val="auto"/>
          <w:sz w:val="30"/>
          <w:szCs w:val="30"/>
        </w:rPr>
      </w:pPr>
      <w:r>
        <w:rPr>
          <w:rFonts w:hint="eastAsia" w:ascii="仿宋" w:hAnsi="仿宋" w:eastAsia="仿宋" w:cs="仿宋"/>
          <w:color w:val="auto"/>
          <w:sz w:val="30"/>
          <w:szCs w:val="30"/>
        </w:rPr>
        <w:t>年月日</w:t>
      </w:r>
    </w:p>
    <w:p>
      <w:pPr>
        <w:spacing w:line="440" w:lineRule="exact"/>
        <w:rPr>
          <w:rFonts w:ascii="仿宋" w:hAnsi="仿宋" w:eastAsia="仿宋" w:cs="仿宋"/>
          <w:color w:val="auto"/>
          <w:sz w:val="30"/>
          <w:szCs w:val="30"/>
        </w:rPr>
      </w:pPr>
      <w:r>
        <w:rPr>
          <w:rFonts w:hint="eastAsia" w:ascii="仿宋" w:hAnsi="仿宋" w:eastAsia="仿宋" w:cs="仿宋"/>
          <w:b/>
          <w:color w:val="auto"/>
          <w:sz w:val="30"/>
          <w:szCs w:val="30"/>
        </w:rPr>
        <w:br w:type="page"/>
      </w:r>
      <w:r>
        <w:rPr>
          <w:rFonts w:hint="eastAsia" w:ascii="仿宋" w:hAnsi="仿宋" w:eastAsia="仿宋" w:cs="仿宋"/>
          <w:color w:val="auto"/>
          <w:sz w:val="30"/>
          <w:szCs w:val="30"/>
        </w:rPr>
        <w:t xml:space="preserve">附件10:  </w:t>
      </w:r>
    </w:p>
    <w:p>
      <w:pPr>
        <w:spacing w:beforeLines="50" w:afterLines="50" w:line="440" w:lineRule="exact"/>
        <w:jc w:val="center"/>
        <w:rPr>
          <w:rFonts w:ascii="仿宋" w:hAnsi="仿宋" w:eastAsia="仿宋" w:cs="仿宋"/>
          <w:color w:val="auto"/>
          <w:sz w:val="30"/>
          <w:szCs w:val="30"/>
        </w:rPr>
      </w:pPr>
      <w:r>
        <w:rPr>
          <w:rFonts w:hint="eastAsia" w:ascii="仿宋" w:hAnsi="仿宋" w:eastAsia="仿宋" w:cs="仿宋"/>
          <w:color w:val="auto"/>
          <w:sz w:val="30"/>
          <w:szCs w:val="30"/>
        </w:rPr>
        <w:t>支付担保</w:t>
      </w:r>
    </w:p>
    <w:p>
      <w:pPr>
        <w:spacing w:line="440" w:lineRule="exact"/>
        <w:jc w:val="left"/>
        <w:rPr>
          <w:rFonts w:ascii="仿宋" w:hAnsi="仿宋" w:eastAsia="仿宋" w:cs="仿宋"/>
          <w:color w:val="auto"/>
          <w:sz w:val="30"/>
          <w:szCs w:val="30"/>
        </w:rPr>
      </w:pPr>
      <w:r>
        <w:rPr>
          <w:rFonts w:hint="eastAsia" w:ascii="仿宋" w:hAnsi="仿宋" w:eastAsia="仿宋" w:cs="仿宋"/>
          <w:color w:val="auto"/>
          <w:sz w:val="30"/>
          <w:szCs w:val="30"/>
        </w:rPr>
        <w:t>（承包人）：</w:t>
      </w:r>
    </w:p>
    <w:p>
      <w:pPr>
        <w:spacing w:line="440" w:lineRule="exact"/>
        <w:jc w:val="left"/>
        <w:rPr>
          <w:rFonts w:ascii="仿宋" w:hAnsi="仿宋" w:eastAsia="仿宋" w:cs="仿宋"/>
          <w:color w:val="auto"/>
          <w:sz w:val="30"/>
          <w:szCs w:val="30"/>
        </w:rPr>
      </w:pP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pPr>
        <w:spacing w:line="360" w:lineRule="auto"/>
        <w:ind w:firstLine="600" w:firstLineChars="200"/>
        <w:jc w:val="left"/>
        <w:outlineLvl w:val="0"/>
        <w:rPr>
          <w:rFonts w:ascii="仿宋" w:hAnsi="仿宋" w:eastAsia="仿宋" w:cs="仿宋"/>
          <w:color w:val="auto"/>
          <w:sz w:val="30"/>
          <w:szCs w:val="30"/>
        </w:rPr>
      </w:pPr>
      <w:bookmarkStart w:id="433" w:name="_Toc11389"/>
      <w:bookmarkStart w:id="434" w:name="_Toc32183"/>
      <w:r>
        <w:rPr>
          <w:rFonts w:hint="eastAsia" w:ascii="仿宋" w:hAnsi="仿宋" w:eastAsia="仿宋" w:cs="仿宋"/>
          <w:color w:val="auto"/>
          <w:sz w:val="30"/>
          <w:szCs w:val="30"/>
        </w:rPr>
        <w:t>一、保证的范围及保证金额</w:t>
      </w:r>
      <w:bookmarkEnd w:id="433"/>
      <w:bookmarkEnd w:id="434"/>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 我方的保证范围是主合同约定的工程款。</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2. 本保函所称主合同约定的工程款是指主合同约定的除工程质量保证金以外的合同价款。</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3. 我方保证的金额是主合同约定的工程款的%，数额最高不超过人民币元（大写：）。</w:t>
      </w:r>
    </w:p>
    <w:p>
      <w:pPr>
        <w:spacing w:line="360" w:lineRule="auto"/>
        <w:ind w:firstLine="600" w:firstLineChars="200"/>
        <w:jc w:val="left"/>
        <w:outlineLvl w:val="0"/>
        <w:rPr>
          <w:rFonts w:ascii="仿宋" w:hAnsi="仿宋" w:eastAsia="仿宋" w:cs="仿宋"/>
          <w:color w:val="auto"/>
          <w:sz w:val="30"/>
          <w:szCs w:val="30"/>
        </w:rPr>
      </w:pPr>
      <w:bookmarkStart w:id="435" w:name="_Toc27616"/>
      <w:bookmarkStart w:id="436" w:name="_Toc7225"/>
      <w:r>
        <w:rPr>
          <w:rFonts w:hint="eastAsia" w:ascii="仿宋" w:hAnsi="仿宋" w:eastAsia="仿宋" w:cs="仿宋"/>
          <w:color w:val="auto"/>
          <w:sz w:val="30"/>
          <w:szCs w:val="30"/>
        </w:rPr>
        <w:t>二、保证的方式及保证期间</w:t>
      </w:r>
      <w:bookmarkEnd w:id="435"/>
      <w:bookmarkEnd w:id="436"/>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 我方保证的方式为：连带责任保证。</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2. 我方保证的期间为：自本合同生效之日起至主合同约定的工程款支付完毕之日后日内。</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3. 你方与发包人协议变更工程款支付日期的，经我方书面同意后，保证期间按照变更后的支付日期做相应调整。</w:t>
      </w:r>
    </w:p>
    <w:p>
      <w:pPr>
        <w:spacing w:line="360" w:lineRule="auto"/>
        <w:ind w:firstLine="600" w:firstLineChars="200"/>
        <w:jc w:val="left"/>
        <w:outlineLvl w:val="0"/>
        <w:rPr>
          <w:rFonts w:ascii="仿宋" w:hAnsi="仿宋" w:eastAsia="仿宋" w:cs="仿宋"/>
          <w:color w:val="auto"/>
          <w:sz w:val="30"/>
          <w:szCs w:val="30"/>
        </w:rPr>
      </w:pPr>
      <w:bookmarkStart w:id="437" w:name="_Toc19458"/>
      <w:bookmarkStart w:id="438" w:name="_Toc8695"/>
      <w:r>
        <w:rPr>
          <w:rFonts w:hint="eastAsia" w:ascii="仿宋" w:hAnsi="仿宋" w:eastAsia="仿宋" w:cs="仿宋"/>
          <w:color w:val="auto"/>
          <w:sz w:val="30"/>
          <w:szCs w:val="30"/>
        </w:rPr>
        <w:t>三、承担保证责任的形式</w:t>
      </w:r>
      <w:bookmarkEnd w:id="437"/>
      <w:bookmarkEnd w:id="438"/>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我方承担保证责任的形式是代为支付。发包人未按主合同约定向你方支付工程款的，由我方在保证金额内代为支付。</w:t>
      </w:r>
    </w:p>
    <w:p>
      <w:pPr>
        <w:spacing w:line="360" w:lineRule="auto"/>
        <w:ind w:firstLine="600" w:firstLineChars="200"/>
        <w:jc w:val="left"/>
        <w:outlineLvl w:val="0"/>
        <w:rPr>
          <w:rFonts w:ascii="仿宋" w:hAnsi="仿宋" w:eastAsia="仿宋" w:cs="仿宋"/>
          <w:color w:val="auto"/>
          <w:sz w:val="30"/>
          <w:szCs w:val="30"/>
        </w:rPr>
      </w:pPr>
      <w:bookmarkStart w:id="439" w:name="_Toc4526"/>
      <w:bookmarkStart w:id="440" w:name="_Toc20255"/>
      <w:r>
        <w:rPr>
          <w:rFonts w:hint="eastAsia" w:ascii="仿宋" w:hAnsi="仿宋" w:eastAsia="仿宋" w:cs="仿宋"/>
          <w:color w:val="auto"/>
          <w:sz w:val="30"/>
          <w:szCs w:val="30"/>
        </w:rPr>
        <w:t>四、代偿的安排</w:t>
      </w:r>
      <w:bookmarkEnd w:id="439"/>
      <w:bookmarkEnd w:id="440"/>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3. 我方收到你方的书面索赔通知及相应的证明材料后７天内无条件支付。</w:t>
      </w:r>
    </w:p>
    <w:p>
      <w:pPr>
        <w:spacing w:line="360" w:lineRule="auto"/>
        <w:ind w:firstLine="600" w:firstLineChars="200"/>
        <w:jc w:val="left"/>
        <w:outlineLvl w:val="0"/>
        <w:rPr>
          <w:rFonts w:ascii="仿宋" w:hAnsi="仿宋" w:eastAsia="仿宋" w:cs="仿宋"/>
          <w:color w:val="auto"/>
          <w:sz w:val="30"/>
          <w:szCs w:val="30"/>
        </w:rPr>
      </w:pPr>
      <w:bookmarkStart w:id="441" w:name="_Toc4482"/>
      <w:bookmarkStart w:id="442" w:name="_Toc8205"/>
      <w:bookmarkStart w:id="443" w:name="_Toc7436"/>
      <w:r>
        <w:rPr>
          <w:rFonts w:hint="eastAsia" w:ascii="仿宋" w:hAnsi="仿宋" w:eastAsia="仿宋" w:cs="仿宋"/>
          <w:color w:val="auto"/>
          <w:sz w:val="30"/>
          <w:szCs w:val="30"/>
        </w:rPr>
        <w:t>五、保证责任的解除</w:t>
      </w:r>
      <w:bookmarkEnd w:id="441"/>
      <w:bookmarkEnd w:id="442"/>
      <w:bookmarkEnd w:id="443"/>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 在本保函承诺的保证期间内，你方未书面向我方主张保证责任的，自保证期间届满次日起，我方保证责任解除。</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2. 发包人按主合同约定履行了工程款的全部支付义务的，自本保函承诺的保证期间届满次日起，我方保证责任解除。</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3. 我方按照本保函向你方履行保证责任所支付金额达到本保函保证金额时，自我方向你方支付（支付款项从我方账户划出）之日起，保证责任即解除。</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4. 按照法律法规的规定或出现应解除我方保证责任的其他情形的，我方在本保函项下的保证责任亦解除。</w:t>
      </w:r>
    </w:p>
    <w:p>
      <w:pPr>
        <w:spacing w:line="360" w:lineRule="auto"/>
        <w:jc w:val="left"/>
        <w:rPr>
          <w:rFonts w:ascii="仿宋" w:hAnsi="仿宋" w:eastAsia="仿宋" w:cs="仿宋"/>
          <w:color w:val="auto"/>
          <w:sz w:val="30"/>
          <w:szCs w:val="30"/>
        </w:rPr>
      </w:pP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5. 我方解除保证责任后，你方应自我方保证责任解除之日起个工作日内，将本保函原件返还我方。</w:t>
      </w:r>
    </w:p>
    <w:p>
      <w:pPr>
        <w:spacing w:line="360" w:lineRule="auto"/>
        <w:ind w:firstLine="600" w:firstLineChars="200"/>
        <w:jc w:val="left"/>
        <w:outlineLvl w:val="0"/>
        <w:rPr>
          <w:rFonts w:ascii="仿宋" w:hAnsi="仿宋" w:eastAsia="仿宋" w:cs="仿宋"/>
          <w:color w:val="auto"/>
          <w:sz w:val="30"/>
          <w:szCs w:val="30"/>
        </w:rPr>
      </w:pPr>
      <w:bookmarkStart w:id="444" w:name="_Toc22087"/>
      <w:bookmarkStart w:id="445" w:name="_Toc10594"/>
      <w:r>
        <w:rPr>
          <w:rFonts w:hint="eastAsia" w:ascii="仿宋" w:hAnsi="仿宋" w:eastAsia="仿宋" w:cs="仿宋"/>
          <w:color w:val="auto"/>
          <w:sz w:val="30"/>
          <w:szCs w:val="30"/>
        </w:rPr>
        <w:t>六、免责条款</w:t>
      </w:r>
      <w:bookmarkEnd w:id="444"/>
      <w:bookmarkEnd w:id="445"/>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 因你方违约致使发包人不能履行义务的，我方不承担保证责任。</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2. 依照法律法规的规定或你方与发包人的另行约定，免除发包人部分或全部义务的，我方亦免除其相应的保证责任。</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4. 因不可抗力造成发包人不能履行义务的，我方不承担保证责任。</w:t>
      </w:r>
    </w:p>
    <w:p>
      <w:pPr>
        <w:spacing w:line="360" w:lineRule="auto"/>
        <w:ind w:firstLine="600" w:firstLineChars="200"/>
        <w:jc w:val="left"/>
        <w:outlineLvl w:val="0"/>
        <w:rPr>
          <w:rFonts w:ascii="仿宋" w:hAnsi="仿宋" w:eastAsia="仿宋" w:cs="仿宋"/>
          <w:color w:val="auto"/>
          <w:sz w:val="30"/>
          <w:szCs w:val="30"/>
        </w:rPr>
      </w:pPr>
      <w:bookmarkStart w:id="446" w:name="_Toc26537"/>
      <w:bookmarkStart w:id="447" w:name="_Toc14391"/>
      <w:r>
        <w:rPr>
          <w:rFonts w:hint="eastAsia" w:ascii="仿宋" w:hAnsi="仿宋" w:eastAsia="仿宋" w:cs="仿宋"/>
          <w:color w:val="auto"/>
          <w:sz w:val="30"/>
          <w:szCs w:val="30"/>
        </w:rPr>
        <w:t>七、争议解决</w:t>
      </w:r>
      <w:bookmarkEnd w:id="446"/>
      <w:bookmarkEnd w:id="447"/>
    </w:p>
    <w:p>
      <w:pPr>
        <w:spacing w:after="120" w:line="360" w:lineRule="auto"/>
        <w:ind w:firstLine="600" w:firstLineChars="200"/>
        <w:rPr>
          <w:rFonts w:ascii="仿宋" w:hAnsi="仿宋" w:eastAsia="仿宋" w:cs="仿宋"/>
          <w:color w:val="auto"/>
          <w:sz w:val="30"/>
          <w:szCs w:val="32"/>
        </w:rPr>
      </w:pPr>
      <w:r>
        <w:rPr>
          <w:rFonts w:hint="eastAsia" w:ascii="仿宋" w:hAnsi="仿宋" w:eastAsia="仿宋" w:cs="仿宋"/>
          <w:color w:val="auto"/>
          <w:sz w:val="30"/>
          <w:szCs w:val="30"/>
        </w:rPr>
        <w:t>因本保函或本保函相关事项发生的纠纷，可由双方协商解决，协商不成的，</w:t>
      </w:r>
      <w:r>
        <w:rPr>
          <w:rFonts w:hint="eastAsia" w:ascii="仿宋" w:hAnsi="仿宋" w:eastAsia="仿宋" w:cs="仿宋"/>
          <w:color w:val="auto"/>
          <w:sz w:val="30"/>
          <w:szCs w:val="32"/>
        </w:rPr>
        <w:t>按下列第种方式解决：</w:t>
      </w:r>
    </w:p>
    <w:p>
      <w:pPr>
        <w:spacing w:line="360" w:lineRule="auto"/>
        <w:ind w:firstLine="600" w:firstLineChars="200"/>
        <w:jc w:val="left"/>
        <w:rPr>
          <w:rFonts w:ascii="仿宋" w:hAnsi="仿宋" w:eastAsia="仿宋" w:cs="仿宋"/>
          <w:color w:val="auto"/>
          <w:sz w:val="30"/>
          <w:szCs w:val="32"/>
        </w:rPr>
      </w:pPr>
      <w:r>
        <w:rPr>
          <w:rFonts w:hint="eastAsia" w:ascii="仿宋" w:hAnsi="仿宋" w:eastAsia="仿宋" w:cs="仿宋"/>
          <w:color w:val="auto"/>
          <w:sz w:val="30"/>
          <w:szCs w:val="32"/>
        </w:rPr>
        <w:t>（1）向仲裁委员会申请仲裁；</w:t>
      </w:r>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2"/>
        </w:rPr>
        <w:t>（2）向人民法院起诉。</w:t>
      </w:r>
    </w:p>
    <w:p>
      <w:pPr>
        <w:spacing w:line="360" w:lineRule="auto"/>
        <w:ind w:firstLine="600" w:firstLineChars="200"/>
        <w:jc w:val="left"/>
        <w:outlineLvl w:val="0"/>
        <w:rPr>
          <w:rFonts w:ascii="仿宋" w:hAnsi="仿宋" w:eastAsia="仿宋" w:cs="仿宋"/>
          <w:color w:val="auto"/>
          <w:sz w:val="30"/>
          <w:szCs w:val="30"/>
        </w:rPr>
      </w:pPr>
      <w:bookmarkStart w:id="448" w:name="_Toc20263"/>
      <w:bookmarkStart w:id="449" w:name="_Toc28071"/>
      <w:r>
        <w:rPr>
          <w:rFonts w:hint="eastAsia" w:ascii="仿宋" w:hAnsi="仿宋" w:eastAsia="仿宋" w:cs="仿宋"/>
          <w:color w:val="auto"/>
          <w:sz w:val="30"/>
          <w:szCs w:val="30"/>
        </w:rPr>
        <w:t>八、保函的生效</w:t>
      </w:r>
      <w:bookmarkEnd w:id="448"/>
      <w:bookmarkEnd w:id="449"/>
    </w:p>
    <w:p>
      <w:pPr>
        <w:spacing w:line="360" w:lineRule="auto"/>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本保函自我方法定代表人（或其授权代理人）签字并加盖公章之日起生效。</w:t>
      </w:r>
    </w:p>
    <w:p>
      <w:pPr>
        <w:spacing w:line="360" w:lineRule="auto"/>
        <w:ind w:right="600"/>
        <w:jc w:val="left"/>
        <w:rPr>
          <w:rFonts w:ascii="仿宋" w:hAnsi="仿宋" w:eastAsia="仿宋" w:cs="仿宋"/>
          <w:color w:val="auto"/>
          <w:sz w:val="30"/>
          <w:szCs w:val="30"/>
        </w:rPr>
      </w:pPr>
    </w:p>
    <w:p>
      <w:pPr>
        <w:spacing w:line="360" w:lineRule="auto"/>
        <w:ind w:right="600"/>
        <w:jc w:val="left"/>
        <w:rPr>
          <w:rFonts w:ascii="仿宋" w:hAnsi="仿宋" w:eastAsia="仿宋" w:cs="仿宋"/>
          <w:color w:val="auto"/>
          <w:sz w:val="30"/>
          <w:szCs w:val="30"/>
        </w:rPr>
      </w:pPr>
      <w:r>
        <w:rPr>
          <w:rFonts w:hint="eastAsia" w:ascii="仿宋" w:hAnsi="仿宋" w:eastAsia="仿宋" w:cs="仿宋"/>
          <w:color w:val="auto"/>
          <w:sz w:val="30"/>
          <w:szCs w:val="30"/>
        </w:rPr>
        <w:t>担保人：（盖章）</w:t>
      </w:r>
    </w:p>
    <w:p>
      <w:pPr>
        <w:spacing w:line="360" w:lineRule="auto"/>
        <w:ind w:right="1200"/>
        <w:rPr>
          <w:rFonts w:ascii="仿宋" w:hAnsi="仿宋" w:eastAsia="仿宋" w:cs="仿宋"/>
          <w:color w:val="auto"/>
          <w:sz w:val="30"/>
          <w:szCs w:val="30"/>
        </w:rPr>
      </w:pPr>
      <w:r>
        <w:rPr>
          <w:rFonts w:hint="eastAsia" w:ascii="仿宋" w:hAnsi="仿宋" w:eastAsia="仿宋" w:cs="仿宋"/>
          <w:color w:val="auto"/>
          <w:sz w:val="30"/>
          <w:szCs w:val="30"/>
        </w:rPr>
        <w:t>法定代表人或委托代理人：（签字）</w:t>
      </w:r>
    </w:p>
    <w:p>
      <w:pPr>
        <w:spacing w:line="360" w:lineRule="auto"/>
        <w:jc w:val="left"/>
        <w:rPr>
          <w:rFonts w:ascii="仿宋" w:hAnsi="仿宋" w:eastAsia="仿宋" w:cs="仿宋"/>
          <w:color w:val="auto"/>
          <w:sz w:val="30"/>
          <w:szCs w:val="30"/>
        </w:rPr>
      </w:pPr>
      <w:r>
        <w:rPr>
          <w:rFonts w:hint="eastAsia" w:ascii="仿宋" w:hAnsi="仿宋" w:eastAsia="仿宋" w:cs="仿宋"/>
          <w:color w:val="auto"/>
          <w:sz w:val="30"/>
          <w:szCs w:val="30"/>
        </w:rPr>
        <w:t>地    址：</w:t>
      </w:r>
    </w:p>
    <w:p>
      <w:pPr>
        <w:spacing w:line="360" w:lineRule="auto"/>
        <w:jc w:val="left"/>
        <w:rPr>
          <w:rFonts w:ascii="仿宋" w:hAnsi="仿宋" w:eastAsia="仿宋" w:cs="仿宋"/>
          <w:color w:val="auto"/>
          <w:sz w:val="30"/>
          <w:szCs w:val="30"/>
        </w:rPr>
      </w:pPr>
      <w:r>
        <w:rPr>
          <w:rFonts w:hint="eastAsia" w:ascii="仿宋" w:hAnsi="仿宋" w:eastAsia="仿宋" w:cs="仿宋"/>
          <w:color w:val="auto"/>
          <w:sz w:val="30"/>
          <w:szCs w:val="30"/>
        </w:rPr>
        <w:t>邮政编码：</w:t>
      </w:r>
    </w:p>
    <w:p>
      <w:pPr>
        <w:spacing w:line="360" w:lineRule="auto"/>
        <w:jc w:val="left"/>
        <w:rPr>
          <w:rFonts w:ascii="仿宋" w:hAnsi="仿宋" w:eastAsia="仿宋" w:cs="仿宋"/>
          <w:color w:val="auto"/>
          <w:sz w:val="30"/>
          <w:szCs w:val="30"/>
        </w:rPr>
      </w:pPr>
      <w:r>
        <w:rPr>
          <w:rFonts w:hint="eastAsia" w:ascii="仿宋" w:hAnsi="仿宋" w:eastAsia="仿宋" w:cs="仿宋"/>
          <w:color w:val="auto"/>
          <w:sz w:val="30"/>
          <w:szCs w:val="30"/>
        </w:rPr>
        <w:t>传    真：</w:t>
      </w:r>
    </w:p>
    <w:p>
      <w:pPr>
        <w:spacing w:line="360" w:lineRule="auto"/>
        <w:ind w:right="150" w:firstLine="600" w:firstLineChars="200"/>
        <w:jc w:val="left"/>
        <w:rPr>
          <w:rFonts w:ascii="仿宋" w:hAnsi="仿宋" w:eastAsia="仿宋" w:cs="仿宋"/>
          <w:color w:val="auto"/>
          <w:sz w:val="30"/>
          <w:szCs w:val="30"/>
          <w:u w:val="single"/>
        </w:rPr>
      </w:pPr>
    </w:p>
    <w:p>
      <w:pPr>
        <w:spacing w:line="360" w:lineRule="auto"/>
        <w:ind w:right="150"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年月日</w:t>
      </w:r>
    </w:p>
    <w:p>
      <w:pPr>
        <w:spacing w:line="440" w:lineRule="exact"/>
        <w:rPr>
          <w:rFonts w:ascii="仿宋" w:hAnsi="仿宋" w:eastAsia="仿宋" w:cs="仿宋"/>
          <w:color w:val="auto"/>
          <w:sz w:val="30"/>
          <w:szCs w:val="30"/>
        </w:rPr>
      </w:pPr>
      <w:r>
        <w:rPr>
          <w:rFonts w:hint="eastAsia" w:ascii="仿宋" w:hAnsi="仿宋" w:eastAsia="仿宋" w:cs="仿宋"/>
          <w:color w:val="auto"/>
          <w:sz w:val="30"/>
          <w:szCs w:val="30"/>
        </w:rPr>
        <w:br w:type="page"/>
      </w:r>
      <w:r>
        <w:rPr>
          <w:rFonts w:hint="eastAsia" w:ascii="仿宋" w:hAnsi="仿宋" w:eastAsia="仿宋" w:cs="仿宋"/>
          <w:color w:val="auto"/>
          <w:sz w:val="30"/>
          <w:szCs w:val="30"/>
        </w:rPr>
        <w:t>附件11：</w:t>
      </w:r>
    </w:p>
    <w:p>
      <w:pPr>
        <w:spacing w:beforeLines="50" w:afterLines="50" w:line="440" w:lineRule="exact"/>
        <w:jc w:val="center"/>
        <w:outlineLvl w:val="0"/>
        <w:rPr>
          <w:rFonts w:ascii="仿宋" w:hAnsi="仿宋" w:eastAsia="仿宋" w:cs="仿宋"/>
          <w:color w:val="auto"/>
          <w:sz w:val="30"/>
          <w:szCs w:val="30"/>
        </w:rPr>
      </w:pPr>
      <w:bookmarkStart w:id="450" w:name="_Toc21939"/>
      <w:bookmarkStart w:id="451" w:name="_Toc16445"/>
      <w:r>
        <w:rPr>
          <w:rFonts w:hint="eastAsia" w:ascii="仿宋" w:hAnsi="仿宋" w:eastAsia="仿宋" w:cs="仿宋"/>
          <w:color w:val="auto"/>
          <w:sz w:val="30"/>
          <w:szCs w:val="30"/>
        </w:rPr>
        <w:t>11-1：材料暂估价表</w:t>
      </w:r>
      <w:bookmarkEnd w:id="450"/>
      <w:bookmarkEnd w:id="451"/>
    </w:p>
    <w:tbl>
      <w:tblPr>
        <w:tblStyle w:val="2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序号</w:t>
            </w:r>
          </w:p>
        </w:tc>
        <w:tc>
          <w:tcPr>
            <w:tcW w:w="1984"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名称</w:t>
            </w:r>
          </w:p>
        </w:tc>
        <w:tc>
          <w:tcPr>
            <w:tcW w:w="851"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单位</w:t>
            </w:r>
          </w:p>
        </w:tc>
        <w:tc>
          <w:tcPr>
            <w:tcW w:w="774"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数量</w:t>
            </w:r>
          </w:p>
        </w:tc>
        <w:tc>
          <w:tcPr>
            <w:tcW w:w="1352"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单价（元）</w:t>
            </w:r>
          </w:p>
        </w:tc>
        <w:tc>
          <w:tcPr>
            <w:tcW w:w="1418"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合价（元）</w:t>
            </w:r>
          </w:p>
        </w:tc>
        <w:tc>
          <w:tcPr>
            <w:tcW w:w="1701"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c>
          <w:tcPr>
            <w:tcW w:w="1984"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c>
          <w:tcPr>
            <w:tcW w:w="851"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c>
          <w:tcPr>
            <w:tcW w:w="774"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c>
          <w:tcPr>
            <w:tcW w:w="1352"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c>
          <w:tcPr>
            <w:tcW w:w="1418"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c>
          <w:tcPr>
            <w:tcW w:w="1701"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tcPr>
          <w:p>
            <w:pPr>
              <w:pStyle w:val="8"/>
              <w:keepNext/>
              <w:spacing w:line="440" w:lineRule="exact"/>
              <w:ind w:left="63" w:right="63"/>
              <w:rPr>
                <w:rFonts w:ascii="仿宋" w:hAnsi="仿宋" w:eastAsia="仿宋" w:cs="仿宋"/>
                <w:color w:val="auto"/>
                <w:sz w:val="28"/>
                <w:szCs w:val="30"/>
              </w:rPr>
            </w:pPr>
          </w:p>
        </w:tc>
        <w:tc>
          <w:tcPr>
            <w:tcW w:w="1984" w:type="dxa"/>
            <w:tcBorders>
              <w:top w:val="nil"/>
            </w:tcBorders>
            <w:noWrap/>
          </w:tcPr>
          <w:p>
            <w:pPr>
              <w:pStyle w:val="8"/>
              <w:keepNext/>
              <w:spacing w:line="440" w:lineRule="exact"/>
              <w:ind w:left="63" w:right="63"/>
              <w:rPr>
                <w:rFonts w:ascii="仿宋" w:hAnsi="仿宋" w:eastAsia="仿宋" w:cs="仿宋"/>
                <w:color w:val="auto"/>
                <w:sz w:val="28"/>
                <w:szCs w:val="30"/>
              </w:rPr>
            </w:pPr>
          </w:p>
        </w:tc>
        <w:tc>
          <w:tcPr>
            <w:tcW w:w="851" w:type="dxa"/>
            <w:tcBorders>
              <w:top w:val="nil"/>
            </w:tcBorders>
            <w:noWrap/>
          </w:tcPr>
          <w:p>
            <w:pPr>
              <w:pStyle w:val="8"/>
              <w:keepNext/>
              <w:spacing w:line="440" w:lineRule="exact"/>
              <w:ind w:left="63" w:right="63"/>
              <w:rPr>
                <w:rFonts w:ascii="仿宋" w:hAnsi="仿宋" w:eastAsia="仿宋" w:cs="仿宋"/>
                <w:color w:val="auto"/>
                <w:sz w:val="28"/>
                <w:szCs w:val="30"/>
              </w:rPr>
            </w:pPr>
          </w:p>
        </w:tc>
        <w:tc>
          <w:tcPr>
            <w:tcW w:w="774" w:type="dxa"/>
            <w:tcBorders>
              <w:top w:val="nil"/>
            </w:tcBorders>
            <w:noWrap/>
          </w:tcPr>
          <w:p>
            <w:pPr>
              <w:pStyle w:val="8"/>
              <w:keepNext/>
              <w:spacing w:line="440" w:lineRule="exact"/>
              <w:ind w:left="63" w:right="63"/>
              <w:rPr>
                <w:rFonts w:ascii="仿宋" w:hAnsi="仿宋" w:eastAsia="仿宋" w:cs="仿宋"/>
                <w:color w:val="auto"/>
                <w:sz w:val="28"/>
                <w:szCs w:val="30"/>
              </w:rPr>
            </w:pPr>
          </w:p>
        </w:tc>
        <w:tc>
          <w:tcPr>
            <w:tcW w:w="1352" w:type="dxa"/>
            <w:tcBorders>
              <w:top w:val="nil"/>
            </w:tcBorders>
            <w:noWrap/>
          </w:tcPr>
          <w:p>
            <w:pPr>
              <w:pStyle w:val="8"/>
              <w:keepNext/>
              <w:spacing w:line="440" w:lineRule="exact"/>
              <w:ind w:left="63" w:right="63"/>
              <w:rPr>
                <w:rFonts w:ascii="仿宋" w:hAnsi="仿宋" w:eastAsia="仿宋" w:cs="仿宋"/>
                <w:color w:val="auto"/>
                <w:sz w:val="28"/>
                <w:szCs w:val="30"/>
              </w:rPr>
            </w:pPr>
          </w:p>
        </w:tc>
        <w:tc>
          <w:tcPr>
            <w:tcW w:w="1418" w:type="dxa"/>
            <w:tcBorders>
              <w:top w:val="nil"/>
            </w:tcBorders>
            <w:noWrap/>
          </w:tcPr>
          <w:p>
            <w:pPr>
              <w:pStyle w:val="8"/>
              <w:keepNext/>
              <w:spacing w:line="440" w:lineRule="exact"/>
              <w:ind w:left="63" w:right="63"/>
              <w:rPr>
                <w:rFonts w:ascii="仿宋" w:hAnsi="仿宋" w:eastAsia="仿宋" w:cs="仿宋"/>
                <w:color w:val="auto"/>
                <w:sz w:val="28"/>
                <w:szCs w:val="30"/>
              </w:rPr>
            </w:pPr>
          </w:p>
        </w:tc>
        <w:tc>
          <w:tcPr>
            <w:tcW w:w="1701" w:type="dxa"/>
            <w:tcBorders>
              <w:top w:val="nil"/>
            </w:tcBorders>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c>
          <w:tcPr>
            <w:tcW w:w="1984"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c>
          <w:tcPr>
            <w:tcW w:w="851"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c>
          <w:tcPr>
            <w:tcW w:w="774"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c>
          <w:tcPr>
            <w:tcW w:w="1352"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c>
          <w:tcPr>
            <w:tcW w:w="1418"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c>
          <w:tcPr>
            <w:tcW w:w="1701"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r>
    </w:tbl>
    <w:p>
      <w:pPr>
        <w:spacing w:beforeLines="50" w:afterLines="50" w:line="440" w:lineRule="exact"/>
        <w:rPr>
          <w:rFonts w:ascii="仿宋" w:hAnsi="仿宋" w:eastAsia="仿宋" w:cs="仿宋"/>
          <w:color w:val="auto"/>
          <w:sz w:val="30"/>
          <w:szCs w:val="30"/>
        </w:rPr>
      </w:pPr>
    </w:p>
    <w:p>
      <w:pPr>
        <w:spacing w:beforeLines="50" w:afterLines="50" w:line="440" w:lineRule="exact"/>
        <w:jc w:val="center"/>
        <w:rPr>
          <w:rFonts w:ascii="仿宋" w:hAnsi="仿宋" w:eastAsia="仿宋" w:cs="仿宋"/>
          <w:color w:val="auto"/>
          <w:sz w:val="30"/>
          <w:szCs w:val="30"/>
        </w:rPr>
      </w:pPr>
      <w:r>
        <w:rPr>
          <w:rFonts w:hint="eastAsia" w:ascii="仿宋" w:hAnsi="仿宋" w:eastAsia="仿宋" w:cs="仿宋"/>
          <w:color w:val="auto"/>
          <w:sz w:val="30"/>
          <w:szCs w:val="30"/>
        </w:rPr>
        <w:t>11-2：工程设备暂估价表</w:t>
      </w:r>
    </w:p>
    <w:tbl>
      <w:tblPr>
        <w:tblStyle w:val="2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序号</w:t>
            </w:r>
          </w:p>
        </w:tc>
        <w:tc>
          <w:tcPr>
            <w:tcW w:w="1984"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名称</w:t>
            </w:r>
          </w:p>
        </w:tc>
        <w:tc>
          <w:tcPr>
            <w:tcW w:w="851"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单位</w:t>
            </w:r>
          </w:p>
        </w:tc>
        <w:tc>
          <w:tcPr>
            <w:tcW w:w="774"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数量</w:t>
            </w:r>
          </w:p>
        </w:tc>
        <w:tc>
          <w:tcPr>
            <w:tcW w:w="1352"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单价（元）</w:t>
            </w:r>
          </w:p>
        </w:tc>
        <w:tc>
          <w:tcPr>
            <w:tcW w:w="1418"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合价（元）</w:t>
            </w:r>
          </w:p>
        </w:tc>
        <w:tc>
          <w:tcPr>
            <w:tcW w:w="1701"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c>
          <w:tcPr>
            <w:tcW w:w="1984"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c>
          <w:tcPr>
            <w:tcW w:w="851"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c>
          <w:tcPr>
            <w:tcW w:w="774"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c>
          <w:tcPr>
            <w:tcW w:w="1352"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c>
          <w:tcPr>
            <w:tcW w:w="1418"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c>
          <w:tcPr>
            <w:tcW w:w="1701" w:type="dxa"/>
            <w:tcBorders>
              <w:top w:val="double" w:color="auto" w:sz="6" w:space="0"/>
            </w:tcBorders>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tcPr>
          <w:p>
            <w:pPr>
              <w:pStyle w:val="8"/>
              <w:keepNext/>
              <w:spacing w:line="440" w:lineRule="exact"/>
              <w:ind w:left="63" w:right="63"/>
              <w:rPr>
                <w:rFonts w:ascii="仿宋" w:hAnsi="仿宋" w:eastAsia="仿宋" w:cs="仿宋"/>
                <w:color w:val="auto"/>
                <w:sz w:val="28"/>
                <w:szCs w:val="30"/>
              </w:rPr>
            </w:pPr>
          </w:p>
        </w:tc>
        <w:tc>
          <w:tcPr>
            <w:tcW w:w="1984" w:type="dxa"/>
            <w:tcBorders>
              <w:top w:val="nil"/>
            </w:tcBorders>
            <w:noWrap/>
          </w:tcPr>
          <w:p>
            <w:pPr>
              <w:pStyle w:val="8"/>
              <w:keepNext/>
              <w:spacing w:line="440" w:lineRule="exact"/>
              <w:ind w:left="63" w:right="63"/>
              <w:rPr>
                <w:rFonts w:ascii="仿宋" w:hAnsi="仿宋" w:eastAsia="仿宋" w:cs="仿宋"/>
                <w:color w:val="auto"/>
                <w:sz w:val="28"/>
                <w:szCs w:val="30"/>
              </w:rPr>
            </w:pPr>
          </w:p>
        </w:tc>
        <w:tc>
          <w:tcPr>
            <w:tcW w:w="851" w:type="dxa"/>
            <w:tcBorders>
              <w:top w:val="nil"/>
            </w:tcBorders>
            <w:noWrap/>
          </w:tcPr>
          <w:p>
            <w:pPr>
              <w:pStyle w:val="8"/>
              <w:keepNext/>
              <w:spacing w:line="440" w:lineRule="exact"/>
              <w:ind w:left="63" w:right="63"/>
              <w:rPr>
                <w:rFonts w:ascii="仿宋" w:hAnsi="仿宋" w:eastAsia="仿宋" w:cs="仿宋"/>
                <w:color w:val="auto"/>
                <w:sz w:val="28"/>
                <w:szCs w:val="30"/>
              </w:rPr>
            </w:pPr>
          </w:p>
        </w:tc>
        <w:tc>
          <w:tcPr>
            <w:tcW w:w="774" w:type="dxa"/>
            <w:tcBorders>
              <w:top w:val="nil"/>
            </w:tcBorders>
            <w:noWrap/>
          </w:tcPr>
          <w:p>
            <w:pPr>
              <w:pStyle w:val="8"/>
              <w:keepNext/>
              <w:spacing w:line="440" w:lineRule="exact"/>
              <w:ind w:left="63" w:right="63"/>
              <w:rPr>
                <w:rFonts w:ascii="仿宋" w:hAnsi="仿宋" w:eastAsia="仿宋" w:cs="仿宋"/>
                <w:color w:val="auto"/>
                <w:sz w:val="28"/>
                <w:szCs w:val="30"/>
              </w:rPr>
            </w:pPr>
          </w:p>
        </w:tc>
        <w:tc>
          <w:tcPr>
            <w:tcW w:w="1352" w:type="dxa"/>
            <w:tcBorders>
              <w:top w:val="nil"/>
            </w:tcBorders>
            <w:noWrap/>
          </w:tcPr>
          <w:p>
            <w:pPr>
              <w:pStyle w:val="8"/>
              <w:keepNext/>
              <w:spacing w:line="440" w:lineRule="exact"/>
              <w:ind w:left="63" w:right="63"/>
              <w:rPr>
                <w:rFonts w:ascii="仿宋" w:hAnsi="仿宋" w:eastAsia="仿宋" w:cs="仿宋"/>
                <w:color w:val="auto"/>
                <w:sz w:val="28"/>
                <w:szCs w:val="30"/>
              </w:rPr>
            </w:pPr>
          </w:p>
        </w:tc>
        <w:tc>
          <w:tcPr>
            <w:tcW w:w="1418" w:type="dxa"/>
            <w:tcBorders>
              <w:top w:val="nil"/>
            </w:tcBorders>
            <w:noWrap/>
          </w:tcPr>
          <w:p>
            <w:pPr>
              <w:pStyle w:val="8"/>
              <w:keepNext/>
              <w:spacing w:line="440" w:lineRule="exact"/>
              <w:ind w:left="63" w:right="63"/>
              <w:rPr>
                <w:rFonts w:ascii="仿宋" w:hAnsi="仿宋" w:eastAsia="仿宋" w:cs="仿宋"/>
                <w:color w:val="auto"/>
                <w:sz w:val="28"/>
                <w:szCs w:val="30"/>
              </w:rPr>
            </w:pPr>
          </w:p>
        </w:tc>
        <w:tc>
          <w:tcPr>
            <w:tcW w:w="1701" w:type="dxa"/>
            <w:tcBorders>
              <w:top w:val="nil"/>
            </w:tcBorders>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tcPr>
          <w:p>
            <w:pPr>
              <w:pStyle w:val="8"/>
              <w:keepNext/>
              <w:spacing w:line="440" w:lineRule="exact"/>
              <w:ind w:left="63" w:right="63"/>
              <w:rPr>
                <w:rFonts w:ascii="仿宋" w:hAnsi="仿宋" w:eastAsia="仿宋" w:cs="仿宋"/>
                <w:color w:val="auto"/>
                <w:sz w:val="28"/>
                <w:szCs w:val="30"/>
              </w:rPr>
            </w:pPr>
          </w:p>
        </w:tc>
        <w:tc>
          <w:tcPr>
            <w:tcW w:w="1984" w:type="dxa"/>
            <w:noWrap/>
          </w:tcPr>
          <w:p>
            <w:pPr>
              <w:pStyle w:val="8"/>
              <w:keepNext/>
              <w:spacing w:line="440" w:lineRule="exact"/>
              <w:ind w:left="63" w:right="63"/>
              <w:rPr>
                <w:rFonts w:ascii="仿宋" w:hAnsi="仿宋" w:eastAsia="仿宋" w:cs="仿宋"/>
                <w:color w:val="auto"/>
                <w:sz w:val="28"/>
                <w:szCs w:val="30"/>
              </w:rPr>
            </w:pPr>
          </w:p>
        </w:tc>
        <w:tc>
          <w:tcPr>
            <w:tcW w:w="851" w:type="dxa"/>
            <w:noWrap/>
          </w:tcPr>
          <w:p>
            <w:pPr>
              <w:pStyle w:val="8"/>
              <w:keepNext/>
              <w:spacing w:line="440" w:lineRule="exact"/>
              <w:ind w:left="63" w:right="63"/>
              <w:rPr>
                <w:rFonts w:ascii="仿宋" w:hAnsi="仿宋" w:eastAsia="仿宋" w:cs="仿宋"/>
                <w:color w:val="auto"/>
                <w:sz w:val="28"/>
                <w:szCs w:val="30"/>
              </w:rPr>
            </w:pPr>
          </w:p>
        </w:tc>
        <w:tc>
          <w:tcPr>
            <w:tcW w:w="774" w:type="dxa"/>
            <w:noWrap/>
          </w:tcPr>
          <w:p>
            <w:pPr>
              <w:pStyle w:val="8"/>
              <w:keepNext/>
              <w:spacing w:line="440" w:lineRule="exact"/>
              <w:ind w:left="63" w:right="63"/>
              <w:rPr>
                <w:rFonts w:ascii="仿宋" w:hAnsi="仿宋" w:eastAsia="仿宋" w:cs="仿宋"/>
                <w:color w:val="auto"/>
                <w:sz w:val="28"/>
                <w:szCs w:val="30"/>
              </w:rPr>
            </w:pPr>
          </w:p>
        </w:tc>
        <w:tc>
          <w:tcPr>
            <w:tcW w:w="1352" w:type="dxa"/>
            <w:noWrap/>
          </w:tcPr>
          <w:p>
            <w:pPr>
              <w:pStyle w:val="8"/>
              <w:keepNext/>
              <w:spacing w:line="440" w:lineRule="exact"/>
              <w:ind w:left="63" w:right="63"/>
              <w:rPr>
                <w:rFonts w:ascii="仿宋" w:hAnsi="仿宋" w:eastAsia="仿宋" w:cs="仿宋"/>
                <w:color w:val="auto"/>
                <w:sz w:val="28"/>
                <w:szCs w:val="30"/>
              </w:rPr>
            </w:pPr>
          </w:p>
        </w:tc>
        <w:tc>
          <w:tcPr>
            <w:tcW w:w="1418" w:type="dxa"/>
            <w:noWrap/>
          </w:tcPr>
          <w:p>
            <w:pPr>
              <w:pStyle w:val="8"/>
              <w:keepNext/>
              <w:spacing w:line="440" w:lineRule="exact"/>
              <w:ind w:left="63" w:right="63"/>
              <w:rPr>
                <w:rFonts w:ascii="仿宋" w:hAnsi="仿宋" w:eastAsia="仿宋" w:cs="仿宋"/>
                <w:color w:val="auto"/>
                <w:sz w:val="28"/>
                <w:szCs w:val="30"/>
              </w:rPr>
            </w:pPr>
          </w:p>
        </w:tc>
        <w:tc>
          <w:tcPr>
            <w:tcW w:w="1701" w:type="dxa"/>
            <w:noWrap/>
          </w:tcPr>
          <w:p>
            <w:pPr>
              <w:pStyle w:val="8"/>
              <w:keepNext/>
              <w:spacing w:line="440" w:lineRule="exact"/>
              <w:ind w:left="63" w:right="63"/>
              <w:rPr>
                <w:rFonts w:ascii="仿宋" w:hAnsi="仿宋" w:eastAsia="仿宋" w:cs="仿宋"/>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c>
          <w:tcPr>
            <w:tcW w:w="1984"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c>
          <w:tcPr>
            <w:tcW w:w="851"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c>
          <w:tcPr>
            <w:tcW w:w="774"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c>
          <w:tcPr>
            <w:tcW w:w="1352"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c>
          <w:tcPr>
            <w:tcW w:w="1418"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c>
          <w:tcPr>
            <w:tcW w:w="1701" w:type="dxa"/>
            <w:tcBorders>
              <w:bottom w:val="single" w:color="auto" w:sz="12" w:space="0"/>
            </w:tcBorders>
            <w:noWrap/>
          </w:tcPr>
          <w:p>
            <w:pPr>
              <w:pStyle w:val="8"/>
              <w:keepNext/>
              <w:spacing w:line="440" w:lineRule="exact"/>
              <w:ind w:left="63" w:right="63"/>
              <w:rPr>
                <w:rFonts w:ascii="仿宋" w:hAnsi="仿宋" w:eastAsia="仿宋" w:cs="仿宋"/>
                <w:color w:val="auto"/>
                <w:sz w:val="28"/>
                <w:szCs w:val="30"/>
              </w:rPr>
            </w:pPr>
          </w:p>
        </w:tc>
      </w:tr>
    </w:tbl>
    <w:p>
      <w:pPr>
        <w:spacing w:line="440" w:lineRule="exact"/>
        <w:rPr>
          <w:rFonts w:ascii="仿宋" w:hAnsi="仿宋" w:eastAsia="仿宋" w:cs="仿宋"/>
          <w:color w:val="auto"/>
          <w:sz w:val="30"/>
          <w:szCs w:val="30"/>
        </w:rPr>
      </w:pPr>
    </w:p>
    <w:p>
      <w:pPr>
        <w:spacing w:beforeLines="50" w:afterLines="50" w:line="440" w:lineRule="exact"/>
        <w:jc w:val="center"/>
        <w:rPr>
          <w:rFonts w:ascii="仿宋" w:hAnsi="仿宋" w:eastAsia="仿宋" w:cs="仿宋"/>
          <w:color w:val="auto"/>
          <w:sz w:val="30"/>
          <w:szCs w:val="30"/>
        </w:rPr>
      </w:pPr>
      <w:r>
        <w:rPr>
          <w:rFonts w:hint="eastAsia" w:ascii="仿宋" w:hAnsi="仿宋" w:eastAsia="仿宋" w:cs="仿宋"/>
          <w:color w:val="auto"/>
          <w:sz w:val="30"/>
          <w:szCs w:val="30"/>
        </w:rPr>
        <w:br w:type="page"/>
      </w:r>
      <w:r>
        <w:rPr>
          <w:rFonts w:hint="eastAsia" w:ascii="仿宋" w:hAnsi="仿宋" w:eastAsia="仿宋" w:cs="仿宋"/>
          <w:color w:val="auto"/>
          <w:sz w:val="30"/>
          <w:szCs w:val="30"/>
        </w:rPr>
        <w:t>11-3：专业工程暂估价表</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序号</w:t>
            </w:r>
          </w:p>
        </w:tc>
        <w:tc>
          <w:tcPr>
            <w:tcW w:w="1984"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专业工程名称</w:t>
            </w:r>
          </w:p>
        </w:tc>
        <w:tc>
          <w:tcPr>
            <w:tcW w:w="4678"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工程内容</w:t>
            </w:r>
          </w:p>
        </w:tc>
        <w:tc>
          <w:tcPr>
            <w:tcW w:w="1276" w:type="dxa"/>
            <w:tcBorders>
              <w:top w:val="single" w:color="auto" w:sz="12" w:space="0"/>
              <w:bottom w:val="double" w:color="auto" w:sz="6" w:space="0"/>
            </w:tcBorders>
            <w:noWrap/>
          </w:tcPr>
          <w:p>
            <w:pPr>
              <w:pStyle w:val="8"/>
              <w:keepNext/>
              <w:spacing w:line="440" w:lineRule="exact"/>
              <w:ind w:left="63" w:right="63"/>
              <w:rPr>
                <w:rFonts w:ascii="仿宋" w:hAnsi="仿宋" w:eastAsia="仿宋" w:cs="仿宋"/>
                <w:color w:val="auto"/>
                <w:sz w:val="28"/>
                <w:szCs w:val="30"/>
              </w:rPr>
            </w:pPr>
            <w:r>
              <w:rPr>
                <w:rFonts w:hint="eastAsia" w:ascii="仿宋" w:hAnsi="仿宋" w:eastAsia="仿宋" w:cs="仿宋"/>
                <w:color w:val="auto"/>
                <w:sz w:val="28"/>
                <w:szCs w:val="30"/>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tcBorders>
            <w:noWrap/>
          </w:tcPr>
          <w:p>
            <w:pPr>
              <w:pStyle w:val="8"/>
              <w:keepNext/>
              <w:spacing w:line="440" w:lineRule="exact"/>
              <w:ind w:left="63" w:right="63"/>
              <w:rPr>
                <w:rFonts w:ascii="仿宋" w:hAnsi="仿宋" w:eastAsia="仿宋" w:cs="仿宋"/>
                <w:color w:val="auto"/>
                <w:szCs w:val="21"/>
              </w:rPr>
            </w:pPr>
          </w:p>
        </w:tc>
        <w:tc>
          <w:tcPr>
            <w:tcW w:w="1984" w:type="dxa"/>
            <w:tcBorders>
              <w:top w:val="double" w:color="auto" w:sz="6" w:space="0"/>
            </w:tcBorders>
            <w:noWrap/>
          </w:tcPr>
          <w:p>
            <w:pPr>
              <w:pStyle w:val="8"/>
              <w:keepNext/>
              <w:spacing w:line="440" w:lineRule="exact"/>
              <w:ind w:left="63" w:right="63"/>
              <w:rPr>
                <w:rFonts w:ascii="仿宋" w:hAnsi="仿宋" w:eastAsia="仿宋" w:cs="仿宋"/>
                <w:color w:val="auto"/>
                <w:szCs w:val="21"/>
              </w:rPr>
            </w:pPr>
          </w:p>
        </w:tc>
        <w:tc>
          <w:tcPr>
            <w:tcW w:w="4678" w:type="dxa"/>
            <w:tcBorders>
              <w:top w:val="double" w:color="auto" w:sz="6" w:space="0"/>
            </w:tcBorders>
            <w:noWrap/>
          </w:tcPr>
          <w:p>
            <w:pPr>
              <w:pStyle w:val="8"/>
              <w:keepNext/>
              <w:spacing w:line="440" w:lineRule="exact"/>
              <w:ind w:left="63" w:right="63"/>
              <w:rPr>
                <w:rFonts w:ascii="仿宋" w:hAnsi="仿宋" w:eastAsia="仿宋" w:cs="仿宋"/>
                <w:color w:val="auto"/>
                <w:szCs w:val="21"/>
              </w:rPr>
            </w:pPr>
          </w:p>
        </w:tc>
        <w:tc>
          <w:tcPr>
            <w:tcW w:w="1276" w:type="dxa"/>
            <w:tcBorders>
              <w:top w:val="double" w:color="auto" w:sz="6" w:space="0"/>
            </w:tcBorders>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tcPr>
          <w:p>
            <w:pPr>
              <w:pStyle w:val="8"/>
              <w:keepNext/>
              <w:spacing w:line="440" w:lineRule="exact"/>
              <w:ind w:left="63" w:right="63"/>
              <w:rPr>
                <w:rFonts w:ascii="仿宋" w:hAnsi="仿宋" w:eastAsia="仿宋" w:cs="仿宋"/>
                <w:color w:val="auto"/>
                <w:szCs w:val="21"/>
              </w:rPr>
            </w:pPr>
          </w:p>
        </w:tc>
        <w:tc>
          <w:tcPr>
            <w:tcW w:w="1984" w:type="dxa"/>
            <w:tcBorders>
              <w:top w:val="nil"/>
            </w:tcBorders>
            <w:noWrap/>
          </w:tcPr>
          <w:p>
            <w:pPr>
              <w:pStyle w:val="8"/>
              <w:keepNext/>
              <w:spacing w:line="440" w:lineRule="exact"/>
              <w:ind w:left="63" w:right="63"/>
              <w:rPr>
                <w:rFonts w:ascii="仿宋" w:hAnsi="仿宋" w:eastAsia="仿宋" w:cs="仿宋"/>
                <w:color w:val="auto"/>
                <w:szCs w:val="21"/>
              </w:rPr>
            </w:pPr>
          </w:p>
        </w:tc>
        <w:tc>
          <w:tcPr>
            <w:tcW w:w="4678" w:type="dxa"/>
            <w:tcBorders>
              <w:top w:val="nil"/>
            </w:tcBorders>
            <w:noWrap/>
          </w:tcPr>
          <w:p>
            <w:pPr>
              <w:pStyle w:val="8"/>
              <w:keepNext/>
              <w:spacing w:line="440" w:lineRule="exact"/>
              <w:ind w:left="63" w:right="63"/>
              <w:rPr>
                <w:rFonts w:ascii="仿宋" w:hAnsi="仿宋" w:eastAsia="仿宋" w:cs="仿宋"/>
                <w:color w:val="auto"/>
                <w:szCs w:val="21"/>
              </w:rPr>
            </w:pPr>
          </w:p>
        </w:tc>
        <w:tc>
          <w:tcPr>
            <w:tcW w:w="1276" w:type="dxa"/>
            <w:tcBorders>
              <w:top w:val="nil"/>
            </w:tcBorders>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tcPr>
          <w:p>
            <w:pPr>
              <w:pStyle w:val="8"/>
              <w:keepNext/>
              <w:spacing w:line="440" w:lineRule="exact"/>
              <w:ind w:left="63" w:right="63"/>
              <w:rPr>
                <w:rFonts w:ascii="仿宋" w:hAnsi="仿宋" w:eastAsia="仿宋" w:cs="仿宋"/>
                <w:color w:val="auto"/>
                <w:szCs w:val="21"/>
              </w:rPr>
            </w:pPr>
          </w:p>
        </w:tc>
        <w:tc>
          <w:tcPr>
            <w:tcW w:w="1984" w:type="dxa"/>
            <w:tcBorders>
              <w:top w:val="nil"/>
            </w:tcBorders>
            <w:noWrap/>
          </w:tcPr>
          <w:p>
            <w:pPr>
              <w:pStyle w:val="8"/>
              <w:keepNext/>
              <w:spacing w:line="440" w:lineRule="exact"/>
              <w:ind w:left="63" w:right="63"/>
              <w:rPr>
                <w:rFonts w:ascii="仿宋" w:hAnsi="仿宋" w:eastAsia="仿宋" w:cs="仿宋"/>
                <w:color w:val="auto"/>
                <w:szCs w:val="21"/>
              </w:rPr>
            </w:pPr>
          </w:p>
        </w:tc>
        <w:tc>
          <w:tcPr>
            <w:tcW w:w="4678" w:type="dxa"/>
            <w:tcBorders>
              <w:top w:val="nil"/>
            </w:tcBorders>
            <w:noWrap/>
          </w:tcPr>
          <w:p>
            <w:pPr>
              <w:pStyle w:val="8"/>
              <w:keepNext/>
              <w:spacing w:line="440" w:lineRule="exact"/>
              <w:ind w:left="63" w:right="63"/>
              <w:rPr>
                <w:rFonts w:ascii="仿宋" w:hAnsi="仿宋" w:eastAsia="仿宋" w:cs="仿宋"/>
                <w:color w:val="auto"/>
                <w:szCs w:val="21"/>
              </w:rPr>
            </w:pPr>
          </w:p>
        </w:tc>
        <w:tc>
          <w:tcPr>
            <w:tcW w:w="1276" w:type="dxa"/>
            <w:tcBorders>
              <w:top w:val="nil"/>
            </w:tcBorders>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tcPr>
          <w:p>
            <w:pPr>
              <w:pStyle w:val="8"/>
              <w:keepNext/>
              <w:spacing w:line="440" w:lineRule="exact"/>
              <w:ind w:left="63" w:right="63"/>
              <w:rPr>
                <w:rFonts w:ascii="仿宋" w:hAnsi="仿宋" w:eastAsia="仿宋" w:cs="仿宋"/>
                <w:color w:val="auto"/>
                <w:szCs w:val="21"/>
              </w:rPr>
            </w:pPr>
          </w:p>
        </w:tc>
        <w:tc>
          <w:tcPr>
            <w:tcW w:w="1984" w:type="dxa"/>
            <w:noWrap/>
          </w:tcPr>
          <w:p>
            <w:pPr>
              <w:pStyle w:val="8"/>
              <w:keepNext/>
              <w:spacing w:line="440" w:lineRule="exact"/>
              <w:ind w:left="63" w:right="63"/>
              <w:rPr>
                <w:rFonts w:ascii="仿宋" w:hAnsi="仿宋" w:eastAsia="仿宋" w:cs="仿宋"/>
                <w:color w:val="auto"/>
                <w:szCs w:val="21"/>
              </w:rPr>
            </w:pPr>
          </w:p>
        </w:tc>
        <w:tc>
          <w:tcPr>
            <w:tcW w:w="4678" w:type="dxa"/>
            <w:noWrap/>
          </w:tcPr>
          <w:p>
            <w:pPr>
              <w:pStyle w:val="8"/>
              <w:keepNext/>
              <w:spacing w:line="440" w:lineRule="exact"/>
              <w:ind w:left="63" w:right="63"/>
              <w:rPr>
                <w:rFonts w:ascii="仿宋" w:hAnsi="仿宋" w:eastAsia="仿宋" w:cs="仿宋"/>
                <w:color w:val="auto"/>
                <w:szCs w:val="21"/>
              </w:rPr>
            </w:pPr>
          </w:p>
        </w:tc>
        <w:tc>
          <w:tcPr>
            <w:tcW w:w="1276" w:type="dxa"/>
            <w:noWrap/>
          </w:tcPr>
          <w:p>
            <w:pPr>
              <w:pStyle w:val="8"/>
              <w:keepNext/>
              <w:spacing w:line="440" w:lineRule="exact"/>
              <w:ind w:left="63" w:right="63"/>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Borders>
              <w:bottom w:val="single" w:color="auto" w:sz="12" w:space="0"/>
            </w:tcBorders>
            <w:noWrap/>
          </w:tcPr>
          <w:p>
            <w:pPr>
              <w:pStyle w:val="8"/>
              <w:keepNext/>
              <w:spacing w:line="440" w:lineRule="exact"/>
              <w:ind w:left="63" w:right="63"/>
              <w:rPr>
                <w:rFonts w:ascii="仿宋" w:hAnsi="仿宋" w:eastAsia="仿宋" w:cs="仿宋"/>
                <w:color w:val="auto"/>
                <w:szCs w:val="21"/>
              </w:rPr>
            </w:pPr>
            <w:r>
              <w:rPr>
                <w:rFonts w:hint="eastAsia" w:ascii="仿宋" w:hAnsi="仿宋" w:eastAsia="仿宋" w:cs="仿宋"/>
                <w:color w:val="auto"/>
                <w:sz w:val="28"/>
                <w:szCs w:val="30"/>
              </w:rPr>
              <w:t>小计：</w:t>
            </w:r>
          </w:p>
        </w:tc>
      </w:tr>
    </w:tbl>
    <w:p>
      <w:pPr>
        <w:pStyle w:val="57"/>
        <w:spacing w:line="600" w:lineRule="auto"/>
        <w:ind w:firstLine="0"/>
        <w:rPr>
          <w:rFonts w:ascii="仿宋" w:hAnsi="仿宋" w:eastAsia="仿宋" w:cs="仿宋"/>
          <w:color w:val="auto"/>
        </w:rPr>
        <w:sectPr>
          <w:pgSz w:w="11906" w:h="16838"/>
          <w:pgMar w:top="1418" w:right="1555" w:bottom="1418" w:left="1531" w:header="851" w:footer="992" w:gutter="0"/>
          <w:cols w:space="720" w:num="1"/>
          <w:titlePg/>
          <w:docGrid w:type="lines" w:linePitch="312" w:charSpace="0"/>
        </w:sectPr>
      </w:pPr>
    </w:p>
    <w:p>
      <w:pPr>
        <w:pStyle w:val="2"/>
        <w:spacing w:line="360" w:lineRule="auto"/>
        <w:rPr>
          <w:rFonts w:hint="default" w:ascii="仿宋" w:hAnsi="仿宋" w:eastAsia="仿宋" w:cs="仿宋"/>
          <w:bCs w:val="0"/>
          <w:color w:val="auto"/>
          <w:sz w:val="30"/>
          <w:szCs w:val="30"/>
        </w:rPr>
      </w:pPr>
      <w:bookmarkStart w:id="452" w:name="_Toc26045"/>
      <w:bookmarkStart w:id="453" w:name="_Toc6956"/>
      <w:r>
        <w:rPr>
          <w:rFonts w:ascii="仿宋" w:hAnsi="仿宋" w:eastAsia="仿宋" w:cs="仿宋"/>
          <w:bCs w:val="0"/>
          <w:color w:val="auto"/>
          <w:sz w:val="30"/>
          <w:szCs w:val="30"/>
        </w:rPr>
        <w:t>附件12</w:t>
      </w:r>
      <w:bookmarkEnd w:id="452"/>
      <w:bookmarkEnd w:id="453"/>
    </w:p>
    <w:p>
      <w:pPr>
        <w:pStyle w:val="2"/>
        <w:spacing w:line="360" w:lineRule="auto"/>
        <w:jc w:val="center"/>
        <w:rPr>
          <w:rFonts w:hint="default" w:ascii="仿宋" w:hAnsi="仿宋" w:eastAsia="仿宋" w:cs="仿宋"/>
          <w:color w:val="auto"/>
          <w:sz w:val="28"/>
          <w:szCs w:val="28"/>
        </w:rPr>
      </w:pPr>
      <w:bookmarkStart w:id="454" w:name="_Toc20185"/>
      <w:bookmarkStart w:id="455" w:name="_Toc31655"/>
      <w:r>
        <w:rPr>
          <w:rFonts w:ascii="仿宋" w:hAnsi="仿宋" w:eastAsia="仿宋" w:cs="仿宋"/>
          <w:color w:val="auto"/>
          <w:sz w:val="28"/>
          <w:szCs w:val="28"/>
        </w:rPr>
        <w:t>廉 政 合 同</w:t>
      </w:r>
      <w:bookmarkEnd w:id="454"/>
      <w:bookmarkEnd w:id="455"/>
    </w:p>
    <w:p>
      <w:pPr>
        <w:rPr>
          <w:rFonts w:ascii="仿宋" w:hAnsi="仿宋" w:eastAsia="仿宋" w:cs="仿宋"/>
          <w:color w:val="auto"/>
        </w:rPr>
      </w:pP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发包人:（全称）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承包人:（全称） </w:t>
      </w:r>
    </w:p>
    <w:p>
      <w:pPr>
        <w:spacing w:line="360" w:lineRule="auto"/>
        <w:rPr>
          <w:rFonts w:ascii="仿宋" w:hAnsi="仿宋" w:eastAsia="仿宋" w:cs="仿宋"/>
          <w:color w:val="auto"/>
          <w:sz w:val="28"/>
          <w:szCs w:val="28"/>
        </w:rPr>
      </w:pP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根据国家、省有关廉政建设的规定，为做好合同工程的廉政建设，保证工程质量与施工安全，提高建设资金的有效使用和投资效益，合同双方当事人就加强合同工程的廉政建设，订立本合同。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1  双方权利和义务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1.1  严格遵守国家、省有关法律法规的规定。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1.2  严格执行合同工程一切合同文件，自觉按合同办事。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1.3  合同双方当事人的业务活动应坚持公平、公开、公正和诚信的原则（法律认定的商业秘密和合同文件另有规定除外），不得损害国家和集体利益，不得违反工程建设管理规章制度。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1.4  建立健全廉政制度，开展廉政教育，设立廉政告示牌，公布举报电话，监督并认真查处违法违纪行为。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1.5  发现对方在业务活动中有违反廉政建设规定的行为，应及时给予提醒和纠正。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1.6  发现对方严重违反合同的行为，有向其上级部门举报、建议给予处理并要求告知处理结果的权利。没有上级部门的，可按本合同第二部分《通用条款》第87条规定处理。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2  发包人义务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2.1  发包人及其工作人员不得索取或接受承包人的礼金、有价证券和贵重物品，不得在承包人报销任何应由发包人或其工作人员个人支付的费用。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2.2  发包人及其工作人员不得参加承包人安排的宴请（工作餐除外）和娱乐活动，不得接受承包人提供的通讯、交通工具和高档办公用品等物品。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2.3  发包人及其工作人员不得要求或者接受承包人为其住房装修、婚丧嫁娶活动、配偶子女工作安排以及出国出境、旅游等提供方便。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2.4  发包人及其工作人员不得以任何理由向承包人推荐分包人、推销材料和工程设备，不得要求承包人购买合同以外的材料和工程设备。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2.5  发包人及其工作人员要秉公办事，不准营私舞弊，不准利用职权私自为合同工程安排施工队伍，也不得从事与合同工程有关的各种有偿中介活动。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2.6  发包人及其工作人员（含其配偶、子女）不得从事与合同工程有关的材料和工程设备供应、工程分包、劳务等经济活动。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  承包人义务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3.1  承包人不得以任何理由向发包人及其工作人员行贿或馈赠礼金、有价证券、贵重礼品。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3.2  承包人不得以任何名义为发包人及其工作人员报销应由发包人或其工作人员个人支付的任何费用。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3.3  承包人不得以任何理由安排发包人及其工作人员参加宴请（工作餐除外）及娱乐活动。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3.4  承包人不得为发包人和个人购置或提供通讯、交通工具和高档办公用品等物品。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3.5  承包人不得为发包人及其工作人员的住房装修、婚丧嫁娶活动、配偶子女工作安排以及出国出境、旅游等提供方便。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4  违约责任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4.1  发包人及其工作人员违反本合同第 1条和第 2条规定，应按照廉政建设的有关规定给予处分；涉嫌犯罪的，移交司法机关追究刑事责任；给承包人造成损失的，应予赔偿。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4.2  承包人及其工作人员违反本合同第1条和第3条规定，应按照廉政建设的有关规定给予处分；情节严重的，给予承包人 1～3年内不得进入工程建设市场的处罚；涉嫌犯罪的， 移交司法机关追究刑事责任；给发包人造成损失的，应予赔偿；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5  双方约定 </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本合同由合同双方当事人或其上级部门负责监督执行，并由合同双方当事人或其上级部门相互约请对本合同执行情况进行检查。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6  合同法律效力 </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本合同作为项目施工合同的附件，与施工合同具有同等的法律效力。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7  合同生效 </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本合同自合同双方当事人签署之日起生效，至合同工程竣工验收合格之日后失效。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8  合同份数 </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本合同作为施工合同的附件，合同总份数与双方各执份数与施工合同相同。有上级部门的，合同双方当事人应各送交其上级部门一份。 </w:t>
      </w: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发包人：（公章）                  承包人：（公章）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法定代表人：（签字或盖章）        法定代表人：（签字或盖章）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联系电话：                        联系电话： </w:t>
      </w:r>
    </w:p>
    <w:p>
      <w:pPr>
        <w:widowControl/>
        <w:rPr>
          <w:rFonts w:ascii="仿宋" w:hAnsi="仿宋" w:eastAsia="仿宋" w:cs="仿宋"/>
          <w:color w:val="auto"/>
        </w:rPr>
      </w:pPr>
      <w:r>
        <w:rPr>
          <w:rFonts w:hint="eastAsia" w:ascii="仿宋" w:hAnsi="仿宋" w:eastAsia="仿宋" w:cs="仿宋"/>
          <w:color w:val="auto"/>
          <w:sz w:val="28"/>
          <w:szCs w:val="28"/>
        </w:rPr>
        <w:t>2022年  月   日                   2022年   月   日</w:t>
      </w:r>
    </w:p>
    <w:bookmarkEnd w:id="72"/>
    <w:bookmarkEnd w:id="73"/>
    <w:p>
      <w:pPr>
        <w:pStyle w:val="2"/>
        <w:rPr>
          <w:rFonts w:hint="default" w:ascii="仿宋" w:hAnsi="仿宋" w:eastAsia="仿宋" w:cs="仿宋"/>
          <w:color w:val="auto"/>
        </w:rPr>
      </w:pPr>
    </w:p>
    <w:p>
      <w:pPr>
        <w:pStyle w:val="2"/>
        <w:rPr>
          <w:rFonts w:hint="default" w:ascii="仿宋" w:hAnsi="仿宋" w:eastAsia="仿宋" w:cs="仿宋"/>
          <w:color w:val="auto"/>
        </w:rPr>
      </w:pPr>
    </w:p>
    <w:sectPr>
      <w:headerReference r:id="rId15" w:type="default"/>
      <w:pgSz w:w="11907" w:h="16840"/>
      <w:pgMar w:top="1418" w:right="1588" w:bottom="1418" w:left="170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Bold">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pPr>
                          <w:r>
                            <w:rPr>
                              <w:rFonts w:hint="eastAsia"/>
                            </w:rPr>
                            <w:t xml:space="preserve">第 </w:t>
                          </w:r>
                          <w:r>
                            <w:fldChar w:fldCharType="begin"/>
                          </w:r>
                          <w:r>
                            <w:instrText xml:space="preserve"> PAGE  \* MERGEFORMAT </w:instrText>
                          </w:r>
                          <w:r>
                            <w:fldChar w:fldCharType="separate"/>
                          </w:r>
                          <w:r>
                            <w:t>37</w:t>
                          </w:r>
                          <w:r>
                            <w:fldChar w:fldCharType="end"/>
                          </w:r>
                          <w:r>
                            <w:rPr>
                              <w:rFonts w:hint="eastAsia"/>
                            </w:rPr>
                            <w:t xml:space="preserve"> 页 共 </w:t>
                          </w:r>
                          <w:r>
                            <w:fldChar w:fldCharType="begin"/>
                          </w:r>
                          <w:r>
                            <w:instrText xml:space="preserve"> NUMPAGES  \* MERGEFORMAT </w:instrText>
                          </w:r>
                          <w:r>
                            <w:fldChar w:fldCharType="separate"/>
                          </w:r>
                          <w:r>
                            <w:t>142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D/8Map2gEAALQDAAAOAAAAAAAA&#10;AAEAIAAAACIBAABkcnMvZTJvRG9jLnhtbFBLBQYAAAAABgAGAFkBAABuBQAAAAA=&#10;">
              <v:fill on="f" focussize="0,0"/>
              <v:stroke on="f" weight="1.25pt"/>
              <v:imagedata o:title=""/>
              <o:lock v:ext="edit" aspectratio="f"/>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37</w:t>
                    </w:r>
                    <w:r>
                      <w:fldChar w:fldCharType="end"/>
                    </w:r>
                    <w:r>
                      <w:rPr>
                        <w:rFonts w:hint="eastAsia"/>
                      </w:rPr>
                      <w:t xml:space="preserve"> 页 共 </w:t>
                    </w:r>
                    <w:r>
                      <w:fldChar w:fldCharType="begin"/>
                    </w:r>
                    <w:r>
                      <w:instrText xml:space="preserve"> NUMPAGES  \* MERGEFORMAT </w:instrText>
                    </w:r>
                    <w:r>
                      <w:fldChar w:fldCharType="separate"/>
                    </w:r>
                    <w:r>
                      <w:t>142</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t xml:space="preserve">第 </w:t>
                          </w:r>
                          <w:r>
                            <w:fldChar w:fldCharType="begin"/>
                          </w:r>
                          <w:r>
                            <w:instrText xml:space="preserve"> PAGE  \* MERGEFORMAT </w:instrText>
                          </w:r>
                          <w:r>
                            <w:fldChar w:fldCharType="separate"/>
                          </w:r>
                          <w:r>
                            <w:t>141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o2PZ80BAACnAwAADgAAAGRycy9lMm9Eb2MueG1srVPNjtMwEL4j8Q6W&#10;7zTZSkA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15xZYejBzz9/nH/9Of/+zt4m&#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7o2PZ80BAACnAwAADgAAAAAAAAABACAAAAAeAQAAZHJzL2Uy&#10;b0RvYy54bWxQSwUGAAAAAAYABgBZAQAAXQ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141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t xml:space="preserve">第 </w:t>
                          </w:r>
                          <w:r>
                            <w:fldChar w:fldCharType="begin"/>
                          </w:r>
                          <w:r>
                            <w:instrText xml:space="preserve"> PAGE  \* MERGEFORMAT </w:instrText>
                          </w:r>
                          <w:r>
                            <w:fldChar w:fldCharType="separate"/>
                          </w:r>
                          <w:r>
                            <w:t>138</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ft1580BAACnAwAADgAAAAAAAAABACAAAAAeAQAAZHJzL2Uy&#10;b0RvYy54bWxQSwUGAAAAAAYABgBZAQAAXQ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138</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6"/>
      </w:rPr>
      <w:instrText xml:space="preserve"> PAGE </w:instrText>
    </w:r>
    <w:r>
      <w:fldChar w:fldCharType="separate"/>
    </w:r>
    <w:r>
      <w:rPr>
        <w:rStyle w:val="26"/>
      </w:rPr>
      <w:t>47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142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CknEyA2gEAALQDAAAOAAAAAAAA&#10;AAEAIAAAACIBAABkcnMvZTJvRG9jLnhtbFBLBQYAAAAABgAGAFkBAABuBQAAAAA=&#10;">
              <v:fill on="f" focussize="0,0"/>
              <v:stroke on="f" weight="1.25pt"/>
              <v:imagedata o:title=""/>
              <o:lock v:ext="edit" aspectratio="f"/>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142</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pPr>
                          <w:r>
                            <w:rPr>
                              <w:rFonts w:hint="eastAsia"/>
                            </w:rPr>
                            <w:t xml:space="preserve">第 </w:t>
                          </w:r>
                          <w:r>
                            <w:fldChar w:fldCharType="begin"/>
                          </w:r>
                          <w:r>
                            <w:instrText xml:space="preserve"> PAGE  \* MERGEFORMAT </w:instrText>
                          </w:r>
                          <w:r>
                            <w:fldChar w:fldCharType="separate"/>
                          </w:r>
                          <w:r>
                            <w:t>35</w:t>
                          </w:r>
                          <w:r>
                            <w:fldChar w:fldCharType="end"/>
                          </w:r>
                          <w:r>
                            <w:rPr>
                              <w:rFonts w:hint="eastAsia"/>
                            </w:rPr>
                            <w:t xml:space="preserve"> 页 共 </w:t>
                          </w:r>
                          <w:r>
                            <w:fldChar w:fldCharType="begin"/>
                          </w:r>
                          <w:r>
                            <w:instrText xml:space="preserve"> NUMPAGES  \* MERGEFORMAT </w:instrText>
                          </w:r>
                          <w:r>
                            <w:fldChar w:fldCharType="separate"/>
                          </w:r>
                          <w:r>
                            <w:t>142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qLGjbAQAAtAMAAA4AAABkcnMvZTJvRG9jLnhtbK1TzY7TMBC+&#10;I/EOlu80adG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bymxzODAz79+nn//&#10;Pf/5QZbl6jop1HuoMfHOY2ocPrgB92Y+BzxMxAcZTPojJYJx1Pd00VcMkfB0qVpVVYkhjrHZQfzi&#10;4boPED8KZ0gyGhpwgFlXdvwMcUydU1I1626V1nmI2pIeUa+q66t84xJCdG1Tssj7MOEkTmPvyYrD&#10;bpiI7lx7Qp497kRDLT4BSvQni5Kn9ZmNMBu72Tj4oPYdtrzM1cG/P0RsLvecKoywyDU5OMzMelq8&#10;tC3/+znr4bFt/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aYJL0wAAAAUBAAAPAAAAAAAAAAEA&#10;IAAAACIAAABkcnMvZG93bnJldi54bWxQSwECFAAUAAAACACHTuJANqosaNsBAAC0AwAADgAAAAAA&#10;AAABACAAAAAiAQAAZHJzL2Uyb0RvYy54bWxQSwUGAAAAAAYABgBZAQAAbwUAAAAA&#10;">
              <v:fill on="f" focussize="0,0"/>
              <v:stroke on="f" weight="1.25pt"/>
              <v:imagedata o:title=""/>
              <o:lock v:ext="edit" aspectratio="f"/>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35</w:t>
                    </w:r>
                    <w:r>
                      <w:fldChar w:fldCharType="end"/>
                    </w:r>
                    <w:r>
                      <w:rPr>
                        <w:rFonts w:hint="eastAsia"/>
                      </w:rPr>
                      <w:t xml:space="preserve"> 页 共 </w:t>
                    </w:r>
                    <w:r>
                      <w:fldChar w:fldCharType="begin"/>
                    </w:r>
                    <w:r>
                      <w:instrText xml:space="preserve"> NUMPAGES  \* MERGEFORMAT </w:instrText>
                    </w:r>
                    <w:r>
                      <w:fldChar w:fldCharType="separate"/>
                    </w:r>
                    <w:r>
                      <w:t>142</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第</w:t>
    </w:r>
    <w:r>
      <w:fldChar w:fldCharType="begin"/>
    </w:r>
    <w:r>
      <w:instrText xml:space="preserve">PAGE</w:instrText>
    </w:r>
    <w:r>
      <w:fldChar w:fldCharType="separate"/>
    </w:r>
    <w:r>
      <w:t>46</w:t>
    </w:r>
    <w:r>
      <w:fldChar w:fldCharType="end"/>
    </w:r>
    <w:r>
      <w:rPr>
        <w:lang w:val="zh-CN"/>
      </w:rPr>
      <w:t xml:space="preserve"> 页，共 </w:t>
    </w:r>
    <w:r>
      <w:fldChar w:fldCharType="begin"/>
    </w:r>
    <w:r>
      <w:instrText xml:space="preserve">NUMPAGES</w:instrText>
    </w:r>
    <w:r>
      <w:fldChar w:fldCharType="separate"/>
    </w:r>
    <w:r>
      <w:t>142</w:t>
    </w:r>
    <w:r>
      <w:fldChar w:fldCharType="end"/>
    </w:r>
    <w:r>
      <w:t xml:space="preserve"> 页</w:t>
    </w:r>
  </w:p>
  <w:p>
    <w:pPr>
      <w:pStyle w:val="1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2"/>
      <w:rPr>
        <w:rStyle w:val="26"/>
      </w:rPr>
    </w:pPr>
    <w:r>
      <w:fldChar w:fldCharType="begin"/>
    </w:r>
    <w:r>
      <w:rPr>
        <w:rStyle w:val="26"/>
      </w:rPr>
      <w:instrText xml:space="preserve">PAGE  </w:instrText>
    </w:r>
    <w:r>
      <w:fldChar w:fldCharType="separate"/>
    </w:r>
    <w:r>
      <w:rPr>
        <w:rStyle w:val="26"/>
      </w:rPr>
      <w:t>26</w:t>
    </w:r>
    <w:r>
      <w:fldChar w:fldCharType="end"/>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第</w:t>
    </w:r>
    <w:r>
      <w:fldChar w:fldCharType="begin"/>
    </w:r>
    <w:r>
      <w:instrText xml:space="preserve">PAGE</w:instrText>
    </w:r>
    <w:r>
      <w:fldChar w:fldCharType="separate"/>
    </w:r>
    <w:r>
      <w:t>36</w:t>
    </w:r>
    <w:r>
      <w:fldChar w:fldCharType="end"/>
    </w:r>
    <w:r>
      <w:t xml:space="preserve"> 页，共</w:t>
    </w:r>
    <w:r>
      <w:fldChar w:fldCharType="begin"/>
    </w:r>
    <w:r>
      <w:instrText xml:space="preserve">NUMPAGES</w:instrText>
    </w:r>
    <w:r>
      <w:fldChar w:fldCharType="separate"/>
    </w:r>
    <w:r>
      <w:t>142</w:t>
    </w:r>
    <w:r>
      <w:fldChar w:fldCharType="end"/>
    </w:r>
    <w:r>
      <w:t xml:space="preserve"> 页</w:t>
    </w:r>
  </w:p>
  <w:p>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pPr>
                          <w:r>
                            <w:rPr>
                              <w:rFonts w:hint="eastAsia"/>
                            </w:rPr>
                            <w:t xml:space="preserve">第 </w:t>
                          </w:r>
                          <w:r>
                            <w:fldChar w:fldCharType="begin"/>
                          </w:r>
                          <w:r>
                            <w:instrText xml:space="preserve"> PAGE  \* MERGEFORMAT </w:instrText>
                          </w:r>
                          <w:r>
                            <w:fldChar w:fldCharType="separate"/>
                          </w:r>
                          <w:r>
                            <w:t>38</w:t>
                          </w:r>
                          <w:r>
                            <w:fldChar w:fldCharType="end"/>
                          </w:r>
                          <w:r>
                            <w:rPr>
                              <w:rFonts w:hint="eastAsia"/>
                            </w:rPr>
                            <w:t xml:space="preserve"> 页 共 </w:t>
                          </w:r>
                          <w:r>
                            <w:fldChar w:fldCharType="begin"/>
                          </w:r>
                          <w:r>
                            <w:instrText xml:space="preserve"> NUMPAGES  \* MERGEFORMAT </w:instrText>
                          </w:r>
                          <w:r>
                            <w:fldChar w:fldCharType="separate"/>
                          </w:r>
                          <w:r>
                            <w:t>142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aYJL0wAAAAUBAAAPAAAAAAAAAAEA&#10;IAAAACIAAABkcnMvZG93bnJldi54bWxQSwECFAAUAAAACACHTuJAr/ghiNsBAAC0AwAADgAAAAAA&#10;AAABACAAAAAiAQAAZHJzL2Uyb0RvYy54bWxQSwUGAAAAAAYABgBZAQAAbwUAAAAA&#10;">
              <v:fill on="f" focussize="0,0"/>
              <v:stroke on="f" weight="1.25pt"/>
              <v:imagedata o:title=""/>
              <o:lock v:ext="edit" aspectratio="f"/>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38</w:t>
                    </w:r>
                    <w:r>
                      <w:fldChar w:fldCharType="end"/>
                    </w:r>
                    <w:r>
                      <w:rPr>
                        <w:rFonts w:hint="eastAsia"/>
                      </w:rPr>
                      <w:t xml:space="preserve"> 页 共 </w:t>
                    </w:r>
                    <w:r>
                      <w:fldChar w:fldCharType="begin"/>
                    </w:r>
                    <w:r>
                      <w:instrText xml:space="preserve"> NUMPAGES  \* MERGEFORMAT </w:instrText>
                    </w:r>
                    <w:r>
                      <w:fldChar w:fldCharType="separate"/>
                    </w:r>
                    <w:r>
                      <w:t>142</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2"/>
      <w:rPr>
        <w:rStyle w:val="26"/>
      </w:rPr>
    </w:pPr>
    <w:r>
      <w:fldChar w:fldCharType="begin"/>
    </w:r>
    <w:r>
      <w:rPr>
        <w:rStyle w:val="26"/>
      </w:rPr>
      <w:instrText xml:space="preserve">PAGE  </w:instrText>
    </w:r>
    <w:r>
      <w:fldChar w:fldCharType="separate"/>
    </w:r>
    <w:r>
      <w:rPr>
        <w:rStyle w:val="26"/>
      </w:rPr>
      <w:t>26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C7230"/>
    <w:multiLevelType w:val="singleLevel"/>
    <w:tmpl w:val="B77C7230"/>
    <w:lvl w:ilvl="0" w:tentative="0">
      <w:start w:val="2"/>
      <w:numFmt w:val="decimal"/>
      <w:suff w:val="nothing"/>
      <w:lvlText w:val="%1、"/>
      <w:lvlJc w:val="left"/>
      <w:pPr>
        <w:ind w:left="630" w:firstLine="0"/>
      </w:pPr>
    </w:lvl>
  </w:abstractNum>
  <w:abstractNum w:abstractNumId="1">
    <w:nsid w:val="E093A4B0"/>
    <w:multiLevelType w:val="multilevel"/>
    <w:tmpl w:val="E093A4B0"/>
    <w:lvl w:ilvl="0" w:tentative="0">
      <w:start w:val="1"/>
      <w:numFmt w:val="decimal"/>
      <w:lvlText w:val="%1."/>
      <w:lvlJc w:val="left"/>
      <w:pPr>
        <w:ind w:left="955" w:hanging="281"/>
      </w:pPr>
      <w:rPr>
        <w:rFonts w:hint="default" w:ascii="宋体" w:hAnsi="宋体" w:eastAsia="宋体" w:cs="宋体"/>
        <w:w w:val="100"/>
        <w:sz w:val="26"/>
        <w:szCs w:val="26"/>
        <w:lang w:val="zh-CN" w:eastAsia="zh-CN" w:bidi="zh-CN"/>
      </w:rPr>
    </w:lvl>
    <w:lvl w:ilvl="1" w:tentative="0">
      <w:start w:val="0"/>
      <w:numFmt w:val="bullet"/>
      <w:lvlText w:val="•"/>
      <w:lvlJc w:val="left"/>
      <w:pPr>
        <w:ind w:left="1866" w:hanging="281"/>
      </w:pPr>
      <w:rPr>
        <w:rFonts w:hint="default"/>
        <w:lang w:val="zh-CN" w:eastAsia="zh-CN" w:bidi="zh-CN"/>
      </w:rPr>
    </w:lvl>
    <w:lvl w:ilvl="2" w:tentative="0">
      <w:start w:val="0"/>
      <w:numFmt w:val="bullet"/>
      <w:lvlText w:val="•"/>
      <w:lvlJc w:val="left"/>
      <w:pPr>
        <w:ind w:left="2773" w:hanging="281"/>
      </w:pPr>
      <w:rPr>
        <w:rFonts w:hint="default"/>
        <w:lang w:val="zh-CN" w:eastAsia="zh-CN" w:bidi="zh-CN"/>
      </w:rPr>
    </w:lvl>
    <w:lvl w:ilvl="3" w:tentative="0">
      <w:start w:val="0"/>
      <w:numFmt w:val="bullet"/>
      <w:lvlText w:val="•"/>
      <w:lvlJc w:val="left"/>
      <w:pPr>
        <w:ind w:left="3680" w:hanging="281"/>
      </w:pPr>
      <w:rPr>
        <w:rFonts w:hint="default"/>
        <w:lang w:val="zh-CN" w:eastAsia="zh-CN" w:bidi="zh-CN"/>
      </w:rPr>
    </w:lvl>
    <w:lvl w:ilvl="4" w:tentative="0">
      <w:start w:val="0"/>
      <w:numFmt w:val="bullet"/>
      <w:lvlText w:val="•"/>
      <w:lvlJc w:val="left"/>
      <w:pPr>
        <w:ind w:left="4586" w:hanging="281"/>
      </w:pPr>
      <w:rPr>
        <w:rFonts w:hint="default"/>
        <w:lang w:val="zh-CN" w:eastAsia="zh-CN" w:bidi="zh-CN"/>
      </w:rPr>
    </w:lvl>
    <w:lvl w:ilvl="5" w:tentative="0">
      <w:start w:val="0"/>
      <w:numFmt w:val="bullet"/>
      <w:lvlText w:val="•"/>
      <w:lvlJc w:val="left"/>
      <w:pPr>
        <w:ind w:left="5493" w:hanging="281"/>
      </w:pPr>
      <w:rPr>
        <w:rFonts w:hint="default"/>
        <w:lang w:val="zh-CN" w:eastAsia="zh-CN" w:bidi="zh-CN"/>
      </w:rPr>
    </w:lvl>
    <w:lvl w:ilvl="6" w:tentative="0">
      <w:start w:val="0"/>
      <w:numFmt w:val="bullet"/>
      <w:lvlText w:val="•"/>
      <w:lvlJc w:val="left"/>
      <w:pPr>
        <w:ind w:left="6400" w:hanging="281"/>
      </w:pPr>
      <w:rPr>
        <w:rFonts w:hint="default"/>
        <w:lang w:val="zh-CN" w:eastAsia="zh-CN" w:bidi="zh-CN"/>
      </w:rPr>
    </w:lvl>
    <w:lvl w:ilvl="7" w:tentative="0">
      <w:start w:val="0"/>
      <w:numFmt w:val="bullet"/>
      <w:lvlText w:val="•"/>
      <w:lvlJc w:val="left"/>
      <w:pPr>
        <w:ind w:left="7306" w:hanging="281"/>
      </w:pPr>
      <w:rPr>
        <w:rFonts w:hint="default"/>
        <w:lang w:val="zh-CN" w:eastAsia="zh-CN" w:bidi="zh-CN"/>
      </w:rPr>
    </w:lvl>
    <w:lvl w:ilvl="8" w:tentative="0">
      <w:start w:val="0"/>
      <w:numFmt w:val="bullet"/>
      <w:lvlText w:val="•"/>
      <w:lvlJc w:val="left"/>
      <w:pPr>
        <w:ind w:left="8213" w:hanging="28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00990"/>
    <w:rsid w:val="00000DA1"/>
    <w:rsid w:val="00004CB6"/>
    <w:rsid w:val="00025037"/>
    <w:rsid w:val="00030731"/>
    <w:rsid w:val="00030798"/>
    <w:rsid w:val="000359F7"/>
    <w:rsid w:val="00051385"/>
    <w:rsid w:val="000607F0"/>
    <w:rsid w:val="000668F5"/>
    <w:rsid w:val="0007194D"/>
    <w:rsid w:val="0007253F"/>
    <w:rsid w:val="00075E21"/>
    <w:rsid w:val="0007684A"/>
    <w:rsid w:val="000772C9"/>
    <w:rsid w:val="00084A87"/>
    <w:rsid w:val="000870FE"/>
    <w:rsid w:val="0009450C"/>
    <w:rsid w:val="000A3979"/>
    <w:rsid w:val="000C0227"/>
    <w:rsid w:val="000C475C"/>
    <w:rsid w:val="000E134A"/>
    <w:rsid w:val="000E288D"/>
    <w:rsid w:val="000E32B6"/>
    <w:rsid w:val="000E5E6A"/>
    <w:rsid w:val="000F696C"/>
    <w:rsid w:val="001021A1"/>
    <w:rsid w:val="00106016"/>
    <w:rsid w:val="0011012E"/>
    <w:rsid w:val="00114B22"/>
    <w:rsid w:val="00120294"/>
    <w:rsid w:val="00126FFE"/>
    <w:rsid w:val="00134C88"/>
    <w:rsid w:val="00134E5A"/>
    <w:rsid w:val="00137570"/>
    <w:rsid w:val="00141966"/>
    <w:rsid w:val="0015010F"/>
    <w:rsid w:val="0015673B"/>
    <w:rsid w:val="001570FF"/>
    <w:rsid w:val="00165E40"/>
    <w:rsid w:val="00170CDE"/>
    <w:rsid w:val="00180366"/>
    <w:rsid w:val="00191490"/>
    <w:rsid w:val="001969A7"/>
    <w:rsid w:val="001A481A"/>
    <w:rsid w:val="001A58B1"/>
    <w:rsid w:val="001B24A5"/>
    <w:rsid w:val="001B3512"/>
    <w:rsid w:val="001B6CEC"/>
    <w:rsid w:val="001D1325"/>
    <w:rsid w:val="001E09CC"/>
    <w:rsid w:val="001E46E3"/>
    <w:rsid w:val="00216203"/>
    <w:rsid w:val="00221358"/>
    <w:rsid w:val="002229A9"/>
    <w:rsid w:val="00224934"/>
    <w:rsid w:val="00226214"/>
    <w:rsid w:val="00245179"/>
    <w:rsid w:val="00252C23"/>
    <w:rsid w:val="002545C0"/>
    <w:rsid w:val="0025480B"/>
    <w:rsid w:val="002621C3"/>
    <w:rsid w:val="00262513"/>
    <w:rsid w:val="002651BE"/>
    <w:rsid w:val="002A02BE"/>
    <w:rsid w:val="002A1044"/>
    <w:rsid w:val="002A1EFE"/>
    <w:rsid w:val="002A4ECE"/>
    <w:rsid w:val="002B5622"/>
    <w:rsid w:val="002B5D82"/>
    <w:rsid w:val="002D138D"/>
    <w:rsid w:val="002E2360"/>
    <w:rsid w:val="002E3796"/>
    <w:rsid w:val="002E7BCE"/>
    <w:rsid w:val="002E7BF7"/>
    <w:rsid w:val="002F1E2B"/>
    <w:rsid w:val="002F51A2"/>
    <w:rsid w:val="00304993"/>
    <w:rsid w:val="00304F7F"/>
    <w:rsid w:val="0030798E"/>
    <w:rsid w:val="00307AC3"/>
    <w:rsid w:val="003176A9"/>
    <w:rsid w:val="0033046A"/>
    <w:rsid w:val="00342C8D"/>
    <w:rsid w:val="00342D8B"/>
    <w:rsid w:val="00346386"/>
    <w:rsid w:val="003466B2"/>
    <w:rsid w:val="00346AA0"/>
    <w:rsid w:val="00351E68"/>
    <w:rsid w:val="00354AFC"/>
    <w:rsid w:val="003661C9"/>
    <w:rsid w:val="00372B71"/>
    <w:rsid w:val="00373E57"/>
    <w:rsid w:val="00377D9E"/>
    <w:rsid w:val="00397EB5"/>
    <w:rsid w:val="003A0733"/>
    <w:rsid w:val="003A6540"/>
    <w:rsid w:val="003A6ADF"/>
    <w:rsid w:val="003B121C"/>
    <w:rsid w:val="003B284B"/>
    <w:rsid w:val="003B5054"/>
    <w:rsid w:val="003C3BFB"/>
    <w:rsid w:val="003C553F"/>
    <w:rsid w:val="003D6BCB"/>
    <w:rsid w:val="003D7503"/>
    <w:rsid w:val="003E4AA6"/>
    <w:rsid w:val="003F47F2"/>
    <w:rsid w:val="003F4D12"/>
    <w:rsid w:val="004119F8"/>
    <w:rsid w:val="004204B9"/>
    <w:rsid w:val="0042372E"/>
    <w:rsid w:val="004264E2"/>
    <w:rsid w:val="00432E49"/>
    <w:rsid w:val="004349A0"/>
    <w:rsid w:val="00442060"/>
    <w:rsid w:val="00442296"/>
    <w:rsid w:val="00442F87"/>
    <w:rsid w:val="004471AF"/>
    <w:rsid w:val="00450690"/>
    <w:rsid w:val="00453F39"/>
    <w:rsid w:val="004709EE"/>
    <w:rsid w:val="00474BCE"/>
    <w:rsid w:val="004756C3"/>
    <w:rsid w:val="004827AC"/>
    <w:rsid w:val="004911BC"/>
    <w:rsid w:val="00496D73"/>
    <w:rsid w:val="004A64A2"/>
    <w:rsid w:val="004A6FDD"/>
    <w:rsid w:val="004B31AA"/>
    <w:rsid w:val="004B3B85"/>
    <w:rsid w:val="004B40A2"/>
    <w:rsid w:val="004C675B"/>
    <w:rsid w:val="004D4F7C"/>
    <w:rsid w:val="004E15A1"/>
    <w:rsid w:val="004E22BA"/>
    <w:rsid w:val="004E49FC"/>
    <w:rsid w:val="004F4DFC"/>
    <w:rsid w:val="00503A59"/>
    <w:rsid w:val="00506F06"/>
    <w:rsid w:val="0051201B"/>
    <w:rsid w:val="0051255D"/>
    <w:rsid w:val="0051280C"/>
    <w:rsid w:val="00516ED2"/>
    <w:rsid w:val="00522D67"/>
    <w:rsid w:val="005476C4"/>
    <w:rsid w:val="00547DE8"/>
    <w:rsid w:val="00580A2D"/>
    <w:rsid w:val="0058230E"/>
    <w:rsid w:val="00584B2F"/>
    <w:rsid w:val="0058688A"/>
    <w:rsid w:val="0059112A"/>
    <w:rsid w:val="005917B5"/>
    <w:rsid w:val="005918C6"/>
    <w:rsid w:val="00597D06"/>
    <w:rsid w:val="005A3B26"/>
    <w:rsid w:val="005B5C01"/>
    <w:rsid w:val="005B7EC9"/>
    <w:rsid w:val="005C2DB4"/>
    <w:rsid w:val="005C60B0"/>
    <w:rsid w:val="005D1836"/>
    <w:rsid w:val="005D64BC"/>
    <w:rsid w:val="005E59A2"/>
    <w:rsid w:val="005F4636"/>
    <w:rsid w:val="006069BC"/>
    <w:rsid w:val="00613401"/>
    <w:rsid w:val="006210B7"/>
    <w:rsid w:val="00627FF7"/>
    <w:rsid w:val="00641888"/>
    <w:rsid w:val="00643A6A"/>
    <w:rsid w:val="0065729B"/>
    <w:rsid w:val="006631E0"/>
    <w:rsid w:val="00664771"/>
    <w:rsid w:val="00673E2A"/>
    <w:rsid w:val="00674E68"/>
    <w:rsid w:val="00683A56"/>
    <w:rsid w:val="00694C24"/>
    <w:rsid w:val="00697439"/>
    <w:rsid w:val="006A5D5D"/>
    <w:rsid w:val="006A6D1E"/>
    <w:rsid w:val="006B2BFD"/>
    <w:rsid w:val="006B5412"/>
    <w:rsid w:val="006B675C"/>
    <w:rsid w:val="006B70B0"/>
    <w:rsid w:val="006D19FF"/>
    <w:rsid w:val="006D1A4F"/>
    <w:rsid w:val="006D1D04"/>
    <w:rsid w:val="006E0EED"/>
    <w:rsid w:val="006E2519"/>
    <w:rsid w:val="006F0357"/>
    <w:rsid w:val="006F66A6"/>
    <w:rsid w:val="006F7C42"/>
    <w:rsid w:val="00700748"/>
    <w:rsid w:val="007038B2"/>
    <w:rsid w:val="007060D2"/>
    <w:rsid w:val="00710D2D"/>
    <w:rsid w:val="00715556"/>
    <w:rsid w:val="00722EDB"/>
    <w:rsid w:val="007253EB"/>
    <w:rsid w:val="00727685"/>
    <w:rsid w:val="00737305"/>
    <w:rsid w:val="00745086"/>
    <w:rsid w:val="00760565"/>
    <w:rsid w:val="007623F9"/>
    <w:rsid w:val="00770C31"/>
    <w:rsid w:val="00773735"/>
    <w:rsid w:val="00794725"/>
    <w:rsid w:val="007A38BC"/>
    <w:rsid w:val="007B3D4A"/>
    <w:rsid w:val="007E5077"/>
    <w:rsid w:val="007E593E"/>
    <w:rsid w:val="007F0B21"/>
    <w:rsid w:val="007F22DF"/>
    <w:rsid w:val="007F3E9E"/>
    <w:rsid w:val="008002A4"/>
    <w:rsid w:val="008147FE"/>
    <w:rsid w:val="00820746"/>
    <w:rsid w:val="00827FB1"/>
    <w:rsid w:val="00830ED5"/>
    <w:rsid w:val="00831BDF"/>
    <w:rsid w:val="008344BA"/>
    <w:rsid w:val="00851751"/>
    <w:rsid w:val="00862B53"/>
    <w:rsid w:val="00863967"/>
    <w:rsid w:val="00863E17"/>
    <w:rsid w:val="0086659B"/>
    <w:rsid w:val="0087390D"/>
    <w:rsid w:val="008754A7"/>
    <w:rsid w:val="008775AF"/>
    <w:rsid w:val="0088121D"/>
    <w:rsid w:val="008828A3"/>
    <w:rsid w:val="00890B31"/>
    <w:rsid w:val="00895334"/>
    <w:rsid w:val="008A0732"/>
    <w:rsid w:val="008A1E99"/>
    <w:rsid w:val="008A3FB0"/>
    <w:rsid w:val="008B159C"/>
    <w:rsid w:val="008B5026"/>
    <w:rsid w:val="008B76AA"/>
    <w:rsid w:val="008C446B"/>
    <w:rsid w:val="008D5413"/>
    <w:rsid w:val="008F3A2F"/>
    <w:rsid w:val="008F3C81"/>
    <w:rsid w:val="00925924"/>
    <w:rsid w:val="00931136"/>
    <w:rsid w:val="009338B8"/>
    <w:rsid w:val="009432AC"/>
    <w:rsid w:val="0094344A"/>
    <w:rsid w:val="00943456"/>
    <w:rsid w:val="00951027"/>
    <w:rsid w:val="009523F1"/>
    <w:rsid w:val="009562FC"/>
    <w:rsid w:val="00956F0F"/>
    <w:rsid w:val="0095703C"/>
    <w:rsid w:val="009662A3"/>
    <w:rsid w:val="009701D9"/>
    <w:rsid w:val="00971AC1"/>
    <w:rsid w:val="00987288"/>
    <w:rsid w:val="009A0668"/>
    <w:rsid w:val="009A3DBC"/>
    <w:rsid w:val="009B1230"/>
    <w:rsid w:val="009B199C"/>
    <w:rsid w:val="009C3E5D"/>
    <w:rsid w:val="009D0A0A"/>
    <w:rsid w:val="009D1551"/>
    <w:rsid w:val="009D5377"/>
    <w:rsid w:val="009E0884"/>
    <w:rsid w:val="009E4624"/>
    <w:rsid w:val="009F2259"/>
    <w:rsid w:val="009F4522"/>
    <w:rsid w:val="009F5913"/>
    <w:rsid w:val="00A0334F"/>
    <w:rsid w:val="00A31A6B"/>
    <w:rsid w:val="00A42068"/>
    <w:rsid w:val="00A50638"/>
    <w:rsid w:val="00A56CCD"/>
    <w:rsid w:val="00A775D1"/>
    <w:rsid w:val="00A8510E"/>
    <w:rsid w:val="00AA033D"/>
    <w:rsid w:val="00AA2559"/>
    <w:rsid w:val="00AA67D2"/>
    <w:rsid w:val="00AA6A2A"/>
    <w:rsid w:val="00AB0CCB"/>
    <w:rsid w:val="00AC4CAB"/>
    <w:rsid w:val="00AC7DE8"/>
    <w:rsid w:val="00AD2C49"/>
    <w:rsid w:val="00AD5638"/>
    <w:rsid w:val="00AE0798"/>
    <w:rsid w:val="00AE2D65"/>
    <w:rsid w:val="00AF2CC4"/>
    <w:rsid w:val="00B051B1"/>
    <w:rsid w:val="00B05C31"/>
    <w:rsid w:val="00B33AC8"/>
    <w:rsid w:val="00B34229"/>
    <w:rsid w:val="00B51D33"/>
    <w:rsid w:val="00B60D1C"/>
    <w:rsid w:val="00B80EF2"/>
    <w:rsid w:val="00B85B21"/>
    <w:rsid w:val="00B8670F"/>
    <w:rsid w:val="00B95455"/>
    <w:rsid w:val="00B960F6"/>
    <w:rsid w:val="00B96A44"/>
    <w:rsid w:val="00BA0167"/>
    <w:rsid w:val="00BA7DBA"/>
    <w:rsid w:val="00BB35DE"/>
    <w:rsid w:val="00BB7B1A"/>
    <w:rsid w:val="00BC6CB2"/>
    <w:rsid w:val="00BE6285"/>
    <w:rsid w:val="00BF27C9"/>
    <w:rsid w:val="00BF452C"/>
    <w:rsid w:val="00C00215"/>
    <w:rsid w:val="00C10970"/>
    <w:rsid w:val="00C26ADD"/>
    <w:rsid w:val="00C27F5D"/>
    <w:rsid w:val="00C3272D"/>
    <w:rsid w:val="00C34B75"/>
    <w:rsid w:val="00C37FE5"/>
    <w:rsid w:val="00C45E8E"/>
    <w:rsid w:val="00C50C98"/>
    <w:rsid w:val="00C51DE8"/>
    <w:rsid w:val="00C60C5F"/>
    <w:rsid w:val="00C652C2"/>
    <w:rsid w:val="00C654F1"/>
    <w:rsid w:val="00C7201C"/>
    <w:rsid w:val="00C76687"/>
    <w:rsid w:val="00C83C03"/>
    <w:rsid w:val="00C8621B"/>
    <w:rsid w:val="00C86E26"/>
    <w:rsid w:val="00C94994"/>
    <w:rsid w:val="00C96FA6"/>
    <w:rsid w:val="00C97106"/>
    <w:rsid w:val="00CA1796"/>
    <w:rsid w:val="00CA27C0"/>
    <w:rsid w:val="00CA7AB5"/>
    <w:rsid w:val="00CB4FCE"/>
    <w:rsid w:val="00CD0912"/>
    <w:rsid w:val="00CD1F48"/>
    <w:rsid w:val="00CD564D"/>
    <w:rsid w:val="00CE454A"/>
    <w:rsid w:val="00CE7E09"/>
    <w:rsid w:val="00CF4AF6"/>
    <w:rsid w:val="00D12E52"/>
    <w:rsid w:val="00D2753B"/>
    <w:rsid w:val="00D30486"/>
    <w:rsid w:val="00D40348"/>
    <w:rsid w:val="00D47738"/>
    <w:rsid w:val="00D50732"/>
    <w:rsid w:val="00D55B44"/>
    <w:rsid w:val="00D61590"/>
    <w:rsid w:val="00D642FC"/>
    <w:rsid w:val="00D7316C"/>
    <w:rsid w:val="00D743B0"/>
    <w:rsid w:val="00D75992"/>
    <w:rsid w:val="00D8513B"/>
    <w:rsid w:val="00D91208"/>
    <w:rsid w:val="00D92E96"/>
    <w:rsid w:val="00D93ED4"/>
    <w:rsid w:val="00DA5705"/>
    <w:rsid w:val="00DC7F5A"/>
    <w:rsid w:val="00DD03EF"/>
    <w:rsid w:val="00DE61A0"/>
    <w:rsid w:val="00E0165E"/>
    <w:rsid w:val="00E01C90"/>
    <w:rsid w:val="00E17292"/>
    <w:rsid w:val="00E23F3C"/>
    <w:rsid w:val="00E4052C"/>
    <w:rsid w:val="00E56715"/>
    <w:rsid w:val="00E56962"/>
    <w:rsid w:val="00E63D13"/>
    <w:rsid w:val="00E7353B"/>
    <w:rsid w:val="00E74426"/>
    <w:rsid w:val="00E774AC"/>
    <w:rsid w:val="00E7782B"/>
    <w:rsid w:val="00E841BB"/>
    <w:rsid w:val="00E94617"/>
    <w:rsid w:val="00E96525"/>
    <w:rsid w:val="00EA0397"/>
    <w:rsid w:val="00EA09D8"/>
    <w:rsid w:val="00EA2A6A"/>
    <w:rsid w:val="00EA4E13"/>
    <w:rsid w:val="00EA7A97"/>
    <w:rsid w:val="00EC6479"/>
    <w:rsid w:val="00EC67DC"/>
    <w:rsid w:val="00ED145B"/>
    <w:rsid w:val="00ED2503"/>
    <w:rsid w:val="00ED6317"/>
    <w:rsid w:val="00ED6776"/>
    <w:rsid w:val="00ED6962"/>
    <w:rsid w:val="00ED7E8A"/>
    <w:rsid w:val="00EE159C"/>
    <w:rsid w:val="00EE64FB"/>
    <w:rsid w:val="00EF2514"/>
    <w:rsid w:val="00F02708"/>
    <w:rsid w:val="00F24BFA"/>
    <w:rsid w:val="00F26DA9"/>
    <w:rsid w:val="00F271EB"/>
    <w:rsid w:val="00F30B68"/>
    <w:rsid w:val="00F3440D"/>
    <w:rsid w:val="00F536E7"/>
    <w:rsid w:val="00F5698A"/>
    <w:rsid w:val="00F56A8A"/>
    <w:rsid w:val="00F710DB"/>
    <w:rsid w:val="00F719B1"/>
    <w:rsid w:val="00F92157"/>
    <w:rsid w:val="00FA14E3"/>
    <w:rsid w:val="00FA47AC"/>
    <w:rsid w:val="00FA7F4E"/>
    <w:rsid w:val="00FB40EB"/>
    <w:rsid w:val="00FB4184"/>
    <w:rsid w:val="00FC533F"/>
    <w:rsid w:val="00FD0214"/>
    <w:rsid w:val="00FD1E69"/>
    <w:rsid w:val="00FD6F5C"/>
    <w:rsid w:val="00FE42B7"/>
    <w:rsid w:val="01001B47"/>
    <w:rsid w:val="010863F6"/>
    <w:rsid w:val="013D00BF"/>
    <w:rsid w:val="016448C8"/>
    <w:rsid w:val="016B73EE"/>
    <w:rsid w:val="018B30E7"/>
    <w:rsid w:val="01A11723"/>
    <w:rsid w:val="01BB3372"/>
    <w:rsid w:val="01CA0E0D"/>
    <w:rsid w:val="02231FBE"/>
    <w:rsid w:val="023A109F"/>
    <w:rsid w:val="02563EE3"/>
    <w:rsid w:val="02603FE9"/>
    <w:rsid w:val="02B7449E"/>
    <w:rsid w:val="02E5364E"/>
    <w:rsid w:val="030F52BB"/>
    <w:rsid w:val="03694581"/>
    <w:rsid w:val="036B1012"/>
    <w:rsid w:val="0387331F"/>
    <w:rsid w:val="03C33DDE"/>
    <w:rsid w:val="03DE1381"/>
    <w:rsid w:val="04513B0F"/>
    <w:rsid w:val="045B616F"/>
    <w:rsid w:val="046E4FBF"/>
    <w:rsid w:val="0486201D"/>
    <w:rsid w:val="048C4552"/>
    <w:rsid w:val="04A74912"/>
    <w:rsid w:val="04B52C5F"/>
    <w:rsid w:val="04CE7D09"/>
    <w:rsid w:val="04D11E9C"/>
    <w:rsid w:val="04E41E8A"/>
    <w:rsid w:val="056735C4"/>
    <w:rsid w:val="058B607C"/>
    <w:rsid w:val="05A45750"/>
    <w:rsid w:val="05AA1306"/>
    <w:rsid w:val="05D6094B"/>
    <w:rsid w:val="05E8192F"/>
    <w:rsid w:val="06052E39"/>
    <w:rsid w:val="064D0794"/>
    <w:rsid w:val="065E1AB8"/>
    <w:rsid w:val="0664404B"/>
    <w:rsid w:val="06800851"/>
    <w:rsid w:val="068D6F85"/>
    <w:rsid w:val="06AB20EA"/>
    <w:rsid w:val="06B617E7"/>
    <w:rsid w:val="06D27712"/>
    <w:rsid w:val="06E422BE"/>
    <w:rsid w:val="07021B43"/>
    <w:rsid w:val="070D2EC9"/>
    <w:rsid w:val="073D4803"/>
    <w:rsid w:val="07B13A97"/>
    <w:rsid w:val="07BA427E"/>
    <w:rsid w:val="08332819"/>
    <w:rsid w:val="084C6072"/>
    <w:rsid w:val="085164E3"/>
    <w:rsid w:val="087D3A94"/>
    <w:rsid w:val="08891426"/>
    <w:rsid w:val="08AC6D85"/>
    <w:rsid w:val="08AE62C9"/>
    <w:rsid w:val="08C81BCB"/>
    <w:rsid w:val="08DD66A8"/>
    <w:rsid w:val="08F1403A"/>
    <w:rsid w:val="090D6477"/>
    <w:rsid w:val="0937097E"/>
    <w:rsid w:val="09AA065A"/>
    <w:rsid w:val="09CB6A81"/>
    <w:rsid w:val="0A4038E0"/>
    <w:rsid w:val="0A632ACD"/>
    <w:rsid w:val="0A77544C"/>
    <w:rsid w:val="0AC06F59"/>
    <w:rsid w:val="0B084A3F"/>
    <w:rsid w:val="0B090DAA"/>
    <w:rsid w:val="0B0F37EF"/>
    <w:rsid w:val="0B3B6273"/>
    <w:rsid w:val="0B714909"/>
    <w:rsid w:val="0B911F73"/>
    <w:rsid w:val="0BA51B75"/>
    <w:rsid w:val="0BAA50B0"/>
    <w:rsid w:val="0BCB1B3F"/>
    <w:rsid w:val="0BCE2196"/>
    <w:rsid w:val="0BD51E39"/>
    <w:rsid w:val="0BDC3EB6"/>
    <w:rsid w:val="0BE10AC9"/>
    <w:rsid w:val="0BF71DAF"/>
    <w:rsid w:val="0C250018"/>
    <w:rsid w:val="0C59106A"/>
    <w:rsid w:val="0C8A49E1"/>
    <w:rsid w:val="0CA249C3"/>
    <w:rsid w:val="0CA306ED"/>
    <w:rsid w:val="0CA74BF2"/>
    <w:rsid w:val="0CC17E1A"/>
    <w:rsid w:val="0CE52CEE"/>
    <w:rsid w:val="0CF354CA"/>
    <w:rsid w:val="0CF70A9C"/>
    <w:rsid w:val="0D182D20"/>
    <w:rsid w:val="0D7B508F"/>
    <w:rsid w:val="0D8828A5"/>
    <w:rsid w:val="0DBC498F"/>
    <w:rsid w:val="0DD32C45"/>
    <w:rsid w:val="0DE16ED7"/>
    <w:rsid w:val="0E043EFD"/>
    <w:rsid w:val="0E160648"/>
    <w:rsid w:val="0E4339DF"/>
    <w:rsid w:val="0E4711FC"/>
    <w:rsid w:val="0E474AFF"/>
    <w:rsid w:val="0E594E33"/>
    <w:rsid w:val="0E6671EB"/>
    <w:rsid w:val="0E737848"/>
    <w:rsid w:val="0E9C3400"/>
    <w:rsid w:val="0EA90834"/>
    <w:rsid w:val="0EB606CA"/>
    <w:rsid w:val="0EB634A7"/>
    <w:rsid w:val="0EBC3AB8"/>
    <w:rsid w:val="0ECB1C73"/>
    <w:rsid w:val="0EEF3211"/>
    <w:rsid w:val="0F096C50"/>
    <w:rsid w:val="0F102CC4"/>
    <w:rsid w:val="0FA50A8B"/>
    <w:rsid w:val="0FA97B3F"/>
    <w:rsid w:val="0FC84B70"/>
    <w:rsid w:val="0FD86954"/>
    <w:rsid w:val="0FF96C11"/>
    <w:rsid w:val="1003193A"/>
    <w:rsid w:val="101074E6"/>
    <w:rsid w:val="105070FA"/>
    <w:rsid w:val="105912B9"/>
    <w:rsid w:val="108D0601"/>
    <w:rsid w:val="109504C3"/>
    <w:rsid w:val="10A7092A"/>
    <w:rsid w:val="10AD32BB"/>
    <w:rsid w:val="10AF64BA"/>
    <w:rsid w:val="10F941BD"/>
    <w:rsid w:val="111018F7"/>
    <w:rsid w:val="11813E19"/>
    <w:rsid w:val="11B02326"/>
    <w:rsid w:val="11E42200"/>
    <w:rsid w:val="11E8165F"/>
    <w:rsid w:val="12160761"/>
    <w:rsid w:val="12F75CB5"/>
    <w:rsid w:val="13033DD1"/>
    <w:rsid w:val="132863F8"/>
    <w:rsid w:val="13884674"/>
    <w:rsid w:val="139B66CE"/>
    <w:rsid w:val="13AE44D6"/>
    <w:rsid w:val="13CA4FBE"/>
    <w:rsid w:val="13D20B80"/>
    <w:rsid w:val="13E60B9A"/>
    <w:rsid w:val="13EC1951"/>
    <w:rsid w:val="13FB729A"/>
    <w:rsid w:val="14132B3D"/>
    <w:rsid w:val="143D6C5B"/>
    <w:rsid w:val="143E25CE"/>
    <w:rsid w:val="144176E5"/>
    <w:rsid w:val="14495172"/>
    <w:rsid w:val="144B6639"/>
    <w:rsid w:val="14D27D75"/>
    <w:rsid w:val="14D61927"/>
    <w:rsid w:val="151B4D60"/>
    <w:rsid w:val="151E6FB4"/>
    <w:rsid w:val="152876FE"/>
    <w:rsid w:val="153F69A7"/>
    <w:rsid w:val="15C93DA9"/>
    <w:rsid w:val="15DB1D61"/>
    <w:rsid w:val="1621385A"/>
    <w:rsid w:val="164417F2"/>
    <w:rsid w:val="166C76C3"/>
    <w:rsid w:val="16721235"/>
    <w:rsid w:val="16853FAF"/>
    <w:rsid w:val="16FD4421"/>
    <w:rsid w:val="173A7524"/>
    <w:rsid w:val="173C4E76"/>
    <w:rsid w:val="1743234C"/>
    <w:rsid w:val="176B2047"/>
    <w:rsid w:val="17DA212A"/>
    <w:rsid w:val="17EF2A13"/>
    <w:rsid w:val="187B791D"/>
    <w:rsid w:val="18BB0E0C"/>
    <w:rsid w:val="18CF237F"/>
    <w:rsid w:val="18EE3188"/>
    <w:rsid w:val="18F015AA"/>
    <w:rsid w:val="190E2EC5"/>
    <w:rsid w:val="191007D2"/>
    <w:rsid w:val="19341C79"/>
    <w:rsid w:val="19341F4D"/>
    <w:rsid w:val="19574E5B"/>
    <w:rsid w:val="19732E9F"/>
    <w:rsid w:val="19794A9E"/>
    <w:rsid w:val="19CD231A"/>
    <w:rsid w:val="19E735DB"/>
    <w:rsid w:val="1A0F1B81"/>
    <w:rsid w:val="1A1D0BF4"/>
    <w:rsid w:val="1A2E1092"/>
    <w:rsid w:val="1A4A567E"/>
    <w:rsid w:val="1A760F3F"/>
    <w:rsid w:val="1A786FF6"/>
    <w:rsid w:val="1A8F5B96"/>
    <w:rsid w:val="1A927094"/>
    <w:rsid w:val="1AB35BBB"/>
    <w:rsid w:val="1AC51CE4"/>
    <w:rsid w:val="1ACA69A3"/>
    <w:rsid w:val="1B354F4D"/>
    <w:rsid w:val="1B3C296B"/>
    <w:rsid w:val="1B53546B"/>
    <w:rsid w:val="1B5B672B"/>
    <w:rsid w:val="1B6C7C9B"/>
    <w:rsid w:val="1BAC79F4"/>
    <w:rsid w:val="1BE069CA"/>
    <w:rsid w:val="1C13528C"/>
    <w:rsid w:val="1C7B2D6A"/>
    <w:rsid w:val="1C8C6544"/>
    <w:rsid w:val="1CBF06C7"/>
    <w:rsid w:val="1D41200B"/>
    <w:rsid w:val="1D460853"/>
    <w:rsid w:val="1D644DCB"/>
    <w:rsid w:val="1DAD1F42"/>
    <w:rsid w:val="1DBB60CA"/>
    <w:rsid w:val="1DC92571"/>
    <w:rsid w:val="1DEE73B8"/>
    <w:rsid w:val="1E597E64"/>
    <w:rsid w:val="1E650529"/>
    <w:rsid w:val="1E711274"/>
    <w:rsid w:val="1E8A43AA"/>
    <w:rsid w:val="1E915A9C"/>
    <w:rsid w:val="1EDB5572"/>
    <w:rsid w:val="1EEC6156"/>
    <w:rsid w:val="1F5A46D7"/>
    <w:rsid w:val="1F6F67F9"/>
    <w:rsid w:val="1F746245"/>
    <w:rsid w:val="1F955EC5"/>
    <w:rsid w:val="1FFC5E6D"/>
    <w:rsid w:val="200F7A29"/>
    <w:rsid w:val="20284A7E"/>
    <w:rsid w:val="20301A45"/>
    <w:rsid w:val="20451CEE"/>
    <w:rsid w:val="204F3E77"/>
    <w:rsid w:val="20817F2E"/>
    <w:rsid w:val="20A63872"/>
    <w:rsid w:val="20A75C06"/>
    <w:rsid w:val="20AA116E"/>
    <w:rsid w:val="20B975BB"/>
    <w:rsid w:val="20C358BC"/>
    <w:rsid w:val="20CE746E"/>
    <w:rsid w:val="20E744DB"/>
    <w:rsid w:val="2102245F"/>
    <w:rsid w:val="21150B02"/>
    <w:rsid w:val="21172969"/>
    <w:rsid w:val="214515B7"/>
    <w:rsid w:val="21461CA4"/>
    <w:rsid w:val="21570ECE"/>
    <w:rsid w:val="21751B5F"/>
    <w:rsid w:val="219171C0"/>
    <w:rsid w:val="21962144"/>
    <w:rsid w:val="21BA7260"/>
    <w:rsid w:val="21E04D24"/>
    <w:rsid w:val="224B692C"/>
    <w:rsid w:val="2265360C"/>
    <w:rsid w:val="226E63D7"/>
    <w:rsid w:val="22914E5F"/>
    <w:rsid w:val="22FB72CB"/>
    <w:rsid w:val="231076BA"/>
    <w:rsid w:val="23245B42"/>
    <w:rsid w:val="233D2A96"/>
    <w:rsid w:val="23830460"/>
    <w:rsid w:val="2389535F"/>
    <w:rsid w:val="23962019"/>
    <w:rsid w:val="23E375AA"/>
    <w:rsid w:val="241F6A6C"/>
    <w:rsid w:val="243E6160"/>
    <w:rsid w:val="245119CE"/>
    <w:rsid w:val="245257F4"/>
    <w:rsid w:val="247343DA"/>
    <w:rsid w:val="24AA3A0B"/>
    <w:rsid w:val="24CE37EF"/>
    <w:rsid w:val="24CF56C0"/>
    <w:rsid w:val="250F1914"/>
    <w:rsid w:val="25340FFB"/>
    <w:rsid w:val="253D5D19"/>
    <w:rsid w:val="25457DA9"/>
    <w:rsid w:val="25476CA3"/>
    <w:rsid w:val="257D3EAF"/>
    <w:rsid w:val="25902365"/>
    <w:rsid w:val="2593449F"/>
    <w:rsid w:val="25AE66E1"/>
    <w:rsid w:val="25ED1051"/>
    <w:rsid w:val="26153106"/>
    <w:rsid w:val="26181F18"/>
    <w:rsid w:val="262C7F6E"/>
    <w:rsid w:val="262E183C"/>
    <w:rsid w:val="266244B3"/>
    <w:rsid w:val="26860F2C"/>
    <w:rsid w:val="26AF70B6"/>
    <w:rsid w:val="26E353CF"/>
    <w:rsid w:val="26EB49B1"/>
    <w:rsid w:val="26EF6306"/>
    <w:rsid w:val="27090EBD"/>
    <w:rsid w:val="270A4808"/>
    <w:rsid w:val="276A0E23"/>
    <w:rsid w:val="2790174F"/>
    <w:rsid w:val="27DC40D8"/>
    <w:rsid w:val="27E0646E"/>
    <w:rsid w:val="28004119"/>
    <w:rsid w:val="284A47C6"/>
    <w:rsid w:val="287732F1"/>
    <w:rsid w:val="28833A73"/>
    <w:rsid w:val="28987EDC"/>
    <w:rsid w:val="28E61836"/>
    <w:rsid w:val="29062ED9"/>
    <w:rsid w:val="29347D47"/>
    <w:rsid w:val="293F63D0"/>
    <w:rsid w:val="2943439D"/>
    <w:rsid w:val="2979274E"/>
    <w:rsid w:val="29886FE8"/>
    <w:rsid w:val="29CB379D"/>
    <w:rsid w:val="2A171DAA"/>
    <w:rsid w:val="2A4D5475"/>
    <w:rsid w:val="2A924945"/>
    <w:rsid w:val="2AE14A7A"/>
    <w:rsid w:val="2AFC2AE6"/>
    <w:rsid w:val="2AFE2892"/>
    <w:rsid w:val="2B1B2F6C"/>
    <w:rsid w:val="2B305AD9"/>
    <w:rsid w:val="2B382E62"/>
    <w:rsid w:val="2B5B4640"/>
    <w:rsid w:val="2B755339"/>
    <w:rsid w:val="2B862023"/>
    <w:rsid w:val="2B91322F"/>
    <w:rsid w:val="2BA11D85"/>
    <w:rsid w:val="2BA521B5"/>
    <w:rsid w:val="2BA647AD"/>
    <w:rsid w:val="2BB34AE2"/>
    <w:rsid w:val="2BB533C1"/>
    <w:rsid w:val="2BD45A11"/>
    <w:rsid w:val="2BDC39C6"/>
    <w:rsid w:val="2BF41520"/>
    <w:rsid w:val="2C48580E"/>
    <w:rsid w:val="2C915700"/>
    <w:rsid w:val="2C96263E"/>
    <w:rsid w:val="2C9C16E9"/>
    <w:rsid w:val="2C9F3E5A"/>
    <w:rsid w:val="2CC948A6"/>
    <w:rsid w:val="2CD2019E"/>
    <w:rsid w:val="2CD95C1E"/>
    <w:rsid w:val="2CFD2B3C"/>
    <w:rsid w:val="2D392B4E"/>
    <w:rsid w:val="2D697EBC"/>
    <w:rsid w:val="2D7158EF"/>
    <w:rsid w:val="2D746964"/>
    <w:rsid w:val="2D747356"/>
    <w:rsid w:val="2D8573C3"/>
    <w:rsid w:val="2D9736BB"/>
    <w:rsid w:val="2E325833"/>
    <w:rsid w:val="2E5C5D76"/>
    <w:rsid w:val="2E642E7C"/>
    <w:rsid w:val="2E7161C7"/>
    <w:rsid w:val="2E7D5CEC"/>
    <w:rsid w:val="2E933F4A"/>
    <w:rsid w:val="2E9F25C1"/>
    <w:rsid w:val="2EAA249B"/>
    <w:rsid w:val="2EBB6CCA"/>
    <w:rsid w:val="2EF815B9"/>
    <w:rsid w:val="2F21418D"/>
    <w:rsid w:val="2F48280C"/>
    <w:rsid w:val="2FE46D20"/>
    <w:rsid w:val="2FE63FF6"/>
    <w:rsid w:val="2FF13276"/>
    <w:rsid w:val="30100BB9"/>
    <w:rsid w:val="305E56A9"/>
    <w:rsid w:val="30781792"/>
    <w:rsid w:val="309418B1"/>
    <w:rsid w:val="30BD3ECB"/>
    <w:rsid w:val="30DC576B"/>
    <w:rsid w:val="30F12313"/>
    <w:rsid w:val="30F83092"/>
    <w:rsid w:val="311A660F"/>
    <w:rsid w:val="31480788"/>
    <w:rsid w:val="31995D09"/>
    <w:rsid w:val="31C37287"/>
    <w:rsid w:val="31C66166"/>
    <w:rsid w:val="31CD0B33"/>
    <w:rsid w:val="31E92AE9"/>
    <w:rsid w:val="31FC48DE"/>
    <w:rsid w:val="322D3998"/>
    <w:rsid w:val="323E2D3F"/>
    <w:rsid w:val="32895884"/>
    <w:rsid w:val="32A80B4A"/>
    <w:rsid w:val="331C0AED"/>
    <w:rsid w:val="335E62F5"/>
    <w:rsid w:val="336A00FC"/>
    <w:rsid w:val="338D69D1"/>
    <w:rsid w:val="33B938A7"/>
    <w:rsid w:val="33E56DFD"/>
    <w:rsid w:val="33FA4658"/>
    <w:rsid w:val="33FD5783"/>
    <w:rsid w:val="3431496E"/>
    <w:rsid w:val="345C14D2"/>
    <w:rsid w:val="34911AF5"/>
    <w:rsid w:val="349374F7"/>
    <w:rsid w:val="34B117FF"/>
    <w:rsid w:val="34DF2E39"/>
    <w:rsid w:val="34E16803"/>
    <w:rsid w:val="356C5EA4"/>
    <w:rsid w:val="35AC4CB5"/>
    <w:rsid w:val="35D76B7A"/>
    <w:rsid w:val="35F01EB5"/>
    <w:rsid w:val="360C5646"/>
    <w:rsid w:val="36236E66"/>
    <w:rsid w:val="364D3105"/>
    <w:rsid w:val="36966EFC"/>
    <w:rsid w:val="3705573F"/>
    <w:rsid w:val="37160A8C"/>
    <w:rsid w:val="371B0F74"/>
    <w:rsid w:val="37536D24"/>
    <w:rsid w:val="375F6F95"/>
    <w:rsid w:val="38353F60"/>
    <w:rsid w:val="383923F7"/>
    <w:rsid w:val="383B3478"/>
    <w:rsid w:val="384C06F0"/>
    <w:rsid w:val="385B2EEB"/>
    <w:rsid w:val="38CB5DD7"/>
    <w:rsid w:val="390B5E1D"/>
    <w:rsid w:val="391944D3"/>
    <w:rsid w:val="39292ED0"/>
    <w:rsid w:val="39830A5F"/>
    <w:rsid w:val="3998008B"/>
    <w:rsid w:val="39A74876"/>
    <w:rsid w:val="39E02411"/>
    <w:rsid w:val="39E210F9"/>
    <w:rsid w:val="3A161182"/>
    <w:rsid w:val="3A59435F"/>
    <w:rsid w:val="3A681978"/>
    <w:rsid w:val="3A983CEC"/>
    <w:rsid w:val="3AA12AE9"/>
    <w:rsid w:val="3AFE1871"/>
    <w:rsid w:val="3B2479CE"/>
    <w:rsid w:val="3B2D1003"/>
    <w:rsid w:val="3B2D17A6"/>
    <w:rsid w:val="3B352B79"/>
    <w:rsid w:val="3B5E0047"/>
    <w:rsid w:val="3BC37796"/>
    <w:rsid w:val="3BC44F5A"/>
    <w:rsid w:val="3BDB14B0"/>
    <w:rsid w:val="3BDD601C"/>
    <w:rsid w:val="3C042703"/>
    <w:rsid w:val="3C157DE2"/>
    <w:rsid w:val="3C312CC6"/>
    <w:rsid w:val="3C3A74BD"/>
    <w:rsid w:val="3C4F585D"/>
    <w:rsid w:val="3C8A13A1"/>
    <w:rsid w:val="3C945D0C"/>
    <w:rsid w:val="3CAE7C5B"/>
    <w:rsid w:val="3CC505C3"/>
    <w:rsid w:val="3CD0318A"/>
    <w:rsid w:val="3CD45818"/>
    <w:rsid w:val="3CD64F45"/>
    <w:rsid w:val="3CD86416"/>
    <w:rsid w:val="3CF37971"/>
    <w:rsid w:val="3D1141E0"/>
    <w:rsid w:val="3D8555F5"/>
    <w:rsid w:val="3D901A47"/>
    <w:rsid w:val="3DA37210"/>
    <w:rsid w:val="3DD43653"/>
    <w:rsid w:val="3DF9609F"/>
    <w:rsid w:val="3E016D95"/>
    <w:rsid w:val="3E0C23B5"/>
    <w:rsid w:val="3E161FF6"/>
    <w:rsid w:val="3EE372B8"/>
    <w:rsid w:val="3EEE4CAE"/>
    <w:rsid w:val="3EEF0540"/>
    <w:rsid w:val="3F00274D"/>
    <w:rsid w:val="3F095A31"/>
    <w:rsid w:val="3F132292"/>
    <w:rsid w:val="3F4257E6"/>
    <w:rsid w:val="3F63505A"/>
    <w:rsid w:val="3F685466"/>
    <w:rsid w:val="3F857095"/>
    <w:rsid w:val="3F8E5F21"/>
    <w:rsid w:val="3FA47376"/>
    <w:rsid w:val="3FF17510"/>
    <w:rsid w:val="3FFF4F41"/>
    <w:rsid w:val="40010DD8"/>
    <w:rsid w:val="40083D50"/>
    <w:rsid w:val="40412EDB"/>
    <w:rsid w:val="406519B3"/>
    <w:rsid w:val="408B20D4"/>
    <w:rsid w:val="40A4535A"/>
    <w:rsid w:val="40AA5BF1"/>
    <w:rsid w:val="40AD19A8"/>
    <w:rsid w:val="40BC61F4"/>
    <w:rsid w:val="40C148ED"/>
    <w:rsid w:val="40DE6ABE"/>
    <w:rsid w:val="410627ED"/>
    <w:rsid w:val="41327A56"/>
    <w:rsid w:val="41650F8E"/>
    <w:rsid w:val="418F127C"/>
    <w:rsid w:val="41C4415A"/>
    <w:rsid w:val="41FC164D"/>
    <w:rsid w:val="42615555"/>
    <w:rsid w:val="4285798E"/>
    <w:rsid w:val="42C15377"/>
    <w:rsid w:val="42C47A40"/>
    <w:rsid w:val="42C81DAB"/>
    <w:rsid w:val="42EC5E29"/>
    <w:rsid w:val="42FE6FA4"/>
    <w:rsid w:val="431909BB"/>
    <w:rsid w:val="43242BD1"/>
    <w:rsid w:val="43256D31"/>
    <w:rsid w:val="433F581D"/>
    <w:rsid w:val="43847352"/>
    <w:rsid w:val="43AA0A1B"/>
    <w:rsid w:val="43BE6E00"/>
    <w:rsid w:val="43CC2BFE"/>
    <w:rsid w:val="43CF238D"/>
    <w:rsid w:val="44834CF6"/>
    <w:rsid w:val="44B629DD"/>
    <w:rsid w:val="44C1283E"/>
    <w:rsid w:val="44C24001"/>
    <w:rsid w:val="44FD7775"/>
    <w:rsid w:val="45025943"/>
    <w:rsid w:val="452B268D"/>
    <w:rsid w:val="455A248C"/>
    <w:rsid w:val="455C49FE"/>
    <w:rsid w:val="458C6803"/>
    <w:rsid w:val="45BA27F4"/>
    <w:rsid w:val="45D044D1"/>
    <w:rsid w:val="46032B23"/>
    <w:rsid w:val="461F090D"/>
    <w:rsid w:val="46277F1D"/>
    <w:rsid w:val="465D5203"/>
    <w:rsid w:val="46683EB4"/>
    <w:rsid w:val="46780A22"/>
    <w:rsid w:val="46790A5D"/>
    <w:rsid w:val="467B0E45"/>
    <w:rsid w:val="46A27DEB"/>
    <w:rsid w:val="46E9408E"/>
    <w:rsid w:val="470C10F4"/>
    <w:rsid w:val="47574614"/>
    <w:rsid w:val="4783216D"/>
    <w:rsid w:val="47BE72A4"/>
    <w:rsid w:val="47C41065"/>
    <w:rsid w:val="47D93184"/>
    <w:rsid w:val="47DE7B5D"/>
    <w:rsid w:val="481440FA"/>
    <w:rsid w:val="48AB372A"/>
    <w:rsid w:val="48DB522F"/>
    <w:rsid w:val="48F2638E"/>
    <w:rsid w:val="4939729D"/>
    <w:rsid w:val="49466060"/>
    <w:rsid w:val="49521244"/>
    <w:rsid w:val="497266D3"/>
    <w:rsid w:val="49770CB0"/>
    <w:rsid w:val="4A045C29"/>
    <w:rsid w:val="4A07260B"/>
    <w:rsid w:val="4AD764D1"/>
    <w:rsid w:val="4AF12437"/>
    <w:rsid w:val="4B7F1DB9"/>
    <w:rsid w:val="4B817CDE"/>
    <w:rsid w:val="4B901931"/>
    <w:rsid w:val="4BCC0B9B"/>
    <w:rsid w:val="4C143394"/>
    <w:rsid w:val="4C174F9E"/>
    <w:rsid w:val="4C1F06D9"/>
    <w:rsid w:val="4C2B416F"/>
    <w:rsid w:val="4C52251B"/>
    <w:rsid w:val="4C685F0C"/>
    <w:rsid w:val="4CCA2DC7"/>
    <w:rsid w:val="4CE233CF"/>
    <w:rsid w:val="4D135BC6"/>
    <w:rsid w:val="4D2C41E1"/>
    <w:rsid w:val="4D2D7860"/>
    <w:rsid w:val="4D410E31"/>
    <w:rsid w:val="4D432860"/>
    <w:rsid w:val="4D6D5303"/>
    <w:rsid w:val="4D895268"/>
    <w:rsid w:val="4D8F494F"/>
    <w:rsid w:val="4D977B36"/>
    <w:rsid w:val="4DB566ED"/>
    <w:rsid w:val="4DE37CBB"/>
    <w:rsid w:val="4E5D332C"/>
    <w:rsid w:val="4E9A2FA8"/>
    <w:rsid w:val="4ED161C7"/>
    <w:rsid w:val="4F0C0C9A"/>
    <w:rsid w:val="4F12226A"/>
    <w:rsid w:val="4F187C4D"/>
    <w:rsid w:val="4F20575C"/>
    <w:rsid w:val="4F2876A2"/>
    <w:rsid w:val="4F2A1BF6"/>
    <w:rsid w:val="4F3F2BA1"/>
    <w:rsid w:val="4F414716"/>
    <w:rsid w:val="4F4324BC"/>
    <w:rsid w:val="4F587A3C"/>
    <w:rsid w:val="4F9C7C59"/>
    <w:rsid w:val="4FBE2EA5"/>
    <w:rsid w:val="4FD60AF7"/>
    <w:rsid w:val="50102B59"/>
    <w:rsid w:val="502119D7"/>
    <w:rsid w:val="502B3051"/>
    <w:rsid w:val="502C0416"/>
    <w:rsid w:val="50616DC4"/>
    <w:rsid w:val="508A00C9"/>
    <w:rsid w:val="50911327"/>
    <w:rsid w:val="50B83EB1"/>
    <w:rsid w:val="50D47204"/>
    <w:rsid w:val="50E111D7"/>
    <w:rsid w:val="50EC3BBD"/>
    <w:rsid w:val="51035714"/>
    <w:rsid w:val="510676CA"/>
    <w:rsid w:val="511A4EA0"/>
    <w:rsid w:val="514B3CFD"/>
    <w:rsid w:val="51711C71"/>
    <w:rsid w:val="51B00407"/>
    <w:rsid w:val="520143BB"/>
    <w:rsid w:val="520F3125"/>
    <w:rsid w:val="52544D83"/>
    <w:rsid w:val="52B77F0C"/>
    <w:rsid w:val="531C5E21"/>
    <w:rsid w:val="534D5D25"/>
    <w:rsid w:val="535460AC"/>
    <w:rsid w:val="53721A99"/>
    <w:rsid w:val="53777685"/>
    <w:rsid w:val="538A6EFF"/>
    <w:rsid w:val="53D34020"/>
    <w:rsid w:val="53E144A4"/>
    <w:rsid w:val="54A164BA"/>
    <w:rsid w:val="54AD2117"/>
    <w:rsid w:val="54B42FE4"/>
    <w:rsid w:val="54B576DE"/>
    <w:rsid w:val="54BE3C68"/>
    <w:rsid w:val="54DA3B0F"/>
    <w:rsid w:val="54E72A0A"/>
    <w:rsid w:val="551B39E5"/>
    <w:rsid w:val="553920BD"/>
    <w:rsid w:val="55400054"/>
    <w:rsid w:val="554A0D09"/>
    <w:rsid w:val="559F2105"/>
    <w:rsid w:val="55B32A46"/>
    <w:rsid w:val="55B43A67"/>
    <w:rsid w:val="55C359E1"/>
    <w:rsid w:val="560B1CAC"/>
    <w:rsid w:val="563117B1"/>
    <w:rsid w:val="56333137"/>
    <w:rsid w:val="564C6931"/>
    <w:rsid w:val="56840A29"/>
    <w:rsid w:val="56AE7090"/>
    <w:rsid w:val="56CA1FA5"/>
    <w:rsid w:val="57193F87"/>
    <w:rsid w:val="571F7488"/>
    <w:rsid w:val="57341369"/>
    <w:rsid w:val="574134AB"/>
    <w:rsid w:val="57850444"/>
    <w:rsid w:val="57926004"/>
    <w:rsid w:val="579F7FE0"/>
    <w:rsid w:val="57A57C9E"/>
    <w:rsid w:val="57E07844"/>
    <w:rsid w:val="57E42060"/>
    <w:rsid w:val="57EC474B"/>
    <w:rsid w:val="580F328F"/>
    <w:rsid w:val="5818441F"/>
    <w:rsid w:val="58526129"/>
    <w:rsid w:val="585B499B"/>
    <w:rsid w:val="58691F2C"/>
    <w:rsid w:val="58951DE3"/>
    <w:rsid w:val="58DB2F18"/>
    <w:rsid w:val="58ED70D4"/>
    <w:rsid w:val="58F033DB"/>
    <w:rsid w:val="59457435"/>
    <w:rsid w:val="59576B4F"/>
    <w:rsid w:val="596250CB"/>
    <w:rsid w:val="598B5E1E"/>
    <w:rsid w:val="59AC1477"/>
    <w:rsid w:val="59E91B2E"/>
    <w:rsid w:val="59F5667C"/>
    <w:rsid w:val="5A272E2C"/>
    <w:rsid w:val="5A4B45FB"/>
    <w:rsid w:val="5A5D684E"/>
    <w:rsid w:val="5A655116"/>
    <w:rsid w:val="5A682725"/>
    <w:rsid w:val="5A703E85"/>
    <w:rsid w:val="5AC2711F"/>
    <w:rsid w:val="5AC66718"/>
    <w:rsid w:val="5AE37787"/>
    <w:rsid w:val="5B172EA1"/>
    <w:rsid w:val="5B336682"/>
    <w:rsid w:val="5B587F74"/>
    <w:rsid w:val="5B7D2E05"/>
    <w:rsid w:val="5B84314C"/>
    <w:rsid w:val="5BAA5AC3"/>
    <w:rsid w:val="5BC528FD"/>
    <w:rsid w:val="5C2C233F"/>
    <w:rsid w:val="5C702C9F"/>
    <w:rsid w:val="5C8D0DB2"/>
    <w:rsid w:val="5CA23BE6"/>
    <w:rsid w:val="5CAE2624"/>
    <w:rsid w:val="5CE80A78"/>
    <w:rsid w:val="5D3B7155"/>
    <w:rsid w:val="5DB43130"/>
    <w:rsid w:val="5DE05FED"/>
    <w:rsid w:val="5E0B5061"/>
    <w:rsid w:val="5E2C6C63"/>
    <w:rsid w:val="5E3424A3"/>
    <w:rsid w:val="5E6815F6"/>
    <w:rsid w:val="5E6C153E"/>
    <w:rsid w:val="5E80356C"/>
    <w:rsid w:val="5E902163"/>
    <w:rsid w:val="5EEE3582"/>
    <w:rsid w:val="5F6264B5"/>
    <w:rsid w:val="5FA26F1A"/>
    <w:rsid w:val="5FAF01A2"/>
    <w:rsid w:val="5FC25FEB"/>
    <w:rsid w:val="5FD23218"/>
    <w:rsid w:val="605F5AE4"/>
    <w:rsid w:val="60706718"/>
    <w:rsid w:val="60921FA7"/>
    <w:rsid w:val="60A521F9"/>
    <w:rsid w:val="60D90CE7"/>
    <w:rsid w:val="61281F3E"/>
    <w:rsid w:val="616E0E25"/>
    <w:rsid w:val="61763B5F"/>
    <w:rsid w:val="617B1E33"/>
    <w:rsid w:val="61A11716"/>
    <w:rsid w:val="61A30E2C"/>
    <w:rsid w:val="61EA542F"/>
    <w:rsid w:val="61F40BD2"/>
    <w:rsid w:val="61F5524E"/>
    <w:rsid w:val="620D7146"/>
    <w:rsid w:val="62AF7510"/>
    <w:rsid w:val="62B16607"/>
    <w:rsid w:val="62DC1BEF"/>
    <w:rsid w:val="6307259D"/>
    <w:rsid w:val="631677AE"/>
    <w:rsid w:val="6333467E"/>
    <w:rsid w:val="63446C24"/>
    <w:rsid w:val="634C3381"/>
    <w:rsid w:val="635121B8"/>
    <w:rsid w:val="639F3A49"/>
    <w:rsid w:val="63B02B1C"/>
    <w:rsid w:val="641A77F8"/>
    <w:rsid w:val="6456581A"/>
    <w:rsid w:val="64584930"/>
    <w:rsid w:val="645D7C63"/>
    <w:rsid w:val="64BF4EAD"/>
    <w:rsid w:val="64D00990"/>
    <w:rsid w:val="64DF000C"/>
    <w:rsid w:val="64E76033"/>
    <w:rsid w:val="653503E3"/>
    <w:rsid w:val="654D7A05"/>
    <w:rsid w:val="65540E15"/>
    <w:rsid w:val="658A6555"/>
    <w:rsid w:val="65A662FB"/>
    <w:rsid w:val="65BF7812"/>
    <w:rsid w:val="65E120E1"/>
    <w:rsid w:val="66204032"/>
    <w:rsid w:val="662F6285"/>
    <w:rsid w:val="66552ACF"/>
    <w:rsid w:val="667C640D"/>
    <w:rsid w:val="66933D55"/>
    <w:rsid w:val="669D28CC"/>
    <w:rsid w:val="66A876EA"/>
    <w:rsid w:val="66C86029"/>
    <w:rsid w:val="66CA526B"/>
    <w:rsid w:val="66F620CC"/>
    <w:rsid w:val="672D3816"/>
    <w:rsid w:val="674417EB"/>
    <w:rsid w:val="674F2E80"/>
    <w:rsid w:val="675B2565"/>
    <w:rsid w:val="67967D3C"/>
    <w:rsid w:val="680859DD"/>
    <w:rsid w:val="687A1C4D"/>
    <w:rsid w:val="688E5425"/>
    <w:rsid w:val="68AE7353"/>
    <w:rsid w:val="68CE3E66"/>
    <w:rsid w:val="68E7282F"/>
    <w:rsid w:val="68EA037D"/>
    <w:rsid w:val="69387058"/>
    <w:rsid w:val="698C2B93"/>
    <w:rsid w:val="699E536A"/>
    <w:rsid w:val="69B37D1B"/>
    <w:rsid w:val="69B73369"/>
    <w:rsid w:val="69C53915"/>
    <w:rsid w:val="69C958E1"/>
    <w:rsid w:val="69F06D97"/>
    <w:rsid w:val="6A3C0C3F"/>
    <w:rsid w:val="6ACF2627"/>
    <w:rsid w:val="6AD873B5"/>
    <w:rsid w:val="6ADA5212"/>
    <w:rsid w:val="6B38061C"/>
    <w:rsid w:val="6B42669C"/>
    <w:rsid w:val="6B5C7B5B"/>
    <w:rsid w:val="6B656414"/>
    <w:rsid w:val="6B7316A4"/>
    <w:rsid w:val="6B8B37DD"/>
    <w:rsid w:val="6B9056F6"/>
    <w:rsid w:val="6BC8271E"/>
    <w:rsid w:val="6BEA1297"/>
    <w:rsid w:val="6BFB1FEC"/>
    <w:rsid w:val="6C010C5D"/>
    <w:rsid w:val="6D321EE5"/>
    <w:rsid w:val="6D404378"/>
    <w:rsid w:val="6D4301F5"/>
    <w:rsid w:val="6D5D1C90"/>
    <w:rsid w:val="6DE54460"/>
    <w:rsid w:val="6DF51187"/>
    <w:rsid w:val="6DFC64FD"/>
    <w:rsid w:val="6E511DCE"/>
    <w:rsid w:val="6EA63E93"/>
    <w:rsid w:val="6EDC5572"/>
    <w:rsid w:val="6EFC61DE"/>
    <w:rsid w:val="6F1E33D4"/>
    <w:rsid w:val="6F2C33B6"/>
    <w:rsid w:val="6F4F5AF7"/>
    <w:rsid w:val="6F5C4ECE"/>
    <w:rsid w:val="6FCA7519"/>
    <w:rsid w:val="6FCC5D30"/>
    <w:rsid w:val="6FFD7F2D"/>
    <w:rsid w:val="706E310B"/>
    <w:rsid w:val="707526BD"/>
    <w:rsid w:val="708848AC"/>
    <w:rsid w:val="70922ACA"/>
    <w:rsid w:val="70A12CB2"/>
    <w:rsid w:val="70FB493D"/>
    <w:rsid w:val="716F13A8"/>
    <w:rsid w:val="71A30AC4"/>
    <w:rsid w:val="71C12EBA"/>
    <w:rsid w:val="71C71B99"/>
    <w:rsid w:val="71DA3ED1"/>
    <w:rsid w:val="72116E1A"/>
    <w:rsid w:val="721969BB"/>
    <w:rsid w:val="723F7B8A"/>
    <w:rsid w:val="72653F10"/>
    <w:rsid w:val="72A5093A"/>
    <w:rsid w:val="72C0340B"/>
    <w:rsid w:val="72C259CC"/>
    <w:rsid w:val="72E53416"/>
    <w:rsid w:val="734D0939"/>
    <w:rsid w:val="738D7699"/>
    <w:rsid w:val="73D65978"/>
    <w:rsid w:val="73F807AD"/>
    <w:rsid w:val="745506ED"/>
    <w:rsid w:val="746A323A"/>
    <w:rsid w:val="747310AF"/>
    <w:rsid w:val="747D102B"/>
    <w:rsid w:val="74931A24"/>
    <w:rsid w:val="74A05B4E"/>
    <w:rsid w:val="74C347C5"/>
    <w:rsid w:val="74EA492B"/>
    <w:rsid w:val="74F07A8F"/>
    <w:rsid w:val="75012721"/>
    <w:rsid w:val="75317933"/>
    <w:rsid w:val="7539776C"/>
    <w:rsid w:val="75496E41"/>
    <w:rsid w:val="75911263"/>
    <w:rsid w:val="75D02D48"/>
    <w:rsid w:val="75DE4F20"/>
    <w:rsid w:val="75EF08C9"/>
    <w:rsid w:val="762246BB"/>
    <w:rsid w:val="76244449"/>
    <w:rsid w:val="763C4FA3"/>
    <w:rsid w:val="76833C45"/>
    <w:rsid w:val="769B5997"/>
    <w:rsid w:val="77147A0A"/>
    <w:rsid w:val="773E7BB3"/>
    <w:rsid w:val="774B65F4"/>
    <w:rsid w:val="7758336F"/>
    <w:rsid w:val="77750061"/>
    <w:rsid w:val="77792CFC"/>
    <w:rsid w:val="77AE42D5"/>
    <w:rsid w:val="77EC3D82"/>
    <w:rsid w:val="78234D87"/>
    <w:rsid w:val="78374187"/>
    <w:rsid w:val="785F10BE"/>
    <w:rsid w:val="78737DE6"/>
    <w:rsid w:val="78897CE0"/>
    <w:rsid w:val="789B4940"/>
    <w:rsid w:val="789D458E"/>
    <w:rsid w:val="78A7694B"/>
    <w:rsid w:val="78B40085"/>
    <w:rsid w:val="78E07907"/>
    <w:rsid w:val="78F17A71"/>
    <w:rsid w:val="78F41DE5"/>
    <w:rsid w:val="79484A19"/>
    <w:rsid w:val="7952283F"/>
    <w:rsid w:val="797E03C0"/>
    <w:rsid w:val="79A6456D"/>
    <w:rsid w:val="79CD0628"/>
    <w:rsid w:val="79EE4916"/>
    <w:rsid w:val="7A3B5367"/>
    <w:rsid w:val="7A5769BE"/>
    <w:rsid w:val="7A6E4F70"/>
    <w:rsid w:val="7A790D3A"/>
    <w:rsid w:val="7ADB0570"/>
    <w:rsid w:val="7B2D5625"/>
    <w:rsid w:val="7B2D7201"/>
    <w:rsid w:val="7BE06E27"/>
    <w:rsid w:val="7BE3278D"/>
    <w:rsid w:val="7BED62EF"/>
    <w:rsid w:val="7C06244A"/>
    <w:rsid w:val="7C1639D4"/>
    <w:rsid w:val="7C4D6AEA"/>
    <w:rsid w:val="7C516FE4"/>
    <w:rsid w:val="7C847721"/>
    <w:rsid w:val="7C860377"/>
    <w:rsid w:val="7CAA24E9"/>
    <w:rsid w:val="7CC410E3"/>
    <w:rsid w:val="7CE454ED"/>
    <w:rsid w:val="7CE5610C"/>
    <w:rsid w:val="7CEA309B"/>
    <w:rsid w:val="7CFF6D05"/>
    <w:rsid w:val="7D0B5E36"/>
    <w:rsid w:val="7D3054F0"/>
    <w:rsid w:val="7D323724"/>
    <w:rsid w:val="7D3B299C"/>
    <w:rsid w:val="7D5D17E6"/>
    <w:rsid w:val="7D7F2549"/>
    <w:rsid w:val="7D94518A"/>
    <w:rsid w:val="7DF54524"/>
    <w:rsid w:val="7DFB1EBB"/>
    <w:rsid w:val="7E340D25"/>
    <w:rsid w:val="7E470433"/>
    <w:rsid w:val="7E4F157C"/>
    <w:rsid w:val="7E503F13"/>
    <w:rsid w:val="7E786310"/>
    <w:rsid w:val="7E7A711F"/>
    <w:rsid w:val="7EA9365B"/>
    <w:rsid w:val="7EB93573"/>
    <w:rsid w:val="7ED92098"/>
    <w:rsid w:val="7EE33184"/>
    <w:rsid w:val="7EE750D0"/>
    <w:rsid w:val="7F132988"/>
    <w:rsid w:val="7F6F6AA8"/>
    <w:rsid w:val="7F7B4EFD"/>
    <w:rsid w:val="7F9D47A6"/>
    <w:rsid w:val="7FAE6C13"/>
    <w:rsid w:val="7FE50BE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9"/>
    <w:pPr>
      <w:keepNext/>
      <w:outlineLvl w:val="0"/>
    </w:pPr>
    <w:rPr>
      <w:bCs/>
      <w:sz w:val="32"/>
    </w:rPr>
  </w:style>
  <w:style w:type="paragraph" w:styleId="4">
    <w:name w:val="heading 2"/>
    <w:basedOn w:val="1"/>
    <w:next w:val="1"/>
    <w:link w:val="38"/>
    <w:qFormat/>
    <w:uiPriority w:val="9"/>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unhideWhenUsed/>
    <w:qFormat/>
    <w:uiPriority w:val="99"/>
    <w:pPr>
      <w:ind w:left="1400" w:leftChars="1400"/>
    </w:pPr>
  </w:style>
  <w:style w:type="paragraph" w:styleId="7">
    <w:name w:val="annotation text"/>
    <w:basedOn w:val="1"/>
    <w:link w:val="39"/>
    <w:unhideWhenUsed/>
    <w:qFormat/>
    <w:uiPriority w:val="99"/>
    <w:pPr>
      <w:jc w:val="left"/>
    </w:pPr>
  </w:style>
  <w:style w:type="paragraph" w:styleId="8">
    <w:name w:val="Body Text"/>
    <w:basedOn w:val="1"/>
    <w:unhideWhenUsed/>
    <w:qFormat/>
    <w:uiPriority w:val="99"/>
    <w:pPr>
      <w:spacing w:line="480" w:lineRule="exact"/>
      <w:jc w:val="left"/>
    </w:pPr>
    <w:rPr>
      <w:rFonts w:ascii="宋体" w:hAnsi="宋体"/>
    </w:rPr>
  </w:style>
  <w:style w:type="paragraph" w:styleId="9">
    <w:name w:val="toc 3"/>
    <w:basedOn w:val="1"/>
    <w:next w:val="1"/>
    <w:unhideWhenUsed/>
    <w:qFormat/>
    <w:uiPriority w:val="39"/>
    <w:pPr>
      <w:ind w:left="400" w:leftChars="400"/>
    </w:pPr>
  </w:style>
  <w:style w:type="paragraph" w:styleId="10">
    <w:name w:val="Plain Text"/>
    <w:basedOn w:val="1"/>
    <w:unhideWhenUsed/>
    <w:qFormat/>
    <w:uiPriority w:val="99"/>
    <w:rPr>
      <w:rFonts w:ascii="宋体"/>
      <w:szCs w:val="20"/>
    </w:rPr>
  </w:style>
  <w:style w:type="paragraph" w:styleId="11">
    <w:name w:val="Date"/>
    <w:basedOn w:val="1"/>
    <w:next w:val="1"/>
    <w:link w:val="40"/>
    <w:unhideWhenUsed/>
    <w:qFormat/>
    <w:uiPriority w:val="99"/>
    <w:pPr>
      <w:ind w:left="100" w:leftChars="2500"/>
    </w:pPr>
  </w:style>
  <w:style w:type="paragraph" w:styleId="12">
    <w:name w:val="Balloon Text"/>
    <w:basedOn w:val="1"/>
    <w:semiHidden/>
    <w:qFormat/>
    <w:uiPriority w:val="0"/>
    <w:rPr>
      <w:sz w:val="18"/>
      <w:szCs w:val="18"/>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99"/>
    <w:pP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footnote text"/>
    <w:basedOn w:val="1"/>
    <w:unhideWhenUsed/>
    <w:qFormat/>
    <w:uiPriority w:val="99"/>
    <w:pPr>
      <w:adjustRightInd w:val="0"/>
      <w:spacing w:line="312" w:lineRule="atLeast"/>
      <w:jc w:val="left"/>
      <w:textAlignment w:val="baseline"/>
    </w:pPr>
    <w:rPr>
      <w:kern w:val="0"/>
      <w:sz w:val="18"/>
      <w:szCs w:val="20"/>
    </w:rPr>
  </w:style>
  <w:style w:type="paragraph" w:styleId="17">
    <w:name w:val="toc 2"/>
    <w:basedOn w:val="1"/>
    <w:next w:val="1"/>
    <w:unhideWhenUsed/>
    <w:qFormat/>
    <w:uiPriority w:val="39"/>
    <w:pPr>
      <w:ind w:left="200" w:leftChars="200"/>
    </w:pPr>
  </w:style>
  <w:style w:type="paragraph" w:styleId="18">
    <w:name w:val="toc 9"/>
    <w:basedOn w:val="1"/>
    <w:next w:val="1"/>
    <w:unhideWhenUsed/>
    <w:qFormat/>
    <w:uiPriority w:val="39"/>
    <w:pPr>
      <w:ind w:left="3360" w:leftChars="1600"/>
    </w:pPr>
  </w:style>
  <w:style w:type="paragraph" w:styleId="19">
    <w:name w:val="HTML Preformatted"/>
    <w:basedOn w:val="1"/>
    <w:link w:val="41"/>
    <w:unhideWhenUsed/>
    <w:qFormat/>
    <w:uiPriority w:val="99"/>
    <w:rPr>
      <w:rFonts w:ascii="Courier New" w:hAnsi="Courier New"/>
      <w:sz w:val="20"/>
      <w:szCs w:val="20"/>
    </w:rPr>
  </w:style>
  <w:style w:type="paragraph" w:styleId="20">
    <w:name w:val="Normal (Web)"/>
    <w:basedOn w:val="1"/>
    <w:unhideWhenUsed/>
    <w:qFormat/>
    <w:uiPriority w:val="0"/>
    <w:pPr>
      <w:spacing w:before="100" w:beforeAutospacing="1" w:after="100" w:afterAutospacing="1"/>
      <w:jc w:val="left"/>
    </w:pPr>
    <w:rPr>
      <w:kern w:val="0"/>
      <w:sz w:val="24"/>
    </w:rPr>
  </w:style>
  <w:style w:type="paragraph" w:styleId="21">
    <w:name w:val="annotation subject"/>
    <w:basedOn w:val="7"/>
    <w:next w:val="7"/>
    <w:link w:val="42"/>
    <w:unhideWhenUsed/>
    <w:qFormat/>
    <w:uiPriority w:val="0"/>
    <w:rPr>
      <w:b/>
      <w:bCs/>
    </w:rPr>
  </w:style>
  <w:style w:type="paragraph" w:styleId="22">
    <w:name w:val="Body Text First Indent 2"/>
    <w:next w:val="8"/>
    <w:unhideWhenUsed/>
    <w:qFormat/>
    <w:uiPriority w:val="99"/>
    <w:pPr>
      <w:widowControl w:val="0"/>
      <w:spacing w:after="120"/>
      <w:jc w:val="both"/>
    </w:pPr>
    <w:rPr>
      <w:rFonts w:ascii="Times New Roman" w:hAnsi="Times New Roman" w:eastAsia="仿宋_GB2312" w:cs="Times New Roman"/>
      <w:kern w:val="2"/>
      <w:sz w:val="32"/>
      <w:szCs w:val="24"/>
      <w:lang w:val="en-US" w:eastAsia="zh-CN" w:bidi="ar-SA"/>
    </w:rPr>
  </w:style>
  <w:style w:type="character" w:styleId="25">
    <w:name w:val="Strong"/>
    <w:qFormat/>
    <w:uiPriority w:val="22"/>
    <w:rPr>
      <w:b/>
      <w:bCs/>
    </w:rPr>
  </w:style>
  <w:style w:type="character" w:styleId="26">
    <w:name w:val="page number"/>
    <w:unhideWhenUsed/>
    <w:qFormat/>
    <w:uiPriority w:val="99"/>
  </w:style>
  <w:style w:type="character" w:styleId="27">
    <w:name w:val="FollowedHyperlink"/>
    <w:unhideWhenUsed/>
    <w:qFormat/>
    <w:uiPriority w:val="99"/>
    <w:rPr>
      <w:color w:val="800080"/>
      <w:u w:val="none"/>
    </w:rPr>
  </w:style>
  <w:style w:type="character" w:styleId="28">
    <w:name w:val="Emphasis"/>
    <w:qFormat/>
    <w:uiPriority w:val="20"/>
  </w:style>
  <w:style w:type="character" w:styleId="29">
    <w:name w:val="HTML Definition"/>
    <w:unhideWhenUsed/>
    <w:qFormat/>
    <w:uiPriority w:val="99"/>
  </w:style>
  <w:style w:type="character" w:styleId="30">
    <w:name w:val="HTML Acronym"/>
    <w:unhideWhenUsed/>
    <w:qFormat/>
    <w:uiPriority w:val="99"/>
  </w:style>
  <w:style w:type="character" w:styleId="31">
    <w:name w:val="HTML Variable"/>
    <w:unhideWhenUsed/>
    <w:qFormat/>
    <w:uiPriority w:val="99"/>
  </w:style>
  <w:style w:type="character" w:styleId="32">
    <w:name w:val="Hyperlink"/>
    <w:unhideWhenUsed/>
    <w:qFormat/>
    <w:uiPriority w:val="99"/>
    <w:rPr>
      <w:color w:val="0000FF"/>
      <w:u w:val="single"/>
    </w:rPr>
  </w:style>
  <w:style w:type="character" w:styleId="33">
    <w:name w:val="HTML Code"/>
    <w:unhideWhenUsed/>
    <w:qFormat/>
    <w:uiPriority w:val="99"/>
    <w:rPr>
      <w:rFonts w:ascii="Courier New" w:hAnsi="Courier New"/>
      <w:sz w:val="18"/>
      <w:szCs w:val="18"/>
    </w:rPr>
  </w:style>
  <w:style w:type="character" w:styleId="34">
    <w:name w:val="annotation reference"/>
    <w:unhideWhenUsed/>
    <w:qFormat/>
    <w:uiPriority w:val="99"/>
    <w:rPr>
      <w:sz w:val="21"/>
      <w:szCs w:val="21"/>
    </w:rPr>
  </w:style>
  <w:style w:type="character" w:styleId="35">
    <w:name w:val="HTML Cite"/>
    <w:unhideWhenUsed/>
    <w:qFormat/>
    <w:uiPriority w:val="99"/>
  </w:style>
  <w:style w:type="character" w:styleId="36">
    <w:name w:val="HTML Keyboard"/>
    <w:unhideWhenUsed/>
    <w:qFormat/>
    <w:uiPriority w:val="99"/>
    <w:rPr>
      <w:rFonts w:hint="default" w:ascii="Courier New" w:hAnsi="Courier New" w:eastAsia="Courier New" w:cs="Courier New"/>
      <w:color w:val="FFFFFF"/>
      <w:sz w:val="21"/>
      <w:szCs w:val="21"/>
      <w:shd w:val="clear" w:color="auto" w:fill="333333"/>
    </w:rPr>
  </w:style>
  <w:style w:type="character" w:styleId="37">
    <w:name w:val="HTML Sample"/>
    <w:unhideWhenUsed/>
    <w:qFormat/>
    <w:uiPriority w:val="99"/>
    <w:rPr>
      <w:rFonts w:ascii="Courier New" w:hAnsi="Courier New" w:eastAsia="Courier New" w:cs="Courier New"/>
      <w:sz w:val="21"/>
      <w:szCs w:val="21"/>
    </w:rPr>
  </w:style>
  <w:style w:type="character" w:customStyle="1" w:styleId="38">
    <w:name w:val="标题 2 Char"/>
    <w:basedOn w:val="24"/>
    <w:link w:val="4"/>
    <w:semiHidden/>
    <w:qFormat/>
    <w:uiPriority w:val="9"/>
    <w:rPr>
      <w:rFonts w:ascii="Arial" w:hAnsi="Arial" w:eastAsia="黑体"/>
      <w:b/>
      <w:bCs/>
      <w:sz w:val="32"/>
      <w:szCs w:val="32"/>
    </w:rPr>
  </w:style>
  <w:style w:type="character" w:customStyle="1" w:styleId="39">
    <w:name w:val="批注文字 Char"/>
    <w:link w:val="7"/>
    <w:qFormat/>
    <w:uiPriority w:val="99"/>
    <w:rPr>
      <w:kern w:val="2"/>
      <w:sz w:val="21"/>
      <w:szCs w:val="24"/>
    </w:rPr>
  </w:style>
  <w:style w:type="character" w:customStyle="1" w:styleId="40">
    <w:name w:val="日期 Char"/>
    <w:link w:val="11"/>
    <w:semiHidden/>
    <w:qFormat/>
    <w:uiPriority w:val="99"/>
    <w:rPr>
      <w:kern w:val="2"/>
      <w:sz w:val="21"/>
      <w:szCs w:val="24"/>
    </w:rPr>
  </w:style>
  <w:style w:type="character" w:customStyle="1" w:styleId="41">
    <w:name w:val="HTML 预设格式 Char"/>
    <w:link w:val="19"/>
    <w:semiHidden/>
    <w:qFormat/>
    <w:uiPriority w:val="99"/>
    <w:rPr>
      <w:rFonts w:ascii="Courier New" w:hAnsi="Courier New" w:cs="Courier New"/>
      <w:kern w:val="2"/>
    </w:rPr>
  </w:style>
  <w:style w:type="character" w:customStyle="1" w:styleId="42">
    <w:name w:val="批注主题 Char"/>
    <w:link w:val="21"/>
    <w:qFormat/>
    <w:uiPriority w:val="0"/>
  </w:style>
  <w:style w:type="character" w:customStyle="1" w:styleId="43">
    <w:name w:val="NormalCharacter"/>
    <w:qFormat/>
    <w:uiPriority w:val="0"/>
    <w:rPr>
      <w:kern w:val="2"/>
      <w:sz w:val="21"/>
      <w:szCs w:val="24"/>
      <w:lang w:val="en-US" w:eastAsia="zh-CN" w:bidi="ar-SA"/>
    </w:rPr>
  </w:style>
  <w:style w:type="character" w:customStyle="1" w:styleId="44">
    <w:name w:val="pw"/>
    <w:qFormat/>
    <w:uiPriority w:val="0"/>
  </w:style>
  <w:style w:type="character" w:customStyle="1" w:styleId="45">
    <w:name w:val="ex"/>
    <w:qFormat/>
    <w:uiPriority w:val="0"/>
  </w:style>
  <w:style w:type="character" w:customStyle="1" w:styleId="46">
    <w:name w:val="fontstyle01"/>
    <w:qFormat/>
    <w:uiPriority w:val="0"/>
    <w:rPr>
      <w:rFonts w:hint="eastAsia" w:ascii="宋体" w:hAnsi="宋体" w:eastAsia="宋体"/>
      <w:color w:val="000000"/>
      <w:sz w:val="24"/>
      <w:szCs w:val="24"/>
    </w:rPr>
  </w:style>
  <w:style w:type="character" w:customStyle="1" w:styleId="47">
    <w:name w:val="fontstyle61"/>
    <w:qFormat/>
    <w:uiPriority w:val="0"/>
    <w:rPr>
      <w:rFonts w:hint="default" w:ascii="Times New Roman" w:hAnsi="Times New Roman" w:cs="Times New Roman"/>
      <w:color w:val="000000"/>
      <w:sz w:val="24"/>
      <w:szCs w:val="24"/>
    </w:rPr>
  </w:style>
  <w:style w:type="character" w:customStyle="1" w:styleId="48">
    <w:name w:val="itc"/>
    <w:qFormat/>
    <w:uiPriority w:val="0"/>
  </w:style>
  <w:style w:type="character" w:customStyle="1" w:styleId="49">
    <w:name w:val="正文4 Char"/>
    <w:link w:val="50"/>
    <w:qFormat/>
    <w:uiPriority w:val="0"/>
    <w:rPr>
      <w:rFonts w:eastAsia="宋体"/>
      <w:kern w:val="2"/>
      <w:sz w:val="28"/>
      <w:lang w:val="en-US" w:eastAsia="zh-CN" w:bidi="ar-SA"/>
    </w:rPr>
  </w:style>
  <w:style w:type="paragraph" w:customStyle="1" w:styleId="50">
    <w:name w:val="正文4"/>
    <w:basedOn w:val="1"/>
    <w:link w:val="49"/>
    <w:qFormat/>
    <w:uiPriority w:val="0"/>
    <w:pPr>
      <w:ind w:firstLine="630"/>
    </w:pPr>
    <w:rPr>
      <w:sz w:val="28"/>
      <w:szCs w:val="20"/>
    </w:rPr>
  </w:style>
  <w:style w:type="character" w:customStyle="1" w:styleId="51">
    <w:name w:val="fontstyle31"/>
    <w:qFormat/>
    <w:uiPriority w:val="0"/>
    <w:rPr>
      <w:rFonts w:hint="eastAsia" w:ascii="宋体" w:hAnsi="宋体" w:eastAsia="宋体" w:cs="宋体"/>
      <w:color w:val="000000"/>
      <w:sz w:val="72"/>
      <w:szCs w:val="72"/>
    </w:rPr>
  </w:style>
  <w:style w:type="character" w:customStyle="1" w:styleId="52">
    <w:name w:val="mail"/>
    <w:qFormat/>
    <w:uiPriority w:val="0"/>
  </w:style>
  <w:style w:type="character" w:customStyle="1" w:styleId="53">
    <w:name w:val="styhelp"/>
    <w:qFormat/>
    <w:uiPriority w:val="0"/>
  </w:style>
  <w:style w:type="paragraph" w:customStyle="1" w:styleId="54">
    <w:name w:val="Char"/>
    <w:basedOn w:val="1"/>
    <w:qFormat/>
    <w:uiPriority w:val="0"/>
    <w:pPr>
      <w:adjustRightInd w:val="0"/>
      <w:snapToGrid w:val="0"/>
      <w:spacing w:line="360" w:lineRule="auto"/>
      <w:ind w:firstLine="200"/>
      <w:jc w:val="left"/>
    </w:pPr>
  </w:style>
  <w:style w:type="paragraph" w:customStyle="1" w:styleId="5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6">
    <w:name w:val="正文3"/>
    <w:basedOn w:val="1"/>
    <w:qFormat/>
    <w:uiPriority w:val="0"/>
    <w:pPr>
      <w:ind w:firstLine="735"/>
    </w:pPr>
    <w:rPr>
      <w:b/>
      <w:sz w:val="30"/>
      <w:szCs w:val="20"/>
    </w:rPr>
  </w:style>
  <w:style w:type="paragraph" w:customStyle="1" w:styleId="57">
    <w:name w:val="正文2"/>
    <w:basedOn w:val="1"/>
    <w:qFormat/>
    <w:uiPriority w:val="0"/>
    <w:pPr>
      <w:ind w:firstLine="735"/>
    </w:pPr>
    <w:rPr>
      <w:b/>
      <w:sz w:val="32"/>
      <w:szCs w:val="20"/>
    </w:rPr>
  </w:style>
  <w:style w:type="paragraph" w:customStyle="1" w:styleId="58">
    <w:name w:val="_Style 2"/>
    <w:basedOn w:val="1"/>
    <w:qFormat/>
    <w:uiPriority w:val="1"/>
    <w:pPr>
      <w:ind w:left="238" w:firstLine="560"/>
    </w:pPr>
    <w:rPr>
      <w:rFonts w:ascii="宋体" w:hAnsi="宋体" w:cs="宋体"/>
      <w:lang w:val="zh-CN" w:bidi="zh-CN"/>
    </w:rPr>
  </w:style>
  <w:style w:type="paragraph" w:customStyle="1" w:styleId="5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
    <w:name w:val="正文1"/>
    <w:basedOn w:val="1"/>
    <w:qFormat/>
    <w:uiPriority w:val="0"/>
    <w:pPr>
      <w:jc w:val="center"/>
    </w:pPr>
    <w:rPr>
      <w:b/>
      <w:sz w:val="44"/>
      <w:szCs w:val="20"/>
    </w:rPr>
  </w:style>
  <w:style w:type="paragraph" w:customStyle="1" w:styleId="61">
    <w:name w:val="TOC 标题1"/>
    <w:basedOn w:val="2"/>
    <w:next w:val="1"/>
    <w:unhideWhenUsed/>
    <w:qFormat/>
    <w:uiPriority w:val="39"/>
    <w:pPr>
      <w:keepLines/>
      <w:widowControl/>
      <w:spacing w:before="480" w:beforeAutospacing="0" w:after="0" w:afterAutospacing="0" w:line="276" w:lineRule="auto"/>
      <w:outlineLvl w:val="9"/>
    </w:pPr>
    <w:rPr>
      <w:rFonts w:hint="default" w:ascii="Cambria" w:hAnsi="Cambria"/>
      <w:color w:val="365F91"/>
      <w:sz w:val="28"/>
      <w:szCs w:val="28"/>
    </w:rPr>
  </w:style>
  <w:style w:type="paragraph" w:customStyle="1" w:styleId="62">
    <w:name w:val="Char Char Char Char Char Char1 Char"/>
    <w:basedOn w:val="1"/>
    <w:qFormat/>
    <w:uiPriority w:val="0"/>
    <w:pPr>
      <w:widowControl/>
      <w:spacing w:after="160" w:line="240" w:lineRule="exact"/>
      <w:jc w:val="left"/>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wmf"/><Relationship Id="rId16" Type="http://schemas.openxmlformats.org/officeDocument/2006/relationships/theme" Target="theme/theme1.xml"/><Relationship Id="rId15" Type="http://schemas.openxmlformats.org/officeDocument/2006/relationships/header" Target="header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142</Pages>
  <Words>60449</Words>
  <Characters>63998</Characters>
  <Lines>502</Lines>
  <Paragraphs>141</Paragraphs>
  <TotalTime>11</TotalTime>
  <ScaleCrop>false</ScaleCrop>
  <LinksUpToDate>false</LinksUpToDate>
  <CharactersWithSpaces>66523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2022-03-20T14:12:00Z</dcterms:created>
  <dc:creator>罗剑东</dc:creator>
  <cp:lastModifiedBy>匆匆。</cp:lastModifiedBy>
  <cp:lastPrinted>2022-04-02T05:58:00Z</cp:lastPrinted>
  <dcterms:modified xsi:type="dcterms:W3CDTF">2022-04-07T07:36:38Z</dcterms:modified>
  <dc:title>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2D6DD06408CD478E9B10CF34FCEEC68D</vt:lpwstr>
  </property>
</Properties>
</file>