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6" w:lineRule="auto"/>
        <w:jc w:val="both"/>
        <w:rPr>
          <w:rFonts w:hint="default" w:asciiTheme="minorEastAsia" w:hAnsiTheme="minorEastAsia" w:eastAsiaTheme="minorEastAsia" w:cstheme="minorEastAsia"/>
          <w:color w:val="auto"/>
          <w:spacing w:val="-37"/>
          <w:sz w:val="35"/>
          <w:szCs w:val="35"/>
          <w:lang w:val="en-US" w:eastAsia="zh-CN"/>
          <w14:textOutline w14:w="6537"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1"/>
          <w:sz w:val="24"/>
          <w:szCs w:val="24"/>
        </w:rPr>
        <w:t>附件</w:t>
      </w:r>
      <w:r>
        <w:rPr>
          <w:rFonts w:hint="eastAsia" w:asciiTheme="minorEastAsia" w:hAnsiTheme="minorEastAsia" w:eastAsiaTheme="minorEastAsia" w:cstheme="minorEastAsia"/>
          <w:color w:val="auto"/>
          <w:spacing w:val="-1"/>
          <w:sz w:val="24"/>
          <w:szCs w:val="24"/>
          <w:lang w:val="en-US" w:eastAsia="zh-CN"/>
        </w:rPr>
        <w:t>2</w:t>
      </w:r>
      <w:r>
        <w:rPr>
          <w:rFonts w:hint="eastAsia" w:asciiTheme="minorEastAsia" w:hAnsiTheme="minorEastAsia" w:eastAsiaTheme="minorEastAsia" w:cstheme="minorEastAsia"/>
          <w:color w:val="auto"/>
          <w:spacing w:val="-1"/>
          <w:sz w:val="24"/>
          <w:szCs w:val="24"/>
        </w:rPr>
        <w:t>：</w:t>
      </w:r>
      <w:bookmarkStart w:id="3" w:name="_GoBack"/>
      <w:bookmarkEnd w:id="3"/>
    </w:p>
    <w:p>
      <w:pPr>
        <w:spacing w:line="406" w:lineRule="auto"/>
        <w:jc w:val="center"/>
        <w:rPr>
          <w:rFonts w:hint="eastAsia" w:asciiTheme="minorEastAsia" w:hAnsiTheme="minorEastAsia" w:eastAsiaTheme="minorEastAsia" w:cstheme="minorEastAsia"/>
          <w:color w:val="auto"/>
          <w:sz w:val="35"/>
          <w:szCs w:val="35"/>
        </w:rPr>
      </w:pPr>
      <w:r>
        <w:rPr>
          <w:rFonts w:hint="eastAsia" w:asciiTheme="minorEastAsia" w:hAnsiTheme="minorEastAsia" w:eastAsiaTheme="minorEastAsia" w:cstheme="minorEastAsia"/>
          <w:color w:val="auto"/>
          <w:spacing w:val="-37"/>
          <w:sz w:val="35"/>
          <w:szCs w:val="35"/>
          <w14:textOutline w14:w="6537" w14:cap="sq" w14:cmpd="sng">
            <w14:solidFill>
              <w14:srgbClr w14:val="000000"/>
            </w14:solidFill>
            <w14:prstDash w14:val="solid"/>
            <w14:bevel/>
          </w14:textOutline>
        </w:rPr>
        <w:t>第</w:t>
      </w:r>
      <w:r>
        <w:rPr>
          <w:rFonts w:hint="eastAsia" w:asciiTheme="minorEastAsia" w:hAnsiTheme="minorEastAsia" w:eastAsiaTheme="minorEastAsia" w:cstheme="minorEastAsia"/>
          <w:color w:val="auto"/>
          <w:spacing w:val="-29"/>
          <w:sz w:val="35"/>
          <w:szCs w:val="35"/>
        </w:rPr>
        <w:t xml:space="preserve"> </w:t>
      </w:r>
      <w:r>
        <w:rPr>
          <w:rFonts w:hint="eastAsia" w:asciiTheme="minorEastAsia" w:hAnsiTheme="minorEastAsia" w:eastAsiaTheme="minorEastAsia" w:cstheme="minorEastAsia"/>
          <w:color w:val="auto"/>
          <w:spacing w:val="-29"/>
          <w:sz w:val="35"/>
          <w:szCs w:val="35"/>
          <w14:textOutline w14:w="6537" w14:cap="sq" w14:cmpd="sng">
            <w14:solidFill>
              <w14:srgbClr w14:val="000000"/>
            </w14:solidFill>
            <w14:prstDash w14:val="solid"/>
            <w14:bevel/>
          </w14:textOutline>
        </w:rPr>
        <w:t>三</w:t>
      </w:r>
      <w:r>
        <w:rPr>
          <w:rFonts w:hint="eastAsia" w:asciiTheme="minorEastAsia" w:hAnsiTheme="minorEastAsia" w:eastAsiaTheme="minorEastAsia" w:cstheme="minorEastAsia"/>
          <w:color w:val="auto"/>
          <w:spacing w:val="-29"/>
          <w:sz w:val="35"/>
          <w:szCs w:val="35"/>
        </w:rPr>
        <w:t xml:space="preserve"> </w:t>
      </w:r>
      <w:r>
        <w:rPr>
          <w:rFonts w:hint="eastAsia" w:asciiTheme="minorEastAsia" w:hAnsiTheme="minorEastAsia" w:eastAsiaTheme="minorEastAsia" w:cstheme="minorEastAsia"/>
          <w:color w:val="auto"/>
          <w:spacing w:val="-29"/>
          <w:sz w:val="35"/>
          <w:szCs w:val="35"/>
          <w14:textOutline w14:w="6537" w14:cap="sq" w14:cmpd="sng">
            <w14:solidFill>
              <w14:srgbClr w14:val="000000"/>
            </w14:solidFill>
            <w14:prstDash w14:val="solid"/>
            <w14:bevel/>
          </w14:textOutline>
        </w:rPr>
        <w:t>章</w:t>
      </w:r>
      <w:r>
        <w:rPr>
          <w:rFonts w:hint="eastAsia" w:asciiTheme="minorEastAsia" w:hAnsiTheme="minorEastAsia" w:eastAsiaTheme="minorEastAsia" w:cstheme="minorEastAsia"/>
          <w:color w:val="auto"/>
          <w:spacing w:val="-29"/>
          <w:sz w:val="35"/>
          <w:szCs w:val="35"/>
        </w:rPr>
        <w:t xml:space="preserve">  </w:t>
      </w:r>
      <w:r>
        <w:rPr>
          <w:rFonts w:hint="eastAsia" w:asciiTheme="minorEastAsia" w:hAnsiTheme="minorEastAsia" w:eastAsiaTheme="minorEastAsia" w:cstheme="minorEastAsia"/>
          <w:color w:val="auto"/>
          <w:spacing w:val="-29"/>
          <w:sz w:val="35"/>
          <w:szCs w:val="35"/>
          <w14:textOutline w14:w="6537" w14:cap="sq" w14:cmpd="sng">
            <w14:solidFill>
              <w14:srgbClr w14:val="000000"/>
            </w14:solidFill>
            <w14:prstDash w14:val="solid"/>
            <w14:bevel/>
          </w14:textOutline>
        </w:rPr>
        <w:t>评</w:t>
      </w:r>
      <w:r>
        <w:rPr>
          <w:rFonts w:hint="eastAsia" w:asciiTheme="minorEastAsia" w:hAnsiTheme="minorEastAsia" w:eastAsiaTheme="minorEastAsia" w:cstheme="minorEastAsia"/>
          <w:color w:val="auto"/>
          <w:spacing w:val="-29"/>
          <w:sz w:val="35"/>
          <w:szCs w:val="35"/>
        </w:rPr>
        <w:t xml:space="preserve"> </w:t>
      </w:r>
      <w:r>
        <w:rPr>
          <w:rFonts w:hint="eastAsia" w:asciiTheme="minorEastAsia" w:hAnsiTheme="minorEastAsia" w:eastAsiaTheme="minorEastAsia" w:cstheme="minorEastAsia"/>
          <w:color w:val="auto"/>
          <w:spacing w:val="-29"/>
          <w:sz w:val="35"/>
          <w:szCs w:val="35"/>
          <w14:textOutline w14:w="6537" w14:cap="sq" w14:cmpd="sng">
            <w14:solidFill>
              <w14:srgbClr w14:val="000000"/>
            </w14:solidFill>
            <w14:prstDash w14:val="solid"/>
            <w14:bevel/>
          </w14:textOutline>
        </w:rPr>
        <w:t>标</w:t>
      </w:r>
      <w:r>
        <w:rPr>
          <w:rFonts w:hint="eastAsia" w:asciiTheme="minorEastAsia" w:hAnsiTheme="minorEastAsia" w:eastAsiaTheme="minorEastAsia" w:cstheme="minorEastAsia"/>
          <w:color w:val="auto"/>
          <w:spacing w:val="-29"/>
          <w:sz w:val="35"/>
          <w:szCs w:val="35"/>
        </w:rPr>
        <w:t xml:space="preserve"> </w:t>
      </w:r>
      <w:r>
        <w:rPr>
          <w:rFonts w:hint="eastAsia" w:asciiTheme="minorEastAsia" w:hAnsiTheme="minorEastAsia" w:eastAsiaTheme="minorEastAsia" w:cstheme="minorEastAsia"/>
          <w:color w:val="auto"/>
          <w:spacing w:val="-29"/>
          <w:sz w:val="35"/>
          <w:szCs w:val="35"/>
          <w14:textOutline w14:w="6537" w14:cap="sq" w14:cmpd="sng">
            <w14:solidFill>
              <w14:srgbClr w14:val="000000"/>
            </w14:solidFill>
            <w14:prstDash w14:val="solid"/>
            <w14:bevel/>
          </w14:textOutline>
        </w:rPr>
        <w:t>办</w:t>
      </w:r>
      <w:r>
        <w:rPr>
          <w:rFonts w:hint="eastAsia" w:asciiTheme="minorEastAsia" w:hAnsiTheme="minorEastAsia" w:eastAsiaTheme="minorEastAsia" w:cstheme="minorEastAsia"/>
          <w:color w:val="auto"/>
          <w:spacing w:val="-29"/>
          <w:sz w:val="35"/>
          <w:szCs w:val="35"/>
        </w:rPr>
        <w:t xml:space="preserve"> </w:t>
      </w:r>
      <w:r>
        <w:rPr>
          <w:rFonts w:hint="eastAsia" w:asciiTheme="minorEastAsia" w:hAnsiTheme="minorEastAsia" w:eastAsiaTheme="minorEastAsia" w:cstheme="minorEastAsia"/>
          <w:color w:val="auto"/>
          <w:spacing w:val="-29"/>
          <w:sz w:val="35"/>
          <w:szCs w:val="35"/>
          <w14:textOutline w14:w="6537" w14:cap="sq" w14:cmpd="sng">
            <w14:solidFill>
              <w14:srgbClr w14:val="000000"/>
            </w14:solidFill>
            <w14:prstDash w14:val="solid"/>
            <w14:bevel/>
          </w14:textOutline>
        </w:rPr>
        <w:t>法</w:t>
      </w:r>
    </w:p>
    <w:p>
      <w:pPr>
        <w:spacing w:before="269" w:line="227" w:lineRule="auto"/>
        <w:ind w:left="1425"/>
        <w:rPr>
          <w:rFonts w:hint="eastAsia" w:asciiTheme="minorEastAsia" w:hAnsiTheme="minorEastAsia" w:eastAsiaTheme="minorEastAsia" w:cstheme="minorEastAsia"/>
          <w:color w:val="auto"/>
          <w:sz w:val="35"/>
          <w:szCs w:val="35"/>
        </w:rPr>
      </w:pPr>
      <w:r>
        <w:rPr>
          <w:rFonts w:hint="eastAsia" w:asciiTheme="minorEastAsia" w:hAnsiTheme="minorEastAsia" w:eastAsiaTheme="minorEastAsia" w:cstheme="minorEastAsia"/>
          <w:color w:val="auto"/>
          <w:spacing w:val="-52"/>
          <w:sz w:val="35"/>
          <w:szCs w:val="35"/>
          <w14:textOutline w14:w="6537"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35"/>
          <w:sz w:val="35"/>
          <w:szCs w:val="35"/>
        </w:rPr>
        <w:t xml:space="preserve"> </w:t>
      </w:r>
      <w:r>
        <w:rPr>
          <w:rFonts w:hint="eastAsia" w:asciiTheme="minorEastAsia" w:hAnsiTheme="minorEastAsia" w:eastAsiaTheme="minorEastAsia" w:cstheme="minorEastAsia"/>
          <w:color w:val="auto"/>
          <w:spacing w:val="-35"/>
          <w:sz w:val="35"/>
          <w:szCs w:val="35"/>
          <w14:textOutline w14:w="6537" w14:cap="sq" w14:cmpd="sng">
            <w14:solidFill>
              <w14:srgbClr w14:val="000000"/>
            </w14:solidFill>
            <w14:prstDash w14:val="solid"/>
            <w14:bevel/>
          </w14:textOutline>
        </w:rPr>
        <w:t>双</w:t>
      </w:r>
      <w:r>
        <w:rPr>
          <w:rFonts w:hint="eastAsia" w:asciiTheme="minorEastAsia" w:hAnsiTheme="minorEastAsia" w:eastAsiaTheme="minorEastAsia" w:cstheme="minorEastAsia"/>
          <w:color w:val="auto"/>
          <w:spacing w:val="-35"/>
          <w:sz w:val="35"/>
          <w:szCs w:val="35"/>
        </w:rPr>
        <w:t xml:space="preserve"> </w:t>
      </w:r>
      <w:r>
        <w:rPr>
          <w:rFonts w:hint="eastAsia" w:asciiTheme="minorEastAsia" w:hAnsiTheme="minorEastAsia" w:eastAsiaTheme="minorEastAsia" w:cstheme="minorEastAsia"/>
          <w:color w:val="auto"/>
          <w:spacing w:val="-35"/>
          <w:sz w:val="35"/>
          <w:szCs w:val="35"/>
          <w14:textOutline w14:w="6537" w14:cap="sq" w14:cmpd="sng">
            <w14:solidFill>
              <w14:srgbClr w14:val="000000"/>
            </w14:solidFill>
            <w14:prstDash w14:val="solid"/>
            <w14:bevel/>
          </w14:textOutline>
        </w:rPr>
        <w:t>信</w:t>
      </w:r>
      <w:r>
        <w:rPr>
          <w:rFonts w:hint="eastAsia" w:asciiTheme="minorEastAsia" w:hAnsiTheme="minorEastAsia" w:eastAsiaTheme="minorEastAsia" w:cstheme="minorEastAsia"/>
          <w:color w:val="auto"/>
          <w:spacing w:val="-35"/>
          <w:sz w:val="35"/>
          <w:szCs w:val="35"/>
        </w:rPr>
        <w:t xml:space="preserve"> </w:t>
      </w:r>
      <w:r>
        <w:rPr>
          <w:rFonts w:hint="eastAsia" w:asciiTheme="minorEastAsia" w:hAnsiTheme="minorEastAsia" w:eastAsiaTheme="minorEastAsia" w:cstheme="minorEastAsia"/>
          <w:color w:val="auto"/>
          <w:spacing w:val="-35"/>
          <w:sz w:val="35"/>
          <w:szCs w:val="35"/>
          <w14:textOutline w14:w="6537" w14:cap="sq" w14:cmpd="sng">
            <w14:solidFill>
              <w14:srgbClr w14:val="000000"/>
            </w14:solidFill>
            <w14:prstDash w14:val="solid"/>
            <w14:bevel/>
          </w14:textOutline>
        </w:rPr>
        <w:t>封</w:t>
      </w:r>
      <w:r>
        <w:rPr>
          <w:rFonts w:hint="eastAsia" w:asciiTheme="minorEastAsia" w:hAnsiTheme="minorEastAsia" w:eastAsiaTheme="minorEastAsia" w:cstheme="minorEastAsia"/>
          <w:color w:val="auto"/>
          <w:spacing w:val="-35"/>
          <w:sz w:val="35"/>
          <w:szCs w:val="35"/>
        </w:rPr>
        <w:t xml:space="preserve"> </w:t>
      </w:r>
      <w:r>
        <w:rPr>
          <w:rFonts w:hint="eastAsia" w:asciiTheme="minorEastAsia" w:hAnsiTheme="minorEastAsia" w:eastAsiaTheme="minorEastAsia" w:cstheme="minorEastAsia"/>
          <w:color w:val="auto"/>
          <w:spacing w:val="-35"/>
          <w:sz w:val="35"/>
          <w:szCs w:val="35"/>
          <w14:textOutline w14:w="6537" w14:cap="sq" w14:cmpd="sng">
            <w14:solidFill>
              <w14:srgbClr w14:val="000000"/>
            </w14:solidFill>
            <w14:prstDash w14:val="solid"/>
            <w14:bevel/>
          </w14:textOutline>
        </w:rPr>
        <w:t>的</w:t>
      </w:r>
      <w:r>
        <w:rPr>
          <w:rFonts w:hint="eastAsia" w:asciiTheme="minorEastAsia" w:hAnsiTheme="minorEastAsia" w:eastAsiaTheme="minorEastAsia" w:cstheme="minorEastAsia"/>
          <w:color w:val="auto"/>
          <w:spacing w:val="-35"/>
          <w:sz w:val="35"/>
          <w:szCs w:val="35"/>
        </w:rPr>
        <w:t xml:space="preserve"> </w:t>
      </w:r>
      <w:r>
        <w:rPr>
          <w:rFonts w:hint="eastAsia" w:asciiTheme="minorEastAsia" w:hAnsiTheme="minorEastAsia" w:eastAsiaTheme="minorEastAsia" w:cstheme="minorEastAsia"/>
          <w:color w:val="auto"/>
          <w:spacing w:val="-35"/>
          <w:sz w:val="35"/>
          <w:szCs w:val="35"/>
          <w14:textOutline w14:w="6537" w14:cap="sq" w14:cmpd="sng">
            <w14:solidFill>
              <w14:srgbClr w14:val="000000"/>
            </w14:solidFill>
            <w14:prstDash w14:val="solid"/>
            <w14:bevel/>
          </w14:textOutline>
        </w:rPr>
        <w:t>技</w:t>
      </w:r>
      <w:r>
        <w:rPr>
          <w:rFonts w:hint="eastAsia" w:asciiTheme="minorEastAsia" w:hAnsiTheme="minorEastAsia" w:eastAsiaTheme="minorEastAsia" w:cstheme="minorEastAsia"/>
          <w:color w:val="auto"/>
          <w:spacing w:val="-35"/>
          <w:sz w:val="35"/>
          <w:szCs w:val="35"/>
        </w:rPr>
        <w:t xml:space="preserve"> </w:t>
      </w:r>
      <w:r>
        <w:rPr>
          <w:rFonts w:hint="eastAsia" w:asciiTheme="minorEastAsia" w:hAnsiTheme="minorEastAsia" w:eastAsiaTheme="minorEastAsia" w:cstheme="minorEastAsia"/>
          <w:color w:val="auto"/>
          <w:spacing w:val="-35"/>
          <w:sz w:val="35"/>
          <w:szCs w:val="35"/>
          <w14:textOutline w14:w="6537" w14:cap="sq" w14:cmpd="sng">
            <w14:solidFill>
              <w14:srgbClr w14:val="000000"/>
            </w14:solidFill>
            <w14:prstDash w14:val="solid"/>
            <w14:bevel/>
          </w14:textOutline>
        </w:rPr>
        <w:t>术</w:t>
      </w:r>
      <w:r>
        <w:rPr>
          <w:rFonts w:hint="eastAsia" w:asciiTheme="minorEastAsia" w:hAnsiTheme="minorEastAsia" w:eastAsiaTheme="minorEastAsia" w:cstheme="minorEastAsia"/>
          <w:color w:val="auto"/>
          <w:spacing w:val="-35"/>
          <w:sz w:val="35"/>
          <w:szCs w:val="35"/>
        </w:rPr>
        <w:t xml:space="preserve"> </w:t>
      </w:r>
      <w:r>
        <w:rPr>
          <w:rFonts w:hint="eastAsia" w:asciiTheme="minorEastAsia" w:hAnsiTheme="minorEastAsia" w:eastAsiaTheme="minorEastAsia" w:cstheme="minorEastAsia"/>
          <w:color w:val="auto"/>
          <w:spacing w:val="-35"/>
          <w:sz w:val="35"/>
          <w:szCs w:val="35"/>
          <w14:textOutline w14:w="6537" w14:cap="sq" w14:cmpd="sng">
            <w14:solidFill>
              <w14:srgbClr w14:val="000000"/>
            </w14:solidFill>
            <w14:prstDash w14:val="solid"/>
            <w14:bevel/>
          </w14:textOutline>
        </w:rPr>
        <w:t>评</w:t>
      </w:r>
      <w:r>
        <w:rPr>
          <w:rFonts w:hint="eastAsia" w:asciiTheme="minorEastAsia" w:hAnsiTheme="minorEastAsia" w:eastAsiaTheme="minorEastAsia" w:cstheme="minorEastAsia"/>
          <w:color w:val="auto"/>
          <w:spacing w:val="-35"/>
          <w:sz w:val="35"/>
          <w:szCs w:val="35"/>
        </w:rPr>
        <w:t xml:space="preserve"> </w:t>
      </w:r>
      <w:r>
        <w:rPr>
          <w:rFonts w:hint="eastAsia" w:asciiTheme="minorEastAsia" w:hAnsiTheme="minorEastAsia" w:eastAsiaTheme="minorEastAsia" w:cstheme="minorEastAsia"/>
          <w:color w:val="auto"/>
          <w:spacing w:val="-35"/>
          <w:sz w:val="35"/>
          <w:szCs w:val="35"/>
          <w14:textOutline w14:w="6537" w14:cap="sq" w14:cmpd="sng">
            <w14:solidFill>
              <w14:srgbClr w14:val="000000"/>
            </w14:solidFill>
            <w14:prstDash w14:val="solid"/>
            <w14:bevel/>
          </w14:textOutline>
        </w:rPr>
        <w:t>分</w:t>
      </w:r>
      <w:r>
        <w:rPr>
          <w:rFonts w:hint="eastAsia" w:asciiTheme="minorEastAsia" w:hAnsiTheme="minorEastAsia" w:eastAsiaTheme="minorEastAsia" w:cstheme="minorEastAsia"/>
          <w:color w:val="auto"/>
          <w:spacing w:val="-35"/>
          <w:sz w:val="35"/>
          <w:szCs w:val="35"/>
        </w:rPr>
        <w:t xml:space="preserve"> </w:t>
      </w:r>
      <w:r>
        <w:rPr>
          <w:rFonts w:hint="eastAsia" w:asciiTheme="minorEastAsia" w:hAnsiTheme="minorEastAsia" w:eastAsiaTheme="minorEastAsia" w:cstheme="minorEastAsia"/>
          <w:color w:val="auto"/>
          <w:spacing w:val="-35"/>
          <w:sz w:val="35"/>
          <w:szCs w:val="35"/>
          <w14:textOutline w14:w="6537" w14:cap="sq" w14:cmpd="sng">
            <w14:solidFill>
              <w14:srgbClr w14:val="000000"/>
            </w14:solidFill>
            <w14:prstDash w14:val="solid"/>
            <w14:bevel/>
          </w14:textOutline>
        </w:rPr>
        <w:t>最</w:t>
      </w:r>
      <w:r>
        <w:rPr>
          <w:rFonts w:hint="eastAsia" w:asciiTheme="minorEastAsia" w:hAnsiTheme="minorEastAsia" w:eastAsiaTheme="minorEastAsia" w:cstheme="minorEastAsia"/>
          <w:color w:val="auto"/>
          <w:spacing w:val="-35"/>
          <w:sz w:val="35"/>
          <w:szCs w:val="35"/>
        </w:rPr>
        <w:t xml:space="preserve"> </w:t>
      </w:r>
      <w:r>
        <w:rPr>
          <w:rFonts w:hint="eastAsia" w:asciiTheme="minorEastAsia" w:hAnsiTheme="minorEastAsia" w:eastAsiaTheme="minorEastAsia" w:cstheme="minorEastAsia"/>
          <w:color w:val="auto"/>
          <w:spacing w:val="-35"/>
          <w:sz w:val="35"/>
          <w:szCs w:val="35"/>
          <w14:textOutline w14:w="6537" w14:cap="sq" w14:cmpd="sng">
            <w14:solidFill>
              <w14:srgbClr w14:val="000000"/>
            </w14:solidFill>
            <w14:prstDash w14:val="solid"/>
            <w14:bevel/>
          </w14:textOutline>
        </w:rPr>
        <w:t>低</w:t>
      </w:r>
      <w:r>
        <w:rPr>
          <w:rFonts w:hint="eastAsia" w:asciiTheme="minorEastAsia" w:hAnsiTheme="minorEastAsia" w:eastAsiaTheme="minorEastAsia" w:cstheme="minorEastAsia"/>
          <w:color w:val="auto"/>
          <w:spacing w:val="-35"/>
          <w:sz w:val="35"/>
          <w:szCs w:val="35"/>
        </w:rPr>
        <w:t xml:space="preserve"> </w:t>
      </w:r>
      <w:r>
        <w:rPr>
          <w:rFonts w:hint="eastAsia" w:asciiTheme="minorEastAsia" w:hAnsiTheme="minorEastAsia" w:eastAsiaTheme="minorEastAsia" w:cstheme="minorEastAsia"/>
          <w:color w:val="auto"/>
          <w:spacing w:val="-35"/>
          <w:sz w:val="35"/>
          <w:szCs w:val="35"/>
          <w14:textOutline w14:w="6537" w14:cap="sq" w14:cmpd="sng">
            <w14:solidFill>
              <w14:srgbClr w14:val="000000"/>
            </w14:solidFill>
            <w14:prstDash w14:val="solid"/>
            <w14:bevel/>
          </w14:textOutline>
        </w:rPr>
        <w:t>标</w:t>
      </w:r>
      <w:r>
        <w:rPr>
          <w:rFonts w:hint="eastAsia" w:asciiTheme="minorEastAsia" w:hAnsiTheme="minorEastAsia" w:eastAsiaTheme="minorEastAsia" w:cstheme="minorEastAsia"/>
          <w:color w:val="auto"/>
          <w:spacing w:val="-35"/>
          <w:sz w:val="35"/>
          <w:szCs w:val="35"/>
        </w:rPr>
        <w:t xml:space="preserve"> </w:t>
      </w:r>
      <w:r>
        <w:rPr>
          <w:rFonts w:hint="eastAsia" w:asciiTheme="minorEastAsia" w:hAnsiTheme="minorEastAsia" w:eastAsiaTheme="minorEastAsia" w:cstheme="minorEastAsia"/>
          <w:color w:val="auto"/>
          <w:spacing w:val="-35"/>
          <w:sz w:val="35"/>
          <w:szCs w:val="35"/>
          <w14:textOutline w14:w="6537" w14:cap="sq" w14:cmpd="sng">
            <w14:solidFill>
              <w14:srgbClr w14:val="000000"/>
            </w14:solidFill>
            <w14:prstDash w14:val="solid"/>
            <w14:bevel/>
          </w14:textOutline>
        </w:rPr>
        <w:t>价</w:t>
      </w:r>
      <w:r>
        <w:rPr>
          <w:rFonts w:hint="eastAsia" w:asciiTheme="minorEastAsia" w:hAnsiTheme="minorEastAsia" w:eastAsiaTheme="minorEastAsia" w:cstheme="minorEastAsia"/>
          <w:color w:val="auto"/>
          <w:spacing w:val="-35"/>
          <w:sz w:val="35"/>
          <w:szCs w:val="35"/>
        </w:rPr>
        <w:t xml:space="preserve"> </w:t>
      </w:r>
      <w:r>
        <w:rPr>
          <w:rFonts w:hint="eastAsia" w:asciiTheme="minorEastAsia" w:hAnsiTheme="minorEastAsia" w:eastAsiaTheme="minorEastAsia" w:cstheme="minorEastAsia"/>
          <w:color w:val="auto"/>
          <w:spacing w:val="-35"/>
          <w:sz w:val="35"/>
          <w:szCs w:val="35"/>
          <w14:textOutline w14:w="6537" w14:cap="sq" w14:cmpd="sng">
            <w14:solidFill>
              <w14:srgbClr w14:val="000000"/>
            </w14:solidFill>
            <w14:prstDash w14:val="solid"/>
            <w14:bevel/>
          </w14:textOutline>
        </w:rPr>
        <w:t>法</w:t>
      </w:r>
      <w:r>
        <w:rPr>
          <w:rFonts w:hint="eastAsia" w:asciiTheme="minorEastAsia" w:hAnsiTheme="minorEastAsia" w:eastAsiaTheme="minorEastAsia" w:cstheme="minorEastAsia"/>
          <w:color w:val="auto"/>
          <w:spacing w:val="-35"/>
          <w:sz w:val="35"/>
          <w:szCs w:val="35"/>
        </w:rPr>
        <w:t xml:space="preserve"> </w:t>
      </w:r>
      <w:r>
        <w:rPr>
          <w:rFonts w:hint="eastAsia" w:asciiTheme="minorEastAsia" w:hAnsiTheme="minorEastAsia" w:eastAsiaTheme="minorEastAsia" w:cstheme="minorEastAsia"/>
          <w:color w:val="auto"/>
          <w:spacing w:val="-35"/>
          <w:sz w:val="35"/>
          <w:szCs w:val="35"/>
          <w14:textOutline w14:w="6537" w14:cap="sq" w14:cmpd="sng">
            <w14:solidFill>
              <w14:srgbClr w14:val="000000"/>
            </w14:solidFill>
            <w14:prstDash w14:val="solid"/>
            <w14:bevel/>
          </w14:textOutline>
        </w:rPr>
        <w:t>)</w:t>
      </w:r>
    </w:p>
    <w:p>
      <w:pPr>
        <w:spacing w:line="295" w:lineRule="auto"/>
        <w:rPr>
          <w:rFonts w:hint="eastAsia" w:asciiTheme="minorEastAsia" w:hAnsiTheme="minorEastAsia" w:eastAsiaTheme="minorEastAsia" w:cstheme="minorEastAsia"/>
          <w:color w:val="auto"/>
          <w:sz w:val="21"/>
        </w:rPr>
      </w:pPr>
    </w:p>
    <w:p>
      <w:pPr>
        <w:spacing w:before="91" w:line="213" w:lineRule="auto"/>
        <w:ind w:left="55"/>
        <w:rPr>
          <w:rFonts w:hint="eastAsia" w:asciiTheme="minorEastAsia" w:hAnsiTheme="minorEastAsia" w:eastAsiaTheme="minorEastAsia" w:cstheme="minorEastAsia"/>
          <w:color w:val="auto"/>
          <w:sz w:val="24"/>
          <w:szCs w:val="24"/>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1"/>
          <w:sz w:val="24"/>
          <w:szCs w:val="24"/>
          <w14:textOutline w14:w="5103" w14:cap="sq" w14:cmpd="sng">
            <w14:solidFill>
              <w14:srgbClr w14:val="000000"/>
            </w14:solidFill>
            <w14:prstDash w14:val="solid"/>
            <w14:bevel/>
          </w14:textOutline>
        </w:rPr>
        <w:t>评标</w:t>
      </w:r>
      <w:r>
        <w:rPr>
          <w:rFonts w:hint="eastAsia" w:asciiTheme="minorEastAsia" w:hAnsiTheme="minorEastAsia" w:eastAsiaTheme="minorEastAsia" w:cstheme="minorEastAsia"/>
          <w:color w:val="auto"/>
          <w:sz w:val="24"/>
          <w:szCs w:val="24"/>
          <w14:textOutline w14:w="5103" w14:cap="sq" w14:cmpd="sng">
            <w14:solidFill>
              <w14:srgbClr w14:val="000000"/>
            </w14:solidFill>
            <w14:prstDash w14:val="solid"/>
            <w14:bevel/>
          </w14:textOutline>
        </w:rPr>
        <w:t>办法前附表</w:t>
      </w:r>
    </w:p>
    <w:tbl>
      <w:tblPr>
        <w:tblStyle w:val="3"/>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210"/>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951" w:type="dxa"/>
            <w:gridSpan w:val="2"/>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w:t>
            </w:r>
          </w:p>
        </w:tc>
        <w:tc>
          <w:tcPr>
            <w:tcW w:w="7796" w:type="dxa"/>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Align w:val="center"/>
          </w:tcPr>
          <w:p>
            <w:pPr>
              <w:pStyle w:val="5"/>
              <w:shd w:val="clear" w:color="auto" w:fill="auto"/>
              <w:spacing w:before="0" w:line="360" w:lineRule="auto"/>
              <w:jc w:val="center"/>
              <w:rPr>
                <w:rFonts w:cs="楷体" w:asciiTheme="minorEastAsia" w:hAnsiTheme="minorEastAsia" w:eastAsiaTheme="minorEastAsia"/>
                <w:color w:val="auto"/>
                <w:sz w:val="21"/>
                <w:szCs w:val="21"/>
                <w:highlight w:val="none"/>
              </w:rPr>
            </w:pPr>
            <w:r>
              <w:rPr>
                <w:rStyle w:val="6"/>
                <w:rFonts w:hint="eastAsia" w:cs="楷体" w:asciiTheme="minorEastAsia" w:hAnsiTheme="minorEastAsia" w:eastAsiaTheme="minorEastAsia"/>
                <w:color w:val="auto"/>
                <w:sz w:val="21"/>
                <w:szCs w:val="21"/>
                <w:highlight w:val="none"/>
                <w:lang w:val="zh-CN"/>
              </w:rPr>
              <w:t>1</w:t>
            </w:r>
          </w:p>
        </w:tc>
        <w:tc>
          <w:tcPr>
            <w:tcW w:w="1210" w:type="dxa"/>
            <w:vAlign w:val="center"/>
          </w:tcPr>
          <w:p>
            <w:pPr>
              <w:pStyle w:val="5"/>
              <w:shd w:val="clear" w:color="auto" w:fill="auto"/>
              <w:spacing w:before="0" w:line="360" w:lineRule="auto"/>
              <w:jc w:val="center"/>
              <w:rPr>
                <w:rFonts w:cs="楷体" w:asciiTheme="minorEastAsia" w:hAnsiTheme="minorEastAsia" w:eastAsiaTheme="minorEastAsia"/>
                <w:color w:val="auto"/>
                <w:sz w:val="21"/>
                <w:szCs w:val="21"/>
                <w:highlight w:val="none"/>
              </w:rPr>
            </w:pPr>
            <w:r>
              <w:rPr>
                <w:rStyle w:val="6"/>
                <w:rFonts w:hint="eastAsia" w:cs="楷体" w:asciiTheme="minorEastAsia" w:hAnsiTheme="minorEastAsia" w:eastAsiaTheme="minorEastAsia"/>
                <w:color w:val="auto"/>
                <w:sz w:val="21"/>
                <w:szCs w:val="21"/>
                <w:highlight w:val="none"/>
                <w:lang w:val="zh-CN"/>
              </w:rPr>
              <w:t>评标方法</w:t>
            </w:r>
          </w:p>
        </w:tc>
        <w:tc>
          <w:tcPr>
            <w:tcW w:w="7796" w:type="dxa"/>
            <w:vAlign w:val="center"/>
          </w:tcPr>
          <w:p>
            <w:pPr>
              <w:pStyle w:val="7"/>
              <w:spacing w:line="340" w:lineRule="exact"/>
              <w:ind w:left="44" w:leftChars="21" w:right="158" w:rightChars="75" w:firstLine="270" w:firstLineChars="129"/>
              <w:rPr>
                <w:rFonts w:hint="eastAsia" w:ascii="宋体" w:hAnsi="宋体" w:cs="宋体"/>
                <w:color w:val="auto"/>
                <w:sz w:val="21"/>
                <w:szCs w:val="21"/>
                <w:highlight w:val="none"/>
              </w:rPr>
            </w:pPr>
            <w:r>
              <w:rPr>
                <w:rFonts w:hint="eastAsia" w:ascii="宋体" w:hAnsi="宋体" w:cs="宋体"/>
                <w:color w:val="auto"/>
                <w:sz w:val="21"/>
                <w:szCs w:val="21"/>
                <w:highlight w:val="none"/>
              </w:rPr>
              <w:t>评标价相等时，评标委员会依次按照以下优先顺序推荐中标候选人或确定中标人：</w:t>
            </w:r>
          </w:p>
          <w:p>
            <w:pPr>
              <w:pStyle w:val="7"/>
              <w:spacing w:line="340" w:lineRule="exact"/>
              <w:ind w:right="158" w:rightChars="75"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（1）按招标文件规定被认定为最新年度广东省公路工程从业单位信用评价等级较高的投标人优先；</w:t>
            </w:r>
          </w:p>
          <w:p>
            <w:pPr>
              <w:pStyle w:val="7"/>
              <w:spacing w:line="340" w:lineRule="exact"/>
              <w:ind w:left="216" w:right="158" w:rightChars="75"/>
              <w:rPr>
                <w:rFonts w:hint="eastAsia" w:ascii="宋体" w:hAnsi="宋体" w:cs="宋体"/>
                <w:color w:val="auto"/>
                <w:sz w:val="21"/>
                <w:szCs w:val="21"/>
                <w:highlight w:val="none"/>
              </w:rPr>
            </w:pPr>
            <w:r>
              <w:rPr>
                <w:rFonts w:hint="eastAsia" w:ascii="宋体" w:hAnsi="宋体" w:cs="宋体"/>
                <w:color w:val="auto"/>
                <w:sz w:val="21"/>
                <w:szCs w:val="21"/>
                <w:highlight w:val="none"/>
              </w:rPr>
              <w:t>【采用如下的优先顺序：承诺使用的AA级投标人、不承诺使用的AA级投标人、承诺使用的A级投标人、不承诺使用的A级投标人、B级投标人、未参评且被确定为B级投标人】</w:t>
            </w:r>
          </w:p>
          <w:p>
            <w:pPr>
              <w:pStyle w:val="7"/>
              <w:numPr>
                <w:ilvl w:val="0"/>
                <w:numId w:val="1"/>
              </w:numPr>
              <w:spacing w:line="340" w:lineRule="exact"/>
              <w:ind w:left="44" w:leftChars="21" w:right="158" w:rightChars="75" w:firstLine="165" w:firstLineChars="79"/>
              <w:rPr>
                <w:rFonts w:hint="eastAsia" w:ascii="宋体" w:hAnsi="宋体" w:cs="宋体"/>
                <w:color w:val="auto"/>
                <w:sz w:val="21"/>
                <w:szCs w:val="21"/>
                <w:highlight w:val="none"/>
              </w:rPr>
            </w:pPr>
            <w:r>
              <w:rPr>
                <w:rFonts w:hint="eastAsia" w:ascii="宋体" w:hAnsi="宋体" w:cs="宋体"/>
                <w:color w:val="auto"/>
                <w:sz w:val="21"/>
                <w:szCs w:val="21"/>
                <w:highlight w:val="none"/>
              </w:rPr>
              <w:t>以投标人企业最新年度的净资产较高的优先；</w:t>
            </w:r>
          </w:p>
          <w:p>
            <w:pPr>
              <w:pStyle w:val="7"/>
              <w:numPr>
                <w:ilvl w:val="0"/>
                <w:numId w:val="1"/>
              </w:numPr>
              <w:spacing w:line="340" w:lineRule="exact"/>
              <w:ind w:left="44" w:leftChars="21" w:right="158" w:rightChars="75" w:firstLine="165" w:firstLineChars="79"/>
              <w:rPr>
                <w:rFonts w:cs="楷体" w:asciiTheme="minorEastAsia" w:hAnsiTheme="minorEastAsia" w:eastAsiaTheme="minorEastAsia"/>
                <w:color w:val="auto"/>
                <w:sz w:val="21"/>
                <w:szCs w:val="21"/>
                <w:highlight w:val="none"/>
              </w:rPr>
            </w:pPr>
            <w:r>
              <w:rPr>
                <w:rFonts w:hint="eastAsia" w:ascii="宋体" w:hAnsi="宋体" w:cs="宋体"/>
                <w:color w:val="auto"/>
                <w:sz w:val="21"/>
                <w:szCs w:val="21"/>
                <w:highlight w:val="none"/>
              </w:rPr>
              <w:t>评标委员会视投标人情况综合比较，投票确定其名次。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41" w:type="dxa"/>
            <w:vAlign w:val="center"/>
          </w:tcPr>
          <w:p>
            <w:pPr>
              <w:pStyle w:val="5"/>
              <w:shd w:val="clear" w:color="auto" w:fill="auto"/>
              <w:spacing w:before="0" w:line="360" w:lineRule="auto"/>
              <w:jc w:val="center"/>
              <w:rPr>
                <w:rFonts w:cs="楷体" w:asciiTheme="minorEastAsia" w:hAnsiTheme="minorEastAsia" w:eastAsiaTheme="minorEastAsia"/>
                <w:color w:val="auto"/>
                <w:sz w:val="21"/>
                <w:szCs w:val="21"/>
                <w:highlight w:val="none"/>
              </w:rPr>
            </w:pPr>
            <w:r>
              <w:rPr>
                <w:rStyle w:val="15"/>
                <w:rFonts w:hint="eastAsia" w:cs="楷体" w:asciiTheme="minorEastAsia" w:hAnsiTheme="minorEastAsia" w:eastAsiaTheme="minorEastAsia"/>
                <w:color w:val="auto"/>
                <w:sz w:val="21"/>
                <w:szCs w:val="21"/>
                <w:highlight w:val="none"/>
              </w:rPr>
              <w:t>2.1.1</w:t>
            </w:r>
          </w:p>
          <w:p>
            <w:pPr>
              <w:pStyle w:val="5"/>
              <w:shd w:val="clear" w:color="auto" w:fill="auto"/>
              <w:spacing w:before="0" w:line="360" w:lineRule="auto"/>
              <w:jc w:val="center"/>
              <w:rPr>
                <w:rFonts w:cs="楷体" w:asciiTheme="minorEastAsia" w:hAnsiTheme="minorEastAsia" w:eastAsiaTheme="minorEastAsia"/>
                <w:color w:val="auto"/>
                <w:sz w:val="21"/>
                <w:szCs w:val="21"/>
                <w:highlight w:val="none"/>
              </w:rPr>
            </w:pPr>
            <w:r>
              <w:rPr>
                <w:rStyle w:val="15"/>
                <w:rFonts w:hint="eastAsia" w:cs="楷体" w:asciiTheme="minorEastAsia" w:hAnsiTheme="minorEastAsia" w:eastAsiaTheme="minorEastAsia"/>
                <w:color w:val="auto"/>
                <w:sz w:val="21"/>
                <w:szCs w:val="21"/>
                <w:highlight w:val="none"/>
              </w:rPr>
              <w:t>2.1.3</w:t>
            </w:r>
          </w:p>
        </w:tc>
        <w:tc>
          <w:tcPr>
            <w:tcW w:w="1210" w:type="dxa"/>
            <w:vAlign w:val="center"/>
          </w:tcPr>
          <w:p>
            <w:pPr>
              <w:pStyle w:val="5"/>
              <w:shd w:val="clear" w:color="auto" w:fill="auto"/>
              <w:spacing w:before="0" w:line="360" w:lineRule="auto"/>
              <w:jc w:val="center"/>
              <w:rPr>
                <w:rFonts w:cs="楷体" w:asciiTheme="minorEastAsia" w:hAnsiTheme="minorEastAsia" w:eastAsiaTheme="minorEastAsia"/>
                <w:color w:val="auto"/>
                <w:sz w:val="21"/>
                <w:szCs w:val="21"/>
                <w:highlight w:val="none"/>
              </w:rPr>
            </w:pPr>
            <w:r>
              <w:rPr>
                <w:rStyle w:val="6"/>
                <w:rFonts w:hint="eastAsia" w:cs="楷体" w:asciiTheme="minorEastAsia" w:hAnsiTheme="minorEastAsia" w:eastAsiaTheme="minorEastAsia"/>
                <w:color w:val="auto"/>
                <w:sz w:val="21"/>
                <w:szCs w:val="21"/>
                <w:highlight w:val="none"/>
                <w:lang w:val="zh-CN"/>
              </w:rPr>
              <w:t>形式评审与响应性评审标准</w:t>
            </w:r>
          </w:p>
        </w:tc>
        <w:tc>
          <w:tcPr>
            <w:tcW w:w="7796" w:type="dxa"/>
            <w:vAlign w:val="center"/>
          </w:tcPr>
          <w:p>
            <w:pPr>
              <w:pStyle w:val="7"/>
              <w:spacing w:line="340" w:lineRule="exact"/>
              <w:ind w:right="158" w:rightChars="75"/>
              <w:rPr>
                <w:rFonts w:hint="eastAsia" w:ascii="宋体" w:hAnsi="宋体" w:cs="宋体"/>
                <w:b/>
                <w:color w:val="auto"/>
                <w:sz w:val="21"/>
                <w:szCs w:val="21"/>
                <w:highlight w:val="none"/>
              </w:rPr>
            </w:pPr>
            <w:r>
              <w:rPr>
                <w:rFonts w:hint="eastAsia" w:ascii="宋体" w:hAnsi="宋体" w:cs="宋体"/>
                <w:b/>
                <w:color w:val="auto"/>
                <w:sz w:val="21"/>
                <w:szCs w:val="21"/>
                <w:highlight w:val="none"/>
              </w:rPr>
              <w:t>第一个信封（商务及技术文件）评审标准：</w:t>
            </w:r>
          </w:p>
          <w:p>
            <w:pPr>
              <w:pStyle w:val="7"/>
              <w:spacing w:line="340" w:lineRule="exact"/>
              <w:ind w:left="44" w:leftChars="21" w:right="158" w:rightChars="75" w:firstLine="165" w:firstLineChars="79"/>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（1）投标文件按照招标文件规定的格式、内容填写，字迹清晰可辨</w:t>
            </w:r>
            <w:r>
              <w:rPr>
                <w:rFonts w:hint="eastAsia" w:ascii="宋体" w:hAnsi="宋体" w:cs="宋体"/>
                <w:color w:val="auto"/>
                <w:sz w:val="21"/>
                <w:szCs w:val="21"/>
                <w:highlight w:val="none"/>
                <w:u w:val="single"/>
              </w:rPr>
              <w:t>，并按招标文件的要求提供了有效的证明材料</w:t>
            </w:r>
            <w:r>
              <w:rPr>
                <w:rFonts w:hint="eastAsia" w:ascii="宋体" w:hAnsi="宋体" w:cs="宋体"/>
                <w:color w:val="auto"/>
                <w:sz w:val="21"/>
                <w:szCs w:val="21"/>
                <w:highlight w:val="none"/>
              </w:rPr>
              <w:t>：</w:t>
            </w:r>
          </w:p>
          <w:p>
            <w:pPr>
              <w:pStyle w:val="7"/>
              <w:spacing w:line="340" w:lineRule="exact"/>
              <w:ind w:right="168" w:rightChars="8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a.投标函按招标文件规定填报了项目名称、标段号（</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如有</w:t>
            </w:r>
            <w:r>
              <w:rPr>
                <w:rFonts w:ascii="宋体" w:hAnsi="宋体" w:cs="宋体"/>
                <w:color w:val="auto"/>
                <w:sz w:val="21"/>
                <w:szCs w:val="21"/>
                <w:highlight w:val="none"/>
              </w:rPr>
              <w:t>)</w:t>
            </w:r>
            <w:r>
              <w:rPr>
                <w:rFonts w:hint="eastAsia" w:ascii="宋体" w:hAnsi="宋体" w:cs="宋体"/>
                <w:color w:val="auto"/>
                <w:sz w:val="21"/>
                <w:szCs w:val="21"/>
                <w:highlight w:val="none"/>
              </w:rPr>
              <w:t>、补遗书编号（如有）、工期、工程质量要求及安全目标；</w:t>
            </w:r>
          </w:p>
          <w:p>
            <w:pPr>
              <w:pStyle w:val="7"/>
              <w:spacing w:line="340" w:lineRule="exact"/>
              <w:ind w:right="168" w:rightChars="80" w:firstLine="420" w:firstLineChars="200"/>
              <w:rPr>
                <w:rFonts w:hint="eastAsia" w:ascii="宋体" w:hAnsi="宋体" w:cs="宋体"/>
                <w:color w:val="auto"/>
                <w:sz w:val="21"/>
                <w:szCs w:val="21"/>
                <w:highlight w:val="none"/>
              </w:rPr>
            </w:pPr>
            <w:r>
              <w:rPr>
                <w:rFonts w:ascii="宋体" w:hAnsi="宋体" w:cs="宋体"/>
                <w:color w:val="auto"/>
                <w:sz w:val="21"/>
                <w:szCs w:val="21"/>
                <w:highlight w:val="none"/>
              </w:rPr>
              <w:t>b.</w:t>
            </w:r>
            <w:r>
              <w:rPr>
                <w:rFonts w:hint="eastAsia" w:ascii="宋体" w:hAnsi="宋体" w:cs="宋体"/>
                <w:color w:val="auto"/>
                <w:sz w:val="21"/>
                <w:szCs w:val="21"/>
                <w:highlight w:val="none"/>
              </w:rPr>
              <w:t>投标函附录的所有数据均符合招标文件规定；</w:t>
            </w:r>
          </w:p>
          <w:p>
            <w:pPr>
              <w:pStyle w:val="7"/>
              <w:spacing w:line="340" w:lineRule="exact"/>
              <w:ind w:left="61" w:leftChars="29" w:right="168" w:rightChars="80" w:firstLine="361" w:firstLineChars="172"/>
              <w:rPr>
                <w:rFonts w:hint="eastAsia" w:ascii="宋体" w:hAnsi="宋体" w:cs="宋体"/>
                <w:color w:val="auto"/>
                <w:sz w:val="21"/>
                <w:szCs w:val="21"/>
                <w:highlight w:val="none"/>
              </w:rPr>
            </w:pPr>
            <w:r>
              <w:rPr>
                <w:rFonts w:hint="eastAsia" w:ascii="宋体" w:hAnsi="宋体" w:cs="宋体"/>
                <w:color w:val="auto"/>
                <w:sz w:val="21"/>
                <w:szCs w:val="21"/>
                <w:highlight w:val="none"/>
              </w:rPr>
              <w:t>c.投标文件组成齐全完整，内容均按规定填写。</w:t>
            </w:r>
          </w:p>
          <w:p>
            <w:pPr>
              <w:pStyle w:val="7"/>
              <w:spacing w:line="340" w:lineRule="exact"/>
              <w:ind w:left="61" w:leftChars="29" w:right="168" w:rightChars="80" w:firstLine="151" w:firstLineChars="72"/>
              <w:rPr>
                <w:rFonts w:hint="eastAsia" w:ascii="宋体" w:hAnsi="宋体" w:cs="宋体"/>
                <w:color w:val="auto"/>
                <w:sz w:val="21"/>
                <w:szCs w:val="21"/>
                <w:highlight w:val="none"/>
              </w:rPr>
            </w:pPr>
            <w:r>
              <w:rPr>
                <w:rFonts w:hint="eastAsia" w:ascii="宋体" w:hAnsi="宋体" w:cs="宋体"/>
                <w:color w:val="auto"/>
                <w:sz w:val="21"/>
                <w:szCs w:val="21"/>
                <w:highlight w:val="none"/>
              </w:rPr>
              <w:t>（2）投标文件上法定代表人或其委托代理人的签字、投标人的单位章盖章齐全，符合招标文件规定。</w:t>
            </w:r>
          </w:p>
          <w:p>
            <w:pPr>
              <w:spacing w:before="29"/>
              <w:ind w:left="330" w:right="-20"/>
              <w:rPr>
                <w:rFonts w:ascii="宋体" w:hAnsi="宋体" w:cs="宋体"/>
                <w:strike/>
                <w:dstrike w:val="0"/>
                <w:color w:val="auto"/>
                <w:sz w:val="21"/>
                <w:szCs w:val="21"/>
                <w:highlight w:val="none"/>
              </w:rPr>
            </w:pPr>
            <w:r>
              <w:rPr>
                <w:rFonts w:ascii="宋体" w:hAnsi="宋体" w:cs="宋体"/>
                <w:strike/>
                <w:dstrike w:val="0"/>
                <w:color w:val="auto"/>
                <w:sz w:val="21"/>
                <w:szCs w:val="21"/>
                <w:highlight w:val="none"/>
              </w:rPr>
              <w:t>（</w:t>
            </w:r>
            <w:r>
              <w:rPr>
                <w:rFonts w:hint="eastAsia" w:ascii="宋体" w:hAnsi="宋体" w:cs="宋体"/>
                <w:strike/>
                <w:dstrike w:val="0"/>
                <w:color w:val="auto"/>
                <w:sz w:val="21"/>
                <w:szCs w:val="21"/>
                <w:highlight w:val="none"/>
              </w:rPr>
              <w:t>3</w:t>
            </w:r>
            <w:r>
              <w:rPr>
                <w:rFonts w:ascii="宋体" w:hAnsi="宋体" w:cs="宋体"/>
                <w:strike/>
                <w:dstrike w:val="0"/>
                <w:color w:val="auto"/>
                <w:sz w:val="21"/>
                <w:szCs w:val="21"/>
                <w:highlight w:val="none"/>
              </w:rPr>
              <w:t>）投标人按照招标文件的规定提供了投标保证金：</w:t>
            </w:r>
          </w:p>
          <w:p>
            <w:pPr>
              <w:spacing w:before="98" w:line="316" w:lineRule="auto"/>
              <w:ind w:left="119" w:right="57" w:firstLine="360"/>
              <w:rPr>
                <w:rFonts w:ascii="宋体" w:hAnsi="宋体" w:cs="宋体"/>
                <w:strike/>
                <w:dstrike w:val="0"/>
                <w:color w:val="auto"/>
                <w:sz w:val="21"/>
                <w:szCs w:val="21"/>
                <w:highlight w:val="none"/>
              </w:rPr>
            </w:pPr>
            <w:r>
              <w:rPr>
                <w:rFonts w:ascii="宋体" w:hAnsi="宋体" w:cs="宋体"/>
                <w:strike/>
                <w:dstrike w:val="0"/>
                <w:color w:val="auto"/>
                <w:sz w:val="21"/>
                <w:szCs w:val="21"/>
                <w:highlight w:val="none"/>
              </w:rPr>
              <w:t>a.投标保证金金额符合招标文件规定的金额，且投标保证金有效期不少 于投标有效期；</w:t>
            </w:r>
          </w:p>
          <w:p>
            <w:pPr>
              <w:spacing w:before="31" w:line="316" w:lineRule="auto"/>
              <w:ind w:left="119" w:right="53" w:firstLine="360"/>
              <w:rPr>
                <w:rFonts w:ascii="宋体" w:hAnsi="宋体" w:cs="宋体"/>
                <w:strike/>
                <w:dstrike w:val="0"/>
                <w:color w:val="auto"/>
                <w:sz w:val="21"/>
                <w:szCs w:val="21"/>
                <w:highlight w:val="none"/>
              </w:rPr>
            </w:pPr>
            <w:r>
              <w:rPr>
                <w:rFonts w:ascii="宋体" w:hAnsi="宋体" w:cs="宋体"/>
                <w:strike/>
                <w:dstrike w:val="0"/>
                <w:color w:val="auto"/>
                <w:sz w:val="21"/>
                <w:szCs w:val="21"/>
                <w:highlight w:val="none"/>
              </w:rPr>
              <w:t>b.若投标保证金采用现金或支票形式提交，投标人应在投标人须知 3.4.1 款规定的时间，将投标保证金由投标人的基本账户转入招标人指定账户；</w:t>
            </w:r>
          </w:p>
          <w:p>
            <w:pPr>
              <w:spacing w:before="31" w:line="318" w:lineRule="auto"/>
              <w:ind w:left="119" w:right="54" w:firstLine="360"/>
              <w:rPr>
                <w:rFonts w:hint="eastAsia" w:ascii="宋体" w:hAnsi="宋体" w:cs="宋体"/>
                <w:strike/>
                <w:dstrike w:val="0"/>
                <w:color w:val="auto"/>
                <w:sz w:val="21"/>
                <w:szCs w:val="21"/>
                <w:highlight w:val="none"/>
              </w:rPr>
            </w:pPr>
            <w:r>
              <w:rPr>
                <w:rFonts w:ascii="宋体" w:hAnsi="宋体" w:cs="宋体"/>
                <w:strike/>
                <w:dstrike w:val="0"/>
                <w:color w:val="auto"/>
                <w:sz w:val="21"/>
                <w:szCs w:val="21"/>
                <w:highlight w:val="none"/>
              </w:rPr>
              <w:t>c.若投标保证金采用银行保函或投标人须知前附表 3.4.1 项规定的其他 形式提交，应满足招标文件要求。</w:t>
            </w:r>
          </w:p>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（4）投标人法定代表人授权委托代理人签署投标文件的，需提交授权委托书，且授权人和被授权人均在授权委托书上签名，未使用印章、签名章或其他电子制版签名代替。</w:t>
            </w:r>
          </w:p>
          <w:p>
            <w:pPr>
              <w:pStyle w:val="7"/>
              <w:spacing w:line="400" w:lineRule="exact"/>
              <w:ind w:right="168" w:rightChars="80"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（5）投标人法定代表人亲自签署投标文件的，提供了法定代表人身份证明，且法定代表人在法定代表人身份证明上签名，未使用印章、签名章或其他电子制版签名代替。</w:t>
            </w:r>
          </w:p>
          <w:p>
            <w:pPr>
              <w:pStyle w:val="7"/>
              <w:spacing w:line="400" w:lineRule="exact"/>
              <w:ind w:right="168" w:rightChars="80"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（6）投标人未以联合体形式投标。</w:t>
            </w:r>
          </w:p>
          <w:p>
            <w:pPr>
              <w:pStyle w:val="7"/>
              <w:spacing w:line="400" w:lineRule="exact"/>
              <w:ind w:left="61" w:leftChars="29" w:right="168" w:rightChars="80" w:firstLine="151" w:firstLineChars="72"/>
              <w:rPr>
                <w:rFonts w:hint="eastAsia" w:ascii="宋体" w:hAnsi="宋体" w:cs="宋体"/>
                <w:color w:val="auto"/>
                <w:sz w:val="21"/>
                <w:szCs w:val="21"/>
                <w:highlight w:val="none"/>
              </w:rPr>
            </w:pPr>
            <w:r>
              <w:rPr>
                <w:rFonts w:hint="eastAsia" w:ascii="宋体" w:hAnsi="宋体" w:cs="宋体"/>
                <w:color w:val="auto"/>
                <w:sz w:val="21"/>
                <w:szCs w:val="21"/>
                <w:highlight w:val="none"/>
              </w:rPr>
              <w:t>（7）同一投标人未提交两个以上不同的投标文件。</w:t>
            </w:r>
          </w:p>
          <w:p>
            <w:pPr>
              <w:pStyle w:val="7"/>
              <w:spacing w:line="400" w:lineRule="exact"/>
              <w:ind w:left="61" w:leftChars="29" w:right="168" w:rightChars="80" w:firstLine="151" w:firstLineChars="72"/>
              <w:rPr>
                <w:rFonts w:hint="eastAsia" w:ascii="宋体" w:hAnsi="宋体" w:cs="宋体"/>
                <w:color w:val="auto"/>
                <w:sz w:val="21"/>
                <w:szCs w:val="21"/>
                <w:highlight w:val="none"/>
              </w:rPr>
            </w:pPr>
            <w:r>
              <w:rPr>
                <w:rFonts w:hint="eastAsia" w:ascii="宋体" w:hAnsi="宋体" w:cs="宋体"/>
                <w:color w:val="auto"/>
                <w:sz w:val="21"/>
                <w:szCs w:val="21"/>
                <w:highlight w:val="none"/>
              </w:rPr>
              <w:t>（8）投标文件中未出现有关投标报价的内容。</w:t>
            </w:r>
          </w:p>
          <w:p>
            <w:pPr>
              <w:pStyle w:val="7"/>
              <w:spacing w:line="400" w:lineRule="exact"/>
              <w:ind w:left="61" w:leftChars="29" w:right="168" w:rightChars="80" w:firstLine="151" w:firstLineChars="72"/>
              <w:rPr>
                <w:rFonts w:hint="eastAsia" w:ascii="宋体" w:hAnsi="宋体" w:cs="宋体"/>
                <w:color w:val="auto"/>
                <w:sz w:val="21"/>
                <w:szCs w:val="21"/>
                <w:highlight w:val="none"/>
              </w:rPr>
            </w:pPr>
            <w:r>
              <w:rPr>
                <w:rFonts w:hint="eastAsia" w:ascii="宋体" w:hAnsi="宋体" w:cs="宋体"/>
                <w:color w:val="auto"/>
                <w:sz w:val="21"/>
                <w:szCs w:val="21"/>
                <w:highlight w:val="none"/>
              </w:rPr>
              <w:t>（9）投标文件载明的招标项目完成期限未超过招标文件规定的时限。</w:t>
            </w:r>
          </w:p>
          <w:p>
            <w:pPr>
              <w:pStyle w:val="7"/>
              <w:spacing w:line="400" w:lineRule="exact"/>
              <w:ind w:left="61" w:leftChars="29" w:right="168" w:rightChars="80" w:firstLine="151" w:firstLineChars="72"/>
              <w:rPr>
                <w:rFonts w:hint="eastAsia" w:ascii="宋体" w:hAnsi="宋体" w:cs="宋体"/>
                <w:color w:val="auto"/>
                <w:sz w:val="21"/>
                <w:szCs w:val="21"/>
                <w:highlight w:val="none"/>
              </w:rPr>
            </w:pPr>
            <w:r>
              <w:rPr>
                <w:rFonts w:hint="eastAsia" w:ascii="宋体" w:hAnsi="宋体" w:cs="宋体"/>
                <w:color w:val="auto"/>
                <w:sz w:val="21"/>
                <w:szCs w:val="21"/>
                <w:highlight w:val="none"/>
              </w:rPr>
              <w:t>（10）投标文件对招标文件的实质性要求和条件作出响应。</w:t>
            </w:r>
          </w:p>
          <w:p>
            <w:pPr>
              <w:pStyle w:val="7"/>
              <w:spacing w:line="400" w:lineRule="exact"/>
              <w:ind w:left="61" w:leftChars="29" w:right="168" w:rightChars="80" w:firstLine="151" w:firstLineChars="72"/>
              <w:rPr>
                <w:rFonts w:hint="eastAsia" w:ascii="宋体" w:hAnsi="宋体" w:cs="宋体"/>
                <w:color w:val="auto"/>
                <w:sz w:val="21"/>
                <w:szCs w:val="21"/>
                <w:highlight w:val="none"/>
              </w:rPr>
            </w:pPr>
            <w:r>
              <w:rPr>
                <w:rFonts w:hint="eastAsia" w:ascii="宋体" w:hAnsi="宋体" w:cs="宋体"/>
                <w:color w:val="auto"/>
                <w:sz w:val="21"/>
                <w:szCs w:val="21"/>
                <w:highlight w:val="none"/>
              </w:rPr>
              <w:t>（11）权利义务符合招标文件规定：</w:t>
            </w:r>
          </w:p>
          <w:p>
            <w:pPr>
              <w:pStyle w:val="7"/>
              <w:spacing w:line="360" w:lineRule="auto"/>
              <w:ind w:left="61" w:leftChars="29" w:right="168" w:rightChars="80" w:firstLine="361" w:firstLineChars="172"/>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a.投标人应接受招标文件规定的风险划分原则，未提出新的风险划分办法； </w:t>
            </w:r>
          </w:p>
          <w:p>
            <w:pPr>
              <w:pStyle w:val="7"/>
              <w:spacing w:line="360" w:lineRule="auto"/>
              <w:ind w:left="61" w:leftChars="29" w:right="168" w:rightChars="80" w:firstLine="361" w:firstLineChars="172"/>
              <w:rPr>
                <w:rFonts w:hint="eastAsia" w:ascii="宋体" w:hAnsi="宋体" w:cs="宋体"/>
                <w:color w:val="auto"/>
                <w:sz w:val="21"/>
                <w:szCs w:val="21"/>
                <w:highlight w:val="none"/>
              </w:rPr>
            </w:pPr>
            <w:r>
              <w:rPr>
                <w:rFonts w:hint="eastAsia" w:ascii="宋体" w:hAnsi="宋体" w:cs="宋体"/>
                <w:color w:val="auto"/>
                <w:sz w:val="21"/>
                <w:szCs w:val="21"/>
                <w:highlight w:val="none"/>
              </w:rPr>
              <w:t>b.投标人未增加发包人的责任范围，或减少投标人义务；</w:t>
            </w:r>
          </w:p>
          <w:p>
            <w:pPr>
              <w:pStyle w:val="7"/>
              <w:spacing w:line="360" w:lineRule="auto"/>
              <w:ind w:left="61" w:leftChars="29" w:right="168" w:rightChars="80" w:firstLine="361" w:firstLineChars="172"/>
              <w:rPr>
                <w:rFonts w:hint="eastAsia" w:ascii="宋体" w:hAnsi="宋体" w:cs="宋体"/>
                <w:color w:val="auto"/>
                <w:sz w:val="21"/>
                <w:szCs w:val="21"/>
                <w:highlight w:val="none"/>
              </w:rPr>
            </w:pPr>
            <w:r>
              <w:rPr>
                <w:rFonts w:hint="eastAsia" w:ascii="宋体" w:hAnsi="宋体" w:cs="宋体"/>
                <w:color w:val="auto"/>
                <w:sz w:val="21"/>
                <w:szCs w:val="21"/>
                <w:highlight w:val="none"/>
              </w:rPr>
              <w:t>c.投标人未提出不同的工程验收、计量、支付办法；</w:t>
            </w:r>
          </w:p>
          <w:p>
            <w:pPr>
              <w:pStyle w:val="7"/>
              <w:spacing w:line="360" w:lineRule="auto"/>
              <w:ind w:left="61" w:leftChars="29" w:right="168" w:rightChars="80" w:firstLine="361" w:firstLineChars="172"/>
              <w:rPr>
                <w:rFonts w:hint="eastAsia" w:ascii="宋体" w:hAnsi="宋体" w:cs="宋体"/>
                <w:color w:val="auto"/>
                <w:sz w:val="21"/>
                <w:szCs w:val="21"/>
                <w:highlight w:val="none"/>
              </w:rPr>
            </w:pPr>
            <w:r>
              <w:rPr>
                <w:rFonts w:hint="eastAsia" w:ascii="宋体" w:hAnsi="宋体" w:cs="宋体"/>
                <w:color w:val="auto"/>
                <w:sz w:val="21"/>
                <w:szCs w:val="21"/>
                <w:highlight w:val="none"/>
              </w:rPr>
              <w:t>d.投标人对合同纠纷、事故处理办法未提出异议；</w:t>
            </w:r>
          </w:p>
          <w:p>
            <w:pPr>
              <w:pStyle w:val="7"/>
              <w:spacing w:line="360" w:lineRule="auto"/>
              <w:ind w:left="61" w:leftChars="29" w:right="168" w:rightChars="80" w:firstLine="361" w:firstLineChars="172"/>
              <w:rPr>
                <w:rFonts w:hint="eastAsia" w:ascii="宋体" w:hAnsi="宋体" w:cs="宋体"/>
                <w:color w:val="auto"/>
                <w:sz w:val="21"/>
                <w:szCs w:val="21"/>
                <w:highlight w:val="none"/>
              </w:rPr>
            </w:pPr>
            <w:r>
              <w:rPr>
                <w:rFonts w:hint="eastAsia" w:ascii="宋体" w:hAnsi="宋体" w:cs="宋体"/>
                <w:color w:val="auto"/>
                <w:sz w:val="21"/>
                <w:szCs w:val="21"/>
                <w:highlight w:val="none"/>
              </w:rPr>
              <w:t>e.投标人在投标活动中无欺诈行为；</w:t>
            </w:r>
          </w:p>
          <w:p>
            <w:pPr>
              <w:pStyle w:val="7"/>
              <w:spacing w:line="360" w:lineRule="auto"/>
              <w:ind w:left="61" w:leftChars="29" w:right="168" w:rightChars="80" w:firstLine="361" w:firstLineChars="172"/>
              <w:rPr>
                <w:rFonts w:hint="eastAsia" w:ascii="宋体" w:hAnsi="宋体" w:cs="宋体"/>
                <w:color w:val="auto"/>
                <w:sz w:val="21"/>
                <w:szCs w:val="21"/>
                <w:highlight w:val="none"/>
              </w:rPr>
            </w:pPr>
            <w:r>
              <w:rPr>
                <w:rFonts w:hint="eastAsia" w:ascii="宋体" w:hAnsi="宋体" w:cs="宋体"/>
                <w:color w:val="auto"/>
                <w:sz w:val="21"/>
                <w:szCs w:val="21"/>
                <w:highlight w:val="none"/>
              </w:rPr>
              <w:t>f.投标人未对合同条款有重要保留。</w:t>
            </w:r>
          </w:p>
          <w:p>
            <w:pPr>
              <w:pStyle w:val="7"/>
              <w:spacing w:line="400" w:lineRule="exact"/>
              <w:ind w:left="61" w:leftChars="29" w:right="168" w:rightChars="80" w:firstLine="151" w:firstLineChars="72"/>
              <w:rPr>
                <w:rFonts w:hint="eastAsia" w:ascii="宋体" w:hAnsi="宋体" w:cs="宋体"/>
                <w:color w:val="auto"/>
                <w:sz w:val="21"/>
                <w:szCs w:val="21"/>
                <w:highlight w:val="none"/>
              </w:rPr>
            </w:pPr>
            <w:r>
              <w:rPr>
                <w:rFonts w:hint="eastAsia" w:ascii="宋体" w:hAnsi="宋体" w:cs="宋体"/>
                <w:color w:val="auto"/>
                <w:sz w:val="21"/>
                <w:szCs w:val="21"/>
                <w:highlight w:val="none"/>
              </w:rPr>
              <w:t>（12）投标文件未附有招标人不能接受的条件。</w:t>
            </w:r>
          </w:p>
          <w:p>
            <w:pPr>
              <w:pStyle w:val="7"/>
              <w:spacing w:line="400" w:lineRule="exact"/>
              <w:ind w:left="61" w:leftChars="29" w:right="168" w:rightChars="80" w:firstLine="151" w:firstLineChars="72"/>
              <w:rPr>
                <w:color w:val="auto"/>
                <w:highlight w:val="none"/>
              </w:rPr>
            </w:pPr>
            <w:r>
              <w:rPr>
                <w:rFonts w:hint="eastAsia" w:ascii="宋体" w:hAnsi="宋体" w:cs="宋体"/>
                <w:color w:val="auto"/>
                <w:sz w:val="21"/>
                <w:szCs w:val="21"/>
                <w:highlight w:val="none"/>
              </w:rPr>
              <w:t>（13）不同投标人机器码不存在相同的情况。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1" w:hRule="atLeast"/>
          <w:jc w:val="center"/>
        </w:trPr>
        <w:tc>
          <w:tcPr>
            <w:tcW w:w="741" w:type="dxa"/>
            <w:vAlign w:val="center"/>
          </w:tcPr>
          <w:p>
            <w:pPr>
              <w:pStyle w:val="16"/>
              <w:shd w:val="clear" w:color="auto" w:fill="auto"/>
              <w:spacing w:before="0" w:line="360" w:lineRule="auto"/>
              <w:jc w:val="center"/>
              <w:rPr>
                <w:rStyle w:val="17"/>
                <w:rFonts w:cs="楷体" w:asciiTheme="minorEastAsia" w:hAnsiTheme="minorEastAsia" w:eastAsiaTheme="minorEastAsia"/>
                <w:color w:val="auto"/>
                <w:sz w:val="21"/>
                <w:szCs w:val="21"/>
                <w:highlight w:val="none"/>
              </w:rPr>
            </w:pPr>
            <w:r>
              <w:rPr>
                <w:rStyle w:val="17"/>
                <w:rFonts w:hint="eastAsia" w:cs="楷体" w:asciiTheme="minorEastAsia" w:hAnsiTheme="minorEastAsia" w:eastAsiaTheme="minorEastAsia"/>
                <w:color w:val="auto"/>
                <w:sz w:val="21"/>
                <w:szCs w:val="21"/>
                <w:highlight w:val="none"/>
              </w:rPr>
              <w:t>2.1.1</w:t>
            </w:r>
          </w:p>
          <w:p>
            <w:pPr>
              <w:pStyle w:val="16"/>
              <w:shd w:val="clear" w:color="auto" w:fill="auto"/>
              <w:spacing w:before="0" w:line="360" w:lineRule="auto"/>
              <w:jc w:val="center"/>
              <w:rPr>
                <w:rStyle w:val="15"/>
                <w:rFonts w:cs="楷体" w:asciiTheme="minorEastAsia" w:hAnsiTheme="minorEastAsia" w:eastAsiaTheme="minorEastAsia"/>
                <w:color w:val="auto"/>
                <w:sz w:val="21"/>
                <w:szCs w:val="21"/>
                <w:highlight w:val="none"/>
              </w:rPr>
            </w:pPr>
            <w:r>
              <w:rPr>
                <w:rStyle w:val="17"/>
                <w:rFonts w:hint="eastAsia" w:cs="楷体" w:asciiTheme="minorEastAsia" w:hAnsiTheme="minorEastAsia" w:eastAsiaTheme="minorEastAsia"/>
                <w:color w:val="auto"/>
                <w:sz w:val="21"/>
                <w:szCs w:val="21"/>
                <w:highlight w:val="none"/>
              </w:rPr>
              <w:t>2.1.3</w:t>
            </w:r>
          </w:p>
        </w:tc>
        <w:tc>
          <w:tcPr>
            <w:tcW w:w="1210" w:type="dxa"/>
            <w:vAlign w:val="center"/>
          </w:tcPr>
          <w:p>
            <w:pPr>
              <w:pStyle w:val="16"/>
              <w:shd w:val="clear" w:color="auto" w:fill="auto"/>
              <w:spacing w:before="0" w:line="360" w:lineRule="auto"/>
              <w:jc w:val="center"/>
              <w:rPr>
                <w:rStyle w:val="6"/>
                <w:rFonts w:cs="楷体" w:asciiTheme="minorEastAsia" w:hAnsiTheme="minorEastAsia" w:eastAsiaTheme="minorEastAsia"/>
                <w:color w:val="auto"/>
                <w:sz w:val="21"/>
                <w:szCs w:val="21"/>
                <w:highlight w:val="none"/>
              </w:rPr>
            </w:pPr>
            <w:r>
              <w:rPr>
                <w:rStyle w:val="18"/>
                <w:rFonts w:hint="eastAsia" w:cs="楷体" w:asciiTheme="minorEastAsia" w:hAnsiTheme="minorEastAsia" w:eastAsiaTheme="minorEastAsia"/>
                <w:color w:val="auto"/>
                <w:sz w:val="21"/>
                <w:szCs w:val="21"/>
                <w:highlight w:val="none"/>
                <w:lang w:val="zh-CN"/>
              </w:rPr>
              <w:t>形式评审与响应性评审标准</w:t>
            </w:r>
          </w:p>
        </w:tc>
        <w:tc>
          <w:tcPr>
            <w:tcW w:w="7796" w:type="dxa"/>
            <w:vAlign w:val="center"/>
          </w:tcPr>
          <w:p>
            <w:pPr>
              <w:pStyle w:val="7"/>
              <w:spacing w:before="173" w:line="360" w:lineRule="auto"/>
              <w:ind w:left="61" w:leftChars="29" w:right="168" w:rightChars="80" w:firstLine="152" w:firstLineChars="72"/>
              <w:rPr>
                <w:rFonts w:hint="eastAsia" w:ascii="宋体" w:hAnsi="宋体" w:cs="宋体"/>
                <w:b/>
                <w:color w:val="auto"/>
                <w:sz w:val="21"/>
                <w:szCs w:val="21"/>
                <w:highlight w:val="none"/>
              </w:rPr>
            </w:pPr>
            <w:r>
              <w:rPr>
                <w:rFonts w:hint="eastAsia" w:ascii="宋体" w:hAnsi="宋体" w:cs="宋体"/>
                <w:b/>
                <w:color w:val="auto"/>
                <w:sz w:val="21"/>
                <w:szCs w:val="21"/>
                <w:highlight w:val="none"/>
              </w:rPr>
              <w:t>第二个信封（报价文件）评审标准：</w:t>
            </w:r>
          </w:p>
          <w:p>
            <w:pPr>
              <w:pStyle w:val="7"/>
              <w:spacing w:line="360" w:lineRule="auto"/>
              <w:ind w:left="61" w:leftChars="29" w:right="168" w:rightChars="80" w:firstLine="151" w:firstLineChars="72"/>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（1）投标文件按照招标文件规定的格式、内容填写，字迹清晰可辨：</w:t>
            </w:r>
          </w:p>
          <w:p>
            <w:pPr>
              <w:pStyle w:val="7"/>
              <w:spacing w:line="360" w:lineRule="auto"/>
              <w:ind w:left="61" w:leftChars="29" w:right="168" w:rightChars="80" w:firstLine="361" w:firstLineChars="172"/>
              <w:rPr>
                <w:rFonts w:hint="eastAsia" w:ascii="宋体" w:hAnsi="宋体" w:cs="宋体"/>
                <w:color w:val="auto"/>
                <w:sz w:val="21"/>
                <w:szCs w:val="21"/>
                <w:highlight w:val="none"/>
              </w:rPr>
            </w:pPr>
            <w:r>
              <w:rPr>
                <w:rFonts w:hint="eastAsia" w:ascii="宋体" w:hAnsi="宋体" w:cs="宋体"/>
                <w:color w:val="auto"/>
                <w:sz w:val="21"/>
                <w:szCs w:val="21"/>
                <w:highlight w:val="none"/>
              </w:rPr>
              <w:t>a.投标函按招标文件规定填报了项目名称、补遗书编号（如有）、投标总报价（包括大写金额和小写金额）；</w:t>
            </w:r>
          </w:p>
          <w:p>
            <w:pPr>
              <w:pStyle w:val="7"/>
              <w:spacing w:line="360" w:lineRule="auto"/>
              <w:ind w:left="61" w:leftChars="29" w:right="168" w:rightChars="80" w:firstLine="361" w:firstLineChars="172"/>
              <w:rPr>
                <w:rFonts w:hint="eastAsia" w:ascii="宋体" w:hAnsi="宋体" w:cs="宋体"/>
                <w:color w:val="auto"/>
                <w:sz w:val="21"/>
                <w:szCs w:val="21"/>
                <w:highlight w:val="none"/>
              </w:rPr>
            </w:pPr>
            <w:r>
              <w:rPr>
                <w:rFonts w:hint="eastAsia" w:ascii="宋体" w:hAnsi="宋体" w:cs="宋体"/>
                <w:color w:val="auto"/>
                <w:sz w:val="21"/>
                <w:szCs w:val="21"/>
                <w:highlight w:val="none"/>
              </w:rPr>
              <w:t>b.已标价工程量清单说明文字与招标文件规定一致，未进行实质性修改和删减；</w:t>
            </w:r>
          </w:p>
          <w:p>
            <w:pPr>
              <w:pStyle w:val="7"/>
              <w:spacing w:line="360" w:lineRule="auto"/>
              <w:ind w:left="61" w:leftChars="29" w:right="168" w:rightChars="80" w:firstLine="361" w:firstLineChars="172"/>
              <w:rPr>
                <w:rFonts w:hint="eastAsia" w:ascii="宋体" w:hAnsi="宋体" w:cs="宋体"/>
                <w:color w:val="auto"/>
                <w:sz w:val="21"/>
                <w:szCs w:val="21"/>
                <w:highlight w:val="none"/>
              </w:rPr>
            </w:pPr>
            <w:r>
              <w:rPr>
                <w:rFonts w:hint="eastAsia" w:ascii="宋体" w:hAnsi="宋体" w:cs="宋体"/>
                <w:color w:val="auto"/>
                <w:sz w:val="21"/>
                <w:szCs w:val="21"/>
                <w:highlight w:val="none"/>
              </w:rPr>
              <w:t>c.投标文件组成齐全完整，内容均按规定填写。</w:t>
            </w:r>
          </w:p>
          <w:p>
            <w:pPr>
              <w:pStyle w:val="7"/>
              <w:spacing w:line="360" w:lineRule="auto"/>
              <w:ind w:left="61" w:leftChars="29" w:right="168" w:rightChars="80" w:firstLine="151" w:firstLineChars="72"/>
              <w:rPr>
                <w:rFonts w:hint="eastAsia" w:ascii="宋体" w:hAnsi="宋体" w:cs="宋体"/>
                <w:color w:val="auto"/>
                <w:sz w:val="21"/>
                <w:szCs w:val="21"/>
                <w:highlight w:val="none"/>
              </w:rPr>
            </w:pPr>
            <w:r>
              <w:rPr>
                <w:rFonts w:hint="eastAsia" w:ascii="宋体" w:hAnsi="宋体" w:cs="宋体"/>
                <w:color w:val="auto"/>
                <w:sz w:val="21"/>
                <w:szCs w:val="21"/>
                <w:highlight w:val="none"/>
              </w:rPr>
              <w:t>（2）投标文件上法定代表人或其委托代理人的签字、投标人的单位章盖章齐全，符合招标文件规定。</w:t>
            </w:r>
          </w:p>
          <w:p>
            <w:pPr>
              <w:pStyle w:val="7"/>
              <w:spacing w:line="360" w:lineRule="auto"/>
              <w:ind w:left="61" w:leftChars="29" w:right="168" w:rightChars="80" w:firstLine="151" w:firstLineChars="72"/>
              <w:rPr>
                <w:rFonts w:hint="eastAsia" w:ascii="宋体" w:hAnsi="宋体" w:cs="宋体"/>
                <w:color w:val="auto"/>
                <w:sz w:val="21"/>
                <w:szCs w:val="21"/>
                <w:highlight w:val="none"/>
              </w:rPr>
            </w:pPr>
            <w:r>
              <w:rPr>
                <w:rFonts w:hint="eastAsia" w:ascii="宋体" w:hAnsi="宋体" w:cs="宋体"/>
                <w:color w:val="auto"/>
                <w:sz w:val="21"/>
                <w:szCs w:val="21"/>
                <w:highlight w:val="none"/>
              </w:rPr>
              <w:t>（3）投标总报价未超过招标文件设定的最高投标限价。</w:t>
            </w:r>
          </w:p>
          <w:p>
            <w:pPr>
              <w:pStyle w:val="7"/>
              <w:spacing w:line="360" w:lineRule="auto"/>
              <w:ind w:left="61" w:leftChars="29" w:right="168" w:rightChars="80" w:firstLine="151" w:firstLineChars="72"/>
              <w:rPr>
                <w:rFonts w:hint="eastAsia" w:ascii="宋体" w:hAnsi="宋体" w:cs="宋体"/>
                <w:color w:val="auto"/>
                <w:sz w:val="21"/>
                <w:szCs w:val="21"/>
                <w:highlight w:val="none"/>
              </w:rPr>
            </w:pPr>
            <w:r>
              <w:rPr>
                <w:rFonts w:hint="eastAsia" w:ascii="宋体" w:hAnsi="宋体" w:cs="宋体"/>
                <w:color w:val="auto"/>
                <w:sz w:val="21"/>
                <w:szCs w:val="21"/>
                <w:highlight w:val="none"/>
              </w:rPr>
              <w:t>（4）投标总报价的大写金额能够确定具体数值。</w:t>
            </w:r>
          </w:p>
          <w:p>
            <w:pPr>
              <w:pStyle w:val="7"/>
              <w:spacing w:line="360" w:lineRule="auto"/>
              <w:ind w:left="61" w:leftChars="29" w:right="168" w:rightChars="80" w:firstLine="151" w:firstLineChars="72"/>
              <w:rPr>
                <w:rFonts w:hint="eastAsia" w:ascii="宋体" w:hAnsi="宋体" w:cs="宋体"/>
                <w:color w:val="auto"/>
                <w:sz w:val="21"/>
                <w:szCs w:val="21"/>
                <w:highlight w:val="none"/>
              </w:rPr>
            </w:pPr>
            <w:r>
              <w:rPr>
                <w:rFonts w:hint="eastAsia" w:ascii="宋体" w:hAnsi="宋体" w:cs="宋体"/>
                <w:color w:val="auto"/>
                <w:sz w:val="21"/>
                <w:szCs w:val="21"/>
                <w:highlight w:val="none"/>
              </w:rPr>
              <w:t>（5）同一投标人未提交两个以上不同的投标总报价。</w:t>
            </w:r>
          </w:p>
          <w:p>
            <w:pPr>
              <w:pStyle w:val="7"/>
              <w:spacing w:line="360" w:lineRule="auto"/>
              <w:ind w:left="61" w:leftChars="29" w:right="168" w:rightChars="80" w:firstLine="151" w:firstLineChars="72"/>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（6）投标人若填写工程量固化清单，填写完毕的工程量固化清单未对工程量固化清单电子文件中的数据、格式和运算定义进行修改；工程量固化清单中的投标总报价和投标函大写金额报价一致。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0" w:hRule="atLeast"/>
          <w:jc w:val="center"/>
        </w:trPr>
        <w:tc>
          <w:tcPr>
            <w:tcW w:w="741" w:type="dxa"/>
            <w:vAlign w:val="center"/>
          </w:tcPr>
          <w:p>
            <w:pPr>
              <w:jc w:val="center"/>
              <w:rPr>
                <w:rStyle w:val="19"/>
                <w:rFonts w:cs="楷体" w:asciiTheme="minorEastAsia" w:hAnsiTheme="minorEastAsia" w:eastAsiaTheme="minorEastAsia"/>
                <w:color w:val="auto"/>
                <w:sz w:val="21"/>
                <w:szCs w:val="21"/>
                <w:highlight w:val="none"/>
                <w:u w:val="none"/>
              </w:rPr>
            </w:pPr>
            <w:r>
              <w:rPr>
                <w:rStyle w:val="19"/>
                <w:rFonts w:hint="eastAsia" w:cs="楷体" w:asciiTheme="minorEastAsia" w:hAnsiTheme="minorEastAsia" w:eastAsiaTheme="minorEastAsia"/>
                <w:color w:val="auto"/>
                <w:sz w:val="21"/>
                <w:szCs w:val="21"/>
                <w:highlight w:val="none"/>
                <w:u w:val="none"/>
              </w:rPr>
              <w:t>2.1.2</w:t>
            </w:r>
          </w:p>
        </w:tc>
        <w:tc>
          <w:tcPr>
            <w:tcW w:w="1210" w:type="dxa"/>
            <w:vAlign w:val="center"/>
          </w:tcPr>
          <w:p>
            <w:pPr>
              <w:jc w:val="center"/>
              <w:rPr>
                <w:rStyle w:val="19"/>
                <w:rFonts w:cs="楷体" w:asciiTheme="minorEastAsia" w:hAnsiTheme="minorEastAsia" w:eastAsiaTheme="minorEastAsia"/>
                <w:color w:val="auto"/>
                <w:sz w:val="21"/>
                <w:szCs w:val="21"/>
                <w:highlight w:val="none"/>
                <w:u w:val="none"/>
              </w:rPr>
            </w:pPr>
            <w:r>
              <w:rPr>
                <w:rStyle w:val="19"/>
                <w:rFonts w:hint="eastAsia" w:cs="楷体" w:asciiTheme="minorEastAsia" w:hAnsiTheme="minorEastAsia" w:eastAsiaTheme="minorEastAsia"/>
                <w:color w:val="auto"/>
                <w:sz w:val="21"/>
                <w:szCs w:val="21"/>
                <w:highlight w:val="none"/>
                <w:u w:val="none"/>
              </w:rPr>
              <w:t>资格评审标准</w:t>
            </w:r>
          </w:p>
        </w:tc>
        <w:tc>
          <w:tcPr>
            <w:tcW w:w="7796" w:type="dxa"/>
            <w:vAlign w:val="center"/>
          </w:tcPr>
          <w:p>
            <w:pPr>
              <w:spacing w:line="400" w:lineRule="exact"/>
              <w:ind w:firstLine="210" w:firstLineChars="100"/>
              <w:rPr>
                <w:rFonts w:hint="eastAsia" w:ascii="宋体" w:hAnsi="宋体" w:cs="宋体"/>
                <w:color w:val="auto"/>
                <w:sz w:val="21"/>
                <w:szCs w:val="21"/>
                <w:highlight w:val="none"/>
                <w:lang w:bidi="zh-CN"/>
              </w:rPr>
            </w:pPr>
            <w:r>
              <w:rPr>
                <w:rFonts w:hint="eastAsia" w:ascii="宋体" w:hAnsi="宋体" w:cs="宋体"/>
                <w:color w:val="auto"/>
                <w:sz w:val="21"/>
                <w:szCs w:val="21"/>
                <w:highlight w:val="none"/>
              </w:rPr>
              <w:t>（1）</w:t>
            </w:r>
            <w:r>
              <w:rPr>
                <w:rFonts w:ascii="宋体" w:hAnsi="宋体" w:cs="宋体"/>
                <w:color w:val="auto"/>
                <w:spacing w:val="2"/>
                <w:sz w:val="21"/>
                <w:szCs w:val="21"/>
                <w:highlight w:val="none"/>
              </w:rPr>
              <w:t>投</w:t>
            </w:r>
            <w:r>
              <w:rPr>
                <w:rFonts w:ascii="宋体" w:hAnsi="宋体" w:cs="宋体"/>
                <w:color w:val="auto"/>
                <w:sz w:val="21"/>
                <w:szCs w:val="21"/>
                <w:highlight w:val="none"/>
              </w:rPr>
              <w:t>标</w:t>
            </w:r>
            <w:r>
              <w:rPr>
                <w:rFonts w:ascii="宋体" w:hAnsi="宋体" w:cs="宋体"/>
                <w:color w:val="auto"/>
                <w:spacing w:val="2"/>
                <w:sz w:val="21"/>
                <w:szCs w:val="21"/>
                <w:highlight w:val="none"/>
              </w:rPr>
              <w:t>人</w:t>
            </w:r>
            <w:r>
              <w:rPr>
                <w:rFonts w:ascii="宋体" w:hAnsi="宋体" w:cs="宋体"/>
                <w:color w:val="auto"/>
                <w:sz w:val="21"/>
                <w:szCs w:val="21"/>
                <w:highlight w:val="none"/>
              </w:rPr>
              <w:t>具</w:t>
            </w:r>
            <w:r>
              <w:rPr>
                <w:rFonts w:ascii="宋体" w:hAnsi="宋体" w:cs="宋体"/>
                <w:color w:val="auto"/>
                <w:spacing w:val="2"/>
                <w:sz w:val="21"/>
                <w:szCs w:val="21"/>
                <w:highlight w:val="none"/>
              </w:rPr>
              <w:t>备</w:t>
            </w:r>
            <w:r>
              <w:rPr>
                <w:rFonts w:ascii="宋体" w:hAnsi="宋体" w:cs="宋体"/>
                <w:color w:val="auto"/>
                <w:sz w:val="21"/>
                <w:szCs w:val="21"/>
                <w:highlight w:val="none"/>
              </w:rPr>
              <w:t>有</w:t>
            </w:r>
            <w:r>
              <w:rPr>
                <w:rFonts w:ascii="宋体" w:hAnsi="宋体" w:cs="宋体"/>
                <w:color w:val="auto"/>
                <w:spacing w:val="2"/>
                <w:sz w:val="21"/>
                <w:szCs w:val="21"/>
                <w:highlight w:val="none"/>
              </w:rPr>
              <w:t>效</w:t>
            </w:r>
            <w:r>
              <w:rPr>
                <w:rFonts w:ascii="宋体" w:hAnsi="宋体" w:cs="宋体"/>
                <w:color w:val="auto"/>
                <w:sz w:val="21"/>
                <w:szCs w:val="21"/>
                <w:highlight w:val="none"/>
              </w:rPr>
              <w:t>的</w:t>
            </w:r>
            <w:r>
              <w:rPr>
                <w:rFonts w:ascii="宋体" w:hAnsi="宋体" w:cs="宋体"/>
                <w:color w:val="auto"/>
                <w:spacing w:val="2"/>
                <w:sz w:val="21"/>
                <w:szCs w:val="21"/>
                <w:highlight w:val="none"/>
              </w:rPr>
              <w:t>营</w:t>
            </w:r>
            <w:r>
              <w:rPr>
                <w:rFonts w:ascii="宋体" w:hAnsi="宋体" w:cs="宋体"/>
                <w:color w:val="auto"/>
                <w:sz w:val="21"/>
                <w:szCs w:val="21"/>
                <w:highlight w:val="none"/>
              </w:rPr>
              <w:t>业</w:t>
            </w:r>
            <w:r>
              <w:rPr>
                <w:rFonts w:ascii="宋体" w:hAnsi="宋体" w:cs="宋体"/>
                <w:color w:val="auto"/>
                <w:spacing w:val="2"/>
                <w:sz w:val="21"/>
                <w:szCs w:val="21"/>
                <w:highlight w:val="none"/>
              </w:rPr>
              <w:t>执</w:t>
            </w:r>
            <w:r>
              <w:rPr>
                <w:rFonts w:ascii="宋体" w:hAnsi="宋体" w:cs="宋体"/>
                <w:color w:val="auto"/>
                <w:sz w:val="21"/>
                <w:szCs w:val="21"/>
                <w:highlight w:val="none"/>
              </w:rPr>
              <w:t>照</w:t>
            </w:r>
            <w:r>
              <w:rPr>
                <w:rFonts w:ascii="宋体" w:hAnsi="宋体" w:cs="宋体"/>
                <w:color w:val="auto"/>
                <w:spacing w:val="-7"/>
                <w:sz w:val="21"/>
                <w:szCs w:val="21"/>
                <w:highlight w:val="none"/>
              </w:rPr>
              <w:t>、</w:t>
            </w:r>
            <w:r>
              <w:rPr>
                <w:rFonts w:ascii="宋体" w:hAnsi="宋体" w:cs="宋体"/>
                <w:color w:val="auto"/>
                <w:spacing w:val="2"/>
                <w:sz w:val="21"/>
                <w:szCs w:val="21"/>
                <w:highlight w:val="none"/>
              </w:rPr>
              <w:t>资</w:t>
            </w:r>
            <w:r>
              <w:rPr>
                <w:rFonts w:ascii="宋体" w:hAnsi="宋体" w:cs="宋体"/>
                <w:color w:val="auto"/>
                <w:sz w:val="21"/>
                <w:szCs w:val="21"/>
                <w:highlight w:val="none"/>
              </w:rPr>
              <w:t>质</w:t>
            </w:r>
            <w:r>
              <w:rPr>
                <w:rFonts w:ascii="宋体" w:hAnsi="宋体" w:cs="宋体"/>
                <w:color w:val="auto"/>
                <w:spacing w:val="2"/>
                <w:sz w:val="21"/>
                <w:szCs w:val="21"/>
                <w:highlight w:val="none"/>
              </w:rPr>
              <w:t>证</w:t>
            </w:r>
            <w:r>
              <w:rPr>
                <w:rFonts w:ascii="宋体" w:hAnsi="宋体" w:cs="宋体"/>
                <w:color w:val="auto"/>
                <w:sz w:val="21"/>
                <w:szCs w:val="21"/>
                <w:highlight w:val="none"/>
              </w:rPr>
              <w:t>书</w:t>
            </w:r>
            <w:r>
              <w:rPr>
                <w:rFonts w:ascii="宋体" w:hAnsi="宋体" w:cs="宋体"/>
                <w:color w:val="auto"/>
                <w:spacing w:val="-7"/>
                <w:sz w:val="21"/>
                <w:szCs w:val="21"/>
                <w:highlight w:val="none"/>
              </w:rPr>
              <w:t>、</w:t>
            </w:r>
            <w:r>
              <w:rPr>
                <w:rFonts w:ascii="宋体" w:hAnsi="宋体" w:cs="宋体"/>
                <w:color w:val="auto"/>
                <w:spacing w:val="2"/>
                <w:sz w:val="21"/>
                <w:szCs w:val="21"/>
                <w:highlight w:val="none"/>
              </w:rPr>
              <w:t>安</w:t>
            </w:r>
            <w:r>
              <w:rPr>
                <w:rFonts w:ascii="宋体" w:hAnsi="宋体" w:cs="宋体"/>
                <w:color w:val="auto"/>
                <w:sz w:val="21"/>
                <w:szCs w:val="21"/>
                <w:highlight w:val="none"/>
              </w:rPr>
              <w:t>全</w:t>
            </w:r>
            <w:r>
              <w:rPr>
                <w:rFonts w:ascii="宋体" w:hAnsi="宋体" w:cs="宋体"/>
                <w:color w:val="auto"/>
                <w:spacing w:val="2"/>
                <w:sz w:val="21"/>
                <w:szCs w:val="21"/>
                <w:highlight w:val="none"/>
              </w:rPr>
              <w:t>生</w:t>
            </w:r>
            <w:r>
              <w:rPr>
                <w:rFonts w:ascii="宋体" w:hAnsi="宋体" w:cs="宋体"/>
                <w:color w:val="auto"/>
                <w:sz w:val="21"/>
                <w:szCs w:val="21"/>
                <w:highlight w:val="none"/>
              </w:rPr>
              <w:t>产</w:t>
            </w:r>
            <w:r>
              <w:rPr>
                <w:rFonts w:ascii="宋体" w:hAnsi="宋体" w:cs="宋体"/>
                <w:color w:val="auto"/>
                <w:spacing w:val="2"/>
                <w:sz w:val="21"/>
                <w:szCs w:val="21"/>
                <w:highlight w:val="none"/>
              </w:rPr>
              <w:t>许</w:t>
            </w:r>
            <w:r>
              <w:rPr>
                <w:rFonts w:ascii="宋体" w:hAnsi="宋体" w:cs="宋体"/>
                <w:color w:val="auto"/>
                <w:sz w:val="21"/>
                <w:szCs w:val="21"/>
                <w:highlight w:val="none"/>
              </w:rPr>
              <w:t>可</w:t>
            </w:r>
            <w:r>
              <w:rPr>
                <w:rFonts w:ascii="宋体" w:hAnsi="宋体" w:cs="宋体"/>
                <w:color w:val="auto"/>
                <w:spacing w:val="2"/>
                <w:sz w:val="21"/>
                <w:szCs w:val="21"/>
                <w:highlight w:val="none"/>
              </w:rPr>
              <w:t>证</w:t>
            </w:r>
            <w:r>
              <w:rPr>
                <w:rFonts w:ascii="宋体" w:hAnsi="宋体" w:cs="宋体"/>
                <w:color w:val="auto"/>
                <w:sz w:val="21"/>
                <w:szCs w:val="21"/>
                <w:highlight w:val="none"/>
              </w:rPr>
              <w:t>和</w:t>
            </w:r>
            <w:r>
              <w:rPr>
                <w:rFonts w:ascii="宋体" w:hAnsi="宋体" w:cs="宋体"/>
                <w:color w:val="auto"/>
                <w:spacing w:val="2"/>
                <w:sz w:val="21"/>
                <w:szCs w:val="21"/>
                <w:highlight w:val="none"/>
              </w:rPr>
              <w:t>基</w:t>
            </w:r>
            <w:r>
              <w:rPr>
                <w:rFonts w:ascii="宋体" w:hAnsi="宋体" w:cs="宋体"/>
                <w:color w:val="auto"/>
                <w:sz w:val="21"/>
                <w:szCs w:val="21"/>
                <w:highlight w:val="none"/>
              </w:rPr>
              <w:t>本账</w:t>
            </w:r>
            <w:r>
              <w:rPr>
                <w:rFonts w:ascii="宋体" w:hAnsi="宋体" w:cs="宋体"/>
                <w:color w:val="auto"/>
                <w:spacing w:val="5"/>
                <w:sz w:val="21"/>
                <w:szCs w:val="21"/>
                <w:highlight w:val="none"/>
              </w:rPr>
              <w:t>户</w:t>
            </w:r>
            <w:r>
              <w:rPr>
                <w:rFonts w:ascii="宋体" w:hAnsi="宋体" w:cs="宋体"/>
                <w:color w:val="auto"/>
                <w:spacing w:val="2"/>
                <w:sz w:val="21"/>
                <w:szCs w:val="21"/>
                <w:highlight w:val="none"/>
              </w:rPr>
              <w:t>开</w:t>
            </w:r>
            <w:r>
              <w:rPr>
                <w:rFonts w:ascii="宋体" w:hAnsi="宋体" w:cs="宋体"/>
                <w:color w:val="auto"/>
                <w:spacing w:val="5"/>
                <w:sz w:val="21"/>
                <w:szCs w:val="21"/>
                <w:highlight w:val="none"/>
              </w:rPr>
              <w:t>户许</w:t>
            </w:r>
            <w:r>
              <w:rPr>
                <w:rFonts w:ascii="宋体" w:hAnsi="宋体" w:cs="宋体"/>
                <w:color w:val="auto"/>
                <w:spacing w:val="2"/>
                <w:sz w:val="21"/>
                <w:szCs w:val="21"/>
                <w:highlight w:val="none"/>
              </w:rPr>
              <w:t>可</w:t>
            </w:r>
            <w:r>
              <w:rPr>
                <w:rFonts w:ascii="宋体" w:hAnsi="宋体" w:cs="宋体"/>
                <w:color w:val="auto"/>
                <w:spacing w:val="5"/>
                <w:sz w:val="21"/>
                <w:szCs w:val="21"/>
                <w:highlight w:val="none"/>
              </w:rPr>
              <w:t>证（如</w:t>
            </w:r>
            <w:r>
              <w:rPr>
                <w:rFonts w:ascii="宋体" w:hAnsi="宋体" w:cs="宋体"/>
                <w:color w:val="auto"/>
                <w:spacing w:val="2"/>
                <w:sz w:val="21"/>
                <w:szCs w:val="21"/>
                <w:highlight w:val="none"/>
              </w:rPr>
              <w:t>企</w:t>
            </w:r>
            <w:r>
              <w:rPr>
                <w:rFonts w:ascii="宋体" w:hAnsi="宋体" w:cs="宋体"/>
                <w:color w:val="auto"/>
                <w:spacing w:val="5"/>
                <w:sz w:val="21"/>
                <w:szCs w:val="21"/>
                <w:highlight w:val="none"/>
              </w:rPr>
              <w:t>业所</w:t>
            </w:r>
            <w:r>
              <w:rPr>
                <w:rFonts w:ascii="宋体" w:hAnsi="宋体" w:cs="宋体"/>
                <w:color w:val="auto"/>
                <w:spacing w:val="2"/>
                <w:sz w:val="21"/>
                <w:szCs w:val="21"/>
                <w:highlight w:val="none"/>
              </w:rPr>
              <w:t>在</w:t>
            </w:r>
            <w:r>
              <w:rPr>
                <w:rFonts w:ascii="宋体" w:hAnsi="宋体" w:cs="宋体"/>
                <w:color w:val="auto"/>
                <w:spacing w:val="5"/>
                <w:sz w:val="21"/>
                <w:szCs w:val="21"/>
                <w:highlight w:val="none"/>
              </w:rPr>
              <w:t>地</w:t>
            </w:r>
            <w:r>
              <w:rPr>
                <w:rFonts w:ascii="宋体" w:hAnsi="宋体" w:cs="宋体"/>
                <w:color w:val="auto"/>
                <w:spacing w:val="2"/>
                <w:sz w:val="21"/>
                <w:szCs w:val="21"/>
                <w:highlight w:val="none"/>
              </w:rPr>
              <w:t>已</w:t>
            </w:r>
            <w:r>
              <w:rPr>
                <w:rFonts w:ascii="宋体" w:hAnsi="宋体" w:cs="宋体"/>
                <w:color w:val="auto"/>
                <w:spacing w:val="5"/>
                <w:sz w:val="21"/>
                <w:szCs w:val="21"/>
                <w:highlight w:val="none"/>
              </w:rPr>
              <w:t>取消</w:t>
            </w:r>
            <w:r>
              <w:rPr>
                <w:rFonts w:ascii="宋体" w:hAnsi="宋体" w:cs="宋体"/>
                <w:color w:val="auto"/>
                <w:spacing w:val="2"/>
                <w:sz w:val="21"/>
                <w:szCs w:val="21"/>
                <w:highlight w:val="none"/>
              </w:rPr>
              <w:t>企</w:t>
            </w:r>
            <w:r>
              <w:rPr>
                <w:rFonts w:ascii="宋体" w:hAnsi="宋体" w:cs="宋体"/>
                <w:color w:val="auto"/>
                <w:spacing w:val="5"/>
                <w:sz w:val="21"/>
                <w:szCs w:val="21"/>
                <w:highlight w:val="none"/>
              </w:rPr>
              <w:t>业银</w:t>
            </w:r>
            <w:r>
              <w:rPr>
                <w:rFonts w:ascii="宋体" w:hAnsi="宋体" w:cs="宋体"/>
                <w:color w:val="auto"/>
                <w:spacing w:val="2"/>
                <w:sz w:val="21"/>
                <w:szCs w:val="21"/>
                <w:highlight w:val="none"/>
              </w:rPr>
              <w:t>行</w:t>
            </w:r>
            <w:r>
              <w:rPr>
                <w:rFonts w:ascii="宋体" w:hAnsi="宋体" w:cs="宋体"/>
                <w:color w:val="auto"/>
                <w:spacing w:val="5"/>
                <w:sz w:val="21"/>
                <w:szCs w:val="21"/>
                <w:highlight w:val="none"/>
              </w:rPr>
              <w:t>账户</w:t>
            </w:r>
            <w:r>
              <w:rPr>
                <w:rFonts w:ascii="宋体" w:hAnsi="宋体" w:cs="宋体"/>
                <w:color w:val="auto"/>
                <w:spacing w:val="2"/>
                <w:sz w:val="21"/>
                <w:szCs w:val="21"/>
                <w:highlight w:val="none"/>
              </w:rPr>
              <w:t>许</w:t>
            </w:r>
            <w:r>
              <w:rPr>
                <w:rFonts w:ascii="宋体" w:hAnsi="宋体" w:cs="宋体"/>
                <w:color w:val="auto"/>
                <w:spacing w:val="5"/>
                <w:sz w:val="21"/>
                <w:szCs w:val="21"/>
                <w:highlight w:val="none"/>
              </w:rPr>
              <w:t>可</w:t>
            </w:r>
            <w:r>
              <w:rPr>
                <w:rFonts w:ascii="宋体" w:hAnsi="宋体" w:cs="宋体"/>
                <w:color w:val="auto"/>
                <w:spacing w:val="2"/>
                <w:sz w:val="21"/>
                <w:szCs w:val="21"/>
                <w:highlight w:val="none"/>
              </w:rPr>
              <w:t>而</w:t>
            </w:r>
            <w:r>
              <w:rPr>
                <w:rFonts w:ascii="宋体" w:hAnsi="宋体" w:cs="宋体"/>
                <w:color w:val="auto"/>
                <w:spacing w:val="5"/>
                <w:sz w:val="21"/>
                <w:szCs w:val="21"/>
                <w:highlight w:val="none"/>
              </w:rPr>
              <w:t>无法</w:t>
            </w:r>
            <w:r>
              <w:rPr>
                <w:rFonts w:ascii="宋体" w:hAnsi="宋体" w:cs="宋体"/>
                <w:color w:val="auto"/>
                <w:spacing w:val="2"/>
                <w:sz w:val="21"/>
                <w:szCs w:val="21"/>
                <w:highlight w:val="none"/>
              </w:rPr>
              <w:t>提</w:t>
            </w:r>
            <w:r>
              <w:rPr>
                <w:rFonts w:ascii="宋体" w:hAnsi="宋体" w:cs="宋体"/>
                <w:color w:val="auto"/>
                <w:spacing w:val="5"/>
                <w:sz w:val="21"/>
                <w:szCs w:val="21"/>
                <w:highlight w:val="none"/>
              </w:rPr>
              <w:t>供开</w:t>
            </w:r>
            <w:r>
              <w:rPr>
                <w:rFonts w:ascii="宋体" w:hAnsi="宋体" w:cs="宋体"/>
                <w:color w:val="auto"/>
                <w:sz w:val="21"/>
                <w:szCs w:val="21"/>
                <w:highlight w:val="none"/>
              </w:rPr>
              <w:t>户</w:t>
            </w:r>
            <w:r>
              <w:rPr>
                <w:rFonts w:ascii="宋体" w:hAnsi="宋体" w:cs="宋体"/>
                <w:color w:val="auto"/>
                <w:spacing w:val="5"/>
                <w:sz w:val="21"/>
                <w:szCs w:val="21"/>
                <w:highlight w:val="none"/>
              </w:rPr>
              <w:t>许</w:t>
            </w:r>
            <w:r>
              <w:rPr>
                <w:rFonts w:ascii="宋体" w:hAnsi="宋体" w:cs="宋体"/>
                <w:color w:val="auto"/>
                <w:spacing w:val="2"/>
                <w:sz w:val="21"/>
                <w:szCs w:val="21"/>
                <w:highlight w:val="none"/>
              </w:rPr>
              <w:t>可</w:t>
            </w:r>
            <w:r>
              <w:rPr>
                <w:rFonts w:ascii="宋体" w:hAnsi="宋体" w:cs="宋体"/>
                <w:color w:val="auto"/>
                <w:spacing w:val="5"/>
                <w:sz w:val="21"/>
                <w:szCs w:val="21"/>
                <w:highlight w:val="none"/>
              </w:rPr>
              <w:t>证的</w:t>
            </w:r>
            <w:r>
              <w:rPr>
                <w:rFonts w:ascii="宋体" w:hAnsi="宋体" w:cs="宋体"/>
                <w:color w:val="auto"/>
                <w:spacing w:val="2"/>
                <w:sz w:val="21"/>
                <w:szCs w:val="21"/>
                <w:highlight w:val="none"/>
              </w:rPr>
              <w:t>，</w:t>
            </w:r>
            <w:r>
              <w:rPr>
                <w:rFonts w:ascii="宋体" w:hAnsi="宋体" w:cs="宋体"/>
                <w:color w:val="auto"/>
                <w:spacing w:val="5"/>
                <w:sz w:val="21"/>
                <w:szCs w:val="21"/>
                <w:highlight w:val="none"/>
              </w:rPr>
              <w:t>则</w:t>
            </w:r>
            <w:r>
              <w:rPr>
                <w:rFonts w:ascii="宋体" w:hAnsi="宋体" w:cs="宋体"/>
                <w:color w:val="auto"/>
                <w:spacing w:val="2"/>
                <w:sz w:val="21"/>
                <w:szCs w:val="21"/>
                <w:highlight w:val="none"/>
              </w:rPr>
              <w:t>需</w:t>
            </w:r>
            <w:r>
              <w:rPr>
                <w:rFonts w:ascii="宋体" w:hAnsi="宋体" w:cs="宋体"/>
                <w:color w:val="auto"/>
                <w:spacing w:val="5"/>
                <w:sz w:val="21"/>
                <w:szCs w:val="21"/>
                <w:highlight w:val="none"/>
              </w:rPr>
              <w:t>附上</w:t>
            </w:r>
            <w:r>
              <w:rPr>
                <w:rFonts w:ascii="宋体" w:hAnsi="宋体" w:cs="宋体"/>
                <w:color w:val="auto"/>
                <w:spacing w:val="2"/>
                <w:sz w:val="21"/>
                <w:szCs w:val="21"/>
                <w:highlight w:val="none"/>
              </w:rPr>
              <w:t>开</w:t>
            </w:r>
            <w:r>
              <w:rPr>
                <w:rFonts w:ascii="宋体" w:hAnsi="宋体" w:cs="宋体"/>
                <w:color w:val="auto"/>
                <w:spacing w:val="5"/>
                <w:sz w:val="21"/>
                <w:szCs w:val="21"/>
                <w:highlight w:val="none"/>
              </w:rPr>
              <w:t>户银</w:t>
            </w:r>
            <w:r>
              <w:rPr>
                <w:rFonts w:ascii="宋体" w:hAnsi="宋体" w:cs="宋体"/>
                <w:color w:val="auto"/>
                <w:spacing w:val="2"/>
                <w:sz w:val="21"/>
                <w:szCs w:val="21"/>
                <w:highlight w:val="none"/>
              </w:rPr>
              <w:t>行</w:t>
            </w:r>
            <w:r>
              <w:rPr>
                <w:rFonts w:ascii="宋体" w:hAnsi="宋体" w:cs="宋体"/>
                <w:color w:val="auto"/>
                <w:spacing w:val="5"/>
                <w:sz w:val="21"/>
                <w:szCs w:val="21"/>
                <w:highlight w:val="none"/>
              </w:rPr>
              <w:t>出具</w:t>
            </w:r>
            <w:r>
              <w:rPr>
                <w:rFonts w:ascii="宋体" w:hAnsi="宋体" w:cs="宋体"/>
                <w:color w:val="auto"/>
                <w:spacing w:val="2"/>
                <w:sz w:val="21"/>
                <w:szCs w:val="21"/>
                <w:highlight w:val="none"/>
              </w:rPr>
              <w:t>的</w:t>
            </w:r>
            <w:r>
              <w:rPr>
                <w:rFonts w:ascii="宋体" w:hAnsi="宋体" w:cs="宋体"/>
                <w:color w:val="auto"/>
                <w:spacing w:val="5"/>
                <w:sz w:val="21"/>
                <w:szCs w:val="21"/>
                <w:highlight w:val="none"/>
              </w:rPr>
              <w:t>“基</w:t>
            </w:r>
            <w:r>
              <w:rPr>
                <w:rFonts w:ascii="宋体" w:hAnsi="宋体" w:cs="宋体"/>
                <w:color w:val="auto"/>
                <w:spacing w:val="2"/>
                <w:sz w:val="21"/>
                <w:szCs w:val="21"/>
                <w:highlight w:val="none"/>
              </w:rPr>
              <w:t>本</w:t>
            </w:r>
            <w:r>
              <w:rPr>
                <w:rFonts w:ascii="宋体" w:hAnsi="宋体" w:cs="宋体"/>
                <w:color w:val="auto"/>
                <w:spacing w:val="5"/>
                <w:sz w:val="21"/>
                <w:szCs w:val="21"/>
                <w:highlight w:val="none"/>
              </w:rPr>
              <w:t>存款</w:t>
            </w:r>
            <w:r>
              <w:rPr>
                <w:rFonts w:ascii="宋体" w:hAnsi="宋体" w:cs="宋体"/>
                <w:color w:val="auto"/>
                <w:spacing w:val="2"/>
                <w:sz w:val="21"/>
                <w:szCs w:val="21"/>
                <w:highlight w:val="none"/>
              </w:rPr>
              <w:t>账</w:t>
            </w:r>
            <w:r>
              <w:rPr>
                <w:rFonts w:ascii="宋体" w:hAnsi="宋体" w:cs="宋体"/>
                <w:color w:val="auto"/>
                <w:spacing w:val="5"/>
                <w:sz w:val="21"/>
                <w:szCs w:val="21"/>
                <w:highlight w:val="none"/>
              </w:rPr>
              <w:t>户</w:t>
            </w:r>
            <w:r>
              <w:rPr>
                <w:rFonts w:ascii="宋体" w:hAnsi="宋体" w:cs="宋体"/>
                <w:color w:val="auto"/>
                <w:spacing w:val="2"/>
                <w:sz w:val="21"/>
                <w:szCs w:val="21"/>
                <w:highlight w:val="none"/>
              </w:rPr>
              <w:t>信</w:t>
            </w:r>
            <w:r>
              <w:rPr>
                <w:rFonts w:ascii="宋体" w:hAnsi="宋体" w:cs="宋体"/>
                <w:color w:val="auto"/>
                <w:spacing w:val="5"/>
                <w:sz w:val="21"/>
                <w:szCs w:val="21"/>
                <w:highlight w:val="none"/>
              </w:rPr>
              <w:t>息”</w:t>
            </w:r>
            <w:r>
              <w:rPr>
                <w:rFonts w:ascii="宋体" w:hAnsi="宋体" w:cs="宋体"/>
                <w:color w:val="auto"/>
                <w:spacing w:val="2"/>
                <w:sz w:val="21"/>
                <w:szCs w:val="21"/>
                <w:highlight w:val="none"/>
              </w:rPr>
              <w:t>或</w:t>
            </w:r>
            <w:r>
              <w:rPr>
                <w:rFonts w:ascii="宋体" w:hAnsi="宋体" w:cs="宋体"/>
                <w:color w:val="auto"/>
                <w:spacing w:val="5"/>
                <w:sz w:val="21"/>
                <w:szCs w:val="21"/>
                <w:highlight w:val="none"/>
              </w:rPr>
              <w:t>“人</w:t>
            </w:r>
            <w:r>
              <w:rPr>
                <w:rFonts w:ascii="宋体" w:hAnsi="宋体" w:cs="宋体"/>
                <w:color w:val="auto"/>
                <w:spacing w:val="2"/>
                <w:sz w:val="21"/>
                <w:szCs w:val="21"/>
                <w:highlight w:val="none"/>
              </w:rPr>
              <w:t>民</w:t>
            </w:r>
            <w:r>
              <w:rPr>
                <w:rFonts w:ascii="宋体" w:hAnsi="宋体" w:cs="宋体"/>
                <w:color w:val="auto"/>
                <w:sz w:val="21"/>
                <w:szCs w:val="21"/>
                <w:highlight w:val="none"/>
              </w:rPr>
              <w:t>银行</w:t>
            </w:r>
            <w:r>
              <w:rPr>
                <w:rFonts w:ascii="宋体" w:hAnsi="宋体" w:cs="宋体"/>
                <w:color w:val="auto"/>
                <w:spacing w:val="2"/>
                <w:sz w:val="21"/>
                <w:szCs w:val="21"/>
                <w:highlight w:val="none"/>
              </w:rPr>
              <w:t>账</w:t>
            </w:r>
            <w:r>
              <w:rPr>
                <w:rFonts w:ascii="宋体" w:hAnsi="宋体" w:cs="宋体"/>
                <w:color w:val="auto"/>
                <w:sz w:val="21"/>
                <w:szCs w:val="21"/>
                <w:highlight w:val="none"/>
              </w:rPr>
              <w:t>户</w:t>
            </w:r>
            <w:r>
              <w:rPr>
                <w:rFonts w:ascii="宋体" w:hAnsi="宋体" w:cs="宋体"/>
                <w:color w:val="auto"/>
                <w:spacing w:val="2"/>
                <w:sz w:val="21"/>
                <w:szCs w:val="21"/>
                <w:highlight w:val="none"/>
              </w:rPr>
              <w:t>管</w:t>
            </w:r>
            <w:r>
              <w:rPr>
                <w:rFonts w:ascii="宋体" w:hAnsi="宋体" w:cs="宋体"/>
                <w:color w:val="auto"/>
                <w:sz w:val="21"/>
                <w:szCs w:val="21"/>
                <w:highlight w:val="none"/>
              </w:rPr>
              <w:t>理</w:t>
            </w:r>
            <w:r>
              <w:rPr>
                <w:rFonts w:ascii="宋体" w:hAnsi="宋体" w:cs="宋体"/>
                <w:color w:val="auto"/>
                <w:spacing w:val="2"/>
                <w:sz w:val="21"/>
                <w:szCs w:val="21"/>
                <w:highlight w:val="none"/>
              </w:rPr>
              <w:t>系</w:t>
            </w:r>
            <w:r>
              <w:rPr>
                <w:rFonts w:ascii="宋体" w:hAnsi="宋体" w:cs="宋体"/>
                <w:color w:val="auto"/>
                <w:sz w:val="21"/>
                <w:szCs w:val="21"/>
                <w:highlight w:val="none"/>
              </w:rPr>
              <w:t>统</w:t>
            </w:r>
            <w:r>
              <w:rPr>
                <w:rFonts w:ascii="宋体" w:hAnsi="宋体" w:cs="宋体"/>
                <w:color w:val="auto"/>
                <w:spacing w:val="2"/>
                <w:sz w:val="21"/>
                <w:szCs w:val="21"/>
                <w:highlight w:val="none"/>
              </w:rPr>
              <w:t>查</w:t>
            </w:r>
            <w:r>
              <w:rPr>
                <w:rFonts w:ascii="宋体" w:hAnsi="宋体" w:cs="宋体"/>
                <w:color w:val="auto"/>
                <w:sz w:val="21"/>
                <w:szCs w:val="21"/>
                <w:highlight w:val="none"/>
              </w:rPr>
              <w:t>询</w:t>
            </w:r>
            <w:r>
              <w:rPr>
                <w:rFonts w:ascii="宋体" w:hAnsi="宋体" w:cs="宋体"/>
                <w:color w:val="auto"/>
                <w:spacing w:val="2"/>
                <w:sz w:val="21"/>
                <w:szCs w:val="21"/>
                <w:highlight w:val="none"/>
              </w:rPr>
              <w:t>的</w:t>
            </w:r>
            <w:r>
              <w:rPr>
                <w:rFonts w:ascii="宋体" w:hAnsi="宋体" w:cs="宋体"/>
                <w:color w:val="auto"/>
                <w:sz w:val="21"/>
                <w:szCs w:val="21"/>
                <w:highlight w:val="none"/>
              </w:rPr>
              <w:t>基</w:t>
            </w:r>
            <w:r>
              <w:rPr>
                <w:rFonts w:ascii="宋体" w:hAnsi="宋体" w:cs="宋体"/>
                <w:color w:val="auto"/>
                <w:spacing w:val="2"/>
                <w:sz w:val="21"/>
                <w:szCs w:val="21"/>
                <w:highlight w:val="none"/>
              </w:rPr>
              <w:t>本</w:t>
            </w:r>
            <w:r>
              <w:rPr>
                <w:rFonts w:ascii="宋体" w:hAnsi="宋体" w:cs="宋体"/>
                <w:color w:val="auto"/>
                <w:sz w:val="21"/>
                <w:szCs w:val="21"/>
                <w:highlight w:val="none"/>
              </w:rPr>
              <w:t>账</w:t>
            </w:r>
            <w:r>
              <w:rPr>
                <w:rFonts w:ascii="宋体" w:hAnsi="宋体" w:cs="宋体"/>
                <w:color w:val="auto"/>
                <w:spacing w:val="2"/>
                <w:sz w:val="21"/>
                <w:szCs w:val="21"/>
                <w:highlight w:val="none"/>
              </w:rPr>
              <w:t>户</w:t>
            </w:r>
            <w:r>
              <w:rPr>
                <w:rFonts w:ascii="宋体" w:hAnsi="宋体" w:cs="宋体"/>
                <w:color w:val="auto"/>
                <w:sz w:val="21"/>
                <w:szCs w:val="21"/>
                <w:highlight w:val="none"/>
              </w:rPr>
              <w:t>信</w:t>
            </w:r>
            <w:r>
              <w:rPr>
                <w:rFonts w:ascii="宋体" w:hAnsi="宋体" w:cs="宋体"/>
                <w:color w:val="auto"/>
                <w:spacing w:val="2"/>
                <w:sz w:val="21"/>
                <w:szCs w:val="21"/>
                <w:highlight w:val="none"/>
              </w:rPr>
              <w:t>息</w:t>
            </w:r>
            <w:r>
              <w:rPr>
                <w:rFonts w:ascii="宋体" w:hAnsi="宋体" w:cs="宋体"/>
                <w:color w:val="auto"/>
                <w:sz w:val="21"/>
                <w:szCs w:val="21"/>
                <w:highlight w:val="none"/>
              </w:rPr>
              <w:t>截</w:t>
            </w:r>
            <w:r>
              <w:rPr>
                <w:rFonts w:ascii="宋体" w:hAnsi="宋体" w:cs="宋体"/>
                <w:color w:val="auto"/>
                <w:spacing w:val="2"/>
                <w:sz w:val="21"/>
                <w:szCs w:val="21"/>
                <w:highlight w:val="none"/>
              </w:rPr>
              <w:t>图”</w:t>
            </w:r>
            <w:r>
              <w:rPr>
                <w:rFonts w:ascii="宋体" w:hAnsi="宋体" w:cs="宋体"/>
                <w:color w:val="auto"/>
                <w:sz w:val="21"/>
                <w:szCs w:val="21"/>
                <w:highlight w:val="none"/>
              </w:rPr>
              <w:t>）</w:t>
            </w:r>
            <w:r>
              <w:rPr>
                <w:rFonts w:hint="eastAsia" w:ascii="宋体" w:hAnsi="宋体" w:cs="宋体"/>
                <w:color w:val="auto"/>
                <w:sz w:val="21"/>
                <w:szCs w:val="21"/>
                <w:highlight w:val="none"/>
                <w:lang w:bidi="zh-CN"/>
              </w:rPr>
              <w:t>；</w:t>
            </w:r>
          </w:p>
          <w:p>
            <w:pPr>
              <w:spacing w:before="31"/>
              <w:ind w:left="222" w:right="2670"/>
              <w:jc w:val="both"/>
              <w:rPr>
                <w:rFonts w:ascii="宋体" w:hAnsi="宋体" w:cs="宋体"/>
                <w:color w:val="auto"/>
                <w:sz w:val="21"/>
                <w:szCs w:val="21"/>
                <w:highlight w:val="none"/>
              </w:rPr>
            </w:pPr>
            <w:r>
              <w:rPr>
                <w:rFonts w:ascii="宋体" w:hAnsi="宋体" w:cs="宋体"/>
                <w:color w:val="auto"/>
                <w:spacing w:val="2"/>
                <w:sz w:val="21"/>
                <w:szCs w:val="21"/>
                <w:highlight w:val="none"/>
              </w:rPr>
              <w:t>（</w:t>
            </w:r>
            <w:r>
              <w:rPr>
                <w:rFonts w:ascii="宋体" w:hAnsi="宋体" w:cs="宋体"/>
                <w:color w:val="auto"/>
                <w:spacing w:val="1"/>
                <w:sz w:val="21"/>
                <w:szCs w:val="21"/>
                <w:highlight w:val="none"/>
              </w:rPr>
              <w:t>2</w:t>
            </w:r>
            <w:r>
              <w:rPr>
                <w:rFonts w:ascii="宋体" w:hAnsi="宋体" w:cs="宋体"/>
                <w:color w:val="auto"/>
                <w:sz w:val="21"/>
                <w:szCs w:val="21"/>
                <w:highlight w:val="none"/>
              </w:rPr>
              <w:t>）投</w:t>
            </w:r>
            <w:r>
              <w:rPr>
                <w:rFonts w:ascii="宋体" w:hAnsi="宋体" w:cs="宋体"/>
                <w:color w:val="auto"/>
                <w:spacing w:val="2"/>
                <w:sz w:val="21"/>
                <w:szCs w:val="21"/>
                <w:highlight w:val="none"/>
              </w:rPr>
              <w:t>标</w:t>
            </w:r>
            <w:r>
              <w:rPr>
                <w:rFonts w:ascii="宋体" w:hAnsi="宋体" w:cs="宋体"/>
                <w:color w:val="auto"/>
                <w:sz w:val="21"/>
                <w:szCs w:val="21"/>
                <w:highlight w:val="none"/>
              </w:rPr>
              <w:t>人</w:t>
            </w:r>
            <w:r>
              <w:rPr>
                <w:rFonts w:ascii="宋体" w:hAnsi="宋体" w:cs="宋体"/>
                <w:color w:val="auto"/>
                <w:spacing w:val="2"/>
                <w:sz w:val="21"/>
                <w:szCs w:val="21"/>
                <w:highlight w:val="none"/>
              </w:rPr>
              <w:t>的</w:t>
            </w:r>
            <w:r>
              <w:rPr>
                <w:rFonts w:ascii="宋体" w:hAnsi="宋体" w:cs="宋体"/>
                <w:color w:val="auto"/>
                <w:sz w:val="21"/>
                <w:szCs w:val="21"/>
                <w:highlight w:val="none"/>
              </w:rPr>
              <w:t>资</w:t>
            </w:r>
            <w:r>
              <w:rPr>
                <w:rFonts w:ascii="宋体" w:hAnsi="宋体" w:cs="宋体"/>
                <w:color w:val="auto"/>
                <w:spacing w:val="2"/>
                <w:sz w:val="21"/>
                <w:szCs w:val="21"/>
                <w:highlight w:val="none"/>
              </w:rPr>
              <w:t>质</w:t>
            </w:r>
            <w:r>
              <w:rPr>
                <w:rFonts w:ascii="宋体" w:hAnsi="宋体" w:cs="宋体"/>
                <w:color w:val="auto"/>
                <w:sz w:val="21"/>
                <w:szCs w:val="21"/>
                <w:highlight w:val="none"/>
              </w:rPr>
              <w:t>等</w:t>
            </w:r>
            <w:r>
              <w:rPr>
                <w:rFonts w:ascii="宋体" w:hAnsi="宋体" w:cs="宋体"/>
                <w:color w:val="auto"/>
                <w:spacing w:val="2"/>
                <w:sz w:val="21"/>
                <w:szCs w:val="21"/>
                <w:highlight w:val="none"/>
              </w:rPr>
              <w:t>级</w:t>
            </w:r>
            <w:r>
              <w:rPr>
                <w:rFonts w:ascii="宋体" w:hAnsi="宋体" w:cs="宋体"/>
                <w:color w:val="auto"/>
                <w:sz w:val="21"/>
                <w:szCs w:val="21"/>
                <w:highlight w:val="none"/>
              </w:rPr>
              <w:t>符</w:t>
            </w:r>
            <w:r>
              <w:rPr>
                <w:rFonts w:ascii="宋体" w:hAnsi="宋体" w:cs="宋体"/>
                <w:color w:val="auto"/>
                <w:spacing w:val="2"/>
                <w:sz w:val="21"/>
                <w:szCs w:val="21"/>
                <w:highlight w:val="none"/>
              </w:rPr>
              <w:t>合</w:t>
            </w:r>
            <w:r>
              <w:rPr>
                <w:rFonts w:ascii="宋体" w:hAnsi="宋体" w:cs="宋体"/>
                <w:color w:val="auto"/>
                <w:sz w:val="21"/>
                <w:szCs w:val="21"/>
                <w:highlight w:val="none"/>
              </w:rPr>
              <w:t>招</w:t>
            </w:r>
            <w:r>
              <w:rPr>
                <w:rFonts w:ascii="宋体" w:hAnsi="宋体" w:cs="宋体"/>
                <w:color w:val="auto"/>
                <w:spacing w:val="2"/>
                <w:sz w:val="21"/>
                <w:szCs w:val="21"/>
                <w:highlight w:val="none"/>
              </w:rPr>
              <w:t>标</w:t>
            </w:r>
            <w:r>
              <w:rPr>
                <w:rFonts w:ascii="宋体" w:hAnsi="宋体" w:cs="宋体"/>
                <w:color w:val="auto"/>
                <w:sz w:val="21"/>
                <w:szCs w:val="21"/>
                <w:highlight w:val="none"/>
              </w:rPr>
              <w:t>文</w:t>
            </w:r>
            <w:r>
              <w:rPr>
                <w:rFonts w:ascii="宋体" w:hAnsi="宋体" w:cs="宋体"/>
                <w:color w:val="auto"/>
                <w:spacing w:val="2"/>
                <w:sz w:val="21"/>
                <w:szCs w:val="21"/>
                <w:highlight w:val="none"/>
              </w:rPr>
              <w:t>件</w:t>
            </w:r>
            <w:r>
              <w:rPr>
                <w:rFonts w:ascii="宋体" w:hAnsi="宋体" w:cs="宋体"/>
                <w:color w:val="auto"/>
                <w:sz w:val="21"/>
                <w:szCs w:val="21"/>
                <w:highlight w:val="none"/>
              </w:rPr>
              <w:t>规</w:t>
            </w:r>
            <w:r>
              <w:rPr>
                <w:rFonts w:ascii="宋体" w:hAnsi="宋体" w:cs="宋体"/>
                <w:color w:val="auto"/>
                <w:spacing w:val="2"/>
                <w:sz w:val="21"/>
                <w:szCs w:val="21"/>
                <w:highlight w:val="none"/>
              </w:rPr>
              <w:t>定</w:t>
            </w:r>
            <w:r>
              <w:rPr>
                <w:rFonts w:ascii="宋体" w:hAnsi="宋体" w:cs="宋体"/>
                <w:color w:val="auto"/>
                <w:sz w:val="21"/>
                <w:szCs w:val="21"/>
                <w:highlight w:val="none"/>
              </w:rPr>
              <w:t>；</w:t>
            </w:r>
          </w:p>
          <w:p>
            <w:pPr>
              <w:spacing w:before="98"/>
              <w:ind w:left="222" w:right="2670"/>
              <w:jc w:val="both"/>
              <w:rPr>
                <w:rFonts w:ascii="宋体" w:hAnsi="宋体" w:cs="宋体"/>
                <w:color w:val="auto"/>
                <w:sz w:val="21"/>
                <w:szCs w:val="21"/>
                <w:highlight w:val="none"/>
              </w:rPr>
            </w:pPr>
            <w:r>
              <w:rPr>
                <w:rFonts w:ascii="宋体" w:hAnsi="宋体" w:cs="宋体"/>
                <w:color w:val="auto"/>
                <w:spacing w:val="2"/>
                <w:sz w:val="21"/>
                <w:szCs w:val="21"/>
                <w:highlight w:val="none"/>
              </w:rPr>
              <w:t>（</w:t>
            </w:r>
            <w:r>
              <w:rPr>
                <w:rFonts w:ascii="宋体" w:hAnsi="宋体" w:cs="宋体"/>
                <w:color w:val="auto"/>
                <w:spacing w:val="1"/>
                <w:sz w:val="21"/>
                <w:szCs w:val="21"/>
                <w:highlight w:val="none"/>
              </w:rPr>
              <w:t>3</w:t>
            </w:r>
            <w:r>
              <w:rPr>
                <w:rFonts w:ascii="宋体" w:hAnsi="宋体" w:cs="宋体"/>
                <w:color w:val="auto"/>
                <w:sz w:val="21"/>
                <w:szCs w:val="21"/>
                <w:highlight w:val="none"/>
              </w:rPr>
              <w:t>）投</w:t>
            </w:r>
            <w:r>
              <w:rPr>
                <w:rFonts w:ascii="宋体" w:hAnsi="宋体" w:cs="宋体"/>
                <w:color w:val="auto"/>
                <w:spacing w:val="2"/>
                <w:sz w:val="21"/>
                <w:szCs w:val="21"/>
                <w:highlight w:val="none"/>
              </w:rPr>
              <w:t>标</w:t>
            </w:r>
            <w:r>
              <w:rPr>
                <w:rFonts w:ascii="宋体" w:hAnsi="宋体" w:cs="宋体"/>
                <w:color w:val="auto"/>
                <w:sz w:val="21"/>
                <w:szCs w:val="21"/>
                <w:highlight w:val="none"/>
              </w:rPr>
              <w:t>人</w:t>
            </w:r>
            <w:r>
              <w:rPr>
                <w:rFonts w:ascii="宋体" w:hAnsi="宋体" w:cs="宋体"/>
                <w:color w:val="auto"/>
                <w:spacing w:val="2"/>
                <w:sz w:val="21"/>
                <w:szCs w:val="21"/>
                <w:highlight w:val="none"/>
              </w:rPr>
              <w:t>的</w:t>
            </w:r>
            <w:r>
              <w:rPr>
                <w:rFonts w:ascii="宋体" w:hAnsi="宋体" w:cs="宋体"/>
                <w:color w:val="auto"/>
                <w:sz w:val="21"/>
                <w:szCs w:val="21"/>
                <w:highlight w:val="none"/>
              </w:rPr>
              <w:t>财</w:t>
            </w:r>
            <w:r>
              <w:rPr>
                <w:rFonts w:ascii="宋体" w:hAnsi="宋体" w:cs="宋体"/>
                <w:color w:val="auto"/>
                <w:spacing w:val="2"/>
                <w:sz w:val="21"/>
                <w:szCs w:val="21"/>
                <w:highlight w:val="none"/>
              </w:rPr>
              <w:t>务</w:t>
            </w:r>
            <w:r>
              <w:rPr>
                <w:rFonts w:ascii="宋体" w:hAnsi="宋体" w:cs="宋体"/>
                <w:color w:val="auto"/>
                <w:sz w:val="21"/>
                <w:szCs w:val="21"/>
                <w:highlight w:val="none"/>
              </w:rPr>
              <w:t>状</w:t>
            </w:r>
            <w:r>
              <w:rPr>
                <w:rFonts w:ascii="宋体" w:hAnsi="宋体" w:cs="宋体"/>
                <w:color w:val="auto"/>
                <w:spacing w:val="2"/>
                <w:sz w:val="21"/>
                <w:szCs w:val="21"/>
                <w:highlight w:val="none"/>
              </w:rPr>
              <w:t>况</w:t>
            </w:r>
            <w:r>
              <w:rPr>
                <w:rFonts w:ascii="宋体" w:hAnsi="宋体" w:cs="宋体"/>
                <w:color w:val="auto"/>
                <w:sz w:val="21"/>
                <w:szCs w:val="21"/>
                <w:highlight w:val="none"/>
              </w:rPr>
              <w:t>符</w:t>
            </w:r>
            <w:r>
              <w:rPr>
                <w:rFonts w:ascii="宋体" w:hAnsi="宋体" w:cs="宋体"/>
                <w:color w:val="auto"/>
                <w:spacing w:val="2"/>
                <w:sz w:val="21"/>
                <w:szCs w:val="21"/>
                <w:highlight w:val="none"/>
              </w:rPr>
              <w:t>合</w:t>
            </w:r>
            <w:r>
              <w:rPr>
                <w:rFonts w:ascii="宋体" w:hAnsi="宋体" w:cs="宋体"/>
                <w:color w:val="auto"/>
                <w:sz w:val="21"/>
                <w:szCs w:val="21"/>
                <w:highlight w:val="none"/>
              </w:rPr>
              <w:t>招</w:t>
            </w:r>
            <w:r>
              <w:rPr>
                <w:rFonts w:ascii="宋体" w:hAnsi="宋体" w:cs="宋体"/>
                <w:color w:val="auto"/>
                <w:spacing w:val="2"/>
                <w:sz w:val="21"/>
                <w:szCs w:val="21"/>
                <w:highlight w:val="none"/>
              </w:rPr>
              <w:t>标</w:t>
            </w:r>
            <w:r>
              <w:rPr>
                <w:rFonts w:ascii="宋体" w:hAnsi="宋体" w:cs="宋体"/>
                <w:color w:val="auto"/>
                <w:sz w:val="21"/>
                <w:szCs w:val="21"/>
                <w:highlight w:val="none"/>
              </w:rPr>
              <w:t>文</w:t>
            </w:r>
            <w:r>
              <w:rPr>
                <w:rFonts w:ascii="宋体" w:hAnsi="宋体" w:cs="宋体"/>
                <w:color w:val="auto"/>
                <w:spacing w:val="2"/>
                <w:sz w:val="21"/>
                <w:szCs w:val="21"/>
                <w:highlight w:val="none"/>
              </w:rPr>
              <w:t>件</w:t>
            </w:r>
            <w:r>
              <w:rPr>
                <w:rFonts w:ascii="宋体" w:hAnsi="宋体" w:cs="宋体"/>
                <w:color w:val="auto"/>
                <w:sz w:val="21"/>
                <w:szCs w:val="21"/>
                <w:highlight w:val="none"/>
              </w:rPr>
              <w:t>规</w:t>
            </w:r>
            <w:r>
              <w:rPr>
                <w:rFonts w:ascii="宋体" w:hAnsi="宋体" w:cs="宋体"/>
                <w:color w:val="auto"/>
                <w:spacing w:val="2"/>
                <w:sz w:val="21"/>
                <w:szCs w:val="21"/>
                <w:highlight w:val="none"/>
              </w:rPr>
              <w:t>定</w:t>
            </w:r>
            <w:r>
              <w:rPr>
                <w:rFonts w:ascii="宋体" w:hAnsi="宋体" w:cs="宋体"/>
                <w:color w:val="auto"/>
                <w:sz w:val="21"/>
                <w:szCs w:val="21"/>
                <w:highlight w:val="none"/>
              </w:rPr>
              <w:t>；</w:t>
            </w:r>
          </w:p>
          <w:p>
            <w:pPr>
              <w:spacing w:before="98"/>
              <w:ind w:left="222" w:right="20" w:rightChars="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Theme="minorEastAsia" w:hAnsiTheme="minorEastAsia" w:eastAsiaTheme="minorEastAsia" w:cstheme="minorEastAsia"/>
                <w:color w:val="auto"/>
                <w:spacing w:val="12"/>
                <w:sz w:val="21"/>
                <w:szCs w:val="21"/>
              </w:rPr>
              <w:t>投标人的类似项目业绩符合招标文件规定；</w:t>
            </w:r>
          </w:p>
          <w:p>
            <w:pPr>
              <w:spacing w:before="98"/>
              <w:ind w:left="222" w:right="3087"/>
              <w:jc w:val="both"/>
              <w:rPr>
                <w:rFonts w:ascii="宋体" w:hAnsi="宋体" w:cs="宋体"/>
                <w:color w:val="auto"/>
                <w:sz w:val="21"/>
                <w:szCs w:val="21"/>
                <w:highlight w:val="none"/>
              </w:rPr>
            </w:pPr>
            <w:r>
              <w:rPr>
                <w:rFonts w:ascii="宋体" w:hAnsi="宋体" w:cs="宋体"/>
                <w:color w:val="auto"/>
                <w:spacing w:val="2"/>
                <w:sz w:val="21"/>
                <w:szCs w:val="21"/>
                <w:highlight w:val="none"/>
              </w:rPr>
              <w:t>（</w:t>
            </w:r>
            <w:r>
              <w:rPr>
                <w:rFonts w:hint="eastAsia" w:ascii="宋体" w:hAnsi="宋体" w:cs="宋体"/>
                <w:color w:val="auto"/>
                <w:spacing w:val="1"/>
                <w:sz w:val="21"/>
                <w:szCs w:val="21"/>
                <w:highlight w:val="none"/>
                <w:lang w:val="en-US" w:eastAsia="zh-CN"/>
              </w:rPr>
              <w:t>5</w:t>
            </w:r>
            <w:r>
              <w:rPr>
                <w:rFonts w:ascii="宋体" w:hAnsi="宋体" w:cs="宋体"/>
                <w:color w:val="auto"/>
                <w:sz w:val="21"/>
                <w:szCs w:val="21"/>
                <w:highlight w:val="none"/>
              </w:rPr>
              <w:t>）投</w:t>
            </w:r>
            <w:r>
              <w:rPr>
                <w:rFonts w:ascii="宋体" w:hAnsi="宋体" w:cs="宋体"/>
                <w:color w:val="auto"/>
                <w:spacing w:val="2"/>
                <w:sz w:val="21"/>
                <w:szCs w:val="21"/>
                <w:highlight w:val="none"/>
              </w:rPr>
              <w:t>标</w:t>
            </w:r>
            <w:r>
              <w:rPr>
                <w:rFonts w:ascii="宋体" w:hAnsi="宋体" w:cs="宋体"/>
                <w:color w:val="auto"/>
                <w:sz w:val="21"/>
                <w:szCs w:val="21"/>
                <w:highlight w:val="none"/>
              </w:rPr>
              <w:t>人</w:t>
            </w:r>
            <w:r>
              <w:rPr>
                <w:rFonts w:ascii="宋体" w:hAnsi="宋体" w:cs="宋体"/>
                <w:color w:val="auto"/>
                <w:spacing w:val="2"/>
                <w:sz w:val="21"/>
                <w:szCs w:val="21"/>
                <w:highlight w:val="none"/>
              </w:rPr>
              <w:t>的</w:t>
            </w:r>
            <w:r>
              <w:rPr>
                <w:rFonts w:ascii="宋体" w:hAnsi="宋体" w:cs="宋体"/>
                <w:color w:val="auto"/>
                <w:sz w:val="21"/>
                <w:szCs w:val="21"/>
                <w:highlight w:val="none"/>
              </w:rPr>
              <w:t>信</w:t>
            </w:r>
            <w:r>
              <w:rPr>
                <w:rFonts w:ascii="宋体" w:hAnsi="宋体" w:cs="宋体"/>
                <w:color w:val="auto"/>
                <w:spacing w:val="2"/>
                <w:sz w:val="21"/>
                <w:szCs w:val="21"/>
                <w:highlight w:val="none"/>
              </w:rPr>
              <w:t>誉</w:t>
            </w:r>
            <w:r>
              <w:rPr>
                <w:rFonts w:ascii="宋体" w:hAnsi="宋体" w:cs="宋体"/>
                <w:color w:val="auto"/>
                <w:sz w:val="21"/>
                <w:szCs w:val="21"/>
                <w:highlight w:val="none"/>
              </w:rPr>
              <w:t>符</w:t>
            </w:r>
            <w:r>
              <w:rPr>
                <w:rFonts w:ascii="宋体" w:hAnsi="宋体" w:cs="宋体"/>
                <w:color w:val="auto"/>
                <w:spacing w:val="2"/>
                <w:sz w:val="21"/>
                <w:szCs w:val="21"/>
                <w:highlight w:val="none"/>
              </w:rPr>
              <w:t>合</w:t>
            </w:r>
            <w:r>
              <w:rPr>
                <w:rFonts w:ascii="宋体" w:hAnsi="宋体" w:cs="宋体"/>
                <w:color w:val="auto"/>
                <w:sz w:val="21"/>
                <w:szCs w:val="21"/>
                <w:highlight w:val="none"/>
              </w:rPr>
              <w:t>招</w:t>
            </w:r>
            <w:r>
              <w:rPr>
                <w:rFonts w:ascii="宋体" w:hAnsi="宋体" w:cs="宋体"/>
                <w:color w:val="auto"/>
                <w:spacing w:val="2"/>
                <w:sz w:val="21"/>
                <w:szCs w:val="21"/>
                <w:highlight w:val="none"/>
              </w:rPr>
              <w:t>标</w:t>
            </w:r>
            <w:r>
              <w:rPr>
                <w:rFonts w:ascii="宋体" w:hAnsi="宋体" w:cs="宋体"/>
                <w:color w:val="auto"/>
                <w:sz w:val="21"/>
                <w:szCs w:val="21"/>
                <w:highlight w:val="none"/>
              </w:rPr>
              <w:t>文</w:t>
            </w:r>
            <w:r>
              <w:rPr>
                <w:rFonts w:ascii="宋体" w:hAnsi="宋体" w:cs="宋体"/>
                <w:color w:val="auto"/>
                <w:spacing w:val="2"/>
                <w:sz w:val="21"/>
                <w:szCs w:val="21"/>
                <w:highlight w:val="none"/>
              </w:rPr>
              <w:t>件</w:t>
            </w:r>
            <w:r>
              <w:rPr>
                <w:rFonts w:ascii="宋体" w:hAnsi="宋体" w:cs="宋体"/>
                <w:color w:val="auto"/>
                <w:sz w:val="21"/>
                <w:szCs w:val="21"/>
                <w:highlight w:val="none"/>
              </w:rPr>
              <w:t>规</w:t>
            </w:r>
            <w:r>
              <w:rPr>
                <w:rFonts w:ascii="宋体" w:hAnsi="宋体" w:cs="宋体"/>
                <w:color w:val="auto"/>
                <w:spacing w:val="2"/>
                <w:sz w:val="21"/>
                <w:szCs w:val="21"/>
                <w:highlight w:val="none"/>
              </w:rPr>
              <w:t>定</w:t>
            </w:r>
            <w:r>
              <w:rPr>
                <w:rFonts w:ascii="宋体" w:hAnsi="宋体" w:cs="宋体"/>
                <w:color w:val="auto"/>
                <w:sz w:val="21"/>
                <w:szCs w:val="21"/>
                <w:highlight w:val="none"/>
              </w:rPr>
              <w:t>；</w:t>
            </w:r>
          </w:p>
          <w:p>
            <w:pPr>
              <w:spacing w:before="1" w:line="100" w:lineRule="exact"/>
              <w:rPr>
                <w:color w:val="auto"/>
                <w:sz w:val="10"/>
                <w:szCs w:val="10"/>
                <w:highlight w:val="none"/>
              </w:rPr>
            </w:pPr>
          </w:p>
          <w:p>
            <w:pPr>
              <w:spacing w:line="316" w:lineRule="auto"/>
              <w:ind w:left="222" w:right="159"/>
              <w:jc w:val="both"/>
              <w:rPr>
                <w:rFonts w:ascii="宋体" w:hAnsi="宋体" w:cs="宋体"/>
                <w:color w:val="auto"/>
                <w:sz w:val="21"/>
                <w:szCs w:val="21"/>
                <w:highlight w:val="none"/>
              </w:rPr>
            </w:pPr>
            <w:r>
              <w:rPr>
                <w:rFonts w:ascii="宋体" w:hAnsi="宋体" w:cs="宋体"/>
                <w:color w:val="auto"/>
                <w:spacing w:val="2"/>
                <w:sz w:val="21"/>
                <w:szCs w:val="21"/>
                <w:highlight w:val="none"/>
              </w:rPr>
              <w:t>（</w:t>
            </w:r>
            <w:r>
              <w:rPr>
                <w:rFonts w:hint="eastAsia" w:ascii="宋体" w:hAnsi="宋体" w:cs="宋体"/>
                <w:color w:val="auto"/>
                <w:spacing w:val="1"/>
                <w:sz w:val="21"/>
                <w:szCs w:val="21"/>
                <w:highlight w:val="none"/>
                <w:lang w:val="en-US" w:eastAsia="zh-CN"/>
              </w:rPr>
              <w:t>6</w:t>
            </w:r>
            <w:r>
              <w:rPr>
                <w:rFonts w:ascii="宋体" w:hAnsi="宋体" w:cs="宋体"/>
                <w:color w:val="auto"/>
                <w:spacing w:val="-5"/>
                <w:sz w:val="21"/>
                <w:szCs w:val="21"/>
                <w:highlight w:val="none"/>
              </w:rPr>
              <w:t>）</w:t>
            </w:r>
            <w:r>
              <w:rPr>
                <w:rFonts w:ascii="宋体" w:hAnsi="宋体" w:cs="宋体"/>
                <w:color w:val="auto"/>
                <w:spacing w:val="2"/>
                <w:sz w:val="21"/>
                <w:szCs w:val="21"/>
                <w:highlight w:val="none"/>
              </w:rPr>
              <w:t>投</w:t>
            </w:r>
            <w:r>
              <w:rPr>
                <w:rFonts w:ascii="宋体" w:hAnsi="宋体" w:cs="宋体"/>
                <w:color w:val="auto"/>
                <w:sz w:val="21"/>
                <w:szCs w:val="21"/>
                <w:highlight w:val="none"/>
              </w:rPr>
              <w:t>标</w:t>
            </w:r>
            <w:r>
              <w:rPr>
                <w:rFonts w:ascii="宋体" w:hAnsi="宋体" w:cs="宋体"/>
                <w:color w:val="auto"/>
                <w:spacing w:val="2"/>
                <w:sz w:val="21"/>
                <w:szCs w:val="21"/>
                <w:highlight w:val="none"/>
              </w:rPr>
              <w:t>人</w:t>
            </w:r>
            <w:r>
              <w:rPr>
                <w:rFonts w:ascii="宋体" w:hAnsi="宋体" w:cs="宋体"/>
                <w:color w:val="auto"/>
                <w:sz w:val="21"/>
                <w:szCs w:val="21"/>
                <w:highlight w:val="none"/>
              </w:rPr>
              <w:t>的</w:t>
            </w:r>
            <w:r>
              <w:rPr>
                <w:rFonts w:ascii="宋体" w:hAnsi="宋体" w:cs="宋体"/>
                <w:color w:val="auto"/>
                <w:spacing w:val="2"/>
                <w:sz w:val="21"/>
                <w:szCs w:val="21"/>
                <w:highlight w:val="none"/>
              </w:rPr>
              <w:t>项</w:t>
            </w:r>
            <w:r>
              <w:rPr>
                <w:rFonts w:ascii="宋体" w:hAnsi="宋体" w:cs="宋体"/>
                <w:color w:val="auto"/>
                <w:sz w:val="21"/>
                <w:szCs w:val="21"/>
                <w:highlight w:val="none"/>
              </w:rPr>
              <w:t>目</w:t>
            </w:r>
            <w:r>
              <w:rPr>
                <w:rFonts w:ascii="宋体" w:hAnsi="宋体" w:cs="宋体"/>
                <w:color w:val="auto"/>
                <w:spacing w:val="2"/>
                <w:sz w:val="21"/>
                <w:szCs w:val="21"/>
                <w:highlight w:val="none"/>
              </w:rPr>
              <w:t>经</w:t>
            </w:r>
            <w:r>
              <w:rPr>
                <w:rFonts w:ascii="宋体" w:hAnsi="宋体" w:cs="宋体"/>
                <w:color w:val="auto"/>
                <w:sz w:val="21"/>
                <w:szCs w:val="21"/>
                <w:highlight w:val="none"/>
              </w:rPr>
              <w:t>理</w:t>
            </w:r>
            <w:r>
              <w:rPr>
                <w:rFonts w:ascii="宋体" w:hAnsi="宋体" w:cs="宋体"/>
                <w:color w:val="auto"/>
                <w:spacing w:val="2"/>
                <w:sz w:val="21"/>
                <w:szCs w:val="21"/>
                <w:highlight w:val="none"/>
              </w:rPr>
              <w:t>和</w:t>
            </w:r>
            <w:r>
              <w:rPr>
                <w:rFonts w:ascii="宋体" w:hAnsi="宋体" w:cs="宋体"/>
                <w:color w:val="auto"/>
                <w:sz w:val="21"/>
                <w:szCs w:val="21"/>
                <w:highlight w:val="none"/>
              </w:rPr>
              <w:t>项</w:t>
            </w:r>
            <w:r>
              <w:rPr>
                <w:rFonts w:ascii="宋体" w:hAnsi="宋体" w:cs="宋体"/>
                <w:color w:val="auto"/>
                <w:spacing w:val="2"/>
                <w:sz w:val="21"/>
                <w:szCs w:val="21"/>
                <w:highlight w:val="none"/>
              </w:rPr>
              <w:t>目</w:t>
            </w:r>
            <w:r>
              <w:rPr>
                <w:rFonts w:ascii="宋体" w:hAnsi="宋体" w:cs="宋体"/>
                <w:color w:val="auto"/>
                <w:sz w:val="21"/>
                <w:szCs w:val="21"/>
                <w:highlight w:val="none"/>
              </w:rPr>
              <w:t>总</w:t>
            </w:r>
            <w:r>
              <w:rPr>
                <w:rFonts w:ascii="宋体" w:hAnsi="宋体" w:cs="宋体"/>
                <w:color w:val="auto"/>
                <w:spacing w:val="2"/>
                <w:sz w:val="21"/>
                <w:szCs w:val="21"/>
                <w:highlight w:val="none"/>
              </w:rPr>
              <w:t>工</w:t>
            </w:r>
            <w:r>
              <w:rPr>
                <w:rFonts w:ascii="宋体" w:hAnsi="宋体" w:cs="宋体"/>
                <w:color w:val="auto"/>
                <w:sz w:val="21"/>
                <w:szCs w:val="21"/>
                <w:highlight w:val="none"/>
              </w:rPr>
              <w:t>资</w:t>
            </w:r>
            <w:r>
              <w:rPr>
                <w:rFonts w:ascii="宋体" w:hAnsi="宋体" w:cs="宋体"/>
                <w:color w:val="auto"/>
                <w:spacing w:val="-5"/>
                <w:sz w:val="21"/>
                <w:szCs w:val="21"/>
                <w:highlight w:val="none"/>
              </w:rPr>
              <w:t>格、</w:t>
            </w:r>
            <w:r>
              <w:rPr>
                <w:rFonts w:ascii="宋体" w:hAnsi="宋体" w:cs="宋体"/>
                <w:color w:val="auto"/>
                <w:spacing w:val="2"/>
                <w:sz w:val="21"/>
                <w:szCs w:val="21"/>
                <w:highlight w:val="none"/>
              </w:rPr>
              <w:t>在</w:t>
            </w:r>
            <w:r>
              <w:rPr>
                <w:rFonts w:ascii="宋体" w:hAnsi="宋体" w:cs="宋体"/>
                <w:color w:val="auto"/>
                <w:sz w:val="21"/>
                <w:szCs w:val="21"/>
                <w:highlight w:val="none"/>
              </w:rPr>
              <w:t>岗</w:t>
            </w:r>
            <w:r>
              <w:rPr>
                <w:rFonts w:ascii="宋体" w:hAnsi="宋体" w:cs="宋体"/>
                <w:color w:val="auto"/>
                <w:spacing w:val="2"/>
                <w:sz w:val="21"/>
                <w:szCs w:val="21"/>
                <w:highlight w:val="none"/>
              </w:rPr>
              <w:t>情</w:t>
            </w:r>
            <w:r>
              <w:rPr>
                <w:rFonts w:ascii="宋体" w:hAnsi="宋体" w:cs="宋体"/>
                <w:color w:val="auto"/>
                <w:sz w:val="21"/>
                <w:szCs w:val="21"/>
                <w:highlight w:val="none"/>
              </w:rPr>
              <w:t>况</w:t>
            </w:r>
            <w:r>
              <w:rPr>
                <w:rFonts w:ascii="宋体" w:hAnsi="宋体" w:cs="宋体"/>
                <w:color w:val="auto"/>
                <w:spacing w:val="2"/>
                <w:sz w:val="21"/>
                <w:szCs w:val="21"/>
                <w:highlight w:val="none"/>
              </w:rPr>
              <w:t>符</w:t>
            </w:r>
            <w:r>
              <w:rPr>
                <w:rFonts w:ascii="宋体" w:hAnsi="宋体" w:cs="宋体"/>
                <w:color w:val="auto"/>
                <w:sz w:val="21"/>
                <w:szCs w:val="21"/>
                <w:highlight w:val="none"/>
              </w:rPr>
              <w:t>合招标</w:t>
            </w:r>
            <w:r>
              <w:rPr>
                <w:rFonts w:ascii="宋体" w:hAnsi="宋体" w:cs="宋体"/>
                <w:color w:val="auto"/>
                <w:spacing w:val="2"/>
                <w:sz w:val="21"/>
                <w:szCs w:val="21"/>
                <w:highlight w:val="none"/>
              </w:rPr>
              <w:t>文</w:t>
            </w:r>
            <w:r>
              <w:rPr>
                <w:rFonts w:ascii="宋体" w:hAnsi="宋体" w:cs="宋体"/>
                <w:color w:val="auto"/>
                <w:sz w:val="21"/>
                <w:szCs w:val="21"/>
                <w:highlight w:val="none"/>
              </w:rPr>
              <w:t>件</w:t>
            </w:r>
            <w:r>
              <w:rPr>
                <w:rFonts w:ascii="宋体" w:hAnsi="宋体" w:cs="宋体"/>
                <w:color w:val="auto"/>
                <w:spacing w:val="2"/>
                <w:sz w:val="21"/>
                <w:szCs w:val="21"/>
                <w:highlight w:val="none"/>
              </w:rPr>
              <w:t>规定</w:t>
            </w:r>
            <w:r>
              <w:rPr>
                <w:rFonts w:ascii="宋体" w:hAnsi="宋体" w:cs="宋体"/>
                <w:color w:val="auto"/>
                <w:sz w:val="21"/>
                <w:szCs w:val="21"/>
                <w:highlight w:val="none"/>
              </w:rPr>
              <w:t>，并</w:t>
            </w:r>
            <w:r>
              <w:rPr>
                <w:rFonts w:ascii="宋体" w:hAnsi="宋体" w:cs="宋体"/>
                <w:color w:val="auto"/>
                <w:spacing w:val="2"/>
                <w:sz w:val="21"/>
                <w:szCs w:val="21"/>
                <w:highlight w:val="none"/>
              </w:rPr>
              <w:t>按</w:t>
            </w:r>
            <w:r>
              <w:rPr>
                <w:rFonts w:ascii="宋体" w:hAnsi="宋体" w:cs="宋体"/>
                <w:color w:val="auto"/>
                <w:sz w:val="21"/>
                <w:szCs w:val="21"/>
                <w:highlight w:val="none"/>
              </w:rPr>
              <w:t>规</w:t>
            </w:r>
            <w:r>
              <w:rPr>
                <w:rFonts w:ascii="宋体" w:hAnsi="宋体" w:cs="宋体"/>
                <w:color w:val="auto"/>
                <w:spacing w:val="2"/>
                <w:sz w:val="21"/>
                <w:szCs w:val="21"/>
                <w:highlight w:val="none"/>
              </w:rPr>
              <w:t>定</w:t>
            </w:r>
            <w:r>
              <w:rPr>
                <w:rFonts w:ascii="宋体" w:hAnsi="宋体" w:cs="宋体"/>
                <w:color w:val="auto"/>
                <w:sz w:val="21"/>
                <w:szCs w:val="21"/>
                <w:highlight w:val="none"/>
              </w:rPr>
              <w:t>在</w:t>
            </w:r>
            <w:r>
              <w:rPr>
                <w:rFonts w:ascii="宋体" w:hAnsi="宋体" w:cs="宋体"/>
                <w:color w:val="auto"/>
                <w:spacing w:val="2"/>
                <w:sz w:val="21"/>
                <w:szCs w:val="21"/>
                <w:highlight w:val="none"/>
              </w:rPr>
              <w:t>投</w:t>
            </w:r>
            <w:r>
              <w:rPr>
                <w:rFonts w:ascii="宋体" w:hAnsi="宋体" w:cs="宋体"/>
                <w:color w:val="auto"/>
                <w:sz w:val="21"/>
                <w:szCs w:val="21"/>
                <w:highlight w:val="none"/>
              </w:rPr>
              <w:t>标</w:t>
            </w:r>
            <w:r>
              <w:rPr>
                <w:rFonts w:ascii="宋体" w:hAnsi="宋体" w:cs="宋体"/>
                <w:color w:val="auto"/>
                <w:spacing w:val="2"/>
                <w:sz w:val="21"/>
                <w:szCs w:val="21"/>
                <w:highlight w:val="none"/>
              </w:rPr>
              <w:t>文</w:t>
            </w:r>
            <w:r>
              <w:rPr>
                <w:rFonts w:ascii="宋体" w:hAnsi="宋体" w:cs="宋体"/>
                <w:color w:val="auto"/>
                <w:sz w:val="21"/>
                <w:szCs w:val="21"/>
                <w:highlight w:val="none"/>
              </w:rPr>
              <w:t>件</w:t>
            </w:r>
            <w:r>
              <w:rPr>
                <w:rFonts w:ascii="宋体" w:hAnsi="宋体" w:cs="宋体"/>
                <w:color w:val="auto"/>
                <w:spacing w:val="2"/>
                <w:sz w:val="21"/>
                <w:szCs w:val="21"/>
                <w:highlight w:val="none"/>
              </w:rPr>
              <w:t>中</w:t>
            </w:r>
            <w:r>
              <w:rPr>
                <w:rFonts w:ascii="宋体" w:hAnsi="宋体" w:cs="宋体"/>
                <w:color w:val="auto"/>
                <w:sz w:val="21"/>
                <w:szCs w:val="21"/>
                <w:highlight w:val="none"/>
              </w:rPr>
              <w:t>签</w:t>
            </w:r>
            <w:r>
              <w:rPr>
                <w:rFonts w:ascii="宋体" w:hAnsi="宋体" w:cs="宋体"/>
                <w:color w:val="auto"/>
                <w:spacing w:val="2"/>
                <w:sz w:val="21"/>
                <w:szCs w:val="21"/>
                <w:highlight w:val="none"/>
              </w:rPr>
              <w:t>字</w:t>
            </w:r>
            <w:r>
              <w:rPr>
                <w:rFonts w:ascii="宋体" w:hAnsi="宋体" w:cs="宋体"/>
                <w:color w:val="auto"/>
                <w:sz w:val="21"/>
                <w:szCs w:val="21"/>
                <w:highlight w:val="none"/>
              </w:rPr>
              <w:t>确</w:t>
            </w:r>
            <w:r>
              <w:rPr>
                <w:rFonts w:ascii="宋体" w:hAnsi="宋体" w:cs="宋体"/>
                <w:color w:val="auto"/>
                <w:spacing w:val="2"/>
                <w:sz w:val="21"/>
                <w:szCs w:val="21"/>
                <w:highlight w:val="none"/>
              </w:rPr>
              <w:t>认</w:t>
            </w:r>
            <w:r>
              <w:rPr>
                <w:rFonts w:ascii="宋体" w:hAnsi="宋体" w:cs="宋体"/>
                <w:color w:val="auto"/>
                <w:sz w:val="21"/>
                <w:szCs w:val="21"/>
                <w:highlight w:val="none"/>
              </w:rPr>
              <w:t>；</w:t>
            </w:r>
          </w:p>
          <w:p>
            <w:pPr>
              <w:tabs>
                <w:tab w:val="left" w:pos="7148"/>
              </w:tabs>
              <w:spacing w:before="27"/>
              <w:ind w:left="222" w:right="169"/>
              <w:jc w:val="both"/>
              <w:rPr>
                <w:rFonts w:ascii="宋体" w:hAnsi="宋体" w:cs="宋体"/>
                <w:color w:val="auto"/>
                <w:spacing w:val="2"/>
                <w:sz w:val="21"/>
                <w:szCs w:val="21"/>
                <w:highlight w:val="none"/>
              </w:rPr>
            </w:pPr>
            <w:r>
              <w:rPr>
                <w:rFonts w:ascii="宋体" w:hAnsi="宋体" w:cs="宋体"/>
                <w:color w:val="auto"/>
                <w:spacing w:val="2"/>
                <w:sz w:val="21"/>
                <w:szCs w:val="21"/>
                <w:highlight w:val="none"/>
              </w:rPr>
              <w:t>（</w:t>
            </w:r>
            <w:r>
              <w:rPr>
                <w:rFonts w:hint="eastAsia" w:ascii="宋体" w:hAnsi="宋体" w:cs="宋体"/>
                <w:color w:val="auto"/>
                <w:spacing w:val="1"/>
                <w:sz w:val="21"/>
                <w:szCs w:val="21"/>
                <w:highlight w:val="none"/>
                <w:lang w:val="en-US" w:eastAsia="zh-CN"/>
              </w:rPr>
              <w:t>7</w:t>
            </w:r>
            <w:r>
              <w:rPr>
                <w:rFonts w:ascii="宋体" w:hAnsi="宋体" w:cs="宋体"/>
                <w:color w:val="auto"/>
                <w:sz w:val="21"/>
                <w:szCs w:val="21"/>
                <w:highlight w:val="none"/>
              </w:rPr>
              <w:t>）</w:t>
            </w:r>
            <w:r>
              <w:rPr>
                <w:rFonts w:ascii="宋体" w:hAnsi="宋体" w:cs="宋体"/>
                <w:color w:val="auto"/>
                <w:spacing w:val="2"/>
                <w:sz w:val="21"/>
                <w:szCs w:val="21"/>
                <w:highlight w:val="none"/>
              </w:rPr>
              <w:t>投标人的其他管理人员和技术人员要求符合招标文件规定；</w:t>
            </w:r>
          </w:p>
          <w:p>
            <w:pPr>
              <w:spacing w:before="98" w:line="318" w:lineRule="auto"/>
              <w:ind w:left="222" w:right="157"/>
              <w:jc w:val="both"/>
              <w:rPr>
                <w:rFonts w:ascii="宋体" w:hAnsi="宋体" w:cs="宋体"/>
                <w:color w:val="auto"/>
                <w:spacing w:val="2"/>
                <w:sz w:val="21"/>
                <w:szCs w:val="21"/>
                <w:highlight w:val="none"/>
              </w:rPr>
            </w:pPr>
            <w:r>
              <w:rPr>
                <w:rFonts w:ascii="宋体" w:hAnsi="宋体" w:cs="宋体"/>
                <w:color w:val="auto"/>
                <w:spacing w:val="2"/>
                <w:sz w:val="21"/>
                <w:szCs w:val="21"/>
                <w:highlight w:val="none"/>
              </w:rPr>
              <w:t>（</w:t>
            </w:r>
            <w:r>
              <w:rPr>
                <w:rFonts w:hint="eastAsia" w:ascii="宋体" w:hAnsi="宋体" w:cs="宋体"/>
                <w:color w:val="auto"/>
                <w:spacing w:val="2"/>
                <w:sz w:val="21"/>
                <w:szCs w:val="21"/>
                <w:highlight w:val="none"/>
                <w:lang w:val="en-US" w:eastAsia="zh-CN"/>
              </w:rPr>
              <w:t>8</w:t>
            </w:r>
            <w:r>
              <w:rPr>
                <w:rFonts w:ascii="宋体" w:hAnsi="宋体" w:cs="宋体"/>
                <w:color w:val="auto"/>
                <w:spacing w:val="2"/>
                <w:sz w:val="21"/>
                <w:szCs w:val="21"/>
                <w:highlight w:val="none"/>
              </w:rPr>
              <w:t>）投标人不存在第二章“投标人须知”第 1.4.3 项或第 1.4.4 项规定的任何一种情形（</w:t>
            </w:r>
            <w:r>
              <w:rPr>
                <w:rFonts w:ascii="宋体" w:hAnsi="宋体" w:cs="宋体"/>
                <w:color w:val="auto"/>
                <w:spacing w:val="2"/>
                <w:sz w:val="21"/>
                <w:szCs w:val="21"/>
                <w:highlight w:val="none"/>
                <w:u w:val="single"/>
              </w:rPr>
              <w:t>以投标人投标函中的承诺</w:t>
            </w:r>
            <w:r>
              <w:rPr>
                <w:rFonts w:hint="eastAsia" w:ascii="宋体" w:hAnsi="宋体" w:cs="宋体"/>
                <w:color w:val="auto"/>
                <w:spacing w:val="2"/>
                <w:sz w:val="21"/>
                <w:szCs w:val="21"/>
                <w:highlight w:val="none"/>
                <w:u w:val="single"/>
              </w:rPr>
              <w:t>作为评审依据</w:t>
            </w:r>
            <w:r>
              <w:rPr>
                <w:rFonts w:ascii="宋体" w:hAnsi="宋体" w:cs="宋体"/>
                <w:color w:val="auto"/>
                <w:spacing w:val="2"/>
                <w:sz w:val="21"/>
                <w:szCs w:val="21"/>
                <w:highlight w:val="none"/>
              </w:rPr>
              <w:t>）；</w:t>
            </w:r>
          </w:p>
          <w:p>
            <w:pPr>
              <w:pStyle w:val="7"/>
              <w:spacing w:line="360" w:lineRule="exact"/>
              <w:ind w:right="168" w:rightChars="80" w:firstLine="214" w:firstLineChars="100"/>
              <w:rPr>
                <w:rFonts w:hint="eastAsia" w:ascii="宋体" w:hAnsi="宋体" w:cs="宋体"/>
                <w:color w:val="auto"/>
                <w:spacing w:val="2"/>
                <w:sz w:val="21"/>
                <w:szCs w:val="21"/>
                <w:highlight w:val="none"/>
              </w:rPr>
            </w:pPr>
            <w:r>
              <w:rPr>
                <w:rFonts w:ascii="宋体" w:hAnsi="宋体" w:cs="宋体"/>
                <w:color w:val="auto"/>
                <w:spacing w:val="2"/>
                <w:sz w:val="21"/>
                <w:szCs w:val="21"/>
                <w:highlight w:val="none"/>
              </w:rPr>
              <w:t>（</w:t>
            </w:r>
            <w:r>
              <w:rPr>
                <w:rFonts w:hint="eastAsia" w:ascii="宋体" w:hAnsi="宋体" w:cs="宋体"/>
                <w:color w:val="auto"/>
                <w:spacing w:val="2"/>
                <w:sz w:val="21"/>
                <w:szCs w:val="21"/>
                <w:highlight w:val="none"/>
                <w:lang w:val="en-US" w:eastAsia="zh-CN"/>
              </w:rPr>
              <w:t>9</w:t>
            </w:r>
            <w:r>
              <w:rPr>
                <w:rFonts w:ascii="宋体" w:hAnsi="宋体" w:cs="宋体"/>
                <w:color w:val="auto"/>
                <w:spacing w:val="2"/>
                <w:sz w:val="21"/>
                <w:szCs w:val="21"/>
                <w:highlight w:val="none"/>
              </w:rPr>
              <w:t>）投标人符合第二章“投标人须知”第 1.4.5 项规定</w:t>
            </w:r>
            <w:r>
              <w:rPr>
                <w:rFonts w:hint="eastAsia" w:ascii="宋体" w:hAnsi="宋体" w:cs="宋体"/>
                <w:color w:val="auto"/>
                <w:spacing w:val="2"/>
                <w:sz w:val="21"/>
                <w:szCs w:val="21"/>
                <w:highlight w:val="none"/>
              </w:rPr>
              <w:t>；</w:t>
            </w:r>
          </w:p>
          <w:p>
            <w:pPr>
              <w:pStyle w:val="7"/>
              <w:spacing w:line="360" w:lineRule="exact"/>
              <w:ind w:right="168" w:rightChars="80" w:firstLine="210" w:firstLineChars="100"/>
              <w:rPr>
                <w:rStyle w:val="20"/>
                <w:rFonts w:cs="楷体" w:asciiTheme="minorEastAsia" w:hAnsiTheme="minorEastAsia" w:eastAsiaTheme="minorEastAsia"/>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41"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2.2.1</w:t>
            </w:r>
          </w:p>
        </w:tc>
        <w:tc>
          <w:tcPr>
            <w:tcW w:w="1210" w:type="dxa"/>
            <w:vAlign w:val="center"/>
          </w:tcPr>
          <w:p>
            <w:pPr>
              <w:pStyle w:val="7"/>
              <w:spacing w:before="92"/>
              <w:ind w:right="199" w:rightChars="0"/>
              <w:jc w:val="both"/>
              <w:rPr>
                <w:rFonts w:asciiTheme="minorEastAsia" w:hAnsiTheme="minorEastAsia" w:eastAsiaTheme="minorEastAsia"/>
                <w:color w:val="auto"/>
                <w:szCs w:val="21"/>
                <w:highlight w:val="none"/>
              </w:rPr>
            </w:pPr>
            <w:r>
              <w:rPr>
                <w:rFonts w:hint="eastAsia" w:ascii="宋体" w:hAnsi="宋体" w:cs="宋体"/>
                <w:color w:val="auto"/>
                <w:sz w:val="21"/>
                <w:szCs w:val="21"/>
                <w:highlight w:val="none"/>
              </w:rPr>
              <w:t>第一个信封评分分值构成（总分100分）</w:t>
            </w:r>
          </w:p>
        </w:tc>
        <w:tc>
          <w:tcPr>
            <w:tcW w:w="7796" w:type="dxa"/>
            <w:vAlign w:val="center"/>
          </w:tcPr>
          <w:p>
            <w:pPr>
              <w:pStyle w:val="7"/>
              <w:spacing w:line="360" w:lineRule="exact"/>
              <w:ind w:left="61" w:leftChars="29" w:right="168" w:rightChars="80" w:firstLine="6" w:firstLineChars="3"/>
              <w:rPr>
                <w:rFonts w:hint="eastAsia" w:ascii="宋体" w:hAnsi="宋体" w:cs="宋体"/>
                <w:color w:val="auto"/>
                <w:sz w:val="21"/>
                <w:szCs w:val="21"/>
                <w:highlight w:val="none"/>
              </w:rPr>
            </w:pPr>
            <w:r>
              <w:rPr>
                <w:rFonts w:hint="eastAsia" w:ascii="宋体" w:hAnsi="宋体" w:cs="宋体"/>
                <w:color w:val="auto"/>
                <w:sz w:val="21"/>
                <w:szCs w:val="21"/>
                <w:highlight w:val="none"/>
              </w:rPr>
              <w:t>施工组织设计（A）：</w:t>
            </w:r>
            <w:r>
              <w:rPr>
                <w:rFonts w:hint="eastAsia" w:ascii="宋体" w:hAnsi="宋体" w:cs="宋体"/>
                <w:color w:val="auto"/>
                <w:sz w:val="21"/>
                <w:szCs w:val="21"/>
                <w:highlight w:val="none"/>
                <w:u w:val="single"/>
              </w:rPr>
              <w:t xml:space="preserve"> 40</w:t>
            </w:r>
            <w:r>
              <w:rPr>
                <w:rFonts w:hint="eastAsia" w:ascii="宋体" w:hAnsi="宋体" w:cs="宋体"/>
                <w:color w:val="auto"/>
                <w:sz w:val="21"/>
                <w:szCs w:val="21"/>
                <w:highlight w:val="none"/>
              </w:rPr>
              <w:t>分</w:t>
            </w:r>
          </w:p>
          <w:p>
            <w:pPr>
              <w:pStyle w:val="7"/>
              <w:spacing w:line="360" w:lineRule="exact"/>
              <w:ind w:left="61" w:leftChars="29" w:right="168" w:rightChars="80" w:firstLine="6" w:firstLineChars="3"/>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主要人员（B）： </w:t>
            </w:r>
            <w:r>
              <w:rPr>
                <w:rFonts w:hint="eastAsia" w:ascii="宋体" w:hAnsi="宋体" w:cs="宋体"/>
                <w:color w:val="auto"/>
                <w:sz w:val="21"/>
                <w:szCs w:val="21"/>
                <w:highlight w:val="none"/>
                <w:u w:val="single"/>
              </w:rPr>
              <w:t xml:space="preserve">30 </w:t>
            </w:r>
            <w:r>
              <w:rPr>
                <w:rFonts w:hint="eastAsia" w:ascii="宋体" w:hAnsi="宋体" w:cs="宋体"/>
                <w:color w:val="auto"/>
                <w:sz w:val="21"/>
                <w:szCs w:val="21"/>
                <w:highlight w:val="none"/>
              </w:rPr>
              <w:t>分</w:t>
            </w:r>
          </w:p>
          <w:p>
            <w:pPr>
              <w:pStyle w:val="7"/>
              <w:spacing w:line="360" w:lineRule="exact"/>
              <w:ind w:left="61" w:leftChars="29" w:right="168" w:rightChars="80" w:firstLine="6" w:firstLineChars="3"/>
              <w:rPr>
                <w:rStyle w:val="20"/>
                <w:rFonts w:cs="楷体" w:asciiTheme="minorEastAsia" w:hAnsiTheme="minorEastAsia" w:eastAsiaTheme="minorEastAsia"/>
                <w:color w:val="auto"/>
                <w:sz w:val="21"/>
                <w:szCs w:val="21"/>
                <w:highlight w:val="none"/>
                <w:lang w:val="zh-CN"/>
              </w:rPr>
            </w:pPr>
            <w:r>
              <w:rPr>
                <w:rFonts w:hint="eastAsia" w:ascii="宋体" w:hAnsi="宋体" w:cs="宋体"/>
                <w:color w:val="auto"/>
                <w:sz w:val="21"/>
                <w:szCs w:val="21"/>
                <w:highlight w:val="none"/>
              </w:rPr>
              <w:t xml:space="preserve">其他因素（C）技术能力： </w:t>
            </w:r>
            <w:r>
              <w:rPr>
                <w:rFonts w:hint="eastAsia" w:ascii="宋体" w:hAnsi="宋体" w:cs="宋体"/>
                <w:color w:val="auto"/>
                <w:sz w:val="21"/>
                <w:szCs w:val="21"/>
                <w:highlight w:val="none"/>
                <w:u w:val="single"/>
              </w:rPr>
              <w:t xml:space="preserve">15 </w:t>
            </w:r>
            <w:r>
              <w:rPr>
                <w:rFonts w:hint="eastAsia" w:ascii="宋体" w:hAnsi="宋体" w:cs="宋体"/>
                <w:color w:val="auto"/>
                <w:sz w:val="21"/>
                <w:szCs w:val="21"/>
                <w:highlight w:val="none"/>
              </w:rPr>
              <w:t xml:space="preserve">分，履约信誉： </w:t>
            </w:r>
            <w:r>
              <w:rPr>
                <w:rFonts w:hint="eastAsia" w:ascii="宋体" w:hAnsi="宋体" w:cs="宋体"/>
                <w:color w:val="auto"/>
                <w:sz w:val="21"/>
                <w:szCs w:val="21"/>
                <w:highlight w:val="none"/>
                <w:u w:val="single"/>
              </w:rPr>
              <w:t xml:space="preserve">15 </w:t>
            </w:r>
            <w:r>
              <w:rPr>
                <w:rFonts w:hint="eastAsia" w:ascii="宋体" w:hAnsi="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jc w:val="center"/>
        </w:trPr>
        <w:tc>
          <w:tcPr>
            <w:tcW w:w="741" w:type="dxa"/>
            <w:vAlign w:val="center"/>
          </w:tcPr>
          <w:p>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2.2.</w:t>
            </w:r>
            <w:r>
              <w:rPr>
                <w:rFonts w:hint="eastAsia" w:asciiTheme="minorEastAsia" w:hAnsiTheme="minorEastAsia" w:eastAsiaTheme="minorEastAsia"/>
                <w:color w:val="auto"/>
                <w:szCs w:val="21"/>
                <w:highlight w:val="none"/>
                <w:lang w:val="en-US" w:eastAsia="zh-CN"/>
              </w:rPr>
              <w:t>3</w:t>
            </w:r>
          </w:p>
        </w:tc>
        <w:tc>
          <w:tcPr>
            <w:tcW w:w="1210" w:type="dxa"/>
            <w:vAlign w:val="center"/>
          </w:tcPr>
          <w:p>
            <w:pPr>
              <w:pStyle w:val="7"/>
              <w:spacing w:before="151" w:line="360" w:lineRule="auto"/>
              <w:ind w:right="110" w:rightChars="0"/>
              <w:jc w:val="center"/>
              <w:rPr>
                <w:rFonts w:asciiTheme="minorEastAsia" w:hAnsiTheme="minorEastAsia" w:eastAsiaTheme="minorEastAsia"/>
                <w:color w:val="auto"/>
                <w:szCs w:val="21"/>
                <w:highlight w:val="none"/>
              </w:rPr>
            </w:pPr>
            <w:r>
              <w:rPr>
                <w:rFonts w:hint="eastAsia" w:ascii="宋体" w:hAnsi="宋体" w:cs="宋体"/>
                <w:color w:val="auto"/>
                <w:sz w:val="21"/>
                <w:szCs w:val="21"/>
                <w:highlight w:val="none"/>
              </w:rPr>
              <w:t>第二个信封详细评审标准</w:t>
            </w:r>
          </w:p>
        </w:tc>
        <w:tc>
          <w:tcPr>
            <w:tcW w:w="7796" w:type="dxa"/>
            <w:vAlign w:val="center"/>
          </w:tcPr>
          <w:p>
            <w:pPr>
              <w:pStyle w:val="7"/>
              <w:spacing w:before="120" w:beforeLines="50" w:line="360" w:lineRule="exact"/>
              <w:ind w:right="67" w:rightChars="32"/>
              <w:rPr>
                <w:rFonts w:hint="eastAsia" w:ascii="宋体" w:hAnsi="宋体" w:cs="宋体"/>
                <w:color w:val="auto"/>
                <w:sz w:val="21"/>
                <w:szCs w:val="21"/>
                <w:highlight w:val="none"/>
              </w:rPr>
            </w:pPr>
            <w:r>
              <w:rPr>
                <w:rFonts w:hint="eastAsia" w:ascii="宋体" w:hAnsi="宋体" w:cs="宋体"/>
                <w:color w:val="auto"/>
                <w:sz w:val="21"/>
                <w:szCs w:val="21"/>
                <w:highlight w:val="none"/>
              </w:rPr>
              <w:t>评标价的评审：</w:t>
            </w:r>
          </w:p>
          <w:p>
            <w:pPr>
              <w:pStyle w:val="7"/>
              <w:numPr>
                <w:ilvl w:val="0"/>
                <w:numId w:val="2"/>
              </w:numPr>
              <w:spacing w:before="120" w:beforeLines="50" w:line="360" w:lineRule="exact"/>
              <w:ind w:right="67" w:rightChars="32"/>
              <w:rPr>
                <w:rFonts w:hint="eastAsia" w:ascii="宋体" w:hAnsi="宋体" w:cs="宋体"/>
                <w:color w:val="auto"/>
                <w:sz w:val="21"/>
                <w:szCs w:val="21"/>
                <w:highlight w:val="none"/>
              </w:rPr>
            </w:pPr>
            <w:r>
              <w:rPr>
                <w:rFonts w:hint="eastAsia" w:ascii="宋体" w:hAnsi="宋体" w:cs="宋体"/>
                <w:color w:val="auto"/>
                <w:sz w:val="21"/>
                <w:szCs w:val="21"/>
                <w:highlight w:val="none"/>
              </w:rPr>
              <w:t>评标价计算公式：评标价=修正后的投标报价</w:t>
            </w:r>
          </w:p>
          <w:p>
            <w:pPr>
              <w:pStyle w:val="7"/>
              <w:spacing w:line="360" w:lineRule="exact"/>
              <w:ind w:right="67" w:rightChars="32" w:firstLine="420" w:firstLineChars="200"/>
              <w:rPr>
                <w:rFonts w:cs="楷体" w:asciiTheme="minorEastAsia" w:hAnsiTheme="minorEastAsia" w:eastAsiaTheme="minorEastAsia"/>
                <w:color w:val="auto"/>
                <w:szCs w:val="21"/>
                <w:highlight w:val="none"/>
              </w:rPr>
            </w:pPr>
            <w:r>
              <w:rPr>
                <w:rFonts w:ascii="宋体" w:hAnsi="宋体" w:cs="宋体"/>
                <w:color w:val="auto"/>
                <w:sz w:val="21"/>
                <w:szCs w:val="21"/>
                <w:highlight w:val="none"/>
              </w:rPr>
              <w:t>若投标人的评标价小于最高投标限价 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41" w:type="dxa"/>
            <w:vAlign w:val="center"/>
          </w:tcPr>
          <w:p>
            <w:pPr>
              <w:jc w:val="center"/>
              <w:rPr>
                <w:rStyle w:val="22"/>
                <w:rFonts w:hint="eastAsia" w:cs="楷体" w:asciiTheme="minorEastAsia" w:hAnsiTheme="minorEastAsia" w:eastAsiaTheme="minorEastAsia"/>
                <w:color w:val="auto"/>
                <w:sz w:val="21"/>
                <w:szCs w:val="21"/>
                <w:highlight w:val="none"/>
                <w:lang w:eastAsia="zh-CN"/>
              </w:rPr>
            </w:pPr>
            <w:r>
              <w:rPr>
                <w:rStyle w:val="21"/>
                <w:rFonts w:hint="eastAsia" w:cs="楷体" w:asciiTheme="minorEastAsia" w:hAnsiTheme="minorEastAsia" w:eastAsiaTheme="minorEastAsia"/>
                <w:color w:val="auto"/>
                <w:sz w:val="21"/>
                <w:szCs w:val="21"/>
                <w:highlight w:val="none"/>
              </w:rPr>
              <w:t>2.2.</w:t>
            </w:r>
            <w:r>
              <w:rPr>
                <w:rStyle w:val="21"/>
                <w:rFonts w:hint="eastAsia" w:cs="楷体" w:asciiTheme="minorEastAsia" w:hAnsiTheme="minorEastAsia" w:eastAsiaTheme="minorEastAsia"/>
                <w:color w:val="auto"/>
                <w:sz w:val="21"/>
                <w:szCs w:val="21"/>
                <w:highlight w:val="none"/>
                <w:lang w:val="en-US" w:eastAsia="zh-CN"/>
              </w:rPr>
              <w:t>4</w:t>
            </w:r>
          </w:p>
        </w:tc>
        <w:tc>
          <w:tcPr>
            <w:tcW w:w="1210" w:type="dxa"/>
            <w:vAlign w:val="center"/>
          </w:tcPr>
          <w:p>
            <w:pPr>
              <w:pStyle w:val="7"/>
              <w:spacing w:before="151" w:line="360" w:lineRule="auto"/>
              <w:ind w:right="110" w:rightChars="0"/>
              <w:jc w:val="center"/>
              <w:rPr>
                <w:rStyle w:val="20"/>
                <w:rFonts w:cs="楷体" w:asciiTheme="minorEastAsia" w:hAnsiTheme="minorEastAsia" w:eastAsiaTheme="minorEastAsia"/>
                <w:color w:val="auto"/>
                <w:sz w:val="21"/>
                <w:szCs w:val="21"/>
                <w:highlight w:val="none"/>
              </w:rPr>
            </w:pPr>
            <w:r>
              <w:rPr>
                <w:rFonts w:hint="eastAsia" w:ascii="宋体" w:hAnsi="宋体" w:cs="宋体"/>
                <w:color w:val="auto"/>
                <w:sz w:val="21"/>
                <w:szCs w:val="21"/>
                <w:highlight w:val="none"/>
              </w:rPr>
              <w:t>通过第一个信封详细评审的投标人数量</w:t>
            </w:r>
          </w:p>
        </w:tc>
        <w:tc>
          <w:tcPr>
            <w:tcW w:w="7796" w:type="dxa"/>
            <w:vAlign w:val="center"/>
          </w:tcPr>
          <w:p>
            <w:pPr>
              <w:pStyle w:val="7"/>
              <w:spacing w:line="360" w:lineRule="exact"/>
              <w:ind w:right="67" w:rightChars="32"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按照投标人的商务和技术得分由高到低排序，选择</w:t>
            </w:r>
            <w:r>
              <w:rPr>
                <w:rFonts w:hint="eastAsia" w:ascii="宋体" w:hAnsi="宋体" w:cs="宋体"/>
                <w:color w:val="auto"/>
                <w:sz w:val="21"/>
                <w:szCs w:val="21"/>
                <w:highlight w:val="none"/>
                <w:u w:val="single"/>
              </w:rPr>
              <w:t>前5名（不少于3名但不足5名时，按全部实际数量）</w:t>
            </w:r>
            <w:r>
              <w:rPr>
                <w:rFonts w:hint="eastAsia" w:ascii="宋体" w:hAnsi="宋体" w:cs="宋体"/>
                <w:color w:val="auto"/>
                <w:sz w:val="21"/>
                <w:szCs w:val="21"/>
                <w:highlight w:val="none"/>
              </w:rPr>
              <w:t>通过详细评审。</w:t>
            </w:r>
          </w:p>
          <w:p>
            <w:pPr>
              <w:pStyle w:val="7"/>
              <w:spacing w:line="360" w:lineRule="exact"/>
              <w:ind w:right="67" w:rightChars="32"/>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注：本条所述“名次”包含了并列的情况：如名次为1,1,3,4,5，则前5名为5家投标人；如名次为1,2,3,4,5,5，则前5名为6家投标人，下同；</w:t>
            </w:r>
          </w:p>
        </w:tc>
      </w:tr>
    </w:tbl>
    <w:p>
      <w:pPr>
        <w:spacing w:before="91" w:line="213" w:lineRule="auto"/>
        <w:ind w:left="55"/>
        <w:rPr>
          <w:rFonts w:hint="eastAsia" w:asciiTheme="minorEastAsia" w:hAnsiTheme="minorEastAsia" w:eastAsiaTheme="minorEastAsia" w:cstheme="minorEastAsia"/>
          <w:color w:val="auto"/>
          <w:sz w:val="28"/>
          <w:szCs w:val="28"/>
          <w14:textOutline w14:w="5103" w14:cap="sq" w14:cmpd="sng">
            <w14:solidFill>
              <w14:srgbClr w14:val="000000"/>
            </w14:solidFill>
            <w14:prstDash w14:val="solid"/>
            <w14:bevel/>
          </w14:textOutline>
        </w:rPr>
      </w:pPr>
    </w:p>
    <w:p>
      <w:pPr>
        <w:spacing w:before="91" w:line="213" w:lineRule="auto"/>
        <w:ind w:left="55"/>
        <w:rPr>
          <w:rFonts w:hint="eastAsia" w:asciiTheme="minorEastAsia" w:hAnsiTheme="minorEastAsia" w:eastAsiaTheme="minorEastAsia" w:cstheme="minorEastAsia"/>
          <w:color w:val="auto"/>
          <w:sz w:val="28"/>
          <w:szCs w:val="28"/>
          <w14:textOutline w14:w="5103" w14:cap="sq" w14:cmpd="sng">
            <w14:solidFill>
              <w14:srgbClr w14:val="000000"/>
            </w14:solidFill>
            <w14:prstDash w14:val="solid"/>
            <w14:bevel/>
          </w14:textOutline>
        </w:rPr>
      </w:pPr>
    </w:p>
    <w:p>
      <w:pPr>
        <w:rPr>
          <w:rFonts w:hint="eastAsia" w:asciiTheme="minorEastAsia" w:hAnsiTheme="minorEastAsia" w:eastAsiaTheme="minorEastAsia" w:cstheme="minorEastAsia"/>
          <w:color w:val="auto"/>
          <w:sz w:val="28"/>
          <w:szCs w:val="28"/>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color w:val="auto"/>
          <w:sz w:val="28"/>
          <w:szCs w:val="28"/>
          <w14:textOutline w14:w="5103" w14:cap="sq" w14:cmpd="sng">
            <w14:solidFill>
              <w14:srgbClr w14:val="000000"/>
            </w14:solidFill>
            <w14:prstDash w14:val="solid"/>
            <w14:bevel/>
          </w14:textOutline>
        </w:rPr>
        <w:br w:type="page"/>
      </w:r>
    </w:p>
    <w:tbl>
      <w:tblPr>
        <w:tblStyle w:val="3"/>
        <w:tblW w:w="964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134"/>
        <w:gridCol w:w="708"/>
        <w:gridCol w:w="1134"/>
        <w:gridCol w:w="808"/>
        <w:gridCol w:w="5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tcBorders>
              <w:right w:val="single" w:color="auto" w:sz="4" w:space="0"/>
            </w:tcBorders>
            <w:vAlign w:val="center"/>
          </w:tcPr>
          <w:p>
            <w:pPr>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条款号</w:t>
            </w:r>
          </w:p>
        </w:tc>
        <w:tc>
          <w:tcPr>
            <w:tcW w:w="1134" w:type="dxa"/>
            <w:tcBorders>
              <w:left w:val="single" w:color="auto" w:sz="4" w:space="0"/>
            </w:tcBorders>
            <w:vAlign w:val="center"/>
          </w:tcPr>
          <w:p>
            <w:pPr>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评分因素</w:t>
            </w:r>
          </w:p>
        </w:tc>
        <w:tc>
          <w:tcPr>
            <w:tcW w:w="708" w:type="dxa"/>
            <w:tcBorders>
              <w:right w:val="single" w:color="auto" w:sz="4" w:space="0"/>
            </w:tcBorders>
            <w:vAlign w:val="center"/>
          </w:tcPr>
          <w:p>
            <w:pPr>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权重分值</w:t>
            </w:r>
          </w:p>
        </w:tc>
        <w:tc>
          <w:tcPr>
            <w:tcW w:w="1134" w:type="dxa"/>
            <w:tcBorders>
              <w:left w:val="single" w:color="auto" w:sz="4" w:space="0"/>
              <w:right w:val="single" w:color="auto" w:sz="4" w:space="0"/>
            </w:tcBorders>
            <w:vAlign w:val="center"/>
          </w:tcPr>
          <w:p>
            <w:pPr>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各评分因素细分项</w:t>
            </w:r>
          </w:p>
        </w:tc>
        <w:tc>
          <w:tcPr>
            <w:tcW w:w="808" w:type="dxa"/>
            <w:tcBorders>
              <w:left w:val="single" w:color="auto" w:sz="4" w:space="0"/>
              <w:right w:val="single" w:color="auto" w:sz="4" w:space="0"/>
            </w:tcBorders>
            <w:vAlign w:val="center"/>
          </w:tcPr>
          <w:p>
            <w:pPr>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分值</w:t>
            </w:r>
          </w:p>
        </w:tc>
        <w:tc>
          <w:tcPr>
            <w:tcW w:w="5005" w:type="dxa"/>
            <w:tcBorders>
              <w:left w:val="single" w:color="auto" w:sz="4" w:space="0"/>
            </w:tcBorders>
            <w:vAlign w:val="center"/>
          </w:tcPr>
          <w:p>
            <w:pPr>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41" w:hRule="atLeast"/>
        </w:trPr>
        <w:tc>
          <w:tcPr>
            <w:tcW w:w="851" w:type="dxa"/>
            <w:vMerge w:val="restart"/>
            <w:tcBorders>
              <w:right w:val="single" w:color="auto" w:sz="4" w:space="0"/>
            </w:tcBorders>
            <w:vAlign w:val="center"/>
          </w:tcPr>
          <w:p>
            <w:pPr>
              <w:jc w:val="center"/>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szCs w:val="21"/>
                <w:highlight w:val="none"/>
              </w:rPr>
              <w:t>2.2.</w:t>
            </w:r>
            <w:r>
              <w:rPr>
                <w:rFonts w:hint="eastAsia" w:asciiTheme="majorEastAsia" w:hAnsiTheme="majorEastAsia" w:eastAsiaTheme="majorEastAsia"/>
                <w:color w:val="auto"/>
                <w:szCs w:val="21"/>
                <w:highlight w:val="none"/>
                <w:lang w:val="en-US" w:eastAsia="zh-CN"/>
              </w:rPr>
              <w:t>2（1）</w:t>
            </w:r>
          </w:p>
        </w:tc>
        <w:tc>
          <w:tcPr>
            <w:tcW w:w="1134" w:type="dxa"/>
            <w:vMerge w:val="restart"/>
            <w:tcBorders>
              <w:lef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施工组织设计</w:t>
            </w:r>
          </w:p>
        </w:tc>
        <w:tc>
          <w:tcPr>
            <w:tcW w:w="708" w:type="dxa"/>
            <w:vMerge w:val="restart"/>
            <w:tcBorders>
              <w:right w:val="single" w:color="auto" w:sz="4" w:space="0"/>
            </w:tcBorders>
            <w:vAlign w:val="center"/>
          </w:tcPr>
          <w:p>
            <w:pPr>
              <w:jc w:val="center"/>
              <w:rPr>
                <w:rFonts w:asciiTheme="minorEastAsia" w:hAnsiTheme="minorEastAsia" w:eastAsiaTheme="minorEastAsia"/>
                <w:bCs/>
                <w:color w:val="auto"/>
                <w:szCs w:val="21"/>
                <w:highlight w:val="none"/>
              </w:rPr>
            </w:pPr>
            <w:r>
              <w:rPr>
                <w:rFonts w:hint="eastAsia" w:ascii="宋体" w:hAnsi="宋体" w:cs="宋体"/>
                <w:color w:val="auto"/>
                <w:sz w:val="21"/>
                <w:szCs w:val="21"/>
                <w:highlight w:val="none"/>
              </w:rPr>
              <w:t>40分</w:t>
            </w:r>
          </w:p>
        </w:tc>
        <w:tc>
          <w:tcPr>
            <w:tcW w:w="1134" w:type="dxa"/>
            <w:tcBorders>
              <w:left w:val="single" w:color="auto" w:sz="4" w:space="0"/>
              <w:right w:val="single" w:color="auto" w:sz="4" w:space="0"/>
            </w:tcBorders>
            <w:vAlign w:val="center"/>
          </w:tcPr>
          <w:p>
            <w:pPr>
              <w:pStyle w:val="7"/>
              <w:spacing w:before="120" w:beforeLines="50" w:line="360" w:lineRule="auto"/>
              <w:rPr>
                <w:rFonts w:asciiTheme="minorEastAsia" w:hAnsiTheme="minorEastAsia" w:eastAsiaTheme="minorEastAsia"/>
                <w:color w:val="auto"/>
                <w:highlight w:val="none"/>
              </w:rPr>
            </w:pPr>
            <w:r>
              <w:rPr>
                <w:rFonts w:hint="eastAsia" w:ascii="宋体" w:hAnsi="宋体" w:cs="宋体"/>
                <w:color w:val="auto"/>
                <w:sz w:val="21"/>
                <w:szCs w:val="21"/>
                <w:highlight w:val="none"/>
              </w:rPr>
              <w:t>总体施工组织布置及规划</w:t>
            </w:r>
          </w:p>
        </w:tc>
        <w:tc>
          <w:tcPr>
            <w:tcW w:w="808" w:type="dxa"/>
            <w:tcBorders>
              <w:left w:val="single" w:color="auto" w:sz="4" w:space="0"/>
              <w:right w:val="single" w:color="auto" w:sz="4" w:space="0"/>
            </w:tcBorders>
            <w:vAlign w:val="center"/>
          </w:tcPr>
          <w:p>
            <w:pPr>
              <w:pStyle w:val="7"/>
              <w:jc w:val="center"/>
              <w:rPr>
                <w:rFonts w:asciiTheme="minorEastAsia" w:hAnsiTheme="minorEastAsia" w:eastAsiaTheme="minorEastAsia"/>
                <w:color w:val="auto"/>
                <w:highlight w:val="none"/>
              </w:rPr>
            </w:pPr>
            <w:r>
              <w:rPr>
                <w:rFonts w:hint="eastAsia" w:ascii="宋体" w:hAnsi="宋体" w:cs="宋体"/>
                <w:color w:val="auto"/>
                <w:sz w:val="21"/>
                <w:szCs w:val="21"/>
                <w:highlight w:val="none"/>
              </w:rPr>
              <w:t>15分</w:t>
            </w:r>
          </w:p>
        </w:tc>
        <w:tc>
          <w:tcPr>
            <w:tcW w:w="5005" w:type="dxa"/>
            <w:tcBorders>
              <w:left w:val="single" w:color="auto" w:sz="4" w:space="0"/>
            </w:tcBorders>
            <w:vAlign w:val="center"/>
          </w:tcPr>
          <w:p>
            <w:pPr>
              <w:widowControl w:val="0"/>
              <w:autoSpaceDE w:val="0"/>
              <w:autoSpaceDN w:val="0"/>
              <w:adjustRightInd w:val="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对项目的基本情况了解全面、准确，施工总体布置规划、施工进度计划科学合理、可操作性强，按《广东省公路工程施工标准化指南》及《广东省高速公路工程施工安全标准化指南》《公路工程施工安全防护设施技术指南》执行，得</w:t>
            </w:r>
            <w:r>
              <w:rPr>
                <w:rFonts w:hint="eastAsia" w:ascii="宋体" w:hAnsi="宋体" w:cs="宋体"/>
                <w:color w:val="auto"/>
                <w:sz w:val="21"/>
                <w:szCs w:val="21"/>
                <w:highlight w:val="none"/>
                <w:u w:val="single"/>
              </w:rPr>
              <w:t>12～15</w:t>
            </w:r>
            <w:r>
              <w:rPr>
                <w:rFonts w:hint="eastAsia" w:ascii="宋体" w:hAnsi="宋体" w:cs="宋体"/>
                <w:color w:val="auto"/>
                <w:sz w:val="21"/>
                <w:szCs w:val="21"/>
                <w:highlight w:val="none"/>
              </w:rPr>
              <w:t>分（满分分值的</w:t>
            </w:r>
            <w:r>
              <w:rPr>
                <w:rFonts w:ascii="宋体" w:hAnsi="宋体" w:cs="宋体"/>
                <w:color w:val="auto"/>
                <w:sz w:val="21"/>
                <w:szCs w:val="21"/>
                <w:highlight w:val="none"/>
              </w:rPr>
              <w:t>80%</w:t>
            </w:r>
            <w:r>
              <w:rPr>
                <w:rFonts w:hint="eastAsia" w:ascii="宋体" w:hAnsi="宋体" w:cs="宋体"/>
                <w:color w:val="auto"/>
                <w:sz w:val="21"/>
                <w:szCs w:val="21"/>
                <w:highlight w:val="none"/>
              </w:rPr>
              <w:t>～</w:t>
            </w:r>
            <w:r>
              <w:rPr>
                <w:rFonts w:ascii="宋体" w:hAnsi="宋体" w:cs="宋体"/>
                <w:color w:val="auto"/>
                <w:sz w:val="21"/>
                <w:szCs w:val="21"/>
                <w:highlight w:val="none"/>
              </w:rPr>
              <w:t>100%</w:t>
            </w:r>
            <w:r>
              <w:rPr>
                <w:rFonts w:hint="eastAsia" w:ascii="宋体" w:hAnsi="宋体" w:cs="宋体"/>
                <w:color w:val="auto"/>
                <w:sz w:val="21"/>
                <w:szCs w:val="21"/>
                <w:highlight w:val="none"/>
              </w:rPr>
              <w:t>）；</w:t>
            </w:r>
          </w:p>
          <w:p>
            <w:pPr>
              <w:widowControl w:val="0"/>
              <w:autoSpaceDE w:val="0"/>
              <w:autoSpaceDN w:val="0"/>
              <w:adjustRightInd w:val="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）满足工程建设需要，施工总体布置规划、施工进度计划基本可行，得</w:t>
            </w:r>
            <w:r>
              <w:rPr>
                <w:rFonts w:hint="eastAsia" w:ascii="宋体" w:hAnsi="宋体" w:cs="宋体"/>
                <w:color w:val="auto"/>
                <w:sz w:val="21"/>
                <w:szCs w:val="21"/>
                <w:highlight w:val="none"/>
                <w:u w:val="single"/>
              </w:rPr>
              <w:t>9～12</w:t>
            </w:r>
            <w:r>
              <w:rPr>
                <w:rFonts w:hint="eastAsia" w:ascii="宋体" w:hAnsi="宋体" w:cs="宋体"/>
                <w:color w:val="auto"/>
                <w:sz w:val="21"/>
                <w:szCs w:val="21"/>
                <w:highlight w:val="none"/>
              </w:rPr>
              <w:t>分（满分分值的</w:t>
            </w:r>
            <w:r>
              <w:rPr>
                <w:rFonts w:ascii="宋体" w:hAnsi="宋体" w:cs="宋体"/>
                <w:color w:val="auto"/>
                <w:sz w:val="21"/>
                <w:szCs w:val="21"/>
                <w:highlight w:val="none"/>
              </w:rPr>
              <w:t>60%</w:t>
            </w:r>
            <w:r>
              <w:rPr>
                <w:rFonts w:hint="eastAsia" w:ascii="宋体" w:hAnsi="宋体" w:cs="宋体"/>
                <w:color w:val="auto"/>
                <w:sz w:val="21"/>
                <w:szCs w:val="21"/>
                <w:highlight w:val="none"/>
              </w:rPr>
              <w:t>～</w:t>
            </w:r>
            <w:r>
              <w:rPr>
                <w:rFonts w:ascii="宋体" w:hAnsi="宋体" w:cs="宋体"/>
                <w:color w:val="auto"/>
                <w:sz w:val="21"/>
                <w:szCs w:val="21"/>
                <w:highlight w:val="none"/>
              </w:rPr>
              <w:t>80%</w:t>
            </w:r>
            <w:r>
              <w:rPr>
                <w:rFonts w:hint="eastAsia" w:ascii="宋体" w:hAnsi="宋体" w:cs="宋体"/>
                <w:color w:val="auto"/>
                <w:sz w:val="21"/>
                <w:szCs w:val="21"/>
                <w:highlight w:val="none"/>
              </w:rPr>
              <w:t>）；</w:t>
            </w:r>
          </w:p>
          <w:p>
            <w:pPr>
              <w:widowControl w:val="0"/>
              <w:autoSpaceDE w:val="0"/>
              <w:autoSpaceDN w:val="0"/>
              <w:adjustRightInd w:val="0"/>
              <w:rPr>
                <w:rFonts w:hint="eastAsia" w:asciiTheme="minorEastAsia" w:hAnsiTheme="minorEastAsia" w:eastAsiaTheme="minorEastAsia"/>
                <w:color w:val="auto"/>
                <w:szCs w:val="21"/>
                <w:highlight w:val="none"/>
                <w:lang w:eastAsia="zh-CN"/>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）一般但不被评定为不响应的</w:t>
            </w:r>
            <w:r>
              <w:rPr>
                <w:rFonts w:ascii="宋体" w:hAnsi="宋体" w:cs="宋体"/>
                <w:color w:val="auto"/>
                <w:sz w:val="21"/>
                <w:szCs w:val="21"/>
                <w:highlight w:val="none"/>
              </w:rPr>
              <w:t>,</w:t>
            </w:r>
            <w:r>
              <w:rPr>
                <w:rFonts w:hint="eastAsia" w:ascii="宋体" w:hAnsi="宋体" w:cs="宋体"/>
                <w:color w:val="auto"/>
                <w:sz w:val="21"/>
                <w:szCs w:val="21"/>
                <w:highlight w:val="none"/>
              </w:rPr>
              <w:t>得</w:t>
            </w:r>
            <w:r>
              <w:rPr>
                <w:rFonts w:hint="eastAsia" w:ascii="宋体" w:hAnsi="宋体" w:cs="宋体"/>
                <w:color w:val="auto"/>
                <w:sz w:val="21"/>
                <w:szCs w:val="21"/>
                <w:highlight w:val="none"/>
                <w:u w:val="single"/>
              </w:rPr>
              <w:t>9</w:t>
            </w:r>
            <w:r>
              <w:rPr>
                <w:rFonts w:hint="eastAsia" w:ascii="宋体" w:hAnsi="宋体" w:cs="宋体"/>
                <w:color w:val="auto"/>
                <w:sz w:val="21"/>
                <w:szCs w:val="21"/>
                <w:highlight w:val="none"/>
              </w:rPr>
              <w:t>分（满分分值的</w:t>
            </w:r>
            <w:r>
              <w:rPr>
                <w:rFonts w:ascii="宋体" w:hAnsi="宋体" w:cs="宋体"/>
                <w:color w:val="auto"/>
                <w:sz w:val="21"/>
                <w:szCs w:val="21"/>
                <w:highlight w:val="none"/>
              </w:rPr>
              <w:t>60%</w:t>
            </w:r>
            <w:r>
              <w:rPr>
                <w:rFonts w:hint="eastAsia" w:ascii="宋体" w:hAnsi="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tcBorders>
              <w:right w:val="single" w:color="auto" w:sz="4" w:space="0"/>
            </w:tcBorders>
            <w:vAlign w:val="center"/>
          </w:tcPr>
          <w:p>
            <w:pPr>
              <w:jc w:val="center"/>
              <w:rPr>
                <w:rFonts w:asciiTheme="majorEastAsia" w:hAnsiTheme="majorEastAsia" w:eastAsiaTheme="majorEastAsia"/>
                <w:color w:val="auto"/>
                <w:szCs w:val="21"/>
                <w:highlight w:val="none"/>
              </w:rPr>
            </w:pPr>
          </w:p>
        </w:tc>
        <w:tc>
          <w:tcPr>
            <w:tcW w:w="1134" w:type="dxa"/>
            <w:vMerge w:val="continue"/>
            <w:tcBorders>
              <w:left w:val="single" w:color="auto" w:sz="4" w:space="0"/>
            </w:tcBorders>
            <w:vAlign w:val="center"/>
          </w:tcPr>
          <w:p>
            <w:pPr>
              <w:jc w:val="center"/>
              <w:rPr>
                <w:rFonts w:asciiTheme="minorEastAsia" w:hAnsiTheme="minorEastAsia" w:eastAsiaTheme="minorEastAsia"/>
                <w:color w:val="auto"/>
                <w:szCs w:val="21"/>
                <w:highlight w:val="none"/>
              </w:rPr>
            </w:pPr>
          </w:p>
        </w:tc>
        <w:tc>
          <w:tcPr>
            <w:tcW w:w="708" w:type="dxa"/>
            <w:vMerge w:val="continue"/>
            <w:tcBorders>
              <w:right w:val="single" w:color="auto" w:sz="4" w:space="0"/>
            </w:tcBorders>
            <w:vAlign w:val="center"/>
          </w:tcPr>
          <w:p>
            <w:pPr>
              <w:jc w:val="center"/>
              <w:rPr>
                <w:rFonts w:asciiTheme="minorEastAsia" w:hAnsiTheme="minorEastAsia" w:eastAsiaTheme="minorEastAsia"/>
                <w:bCs/>
                <w:color w:val="auto"/>
                <w:szCs w:val="21"/>
                <w:highlight w:val="none"/>
              </w:rPr>
            </w:pPr>
          </w:p>
        </w:tc>
        <w:tc>
          <w:tcPr>
            <w:tcW w:w="1134" w:type="dxa"/>
            <w:tcBorders>
              <w:left w:val="single" w:color="auto" w:sz="4" w:space="0"/>
              <w:right w:val="single" w:color="auto" w:sz="4" w:space="0"/>
            </w:tcBorders>
            <w:vAlign w:val="center"/>
          </w:tcPr>
          <w:p>
            <w:pPr>
              <w:widowControl w:val="0"/>
              <w:autoSpaceDE w:val="0"/>
              <w:autoSpaceDN w:val="0"/>
              <w:adjustRightInd w:val="0"/>
              <w:rPr>
                <w:rFonts w:ascii="宋体" w:hAnsi="宋体" w:cs="宋体"/>
                <w:color w:val="auto"/>
                <w:sz w:val="21"/>
                <w:szCs w:val="21"/>
                <w:highlight w:val="none"/>
              </w:rPr>
            </w:pPr>
            <w:r>
              <w:rPr>
                <w:rFonts w:hint="eastAsia" w:ascii="宋体" w:hAnsi="宋体" w:cs="宋体"/>
                <w:color w:val="auto"/>
                <w:sz w:val="21"/>
                <w:szCs w:val="21"/>
                <w:highlight w:val="none"/>
              </w:rPr>
              <w:t>重点、难</w:t>
            </w:r>
          </w:p>
          <w:p>
            <w:pPr>
              <w:widowControl w:val="0"/>
              <w:autoSpaceDE w:val="0"/>
              <w:autoSpaceDN w:val="0"/>
              <w:adjustRightInd w:val="0"/>
              <w:rPr>
                <w:rFonts w:asciiTheme="minorEastAsia" w:hAnsiTheme="minorEastAsia" w:eastAsiaTheme="minorEastAsia"/>
                <w:color w:val="auto"/>
                <w:highlight w:val="none"/>
              </w:rPr>
            </w:pPr>
            <w:r>
              <w:rPr>
                <w:rFonts w:hint="eastAsia" w:ascii="宋体" w:hAnsi="宋体" w:cs="宋体"/>
                <w:color w:val="auto"/>
                <w:sz w:val="21"/>
                <w:szCs w:val="21"/>
                <w:highlight w:val="none"/>
              </w:rPr>
              <w:t>点和关键工程的施工方案与技术措施</w:t>
            </w:r>
          </w:p>
        </w:tc>
        <w:tc>
          <w:tcPr>
            <w:tcW w:w="808" w:type="dxa"/>
            <w:tcBorders>
              <w:left w:val="single" w:color="auto" w:sz="4" w:space="0"/>
              <w:right w:val="single" w:color="auto" w:sz="4" w:space="0"/>
            </w:tcBorders>
            <w:vAlign w:val="center"/>
          </w:tcPr>
          <w:p>
            <w:pPr>
              <w:pStyle w:val="7"/>
              <w:jc w:val="center"/>
              <w:rPr>
                <w:rFonts w:asciiTheme="minorEastAsia" w:hAnsiTheme="minorEastAsia" w:eastAsiaTheme="minorEastAsia"/>
                <w:color w:val="auto"/>
                <w:highlight w:val="none"/>
              </w:rPr>
            </w:pPr>
            <w:r>
              <w:rPr>
                <w:rFonts w:hint="eastAsia" w:ascii="宋体" w:hAnsi="宋体" w:cs="宋体"/>
                <w:color w:val="auto"/>
                <w:sz w:val="21"/>
                <w:szCs w:val="21"/>
                <w:highlight w:val="none"/>
              </w:rPr>
              <w:t>15分</w:t>
            </w:r>
          </w:p>
        </w:tc>
        <w:tc>
          <w:tcPr>
            <w:tcW w:w="5005" w:type="dxa"/>
            <w:tcBorders>
              <w:left w:val="single" w:color="auto" w:sz="4" w:space="0"/>
            </w:tcBorders>
            <w:vAlign w:val="center"/>
          </w:tcPr>
          <w:p>
            <w:pPr>
              <w:widowControl w:val="0"/>
              <w:autoSpaceDE w:val="0"/>
              <w:autoSpaceDN w:val="0"/>
              <w:adjustRightInd w:val="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对项目重点、难点和关键工程认识分析透彻，能充分发挥自身优势，积极采用“四新”技术，制定的施工方案与技术措施针对性和可操作性强，重点突出的，按《广东省公路工程施工标准化指南》及《广东省高速公路工程施工安全标准化指南》《公路工程施工安全防护设施技术指南》执行，得</w:t>
            </w:r>
            <w:r>
              <w:rPr>
                <w:rFonts w:hint="eastAsia" w:ascii="宋体" w:hAnsi="宋体" w:cs="宋体"/>
                <w:color w:val="auto"/>
                <w:sz w:val="21"/>
                <w:szCs w:val="21"/>
                <w:highlight w:val="none"/>
                <w:u w:val="single"/>
              </w:rPr>
              <w:t>12～15</w:t>
            </w:r>
            <w:r>
              <w:rPr>
                <w:rFonts w:hint="eastAsia" w:ascii="宋体" w:hAnsi="宋体" w:cs="宋体"/>
                <w:color w:val="auto"/>
                <w:sz w:val="21"/>
                <w:szCs w:val="21"/>
                <w:highlight w:val="none"/>
              </w:rPr>
              <w:t>分（满分分值的</w:t>
            </w:r>
            <w:r>
              <w:rPr>
                <w:rFonts w:ascii="宋体" w:hAnsi="宋体" w:cs="宋体"/>
                <w:color w:val="auto"/>
                <w:sz w:val="21"/>
                <w:szCs w:val="21"/>
                <w:highlight w:val="none"/>
              </w:rPr>
              <w:t>80%</w:t>
            </w:r>
            <w:r>
              <w:rPr>
                <w:rFonts w:hint="eastAsia" w:ascii="宋体" w:hAnsi="宋体" w:cs="宋体"/>
                <w:color w:val="auto"/>
                <w:sz w:val="21"/>
                <w:szCs w:val="21"/>
                <w:highlight w:val="none"/>
              </w:rPr>
              <w:t>～</w:t>
            </w:r>
            <w:r>
              <w:rPr>
                <w:rFonts w:ascii="宋体" w:hAnsi="宋体" w:cs="宋体"/>
                <w:color w:val="auto"/>
                <w:sz w:val="21"/>
                <w:szCs w:val="21"/>
                <w:highlight w:val="none"/>
              </w:rPr>
              <w:t>100%</w:t>
            </w:r>
            <w:r>
              <w:rPr>
                <w:rFonts w:hint="eastAsia" w:ascii="宋体" w:hAnsi="宋体" w:cs="宋体"/>
                <w:color w:val="auto"/>
                <w:sz w:val="21"/>
                <w:szCs w:val="21"/>
                <w:highlight w:val="none"/>
              </w:rPr>
              <w:t>）；</w:t>
            </w:r>
          </w:p>
          <w:p>
            <w:pPr>
              <w:widowControl w:val="0"/>
              <w:autoSpaceDE w:val="0"/>
              <w:autoSpaceDN w:val="0"/>
              <w:adjustRightInd w:val="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）对项目重点、难点和关键工程认识基本到位，施工方案与技术措施基本可行，重点较为突出的，得</w:t>
            </w:r>
            <w:r>
              <w:rPr>
                <w:rFonts w:hint="eastAsia" w:ascii="宋体" w:hAnsi="宋体" w:cs="宋体"/>
                <w:color w:val="auto"/>
                <w:sz w:val="21"/>
                <w:szCs w:val="21"/>
                <w:highlight w:val="none"/>
                <w:u w:val="single"/>
              </w:rPr>
              <w:t>9～12</w:t>
            </w:r>
            <w:r>
              <w:rPr>
                <w:rFonts w:hint="eastAsia" w:ascii="宋体" w:hAnsi="宋体" w:cs="宋体"/>
                <w:color w:val="auto"/>
                <w:sz w:val="21"/>
                <w:szCs w:val="21"/>
                <w:highlight w:val="none"/>
              </w:rPr>
              <w:t>分（满分分值的</w:t>
            </w:r>
            <w:r>
              <w:rPr>
                <w:rFonts w:ascii="宋体" w:hAnsi="宋体" w:cs="宋体"/>
                <w:color w:val="auto"/>
                <w:sz w:val="21"/>
                <w:szCs w:val="21"/>
                <w:highlight w:val="none"/>
              </w:rPr>
              <w:t>60%</w:t>
            </w:r>
            <w:r>
              <w:rPr>
                <w:rFonts w:hint="eastAsia" w:ascii="宋体" w:hAnsi="宋体" w:cs="宋体"/>
                <w:color w:val="auto"/>
                <w:sz w:val="21"/>
                <w:szCs w:val="21"/>
                <w:highlight w:val="none"/>
              </w:rPr>
              <w:t>～</w:t>
            </w:r>
            <w:r>
              <w:rPr>
                <w:rFonts w:ascii="宋体" w:hAnsi="宋体" w:cs="宋体"/>
                <w:color w:val="auto"/>
                <w:sz w:val="21"/>
                <w:szCs w:val="21"/>
                <w:highlight w:val="none"/>
              </w:rPr>
              <w:t>80%</w:t>
            </w:r>
            <w:r>
              <w:rPr>
                <w:rFonts w:hint="eastAsia" w:ascii="宋体" w:hAnsi="宋体" w:cs="宋体"/>
                <w:color w:val="auto"/>
                <w:sz w:val="21"/>
                <w:szCs w:val="21"/>
                <w:highlight w:val="none"/>
              </w:rPr>
              <w:t>）；</w:t>
            </w:r>
          </w:p>
          <w:p>
            <w:pPr>
              <w:widowControl w:val="0"/>
              <w:autoSpaceDE w:val="0"/>
              <w:autoSpaceDN w:val="0"/>
              <w:adjustRightInd w:val="0"/>
              <w:rPr>
                <w:rFonts w:asciiTheme="minorEastAsia" w:hAnsiTheme="minorEastAsia" w:eastAsiaTheme="minorEastAsia"/>
                <w:color w:val="auto"/>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）一般但不被评定为不响应的</w:t>
            </w:r>
            <w:r>
              <w:rPr>
                <w:rFonts w:ascii="宋体" w:hAnsi="宋体" w:cs="宋体"/>
                <w:color w:val="auto"/>
                <w:sz w:val="21"/>
                <w:szCs w:val="21"/>
                <w:highlight w:val="none"/>
              </w:rPr>
              <w:t>,</w:t>
            </w:r>
            <w:r>
              <w:rPr>
                <w:rFonts w:hint="eastAsia" w:ascii="宋体" w:hAnsi="宋体" w:cs="宋体"/>
                <w:color w:val="auto"/>
                <w:sz w:val="21"/>
                <w:szCs w:val="21"/>
                <w:highlight w:val="none"/>
              </w:rPr>
              <w:t>得</w:t>
            </w:r>
            <w:r>
              <w:rPr>
                <w:rFonts w:hint="eastAsia" w:ascii="宋体" w:hAnsi="宋体" w:cs="宋体"/>
                <w:color w:val="auto"/>
                <w:sz w:val="21"/>
                <w:szCs w:val="21"/>
                <w:highlight w:val="none"/>
                <w:u w:val="single"/>
              </w:rPr>
              <w:t>9</w:t>
            </w:r>
            <w:r>
              <w:rPr>
                <w:rFonts w:hint="eastAsia" w:ascii="宋体" w:hAnsi="宋体" w:cs="宋体"/>
                <w:color w:val="auto"/>
                <w:sz w:val="21"/>
                <w:szCs w:val="21"/>
                <w:highlight w:val="none"/>
              </w:rPr>
              <w:t>分（满分分值的</w:t>
            </w:r>
            <w:r>
              <w:rPr>
                <w:rFonts w:ascii="宋体" w:hAnsi="宋体" w:cs="宋体"/>
                <w:color w:val="auto"/>
                <w:sz w:val="21"/>
                <w:szCs w:val="21"/>
                <w:highlight w:val="none"/>
              </w:rPr>
              <w:t>60%</w:t>
            </w:r>
            <w:r>
              <w:rPr>
                <w:rFonts w:hint="eastAsia" w:ascii="宋体" w:hAnsi="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tcBorders>
              <w:right w:val="single" w:color="auto" w:sz="4" w:space="0"/>
            </w:tcBorders>
            <w:vAlign w:val="center"/>
          </w:tcPr>
          <w:p>
            <w:pPr>
              <w:jc w:val="center"/>
              <w:rPr>
                <w:rFonts w:asciiTheme="majorEastAsia" w:hAnsiTheme="majorEastAsia" w:eastAsiaTheme="majorEastAsia"/>
                <w:color w:val="auto"/>
                <w:szCs w:val="21"/>
                <w:highlight w:val="none"/>
              </w:rPr>
            </w:pPr>
          </w:p>
        </w:tc>
        <w:tc>
          <w:tcPr>
            <w:tcW w:w="1134" w:type="dxa"/>
            <w:vMerge w:val="continue"/>
            <w:tcBorders>
              <w:left w:val="single" w:color="auto" w:sz="4" w:space="0"/>
            </w:tcBorders>
            <w:vAlign w:val="center"/>
          </w:tcPr>
          <w:p>
            <w:pPr>
              <w:jc w:val="center"/>
              <w:rPr>
                <w:rFonts w:asciiTheme="minorEastAsia" w:hAnsiTheme="minorEastAsia" w:eastAsiaTheme="minorEastAsia"/>
                <w:color w:val="auto"/>
                <w:szCs w:val="21"/>
                <w:highlight w:val="none"/>
              </w:rPr>
            </w:pPr>
          </w:p>
        </w:tc>
        <w:tc>
          <w:tcPr>
            <w:tcW w:w="708" w:type="dxa"/>
            <w:vMerge w:val="continue"/>
            <w:tcBorders>
              <w:right w:val="single" w:color="auto" w:sz="4" w:space="0"/>
            </w:tcBorders>
            <w:vAlign w:val="center"/>
          </w:tcPr>
          <w:p>
            <w:pPr>
              <w:jc w:val="center"/>
              <w:rPr>
                <w:rFonts w:asciiTheme="minorEastAsia" w:hAnsiTheme="minorEastAsia" w:eastAsiaTheme="minorEastAsia"/>
                <w:bCs/>
                <w:color w:val="auto"/>
                <w:szCs w:val="21"/>
                <w:highlight w:val="none"/>
              </w:rPr>
            </w:pPr>
          </w:p>
        </w:tc>
        <w:tc>
          <w:tcPr>
            <w:tcW w:w="1134" w:type="dxa"/>
            <w:tcBorders>
              <w:left w:val="single" w:color="auto" w:sz="4" w:space="0"/>
              <w:right w:val="single" w:color="auto" w:sz="4" w:space="0"/>
            </w:tcBorders>
            <w:vAlign w:val="center"/>
          </w:tcPr>
          <w:p>
            <w:pPr>
              <w:widowControl w:val="0"/>
              <w:autoSpaceDE w:val="0"/>
              <w:autoSpaceDN w:val="0"/>
              <w:adjustRightInd w:val="0"/>
              <w:rPr>
                <w:rFonts w:ascii="宋体" w:hAnsi="宋体" w:cs="宋体"/>
                <w:color w:val="auto"/>
                <w:sz w:val="21"/>
                <w:szCs w:val="21"/>
                <w:highlight w:val="none"/>
              </w:rPr>
            </w:pPr>
            <w:r>
              <w:rPr>
                <w:rFonts w:hint="eastAsia" w:ascii="宋体" w:hAnsi="宋体" w:cs="宋体"/>
                <w:color w:val="auto"/>
                <w:sz w:val="21"/>
                <w:szCs w:val="21"/>
                <w:highlight w:val="none"/>
              </w:rPr>
              <w:t>工期、质</w:t>
            </w:r>
          </w:p>
          <w:p>
            <w:pPr>
              <w:widowControl w:val="0"/>
              <w:autoSpaceDE w:val="0"/>
              <w:autoSpaceDN w:val="0"/>
              <w:adjustRightInd w:val="0"/>
              <w:rPr>
                <w:rFonts w:asciiTheme="minorEastAsia" w:hAnsiTheme="minorEastAsia" w:eastAsiaTheme="minorEastAsia"/>
                <w:color w:val="auto"/>
                <w:highlight w:val="none"/>
              </w:rPr>
            </w:pPr>
            <w:r>
              <w:rPr>
                <w:rFonts w:hint="eastAsia" w:ascii="宋体" w:hAnsi="宋体" w:cs="宋体"/>
                <w:color w:val="auto"/>
                <w:sz w:val="21"/>
                <w:szCs w:val="21"/>
                <w:highlight w:val="none"/>
              </w:rPr>
              <w:t>量、安全、环</w:t>
            </w:r>
            <w:r>
              <w:rPr>
                <w:rFonts w:hint="eastAsia" w:ascii="宋体" w:hAnsi="宋体" w:cs="MS Mincho"/>
                <w:color w:val="auto"/>
                <w:sz w:val="21"/>
                <w:szCs w:val="21"/>
                <w:highlight w:val="none"/>
              </w:rPr>
              <w:t>保</w:t>
            </w:r>
            <w:r>
              <w:rPr>
                <w:rFonts w:hint="eastAsia" w:ascii="宋体" w:hAnsi="宋体" w:cs="宋体"/>
                <w:color w:val="auto"/>
                <w:sz w:val="21"/>
                <w:szCs w:val="21"/>
                <w:highlight w:val="none"/>
              </w:rPr>
              <w:t>水保、文明施工保证</w:t>
            </w:r>
            <w:r>
              <w:rPr>
                <w:rFonts w:hint="eastAsia" w:ascii="宋体" w:hAnsi="宋体" w:cs="MS Mincho"/>
                <w:color w:val="auto"/>
                <w:sz w:val="21"/>
                <w:szCs w:val="21"/>
                <w:highlight w:val="none"/>
              </w:rPr>
              <w:t>措</w:t>
            </w:r>
            <w:r>
              <w:rPr>
                <w:rFonts w:hint="eastAsia" w:ascii="宋体" w:hAnsi="宋体" w:cs="宋体"/>
                <w:color w:val="auto"/>
                <w:sz w:val="21"/>
                <w:szCs w:val="21"/>
                <w:highlight w:val="none"/>
              </w:rPr>
              <w:t>施</w:t>
            </w:r>
          </w:p>
        </w:tc>
        <w:tc>
          <w:tcPr>
            <w:tcW w:w="808" w:type="dxa"/>
            <w:tcBorders>
              <w:left w:val="single" w:color="auto" w:sz="4" w:space="0"/>
              <w:right w:val="single" w:color="auto" w:sz="4" w:space="0"/>
            </w:tcBorders>
            <w:vAlign w:val="center"/>
          </w:tcPr>
          <w:p>
            <w:pPr>
              <w:pStyle w:val="7"/>
              <w:jc w:val="center"/>
              <w:rPr>
                <w:rFonts w:asciiTheme="minorEastAsia" w:hAnsiTheme="minorEastAsia" w:eastAsiaTheme="minorEastAsia"/>
                <w:color w:val="auto"/>
                <w:highlight w:val="none"/>
              </w:rPr>
            </w:pPr>
            <w:r>
              <w:rPr>
                <w:rFonts w:hint="eastAsia" w:ascii="宋体" w:hAnsi="宋体" w:cs="宋体"/>
                <w:color w:val="auto"/>
                <w:sz w:val="21"/>
                <w:szCs w:val="21"/>
                <w:highlight w:val="none"/>
              </w:rPr>
              <w:t>10分</w:t>
            </w:r>
          </w:p>
        </w:tc>
        <w:tc>
          <w:tcPr>
            <w:tcW w:w="5005" w:type="dxa"/>
            <w:tcBorders>
              <w:left w:val="single" w:color="auto" w:sz="4" w:space="0"/>
            </w:tcBorders>
            <w:vAlign w:val="center"/>
          </w:tcPr>
          <w:p>
            <w:pPr>
              <w:widowControl w:val="0"/>
              <w:autoSpaceDE w:val="0"/>
              <w:autoSpaceDN w:val="0"/>
              <w:adjustRightInd w:val="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）能够</w:t>
            </w:r>
            <w:r>
              <w:rPr>
                <w:rFonts w:hint="eastAsia" w:ascii="宋体" w:hAnsi="宋体" w:cs="MS Mincho"/>
                <w:color w:val="auto"/>
                <w:sz w:val="21"/>
                <w:szCs w:val="21"/>
                <w:highlight w:val="none"/>
              </w:rPr>
              <w:t>准确</w:t>
            </w:r>
            <w:r>
              <w:rPr>
                <w:rFonts w:hint="eastAsia" w:ascii="宋体" w:hAnsi="宋体" w:cs="宋体"/>
                <w:color w:val="auto"/>
                <w:sz w:val="21"/>
                <w:szCs w:val="21"/>
                <w:highlight w:val="none"/>
              </w:rPr>
              <w:t>预</w:t>
            </w:r>
            <w:r>
              <w:rPr>
                <w:rFonts w:hint="eastAsia" w:ascii="宋体" w:hAnsi="宋体" w:cs="MS Mincho"/>
                <w:color w:val="auto"/>
                <w:sz w:val="21"/>
                <w:szCs w:val="21"/>
                <w:highlight w:val="none"/>
              </w:rPr>
              <w:t>判分析工期、</w:t>
            </w:r>
            <w:r>
              <w:rPr>
                <w:rFonts w:hint="eastAsia" w:ascii="宋体" w:hAnsi="宋体" w:cs="宋体"/>
                <w:color w:val="auto"/>
                <w:sz w:val="21"/>
                <w:szCs w:val="21"/>
                <w:highlight w:val="none"/>
              </w:rPr>
              <w:t>质</w:t>
            </w:r>
            <w:r>
              <w:rPr>
                <w:rFonts w:hint="eastAsia" w:ascii="宋体" w:hAnsi="宋体" w:cs="MS Mincho"/>
                <w:color w:val="auto"/>
                <w:sz w:val="21"/>
                <w:szCs w:val="21"/>
                <w:highlight w:val="none"/>
              </w:rPr>
              <w:t>量、安全、</w:t>
            </w:r>
            <w:r>
              <w:rPr>
                <w:rFonts w:hint="eastAsia" w:ascii="宋体" w:hAnsi="宋体" w:cs="宋体"/>
                <w:color w:val="auto"/>
                <w:sz w:val="21"/>
                <w:szCs w:val="21"/>
                <w:highlight w:val="none"/>
              </w:rPr>
              <w:t>环</w:t>
            </w:r>
            <w:r>
              <w:rPr>
                <w:rFonts w:hint="eastAsia" w:ascii="宋体" w:hAnsi="宋体" w:cs="MS Mincho"/>
                <w:color w:val="auto"/>
                <w:sz w:val="21"/>
                <w:szCs w:val="21"/>
                <w:highlight w:val="none"/>
              </w:rPr>
              <w:t>保、水</w:t>
            </w:r>
            <w:r>
              <w:rPr>
                <w:rFonts w:hint="eastAsia" w:ascii="宋体" w:hAnsi="宋体" w:cs="宋体"/>
                <w:color w:val="auto"/>
                <w:sz w:val="21"/>
                <w:szCs w:val="21"/>
                <w:highlight w:val="none"/>
              </w:rPr>
              <w:t>保、文明施工目标实现</w:t>
            </w:r>
            <w:r>
              <w:rPr>
                <w:rFonts w:hint="eastAsia" w:ascii="宋体" w:hAnsi="宋体" w:cs="MS Mincho"/>
                <w:color w:val="auto"/>
                <w:sz w:val="21"/>
                <w:szCs w:val="21"/>
                <w:highlight w:val="none"/>
              </w:rPr>
              <w:t>的主要影响因素，</w:t>
            </w:r>
            <w:r>
              <w:rPr>
                <w:rFonts w:hint="eastAsia" w:ascii="宋体" w:hAnsi="宋体" w:cs="宋体"/>
                <w:color w:val="auto"/>
                <w:sz w:val="21"/>
                <w:szCs w:val="21"/>
                <w:highlight w:val="none"/>
              </w:rPr>
              <w:t>拟</w:t>
            </w:r>
            <w:r>
              <w:rPr>
                <w:rFonts w:hint="eastAsia" w:ascii="宋体" w:hAnsi="宋体" w:cs="MS Mincho"/>
                <w:color w:val="auto"/>
                <w:sz w:val="21"/>
                <w:szCs w:val="21"/>
                <w:highlight w:val="none"/>
              </w:rPr>
              <w:t>采取</w:t>
            </w:r>
            <w:r>
              <w:rPr>
                <w:rFonts w:hint="eastAsia" w:ascii="宋体" w:hAnsi="宋体" w:cs="宋体"/>
                <w:color w:val="auto"/>
                <w:sz w:val="21"/>
                <w:szCs w:val="21"/>
                <w:highlight w:val="none"/>
              </w:rPr>
              <w:t>预</w:t>
            </w:r>
            <w:r>
              <w:rPr>
                <w:rFonts w:hint="eastAsia" w:ascii="宋体" w:hAnsi="宋体" w:cs="MS Mincho"/>
                <w:color w:val="auto"/>
                <w:sz w:val="21"/>
                <w:szCs w:val="21"/>
                <w:highlight w:val="none"/>
              </w:rPr>
              <w:t>防保</w:t>
            </w:r>
            <w:r>
              <w:rPr>
                <w:rFonts w:hint="eastAsia" w:ascii="宋体" w:hAnsi="宋体" w:cs="宋体"/>
                <w:color w:val="auto"/>
                <w:sz w:val="21"/>
                <w:szCs w:val="21"/>
                <w:highlight w:val="none"/>
              </w:rPr>
              <w:t>证</w:t>
            </w:r>
            <w:r>
              <w:rPr>
                <w:rFonts w:hint="eastAsia" w:ascii="宋体" w:hAnsi="宋体" w:cs="MS Mincho"/>
                <w:color w:val="auto"/>
                <w:sz w:val="21"/>
                <w:szCs w:val="21"/>
                <w:highlight w:val="none"/>
              </w:rPr>
              <w:t>措施</w:t>
            </w:r>
            <w:r>
              <w:rPr>
                <w:rFonts w:hint="eastAsia" w:ascii="宋体" w:hAnsi="宋体" w:cs="宋体"/>
                <w:color w:val="auto"/>
                <w:sz w:val="21"/>
                <w:szCs w:val="21"/>
                <w:highlight w:val="none"/>
              </w:rPr>
              <w:t>针对</w:t>
            </w:r>
            <w:r>
              <w:rPr>
                <w:rFonts w:hint="eastAsia" w:ascii="宋体" w:hAnsi="宋体" w:cs="MS Mincho"/>
                <w:color w:val="auto"/>
                <w:sz w:val="21"/>
                <w:szCs w:val="21"/>
                <w:highlight w:val="none"/>
              </w:rPr>
              <w:t>性</w:t>
            </w:r>
            <w:r>
              <w:rPr>
                <w:rFonts w:hint="eastAsia" w:ascii="宋体" w:hAnsi="宋体" w:cs="宋体"/>
                <w:color w:val="auto"/>
                <w:sz w:val="21"/>
                <w:szCs w:val="21"/>
                <w:highlight w:val="none"/>
              </w:rPr>
              <w:t>强</w:t>
            </w:r>
            <w:r>
              <w:rPr>
                <w:rFonts w:hint="eastAsia" w:ascii="宋体" w:hAnsi="宋体" w:cs="MS Mincho"/>
                <w:color w:val="auto"/>
                <w:sz w:val="21"/>
                <w:szCs w:val="21"/>
                <w:highlight w:val="none"/>
              </w:rPr>
              <w:t>、科学有效，重点突出的，按《广</w:t>
            </w:r>
            <w:r>
              <w:rPr>
                <w:rFonts w:hint="eastAsia" w:ascii="宋体" w:hAnsi="宋体" w:cs="宋体"/>
                <w:color w:val="auto"/>
                <w:sz w:val="21"/>
                <w:szCs w:val="21"/>
                <w:highlight w:val="none"/>
              </w:rPr>
              <w:t>东</w:t>
            </w:r>
            <w:r>
              <w:rPr>
                <w:rFonts w:hint="eastAsia" w:ascii="宋体" w:hAnsi="宋体" w:cs="MS Mincho"/>
                <w:color w:val="auto"/>
                <w:sz w:val="21"/>
                <w:szCs w:val="21"/>
                <w:highlight w:val="none"/>
              </w:rPr>
              <w:t>省</w:t>
            </w:r>
            <w:r>
              <w:rPr>
                <w:rFonts w:hint="eastAsia" w:ascii="宋体" w:hAnsi="宋体" w:cs="宋体"/>
                <w:color w:val="auto"/>
                <w:sz w:val="21"/>
                <w:szCs w:val="21"/>
                <w:highlight w:val="none"/>
              </w:rPr>
              <w:t>公路工程施工标</w:t>
            </w:r>
            <w:r>
              <w:rPr>
                <w:rFonts w:hint="eastAsia" w:ascii="宋体" w:hAnsi="宋体" w:cs="MS Mincho"/>
                <w:color w:val="auto"/>
                <w:sz w:val="21"/>
                <w:szCs w:val="21"/>
                <w:highlight w:val="none"/>
              </w:rPr>
              <w:t>准化指南》及《广</w:t>
            </w:r>
            <w:r>
              <w:rPr>
                <w:rFonts w:hint="eastAsia" w:ascii="宋体" w:hAnsi="宋体" w:cs="宋体"/>
                <w:color w:val="auto"/>
                <w:sz w:val="21"/>
                <w:szCs w:val="21"/>
                <w:highlight w:val="none"/>
              </w:rPr>
              <w:t>东</w:t>
            </w:r>
            <w:r>
              <w:rPr>
                <w:rFonts w:hint="eastAsia" w:ascii="宋体" w:hAnsi="宋体" w:cs="MS Mincho"/>
                <w:color w:val="auto"/>
                <w:sz w:val="21"/>
                <w:szCs w:val="21"/>
                <w:highlight w:val="none"/>
              </w:rPr>
              <w:t>省高速公路工程施</w:t>
            </w:r>
            <w:r>
              <w:rPr>
                <w:rFonts w:hint="eastAsia" w:ascii="宋体" w:hAnsi="宋体" w:cs="宋体"/>
                <w:color w:val="auto"/>
                <w:sz w:val="21"/>
                <w:szCs w:val="21"/>
                <w:highlight w:val="none"/>
              </w:rPr>
              <w:t>工安全标</w:t>
            </w:r>
            <w:r>
              <w:rPr>
                <w:rFonts w:hint="eastAsia" w:ascii="宋体" w:hAnsi="宋体" w:cs="MS Mincho"/>
                <w:color w:val="auto"/>
                <w:sz w:val="21"/>
                <w:szCs w:val="21"/>
                <w:highlight w:val="none"/>
              </w:rPr>
              <w:t>准化指南》《公路工程施工安全防</w:t>
            </w:r>
            <w:r>
              <w:rPr>
                <w:rFonts w:hint="eastAsia" w:ascii="宋体" w:hAnsi="宋体" w:cs="宋体"/>
                <w:color w:val="auto"/>
                <w:sz w:val="21"/>
                <w:szCs w:val="21"/>
                <w:highlight w:val="none"/>
              </w:rPr>
              <w:t>护设</w:t>
            </w:r>
            <w:r>
              <w:rPr>
                <w:rFonts w:hint="eastAsia" w:ascii="宋体" w:hAnsi="宋体" w:cs="MS Mincho"/>
                <w:color w:val="auto"/>
                <w:sz w:val="21"/>
                <w:szCs w:val="21"/>
                <w:highlight w:val="none"/>
              </w:rPr>
              <w:t>施技</w:t>
            </w:r>
            <w:r>
              <w:rPr>
                <w:rFonts w:hint="eastAsia" w:ascii="宋体" w:hAnsi="宋体" w:cs="宋体"/>
                <w:color w:val="auto"/>
                <w:sz w:val="21"/>
                <w:szCs w:val="21"/>
                <w:highlight w:val="none"/>
              </w:rPr>
              <w:t>术指南》执</w:t>
            </w:r>
            <w:r>
              <w:rPr>
                <w:rFonts w:hint="eastAsia" w:ascii="宋体" w:hAnsi="宋体" w:cs="MS Mincho"/>
                <w:color w:val="auto"/>
                <w:sz w:val="21"/>
                <w:szCs w:val="21"/>
                <w:highlight w:val="none"/>
              </w:rPr>
              <w:t>行，得</w:t>
            </w:r>
            <w:r>
              <w:rPr>
                <w:rFonts w:hint="eastAsia" w:ascii="宋体" w:hAnsi="宋体" w:cs="宋体"/>
                <w:color w:val="auto"/>
                <w:sz w:val="21"/>
                <w:szCs w:val="21"/>
                <w:highlight w:val="none"/>
                <w:u w:val="single"/>
              </w:rPr>
              <w:t>8～10</w:t>
            </w:r>
            <w:r>
              <w:rPr>
                <w:rFonts w:hint="eastAsia" w:ascii="宋体" w:hAnsi="宋体" w:cs="MS Mincho"/>
                <w:color w:val="auto"/>
                <w:sz w:val="21"/>
                <w:szCs w:val="21"/>
                <w:highlight w:val="none"/>
              </w:rPr>
              <w:t>分（</w:t>
            </w:r>
            <w:r>
              <w:rPr>
                <w:rFonts w:hint="eastAsia" w:ascii="宋体" w:hAnsi="宋体" w:cs="宋体"/>
                <w:color w:val="auto"/>
                <w:sz w:val="21"/>
                <w:szCs w:val="21"/>
                <w:highlight w:val="none"/>
              </w:rPr>
              <w:t>满</w:t>
            </w:r>
            <w:r>
              <w:rPr>
                <w:rFonts w:hint="eastAsia" w:ascii="宋体" w:hAnsi="宋体" w:cs="MS Mincho"/>
                <w:color w:val="auto"/>
                <w:sz w:val="21"/>
                <w:szCs w:val="21"/>
                <w:highlight w:val="none"/>
              </w:rPr>
              <w:t>分分</w:t>
            </w:r>
            <w:r>
              <w:rPr>
                <w:rFonts w:hint="eastAsia" w:ascii="宋体" w:hAnsi="宋体" w:cs="宋体"/>
                <w:color w:val="auto"/>
                <w:sz w:val="21"/>
                <w:szCs w:val="21"/>
                <w:highlight w:val="none"/>
              </w:rPr>
              <w:t>值</w:t>
            </w:r>
            <w:r>
              <w:rPr>
                <w:rFonts w:hint="eastAsia" w:ascii="宋体" w:hAnsi="宋体" w:cs="MS Mincho"/>
                <w:color w:val="auto"/>
                <w:sz w:val="21"/>
                <w:szCs w:val="21"/>
                <w:highlight w:val="none"/>
              </w:rPr>
              <w:t>的</w:t>
            </w:r>
            <w:r>
              <w:rPr>
                <w:rFonts w:ascii="宋体" w:hAnsi="宋体" w:cs="宋体"/>
                <w:color w:val="auto"/>
                <w:sz w:val="21"/>
                <w:szCs w:val="21"/>
                <w:highlight w:val="none"/>
              </w:rPr>
              <w:t>80%</w:t>
            </w:r>
            <w:r>
              <w:rPr>
                <w:rFonts w:hint="eastAsia" w:ascii="宋体" w:hAnsi="宋体" w:cs="宋体"/>
                <w:color w:val="auto"/>
                <w:sz w:val="21"/>
                <w:szCs w:val="21"/>
                <w:highlight w:val="none"/>
              </w:rPr>
              <w:t>～</w:t>
            </w:r>
            <w:r>
              <w:rPr>
                <w:rFonts w:ascii="宋体" w:hAnsi="宋体" w:cs="宋体"/>
                <w:color w:val="auto"/>
                <w:sz w:val="21"/>
                <w:szCs w:val="21"/>
                <w:highlight w:val="none"/>
              </w:rPr>
              <w:t>100%</w:t>
            </w:r>
            <w:r>
              <w:rPr>
                <w:rFonts w:hint="eastAsia" w:ascii="宋体" w:hAnsi="宋体" w:cs="宋体"/>
                <w:color w:val="auto"/>
                <w:sz w:val="21"/>
                <w:szCs w:val="21"/>
                <w:highlight w:val="none"/>
              </w:rPr>
              <w:t>）；</w:t>
            </w:r>
          </w:p>
          <w:p>
            <w:pPr>
              <w:widowControl w:val="0"/>
              <w:autoSpaceDE w:val="0"/>
              <w:autoSpaceDN w:val="0"/>
              <w:adjustRightInd w:val="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）对</w:t>
            </w:r>
            <w:r>
              <w:rPr>
                <w:rFonts w:hint="eastAsia" w:ascii="宋体" w:hAnsi="宋体" w:cs="MS Mincho"/>
                <w:color w:val="auto"/>
                <w:sz w:val="21"/>
                <w:szCs w:val="21"/>
                <w:highlight w:val="none"/>
              </w:rPr>
              <w:t>工期、</w:t>
            </w:r>
            <w:r>
              <w:rPr>
                <w:rFonts w:hint="eastAsia" w:ascii="宋体" w:hAnsi="宋体" w:cs="宋体"/>
                <w:color w:val="auto"/>
                <w:sz w:val="21"/>
                <w:szCs w:val="21"/>
                <w:highlight w:val="none"/>
              </w:rPr>
              <w:t>质</w:t>
            </w:r>
            <w:r>
              <w:rPr>
                <w:rFonts w:hint="eastAsia" w:ascii="宋体" w:hAnsi="宋体" w:cs="MS Mincho"/>
                <w:color w:val="auto"/>
                <w:sz w:val="21"/>
                <w:szCs w:val="21"/>
                <w:highlight w:val="none"/>
              </w:rPr>
              <w:t>量、安全、</w:t>
            </w:r>
            <w:r>
              <w:rPr>
                <w:rFonts w:hint="eastAsia" w:ascii="宋体" w:hAnsi="宋体" w:cs="宋体"/>
                <w:color w:val="auto"/>
                <w:sz w:val="21"/>
                <w:szCs w:val="21"/>
                <w:highlight w:val="none"/>
              </w:rPr>
              <w:t>环</w:t>
            </w:r>
            <w:r>
              <w:rPr>
                <w:rFonts w:hint="eastAsia" w:ascii="宋体" w:hAnsi="宋体" w:cs="MS Mincho"/>
                <w:color w:val="auto"/>
                <w:sz w:val="21"/>
                <w:szCs w:val="21"/>
                <w:highlight w:val="none"/>
              </w:rPr>
              <w:t>保、水保等</w:t>
            </w:r>
            <w:r>
              <w:rPr>
                <w:rFonts w:hint="eastAsia" w:ascii="宋体" w:hAnsi="宋体" w:cs="宋体"/>
                <w:color w:val="auto"/>
                <w:sz w:val="21"/>
                <w:szCs w:val="21"/>
                <w:highlight w:val="none"/>
              </w:rPr>
              <w:t>风险</w:t>
            </w:r>
            <w:r>
              <w:rPr>
                <w:rFonts w:hint="eastAsia" w:ascii="宋体" w:hAnsi="宋体" w:cs="MS Mincho"/>
                <w:color w:val="auto"/>
                <w:sz w:val="21"/>
                <w:szCs w:val="21"/>
                <w:highlight w:val="none"/>
              </w:rPr>
              <w:t>有一定</w:t>
            </w:r>
            <w:r>
              <w:rPr>
                <w:rFonts w:hint="eastAsia" w:ascii="宋体" w:hAnsi="宋体" w:cs="宋体"/>
                <w:color w:val="auto"/>
                <w:sz w:val="21"/>
                <w:szCs w:val="21"/>
                <w:highlight w:val="none"/>
              </w:rPr>
              <w:t>认识</w:t>
            </w:r>
            <w:r>
              <w:rPr>
                <w:rFonts w:hint="eastAsia" w:ascii="宋体" w:hAnsi="宋体" w:cs="MS Mincho"/>
                <w:color w:val="auto"/>
                <w:sz w:val="21"/>
                <w:szCs w:val="21"/>
                <w:highlight w:val="none"/>
              </w:rPr>
              <w:t>，</w:t>
            </w:r>
            <w:r>
              <w:rPr>
                <w:rFonts w:hint="eastAsia" w:ascii="宋体" w:hAnsi="宋体" w:cs="宋体"/>
                <w:color w:val="auto"/>
                <w:sz w:val="21"/>
                <w:szCs w:val="21"/>
                <w:highlight w:val="none"/>
              </w:rPr>
              <w:t>预</w:t>
            </w:r>
            <w:r>
              <w:rPr>
                <w:rFonts w:hint="eastAsia" w:ascii="宋体" w:hAnsi="宋体" w:cs="MS Mincho"/>
                <w:color w:val="auto"/>
                <w:sz w:val="21"/>
                <w:szCs w:val="21"/>
                <w:highlight w:val="none"/>
              </w:rPr>
              <w:t>防保</w:t>
            </w:r>
            <w:r>
              <w:rPr>
                <w:rFonts w:hint="eastAsia" w:ascii="宋体" w:hAnsi="宋体" w:cs="宋体"/>
                <w:color w:val="auto"/>
                <w:sz w:val="21"/>
                <w:szCs w:val="21"/>
                <w:highlight w:val="none"/>
              </w:rPr>
              <w:t>证</w:t>
            </w:r>
            <w:r>
              <w:rPr>
                <w:rFonts w:hint="eastAsia" w:ascii="宋体" w:hAnsi="宋体" w:cs="MS Mincho"/>
                <w:color w:val="auto"/>
                <w:sz w:val="21"/>
                <w:szCs w:val="21"/>
                <w:highlight w:val="none"/>
              </w:rPr>
              <w:t>措施基本可行，重点</w:t>
            </w:r>
            <w:r>
              <w:rPr>
                <w:rFonts w:hint="eastAsia" w:ascii="宋体" w:hAnsi="宋体" w:cs="宋体"/>
                <w:color w:val="auto"/>
                <w:sz w:val="21"/>
                <w:szCs w:val="21"/>
                <w:highlight w:val="none"/>
              </w:rPr>
              <w:t>较为</w:t>
            </w:r>
            <w:r>
              <w:rPr>
                <w:rFonts w:hint="eastAsia" w:ascii="宋体" w:hAnsi="宋体" w:cs="MS Mincho"/>
                <w:color w:val="auto"/>
                <w:sz w:val="21"/>
                <w:szCs w:val="21"/>
                <w:highlight w:val="none"/>
              </w:rPr>
              <w:t>突出的，得</w:t>
            </w:r>
            <w:r>
              <w:rPr>
                <w:rFonts w:hint="eastAsia" w:ascii="宋体" w:hAnsi="宋体" w:cs="宋体"/>
                <w:color w:val="auto"/>
                <w:sz w:val="21"/>
                <w:szCs w:val="21"/>
                <w:highlight w:val="none"/>
                <w:u w:val="single"/>
              </w:rPr>
              <w:t>6～8</w:t>
            </w:r>
            <w:r>
              <w:rPr>
                <w:rFonts w:hint="eastAsia" w:ascii="宋体" w:hAnsi="宋体" w:cs="宋体"/>
                <w:color w:val="auto"/>
                <w:sz w:val="21"/>
                <w:szCs w:val="21"/>
                <w:highlight w:val="none"/>
              </w:rPr>
              <w:t>分（满</w:t>
            </w:r>
            <w:r>
              <w:rPr>
                <w:rFonts w:hint="eastAsia" w:ascii="宋体" w:hAnsi="宋体" w:cs="MS Mincho"/>
                <w:color w:val="auto"/>
                <w:sz w:val="21"/>
                <w:szCs w:val="21"/>
                <w:highlight w:val="none"/>
              </w:rPr>
              <w:t>分分</w:t>
            </w:r>
            <w:r>
              <w:rPr>
                <w:rFonts w:hint="eastAsia" w:ascii="宋体" w:hAnsi="宋体" w:cs="宋体"/>
                <w:color w:val="auto"/>
                <w:sz w:val="21"/>
                <w:szCs w:val="21"/>
                <w:highlight w:val="none"/>
              </w:rPr>
              <w:t>值</w:t>
            </w:r>
            <w:r>
              <w:rPr>
                <w:rFonts w:hint="eastAsia" w:ascii="宋体" w:hAnsi="宋体" w:cs="MS Mincho"/>
                <w:color w:val="auto"/>
                <w:sz w:val="21"/>
                <w:szCs w:val="21"/>
                <w:highlight w:val="none"/>
              </w:rPr>
              <w:t>的</w:t>
            </w:r>
            <w:r>
              <w:rPr>
                <w:rFonts w:ascii="宋体" w:hAnsi="宋体" w:cs="宋体"/>
                <w:color w:val="auto"/>
                <w:sz w:val="21"/>
                <w:szCs w:val="21"/>
                <w:highlight w:val="none"/>
              </w:rPr>
              <w:t>60%</w:t>
            </w:r>
            <w:r>
              <w:rPr>
                <w:rFonts w:hint="eastAsia" w:ascii="宋体" w:hAnsi="宋体" w:cs="宋体"/>
                <w:color w:val="auto"/>
                <w:sz w:val="21"/>
                <w:szCs w:val="21"/>
                <w:highlight w:val="none"/>
              </w:rPr>
              <w:t>～</w:t>
            </w:r>
            <w:r>
              <w:rPr>
                <w:rFonts w:ascii="宋体" w:hAnsi="宋体" w:cs="宋体"/>
                <w:color w:val="auto"/>
                <w:sz w:val="21"/>
                <w:szCs w:val="21"/>
                <w:highlight w:val="none"/>
              </w:rPr>
              <w:t>80%</w:t>
            </w:r>
            <w:r>
              <w:rPr>
                <w:rFonts w:hint="eastAsia" w:ascii="宋体" w:hAnsi="宋体" w:cs="宋体"/>
                <w:color w:val="auto"/>
                <w:sz w:val="21"/>
                <w:szCs w:val="21"/>
                <w:highlight w:val="none"/>
              </w:rPr>
              <w:t>）；</w:t>
            </w:r>
          </w:p>
          <w:p>
            <w:pPr>
              <w:widowControl w:val="0"/>
              <w:autoSpaceDE w:val="0"/>
              <w:autoSpaceDN w:val="0"/>
              <w:adjustRightInd w:val="0"/>
              <w:rPr>
                <w:rFonts w:asciiTheme="minorEastAsia" w:hAnsiTheme="minorEastAsia" w:eastAsiaTheme="minorEastAsia"/>
                <w:color w:val="auto"/>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）一般但不被评</w:t>
            </w:r>
            <w:r>
              <w:rPr>
                <w:rFonts w:hint="eastAsia" w:ascii="宋体" w:hAnsi="宋体" w:cs="MS Mincho"/>
                <w:color w:val="auto"/>
                <w:sz w:val="21"/>
                <w:szCs w:val="21"/>
                <w:highlight w:val="none"/>
              </w:rPr>
              <w:t>定</w:t>
            </w:r>
            <w:r>
              <w:rPr>
                <w:rFonts w:hint="eastAsia" w:ascii="宋体" w:hAnsi="宋体" w:cs="宋体"/>
                <w:color w:val="auto"/>
                <w:sz w:val="21"/>
                <w:szCs w:val="21"/>
                <w:highlight w:val="none"/>
              </w:rPr>
              <w:t>为</w:t>
            </w:r>
            <w:r>
              <w:rPr>
                <w:rFonts w:hint="eastAsia" w:ascii="宋体" w:hAnsi="宋体" w:cs="MS Mincho"/>
                <w:color w:val="auto"/>
                <w:sz w:val="21"/>
                <w:szCs w:val="21"/>
                <w:highlight w:val="none"/>
              </w:rPr>
              <w:t>不响</w:t>
            </w:r>
            <w:r>
              <w:rPr>
                <w:rFonts w:hint="eastAsia" w:ascii="宋体" w:hAnsi="宋体" w:cs="宋体"/>
                <w:color w:val="auto"/>
                <w:sz w:val="21"/>
                <w:szCs w:val="21"/>
                <w:highlight w:val="none"/>
              </w:rPr>
              <w:t>应</w:t>
            </w:r>
            <w:r>
              <w:rPr>
                <w:rFonts w:hint="eastAsia" w:ascii="宋体" w:hAnsi="宋体" w:cs="MS Mincho"/>
                <w:color w:val="auto"/>
                <w:sz w:val="21"/>
                <w:szCs w:val="21"/>
                <w:highlight w:val="none"/>
              </w:rPr>
              <w:t>的</w:t>
            </w:r>
            <w:r>
              <w:rPr>
                <w:rFonts w:ascii="宋体" w:hAnsi="宋体" w:cs="宋体"/>
                <w:color w:val="auto"/>
                <w:sz w:val="21"/>
                <w:szCs w:val="21"/>
                <w:highlight w:val="none"/>
              </w:rPr>
              <w:t>,</w:t>
            </w:r>
            <w:r>
              <w:rPr>
                <w:rFonts w:hint="eastAsia" w:ascii="宋体" w:hAnsi="宋体" w:cs="宋体"/>
                <w:color w:val="auto"/>
                <w:sz w:val="21"/>
                <w:szCs w:val="21"/>
                <w:highlight w:val="none"/>
              </w:rPr>
              <w:t>得</w:t>
            </w:r>
            <w:r>
              <w:rPr>
                <w:rFonts w:hint="eastAsia" w:ascii="宋体" w:hAnsi="宋体" w:cs="宋体"/>
                <w:color w:val="auto"/>
                <w:sz w:val="21"/>
                <w:szCs w:val="21"/>
                <w:highlight w:val="none"/>
                <w:u w:val="single"/>
              </w:rPr>
              <w:t>6</w:t>
            </w:r>
            <w:r>
              <w:rPr>
                <w:rFonts w:hint="eastAsia" w:ascii="宋体" w:hAnsi="宋体" w:cs="宋体"/>
                <w:color w:val="auto"/>
                <w:sz w:val="21"/>
                <w:szCs w:val="21"/>
                <w:highlight w:val="none"/>
              </w:rPr>
              <w:t>分（满</w:t>
            </w:r>
            <w:r>
              <w:rPr>
                <w:rFonts w:hint="eastAsia" w:ascii="宋体" w:hAnsi="宋体" w:cs="MS Mincho"/>
                <w:color w:val="auto"/>
                <w:sz w:val="21"/>
                <w:szCs w:val="21"/>
                <w:highlight w:val="none"/>
              </w:rPr>
              <w:t>分分</w:t>
            </w:r>
            <w:r>
              <w:rPr>
                <w:rFonts w:hint="eastAsia" w:ascii="宋体" w:hAnsi="宋体" w:cs="宋体"/>
                <w:color w:val="auto"/>
                <w:sz w:val="21"/>
                <w:szCs w:val="21"/>
                <w:highlight w:val="none"/>
              </w:rPr>
              <w:t>值</w:t>
            </w:r>
            <w:r>
              <w:rPr>
                <w:rFonts w:hint="eastAsia" w:ascii="宋体" w:hAnsi="宋体" w:cs="MS Mincho"/>
                <w:color w:val="auto"/>
                <w:sz w:val="21"/>
                <w:szCs w:val="21"/>
                <w:highlight w:val="none"/>
              </w:rPr>
              <w:t>的</w:t>
            </w:r>
            <w:r>
              <w:rPr>
                <w:rFonts w:ascii="宋体" w:hAnsi="宋体" w:cs="宋体"/>
                <w:color w:val="auto"/>
                <w:sz w:val="21"/>
                <w:szCs w:val="21"/>
                <w:highlight w:val="none"/>
              </w:rPr>
              <w:t>60%</w:t>
            </w:r>
            <w:r>
              <w:rPr>
                <w:rFonts w:hint="eastAsia" w:ascii="宋体" w:hAnsi="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restart"/>
            <w:tcBorders>
              <w:right w:val="single" w:color="auto" w:sz="4" w:space="0"/>
            </w:tcBorders>
            <w:vAlign w:val="center"/>
          </w:tcPr>
          <w:p>
            <w:pPr>
              <w:jc w:val="center"/>
              <w:rPr>
                <w:rFonts w:asciiTheme="majorEastAsia" w:hAnsiTheme="majorEastAsia" w:eastAsiaTheme="majorEastAsia"/>
                <w:color w:val="auto"/>
                <w:szCs w:val="21"/>
                <w:highlight w:val="none"/>
              </w:rPr>
            </w:pPr>
            <w:r>
              <w:rPr>
                <w:rFonts w:ascii="宋体" w:hAnsi="宋体"/>
                <w:color w:val="auto"/>
                <w:szCs w:val="21"/>
                <w:highlight w:val="none"/>
              </w:rPr>
              <w:t>2.2.</w:t>
            </w:r>
            <w:r>
              <w:rPr>
                <w:rFonts w:hint="eastAsia" w:ascii="宋体" w:hAnsi="宋体"/>
                <w:color w:val="auto"/>
                <w:szCs w:val="21"/>
                <w:highlight w:val="none"/>
                <w:lang w:val="en-US" w:eastAsia="zh-CN"/>
              </w:rPr>
              <w:t>2</w:t>
            </w:r>
            <w:r>
              <w:rPr>
                <w:rFonts w:hint="eastAsia" w:ascii="宋体" w:hAnsi="宋体"/>
                <w:color w:val="auto"/>
                <w:szCs w:val="21"/>
                <w:highlight w:val="none"/>
              </w:rPr>
              <w:t>（2）</w:t>
            </w:r>
          </w:p>
        </w:tc>
        <w:tc>
          <w:tcPr>
            <w:tcW w:w="1134" w:type="dxa"/>
            <w:vMerge w:val="restart"/>
            <w:tcBorders>
              <w:left w:val="single" w:color="auto" w:sz="4" w:space="0"/>
            </w:tcBorders>
            <w:vAlign w:val="center"/>
          </w:tcPr>
          <w:p>
            <w:pPr>
              <w:jc w:val="center"/>
              <w:rPr>
                <w:rFonts w:asciiTheme="majorEastAsia" w:hAnsiTheme="majorEastAsia" w:eastAsiaTheme="majorEastAsia"/>
                <w:color w:val="auto"/>
                <w:szCs w:val="21"/>
                <w:highlight w:val="none"/>
              </w:rPr>
            </w:pPr>
            <w:r>
              <w:rPr>
                <w:rFonts w:hint="eastAsia" w:ascii="宋体" w:hAnsi="宋体"/>
                <w:color w:val="auto"/>
                <w:szCs w:val="21"/>
                <w:highlight w:val="none"/>
              </w:rPr>
              <w:t>主要人员</w:t>
            </w:r>
          </w:p>
        </w:tc>
        <w:tc>
          <w:tcPr>
            <w:tcW w:w="708" w:type="dxa"/>
            <w:vMerge w:val="restart"/>
            <w:tcBorders>
              <w:right w:val="single" w:color="auto" w:sz="4" w:space="0"/>
            </w:tcBorders>
            <w:vAlign w:val="center"/>
          </w:tcPr>
          <w:p>
            <w:pPr>
              <w:jc w:val="center"/>
              <w:rPr>
                <w:rFonts w:asciiTheme="majorEastAsia" w:hAnsiTheme="majorEastAsia" w:eastAsiaTheme="majorEastAsia"/>
                <w:bCs/>
                <w:color w:val="auto"/>
                <w:szCs w:val="21"/>
                <w:highlight w:val="none"/>
              </w:rPr>
            </w:pPr>
            <w:r>
              <w:rPr>
                <w:rFonts w:hint="eastAsia" w:ascii="宋体" w:hAnsi="宋体" w:cs="宋体"/>
                <w:color w:val="auto"/>
                <w:sz w:val="21"/>
                <w:szCs w:val="21"/>
                <w:highlight w:val="none"/>
              </w:rPr>
              <w:t>30分</w:t>
            </w:r>
          </w:p>
        </w:tc>
        <w:tc>
          <w:tcPr>
            <w:tcW w:w="1134" w:type="dxa"/>
            <w:tcBorders>
              <w:left w:val="single" w:color="auto" w:sz="4" w:space="0"/>
              <w:right w:val="single" w:color="auto" w:sz="4" w:space="0"/>
            </w:tcBorders>
            <w:vAlign w:val="center"/>
          </w:tcPr>
          <w:p>
            <w:pPr>
              <w:pStyle w:val="7"/>
              <w:spacing w:before="120" w:beforeLines="50" w:line="360" w:lineRule="auto"/>
              <w:jc w:val="center"/>
              <w:rPr>
                <w:rFonts w:asciiTheme="majorEastAsia" w:hAnsiTheme="majorEastAsia" w:eastAsiaTheme="majorEastAsia"/>
                <w:bCs/>
                <w:color w:val="auto"/>
                <w:szCs w:val="21"/>
                <w:highlight w:val="none"/>
              </w:rPr>
            </w:pPr>
            <w:r>
              <w:rPr>
                <w:rFonts w:hint="eastAsia" w:ascii="宋体" w:hAnsi="宋体" w:cs="宋体"/>
                <w:color w:val="auto"/>
                <w:sz w:val="21"/>
                <w:szCs w:val="21"/>
                <w:highlight w:val="none"/>
              </w:rPr>
              <w:t>项目经理任职资格与业绩</w:t>
            </w:r>
          </w:p>
        </w:tc>
        <w:tc>
          <w:tcPr>
            <w:tcW w:w="808" w:type="dxa"/>
            <w:tcBorders>
              <w:left w:val="single" w:color="auto" w:sz="4" w:space="0"/>
              <w:right w:val="single" w:color="auto" w:sz="4" w:space="0"/>
            </w:tcBorders>
            <w:vAlign w:val="center"/>
          </w:tcPr>
          <w:p>
            <w:pPr>
              <w:pStyle w:val="7"/>
              <w:jc w:val="center"/>
              <w:rPr>
                <w:rFonts w:asciiTheme="majorEastAsia" w:hAnsiTheme="majorEastAsia" w:eastAsiaTheme="majorEastAsia"/>
                <w:bCs/>
                <w:color w:val="auto"/>
                <w:szCs w:val="21"/>
                <w:highlight w:val="none"/>
              </w:rPr>
            </w:pPr>
            <w:r>
              <w:rPr>
                <w:rFonts w:hint="eastAsia" w:ascii="宋体" w:hAnsi="宋体" w:cs="宋体"/>
                <w:color w:val="auto"/>
                <w:sz w:val="21"/>
                <w:szCs w:val="21"/>
                <w:highlight w:val="none"/>
              </w:rPr>
              <w:t>15分</w:t>
            </w:r>
          </w:p>
        </w:tc>
        <w:tc>
          <w:tcPr>
            <w:tcW w:w="5005" w:type="dxa"/>
            <w:tcBorders>
              <w:left w:val="single" w:color="auto" w:sz="4" w:space="0"/>
            </w:tcBorders>
            <w:vAlign w:val="center"/>
          </w:tcPr>
          <w:p>
            <w:pPr>
              <w:pStyle w:val="7"/>
              <w:numPr>
                <w:ilvl w:val="0"/>
                <w:numId w:val="3"/>
              </w:numPr>
              <w:rPr>
                <w:rFonts w:hint="eastAsia" w:ascii="宋体" w:hAnsi="宋体" w:cs="宋体"/>
                <w:color w:val="auto"/>
                <w:sz w:val="21"/>
                <w:szCs w:val="21"/>
                <w:highlight w:val="none"/>
              </w:rPr>
            </w:pPr>
            <w:r>
              <w:rPr>
                <w:rFonts w:ascii="宋体" w:hAnsi="宋体" w:cs="宋体"/>
                <w:color w:val="auto"/>
                <w:spacing w:val="5"/>
                <w:sz w:val="21"/>
                <w:szCs w:val="21"/>
                <w:highlight w:val="none"/>
              </w:rPr>
              <w:t>满</w:t>
            </w:r>
            <w:r>
              <w:rPr>
                <w:rFonts w:ascii="宋体" w:hAnsi="宋体" w:cs="宋体"/>
                <w:color w:val="auto"/>
                <w:spacing w:val="2"/>
                <w:sz w:val="21"/>
                <w:szCs w:val="21"/>
                <w:highlight w:val="none"/>
              </w:rPr>
              <w:t>足</w:t>
            </w:r>
            <w:r>
              <w:rPr>
                <w:rFonts w:ascii="宋体" w:hAnsi="宋体" w:cs="宋体"/>
                <w:color w:val="auto"/>
                <w:spacing w:val="5"/>
                <w:sz w:val="21"/>
                <w:szCs w:val="21"/>
                <w:highlight w:val="none"/>
              </w:rPr>
              <w:t>资</w:t>
            </w:r>
            <w:r>
              <w:rPr>
                <w:rFonts w:ascii="宋体" w:hAnsi="宋体" w:cs="宋体"/>
                <w:color w:val="auto"/>
                <w:spacing w:val="2"/>
                <w:sz w:val="21"/>
                <w:szCs w:val="21"/>
                <w:highlight w:val="none"/>
              </w:rPr>
              <w:t>格</w:t>
            </w:r>
            <w:r>
              <w:rPr>
                <w:rFonts w:ascii="宋体" w:hAnsi="宋体" w:cs="宋体"/>
                <w:color w:val="auto"/>
                <w:spacing w:val="5"/>
                <w:sz w:val="21"/>
                <w:szCs w:val="21"/>
                <w:highlight w:val="none"/>
              </w:rPr>
              <w:t>审</w:t>
            </w:r>
            <w:r>
              <w:rPr>
                <w:rFonts w:ascii="宋体" w:hAnsi="宋体" w:cs="宋体"/>
                <w:color w:val="auto"/>
                <w:spacing w:val="2"/>
                <w:sz w:val="21"/>
                <w:szCs w:val="21"/>
                <w:highlight w:val="none"/>
              </w:rPr>
              <w:t>查</w:t>
            </w:r>
            <w:r>
              <w:rPr>
                <w:rFonts w:ascii="宋体" w:hAnsi="宋体" w:cs="宋体"/>
                <w:color w:val="auto"/>
                <w:spacing w:val="5"/>
                <w:sz w:val="21"/>
                <w:szCs w:val="21"/>
                <w:highlight w:val="none"/>
              </w:rPr>
              <w:t>条</w:t>
            </w:r>
            <w:r>
              <w:rPr>
                <w:rFonts w:ascii="宋体" w:hAnsi="宋体" w:cs="宋体"/>
                <w:color w:val="auto"/>
                <w:spacing w:val="2"/>
                <w:sz w:val="21"/>
                <w:szCs w:val="21"/>
                <w:highlight w:val="none"/>
              </w:rPr>
              <w:t>件</w:t>
            </w:r>
            <w:r>
              <w:rPr>
                <w:rFonts w:ascii="宋体" w:hAnsi="宋体" w:cs="宋体"/>
                <w:color w:val="auto"/>
                <w:spacing w:val="5"/>
                <w:sz w:val="21"/>
                <w:szCs w:val="21"/>
                <w:highlight w:val="none"/>
              </w:rPr>
              <w:t>（项</w:t>
            </w:r>
            <w:r>
              <w:rPr>
                <w:rFonts w:ascii="宋体" w:hAnsi="宋体" w:cs="宋体"/>
                <w:color w:val="auto"/>
                <w:spacing w:val="2"/>
                <w:sz w:val="21"/>
                <w:szCs w:val="21"/>
                <w:highlight w:val="none"/>
              </w:rPr>
              <w:t>目</w:t>
            </w:r>
            <w:r>
              <w:rPr>
                <w:rFonts w:ascii="宋体" w:hAnsi="宋体" w:cs="宋体"/>
                <w:color w:val="auto"/>
                <w:spacing w:val="5"/>
                <w:sz w:val="21"/>
                <w:szCs w:val="21"/>
                <w:highlight w:val="none"/>
              </w:rPr>
              <w:t>经</w:t>
            </w:r>
            <w:r>
              <w:rPr>
                <w:rFonts w:ascii="宋体" w:hAnsi="宋体" w:cs="宋体"/>
                <w:color w:val="auto"/>
                <w:spacing w:val="2"/>
                <w:sz w:val="21"/>
                <w:szCs w:val="21"/>
                <w:highlight w:val="none"/>
              </w:rPr>
              <w:t>理</w:t>
            </w:r>
            <w:r>
              <w:rPr>
                <w:rFonts w:ascii="宋体" w:hAnsi="宋体" w:cs="宋体"/>
                <w:color w:val="auto"/>
                <w:spacing w:val="5"/>
                <w:sz w:val="21"/>
                <w:szCs w:val="21"/>
                <w:highlight w:val="none"/>
              </w:rPr>
              <w:t>和项</w:t>
            </w:r>
            <w:r>
              <w:rPr>
                <w:rFonts w:ascii="宋体" w:hAnsi="宋体" w:cs="宋体"/>
                <w:color w:val="auto"/>
                <w:spacing w:val="2"/>
                <w:sz w:val="21"/>
                <w:szCs w:val="21"/>
                <w:highlight w:val="none"/>
              </w:rPr>
              <w:t>目</w:t>
            </w:r>
            <w:r>
              <w:rPr>
                <w:rFonts w:ascii="宋体" w:hAnsi="宋体" w:cs="宋体"/>
                <w:color w:val="auto"/>
                <w:spacing w:val="5"/>
                <w:sz w:val="21"/>
                <w:szCs w:val="21"/>
                <w:highlight w:val="none"/>
              </w:rPr>
              <w:t>总</w:t>
            </w:r>
            <w:r>
              <w:rPr>
                <w:rFonts w:ascii="宋体" w:hAnsi="宋体" w:cs="宋体"/>
                <w:color w:val="auto"/>
                <w:spacing w:val="2"/>
                <w:sz w:val="21"/>
                <w:szCs w:val="21"/>
                <w:highlight w:val="none"/>
              </w:rPr>
              <w:t>工</w:t>
            </w:r>
            <w:r>
              <w:rPr>
                <w:rFonts w:ascii="宋体" w:hAnsi="宋体" w:cs="宋体"/>
                <w:color w:val="auto"/>
                <w:spacing w:val="5"/>
                <w:sz w:val="21"/>
                <w:szCs w:val="21"/>
                <w:highlight w:val="none"/>
              </w:rPr>
              <w:t>最</w:t>
            </w:r>
            <w:r>
              <w:rPr>
                <w:rFonts w:ascii="宋体" w:hAnsi="宋体" w:cs="宋体"/>
                <w:color w:val="auto"/>
                <w:spacing w:val="2"/>
                <w:sz w:val="21"/>
                <w:szCs w:val="21"/>
                <w:highlight w:val="none"/>
              </w:rPr>
              <w:t>低</w:t>
            </w:r>
            <w:r>
              <w:rPr>
                <w:rFonts w:ascii="宋体" w:hAnsi="宋体" w:cs="宋体"/>
                <w:color w:val="auto"/>
                <w:sz w:val="21"/>
                <w:szCs w:val="21"/>
                <w:highlight w:val="none"/>
              </w:rPr>
              <w:t>要求）</w:t>
            </w:r>
            <w:r>
              <w:rPr>
                <w:rFonts w:ascii="宋体" w:hAnsi="宋体" w:cs="宋体"/>
                <w:color w:val="auto"/>
                <w:spacing w:val="2"/>
                <w:sz w:val="21"/>
                <w:szCs w:val="21"/>
                <w:highlight w:val="none"/>
              </w:rPr>
              <w:t>时</w:t>
            </w:r>
            <w:r>
              <w:rPr>
                <w:rFonts w:ascii="宋体" w:hAnsi="宋体" w:cs="宋体"/>
                <w:color w:val="auto"/>
                <w:sz w:val="21"/>
                <w:szCs w:val="21"/>
                <w:highlight w:val="none"/>
              </w:rPr>
              <w:t>，</w:t>
            </w:r>
            <w:r>
              <w:rPr>
                <w:rFonts w:ascii="宋体" w:hAnsi="宋体" w:cs="宋体"/>
                <w:color w:val="auto"/>
                <w:spacing w:val="2"/>
                <w:sz w:val="21"/>
                <w:szCs w:val="21"/>
                <w:highlight w:val="none"/>
              </w:rPr>
              <w:t>得</w:t>
            </w:r>
            <w:r>
              <w:rPr>
                <w:rFonts w:hint="eastAsia" w:ascii="宋体" w:hAnsi="宋体" w:eastAsia="宋体" w:cs="宋体"/>
                <w:color w:val="auto"/>
                <w:spacing w:val="0"/>
                <w:sz w:val="21"/>
                <w:szCs w:val="21"/>
                <w:highlight w:val="none"/>
                <w:u w:val="single"/>
                <w:lang w:val="en-US" w:eastAsia="zh-CN"/>
              </w:rPr>
              <w:t>15</w:t>
            </w:r>
            <w:r>
              <w:rPr>
                <w:rFonts w:ascii="宋体" w:hAnsi="宋体" w:cs="宋体"/>
                <w:color w:val="auto"/>
                <w:sz w:val="21"/>
                <w:szCs w:val="21"/>
                <w:highlight w:val="none"/>
              </w:rPr>
              <w:t>分；</w:t>
            </w:r>
          </w:p>
          <w:p>
            <w:pPr>
              <w:pStyle w:val="7"/>
              <w:numPr>
                <w:ilvl w:val="0"/>
                <w:numId w:val="3"/>
              </w:numPr>
              <w:rPr>
                <w:rFonts w:hint="eastAsia" w:ascii="宋体" w:hAnsi="宋体" w:cs="宋体"/>
                <w:color w:val="auto"/>
                <w:sz w:val="21"/>
                <w:szCs w:val="21"/>
                <w:highlight w:val="none"/>
              </w:rPr>
            </w:pPr>
            <w:r>
              <w:rPr>
                <w:rFonts w:hint="eastAsia" w:ascii="宋体" w:hAnsi="宋体" w:cs="宋体"/>
                <w:color w:val="auto"/>
                <w:sz w:val="21"/>
                <w:szCs w:val="21"/>
                <w:highlight w:val="none"/>
              </w:rPr>
              <w:t>项目经理及备选项目经理（如有）均具有高级工程师资格的，加</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分；</w:t>
            </w:r>
          </w:p>
          <w:p>
            <w:pPr>
              <w:pStyle w:val="7"/>
              <w:numPr>
                <w:ilvl w:val="0"/>
                <w:numId w:val="3"/>
              </w:numPr>
              <w:rPr>
                <w:rFonts w:asciiTheme="majorEastAsia" w:hAnsiTheme="majorEastAsia" w:eastAsiaTheme="majorEastAsia"/>
                <w:color w:val="auto"/>
                <w:szCs w:val="21"/>
                <w:highlight w:val="none"/>
              </w:rPr>
            </w:pPr>
            <w:r>
              <w:rPr>
                <w:rFonts w:hint="eastAsia" w:ascii="宋体" w:hAnsi="宋体" w:cs="宋体"/>
                <w:color w:val="auto"/>
                <w:sz w:val="21"/>
                <w:szCs w:val="21"/>
                <w:highlight w:val="none"/>
              </w:rPr>
              <w:t>每担任1个类似工程项目经理岗位工作经验的，加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分，最多加</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tcBorders>
              <w:right w:val="single" w:color="auto" w:sz="4" w:space="0"/>
            </w:tcBorders>
            <w:vAlign w:val="center"/>
          </w:tcPr>
          <w:p>
            <w:pPr>
              <w:jc w:val="center"/>
              <w:rPr>
                <w:rFonts w:ascii="宋体" w:hAnsi="宋体"/>
                <w:color w:val="auto"/>
                <w:szCs w:val="21"/>
                <w:highlight w:val="none"/>
              </w:rPr>
            </w:pPr>
          </w:p>
        </w:tc>
        <w:tc>
          <w:tcPr>
            <w:tcW w:w="1134" w:type="dxa"/>
            <w:vMerge w:val="continue"/>
            <w:tcBorders>
              <w:left w:val="single" w:color="auto" w:sz="4" w:space="0"/>
            </w:tcBorders>
            <w:vAlign w:val="center"/>
          </w:tcPr>
          <w:p>
            <w:pPr>
              <w:jc w:val="center"/>
              <w:rPr>
                <w:rFonts w:hint="eastAsia" w:ascii="宋体" w:hAnsi="宋体"/>
                <w:color w:val="auto"/>
                <w:szCs w:val="21"/>
                <w:highlight w:val="none"/>
              </w:rPr>
            </w:pPr>
          </w:p>
        </w:tc>
        <w:tc>
          <w:tcPr>
            <w:tcW w:w="708" w:type="dxa"/>
            <w:vMerge w:val="continue"/>
            <w:tcBorders>
              <w:right w:val="single" w:color="auto" w:sz="4" w:space="0"/>
            </w:tcBorders>
            <w:vAlign w:val="center"/>
          </w:tcPr>
          <w:p>
            <w:pPr>
              <w:jc w:val="center"/>
              <w:rPr>
                <w:rFonts w:hint="eastAsia" w:asciiTheme="majorEastAsia" w:hAnsiTheme="majorEastAsia" w:eastAsiaTheme="majorEastAsia"/>
                <w:bCs/>
                <w:color w:val="auto"/>
                <w:szCs w:val="21"/>
                <w:highlight w:val="none"/>
              </w:rPr>
            </w:pPr>
          </w:p>
        </w:tc>
        <w:tc>
          <w:tcPr>
            <w:tcW w:w="1134" w:type="dxa"/>
            <w:tcBorders>
              <w:left w:val="single" w:color="auto" w:sz="4" w:space="0"/>
              <w:right w:val="single" w:color="auto" w:sz="4" w:space="0"/>
            </w:tcBorders>
            <w:vAlign w:val="center"/>
          </w:tcPr>
          <w:p>
            <w:pPr>
              <w:pStyle w:val="7"/>
              <w:spacing w:before="120" w:beforeLines="50" w:line="360" w:lineRule="auto"/>
              <w:jc w:val="center"/>
              <w:rPr>
                <w:rFonts w:hint="eastAsia" w:asciiTheme="majorEastAsia" w:hAnsiTheme="majorEastAsia" w:eastAsiaTheme="majorEastAsia"/>
                <w:bCs/>
                <w:color w:val="auto"/>
                <w:szCs w:val="21"/>
                <w:highlight w:val="none"/>
              </w:rPr>
            </w:pPr>
            <w:r>
              <w:rPr>
                <w:rFonts w:hint="eastAsia" w:ascii="宋体" w:hAnsi="宋体" w:cs="宋体"/>
                <w:color w:val="auto"/>
                <w:sz w:val="21"/>
                <w:szCs w:val="21"/>
                <w:highlight w:val="none"/>
              </w:rPr>
              <w:t>项目总工任职资格与业绩</w:t>
            </w:r>
          </w:p>
        </w:tc>
        <w:tc>
          <w:tcPr>
            <w:tcW w:w="808" w:type="dxa"/>
            <w:tcBorders>
              <w:left w:val="single" w:color="auto" w:sz="4" w:space="0"/>
              <w:right w:val="single" w:color="auto" w:sz="4" w:space="0"/>
            </w:tcBorders>
            <w:vAlign w:val="center"/>
          </w:tcPr>
          <w:p>
            <w:pPr>
              <w:pStyle w:val="7"/>
              <w:jc w:val="center"/>
              <w:rPr>
                <w:rFonts w:hint="eastAsia" w:asciiTheme="majorEastAsia" w:hAnsiTheme="majorEastAsia" w:eastAsiaTheme="majorEastAsia"/>
                <w:bCs/>
                <w:color w:val="auto"/>
                <w:szCs w:val="21"/>
                <w:highlight w:val="none"/>
              </w:rPr>
            </w:pPr>
            <w:r>
              <w:rPr>
                <w:rFonts w:hint="eastAsia" w:ascii="宋体" w:hAnsi="宋体" w:cs="宋体"/>
                <w:color w:val="auto"/>
                <w:sz w:val="21"/>
                <w:szCs w:val="21"/>
                <w:highlight w:val="none"/>
              </w:rPr>
              <w:t>15分</w:t>
            </w:r>
          </w:p>
        </w:tc>
        <w:tc>
          <w:tcPr>
            <w:tcW w:w="5005" w:type="dxa"/>
            <w:tcBorders>
              <w:left w:val="single" w:color="auto" w:sz="4" w:space="0"/>
            </w:tcBorders>
            <w:vAlign w:val="center"/>
          </w:tcPr>
          <w:p>
            <w:pPr>
              <w:pStyle w:val="7"/>
              <w:numPr>
                <w:ilvl w:val="0"/>
                <w:numId w:val="4"/>
              </w:numPr>
              <w:rPr>
                <w:rFonts w:hint="eastAsia" w:ascii="宋体" w:hAnsi="宋体" w:cs="宋体"/>
                <w:dstrike/>
                <w:color w:val="auto"/>
                <w:sz w:val="21"/>
                <w:szCs w:val="21"/>
                <w:highlight w:val="none"/>
              </w:rPr>
            </w:pPr>
            <w:r>
              <w:rPr>
                <w:rFonts w:ascii="宋体" w:hAnsi="宋体" w:cs="宋体"/>
                <w:color w:val="auto"/>
                <w:spacing w:val="5"/>
                <w:sz w:val="21"/>
                <w:szCs w:val="21"/>
                <w:highlight w:val="none"/>
              </w:rPr>
              <w:t>满</w:t>
            </w:r>
            <w:r>
              <w:rPr>
                <w:rFonts w:ascii="宋体" w:hAnsi="宋体" w:cs="宋体"/>
                <w:color w:val="auto"/>
                <w:spacing w:val="2"/>
                <w:sz w:val="21"/>
                <w:szCs w:val="21"/>
                <w:highlight w:val="none"/>
              </w:rPr>
              <w:t>足</w:t>
            </w:r>
            <w:r>
              <w:rPr>
                <w:rFonts w:ascii="宋体" w:hAnsi="宋体" w:cs="宋体"/>
                <w:color w:val="auto"/>
                <w:spacing w:val="5"/>
                <w:sz w:val="21"/>
                <w:szCs w:val="21"/>
                <w:highlight w:val="none"/>
              </w:rPr>
              <w:t>资</w:t>
            </w:r>
            <w:r>
              <w:rPr>
                <w:rFonts w:ascii="宋体" w:hAnsi="宋体" w:cs="宋体"/>
                <w:color w:val="auto"/>
                <w:spacing w:val="2"/>
                <w:sz w:val="21"/>
                <w:szCs w:val="21"/>
                <w:highlight w:val="none"/>
              </w:rPr>
              <w:t>格</w:t>
            </w:r>
            <w:r>
              <w:rPr>
                <w:rFonts w:ascii="宋体" w:hAnsi="宋体" w:cs="宋体"/>
                <w:color w:val="auto"/>
                <w:spacing w:val="5"/>
                <w:sz w:val="21"/>
                <w:szCs w:val="21"/>
                <w:highlight w:val="none"/>
              </w:rPr>
              <w:t>审</w:t>
            </w:r>
            <w:r>
              <w:rPr>
                <w:rFonts w:ascii="宋体" w:hAnsi="宋体" w:cs="宋体"/>
                <w:color w:val="auto"/>
                <w:spacing w:val="2"/>
                <w:sz w:val="21"/>
                <w:szCs w:val="21"/>
                <w:highlight w:val="none"/>
              </w:rPr>
              <w:t>查</w:t>
            </w:r>
            <w:r>
              <w:rPr>
                <w:rFonts w:ascii="宋体" w:hAnsi="宋体" w:cs="宋体"/>
                <w:color w:val="auto"/>
                <w:spacing w:val="5"/>
                <w:sz w:val="21"/>
                <w:szCs w:val="21"/>
                <w:highlight w:val="none"/>
              </w:rPr>
              <w:t>条</w:t>
            </w:r>
            <w:r>
              <w:rPr>
                <w:rFonts w:ascii="宋体" w:hAnsi="宋体" w:cs="宋体"/>
                <w:color w:val="auto"/>
                <w:spacing w:val="2"/>
                <w:sz w:val="21"/>
                <w:szCs w:val="21"/>
                <w:highlight w:val="none"/>
              </w:rPr>
              <w:t>件</w:t>
            </w:r>
            <w:r>
              <w:rPr>
                <w:rFonts w:ascii="宋体" w:hAnsi="宋体" w:cs="宋体"/>
                <w:color w:val="auto"/>
                <w:spacing w:val="5"/>
                <w:sz w:val="21"/>
                <w:szCs w:val="21"/>
                <w:highlight w:val="none"/>
              </w:rPr>
              <w:t>（项</w:t>
            </w:r>
            <w:r>
              <w:rPr>
                <w:rFonts w:ascii="宋体" w:hAnsi="宋体" w:cs="宋体"/>
                <w:color w:val="auto"/>
                <w:spacing w:val="2"/>
                <w:sz w:val="21"/>
                <w:szCs w:val="21"/>
                <w:highlight w:val="none"/>
              </w:rPr>
              <w:t>目</w:t>
            </w:r>
            <w:r>
              <w:rPr>
                <w:rFonts w:ascii="宋体" w:hAnsi="宋体" w:cs="宋体"/>
                <w:color w:val="auto"/>
                <w:spacing w:val="5"/>
                <w:sz w:val="21"/>
                <w:szCs w:val="21"/>
                <w:highlight w:val="none"/>
              </w:rPr>
              <w:t>经</w:t>
            </w:r>
            <w:r>
              <w:rPr>
                <w:rFonts w:ascii="宋体" w:hAnsi="宋体" w:cs="宋体"/>
                <w:color w:val="auto"/>
                <w:spacing w:val="2"/>
                <w:sz w:val="21"/>
                <w:szCs w:val="21"/>
                <w:highlight w:val="none"/>
              </w:rPr>
              <w:t>理</w:t>
            </w:r>
            <w:r>
              <w:rPr>
                <w:rFonts w:ascii="宋体" w:hAnsi="宋体" w:cs="宋体"/>
                <w:color w:val="auto"/>
                <w:spacing w:val="5"/>
                <w:sz w:val="21"/>
                <w:szCs w:val="21"/>
                <w:highlight w:val="none"/>
              </w:rPr>
              <w:t>和项</w:t>
            </w:r>
            <w:r>
              <w:rPr>
                <w:rFonts w:ascii="宋体" w:hAnsi="宋体" w:cs="宋体"/>
                <w:color w:val="auto"/>
                <w:spacing w:val="2"/>
                <w:sz w:val="21"/>
                <w:szCs w:val="21"/>
                <w:highlight w:val="none"/>
              </w:rPr>
              <w:t>目</w:t>
            </w:r>
            <w:r>
              <w:rPr>
                <w:rFonts w:ascii="宋体" w:hAnsi="宋体" w:cs="宋体"/>
                <w:color w:val="auto"/>
                <w:spacing w:val="5"/>
                <w:sz w:val="21"/>
                <w:szCs w:val="21"/>
                <w:highlight w:val="none"/>
              </w:rPr>
              <w:t>总</w:t>
            </w:r>
            <w:r>
              <w:rPr>
                <w:rFonts w:ascii="宋体" w:hAnsi="宋体" w:cs="宋体"/>
                <w:color w:val="auto"/>
                <w:spacing w:val="2"/>
                <w:sz w:val="21"/>
                <w:szCs w:val="21"/>
                <w:highlight w:val="none"/>
              </w:rPr>
              <w:t>工</w:t>
            </w:r>
            <w:r>
              <w:rPr>
                <w:rFonts w:ascii="宋体" w:hAnsi="宋体" w:cs="宋体"/>
                <w:color w:val="auto"/>
                <w:spacing w:val="5"/>
                <w:sz w:val="21"/>
                <w:szCs w:val="21"/>
                <w:highlight w:val="none"/>
              </w:rPr>
              <w:t>最</w:t>
            </w:r>
            <w:r>
              <w:rPr>
                <w:rFonts w:ascii="宋体" w:hAnsi="宋体" w:cs="宋体"/>
                <w:color w:val="auto"/>
                <w:spacing w:val="2"/>
                <w:sz w:val="21"/>
                <w:szCs w:val="21"/>
                <w:highlight w:val="none"/>
              </w:rPr>
              <w:t>低</w:t>
            </w:r>
            <w:r>
              <w:rPr>
                <w:rFonts w:ascii="宋体" w:hAnsi="宋体" w:cs="宋体"/>
                <w:color w:val="auto"/>
                <w:sz w:val="21"/>
                <w:szCs w:val="21"/>
                <w:highlight w:val="none"/>
              </w:rPr>
              <w:t>要求）</w:t>
            </w:r>
            <w:r>
              <w:rPr>
                <w:rFonts w:ascii="宋体" w:hAnsi="宋体" w:cs="宋体"/>
                <w:color w:val="auto"/>
                <w:spacing w:val="2"/>
                <w:sz w:val="21"/>
                <w:szCs w:val="21"/>
                <w:highlight w:val="none"/>
              </w:rPr>
              <w:t>时</w:t>
            </w:r>
            <w:r>
              <w:rPr>
                <w:rFonts w:ascii="宋体" w:hAnsi="宋体" w:cs="宋体"/>
                <w:color w:val="auto"/>
                <w:sz w:val="21"/>
                <w:szCs w:val="21"/>
                <w:highlight w:val="none"/>
              </w:rPr>
              <w:t>，</w:t>
            </w:r>
            <w:r>
              <w:rPr>
                <w:rFonts w:ascii="宋体" w:hAnsi="宋体" w:cs="宋体"/>
                <w:color w:val="auto"/>
                <w:spacing w:val="2"/>
                <w:sz w:val="21"/>
                <w:szCs w:val="21"/>
                <w:highlight w:val="none"/>
              </w:rPr>
              <w:t>得</w:t>
            </w:r>
            <w:r>
              <w:rPr>
                <w:rFonts w:hint="eastAsia" w:ascii="宋体" w:hAnsi="宋体" w:eastAsia="宋体" w:cs="宋体"/>
                <w:color w:val="auto"/>
                <w:spacing w:val="0"/>
                <w:sz w:val="21"/>
                <w:szCs w:val="21"/>
                <w:highlight w:val="none"/>
                <w:u w:val="single"/>
              </w:rPr>
              <w:t>15</w:t>
            </w:r>
            <w:r>
              <w:rPr>
                <w:rFonts w:hint="eastAsia" w:ascii="宋体" w:hAnsi="宋体" w:eastAsia="宋体" w:cs="宋体"/>
                <w:color w:val="auto"/>
                <w:sz w:val="21"/>
                <w:szCs w:val="21"/>
                <w:highlight w:val="none"/>
                <w:u w:val="single"/>
              </w:rPr>
              <w:t>分</w:t>
            </w:r>
            <w:r>
              <w:rPr>
                <w:rFonts w:ascii="宋体" w:hAnsi="宋体" w:cs="宋体"/>
                <w:color w:val="auto"/>
                <w:sz w:val="21"/>
                <w:szCs w:val="21"/>
                <w:highlight w:val="none"/>
              </w:rPr>
              <w:t>；</w:t>
            </w:r>
          </w:p>
          <w:p>
            <w:pPr>
              <w:pStyle w:val="7"/>
              <w:numPr>
                <w:ilvl w:val="0"/>
                <w:numId w:val="4"/>
              </w:numPr>
              <w:rPr>
                <w:rFonts w:hint="eastAsia" w:asciiTheme="majorEastAsia" w:hAnsiTheme="majorEastAsia" w:eastAsiaTheme="majorEastAsia"/>
                <w:bCs/>
                <w:color w:val="auto"/>
                <w:szCs w:val="21"/>
                <w:highlight w:val="none"/>
              </w:rPr>
            </w:pPr>
            <w:r>
              <w:rPr>
                <w:rFonts w:hint="eastAsia" w:ascii="宋体" w:hAnsi="宋体" w:cs="宋体"/>
                <w:color w:val="auto"/>
                <w:sz w:val="21"/>
                <w:szCs w:val="21"/>
                <w:highlight w:val="none"/>
              </w:rPr>
              <w:t>每担任1个类似工程项目总工岗位工作经验的，加</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分，最多加</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0" w:hRule="atLeast"/>
        </w:trPr>
        <w:tc>
          <w:tcPr>
            <w:tcW w:w="851" w:type="dxa"/>
            <w:vMerge w:val="restart"/>
            <w:shd w:val="clear" w:color="auto" w:fill="FFFFFF"/>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w:t>
            </w:r>
          </w:p>
        </w:tc>
        <w:tc>
          <w:tcPr>
            <w:tcW w:w="1134" w:type="dxa"/>
            <w:vMerge w:val="restart"/>
            <w:shd w:val="clear" w:color="auto" w:fill="FFFFFF"/>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其他因素</w:t>
            </w:r>
          </w:p>
        </w:tc>
        <w:tc>
          <w:tcPr>
            <w:tcW w:w="1842" w:type="dxa"/>
            <w:gridSpan w:val="2"/>
            <w:shd w:val="clear" w:color="auto" w:fill="FFFFFF"/>
            <w:vAlign w:val="center"/>
          </w:tcPr>
          <w:p>
            <w:pPr>
              <w:pStyle w:val="7"/>
              <w:ind w:left="116"/>
              <w:jc w:val="center"/>
              <w:rPr>
                <w:rFonts w:asciiTheme="minorEastAsia" w:hAnsiTheme="minorEastAsia" w:eastAsiaTheme="minorEastAsia"/>
                <w:color w:val="auto"/>
                <w:highlight w:val="none"/>
              </w:rPr>
            </w:pPr>
            <w:r>
              <w:rPr>
                <w:rFonts w:hint="eastAsia" w:ascii="宋体" w:hAnsi="宋体"/>
                <w:color w:val="auto"/>
                <w:highlight w:val="none"/>
              </w:rPr>
              <w:t>技术能力</w:t>
            </w:r>
          </w:p>
        </w:tc>
        <w:tc>
          <w:tcPr>
            <w:tcW w:w="808" w:type="dxa"/>
            <w:shd w:val="clear" w:color="auto" w:fill="FFFFFF"/>
            <w:vAlign w:val="center"/>
          </w:tcPr>
          <w:p>
            <w:pPr>
              <w:pStyle w:val="7"/>
              <w:jc w:val="center"/>
              <w:rPr>
                <w:rFonts w:asciiTheme="minorEastAsia" w:hAnsiTheme="minorEastAsia" w:eastAsiaTheme="minorEastAsia"/>
                <w:color w:val="auto"/>
                <w:highlight w:val="none"/>
              </w:rPr>
            </w:pPr>
            <w:r>
              <w:rPr>
                <w:rFonts w:hint="eastAsia" w:ascii="宋体" w:hAnsi="宋体" w:cs="宋体"/>
                <w:color w:val="auto"/>
                <w:sz w:val="21"/>
                <w:szCs w:val="21"/>
                <w:highlight w:val="none"/>
              </w:rPr>
              <w:t>15分</w:t>
            </w:r>
          </w:p>
        </w:tc>
        <w:tc>
          <w:tcPr>
            <w:tcW w:w="5005" w:type="dxa"/>
            <w:shd w:val="clear" w:color="auto" w:fill="FFFFFF"/>
            <w:vAlign w:val="center"/>
          </w:tcPr>
          <w:p>
            <w:pPr>
              <w:pStyle w:val="7"/>
              <w:numPr>
                <w:ilvl w:val="0"/>
                <w:numId w:val="5"/>
              </w:num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投标人获得与项目施工有关的国家级工法、专利（发明专利或实用新型专利）、国家级科学技术进步奖，鲁班奖、詹天佑奖，主编或参编过国家标准，每项加 </w:t>
            </w:r>
            <w:r>
              <w:rPr>
                <w:rFonts w:hint="eastAsia" w:ascii="宋体" w:hAnsi="宋体" w:cs="宋体"/>
                <w:color w:val="auto"/>
                <w:sz w:val="21"/>
                <w:szCs w:val="21"/>
                <w:highlight w:val="none"/>
                <w:u w:val="single"/>
              </w:rPr>
              <w:t xml:space="preserve">3 </w:t>
            </w:r>
            <w:r>
              <w:rPr>
                <w:rFonts w:hint="eastAsia" w:ascii="宋体" w:hAnsi="宋体" w:cs="宋体"/>
                <w:color w:val="auto"/>
                <w:sz w:val="21"/>
                <w:szCs w:val="21"/>
                <w:highlight w:val="none"/>
              </w:rPr>
              <w:t>分；</w:t>
            </w:r>
          </w:p>
          <w:p>
            <w:pPr>
              <w:pStyle w:val="7"/>
              <w:numPr>
                <w:ilvl w:val="0"/>
                <w:numId w:val="5"/>
              </w:num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投标人获得省级科学技术进步奖，主编或参编过的行业或地方（指省级）标准，每项加 </w:t>
            </w:r>
            <w:r>
              <w:rPr>
                <w:rFonts w:hint="eastAsia" w:ascii="宋体" w:hAnsi="宋体" w:cs="宋体"/>
                <w:color w:val="auto"/>
                <w:sz w:val="21"/>
                <w:szCs w:val="21"/>
                <w:highlight w:val="none"/>
                <w:u w:val="single"/>
              </w:rPr>
              <w:t xml:space="preserve">3 </w:t>
            </w:r>
            <w:r>
              <w:rPr>
                <w:rFonts w:hint="eastAsia" w:ascii="宋体" w:hAnsi="宋体" w:cs="宋体"/>
                <w:color w:val="auto"/>
                <w:sz w:val="21"/>
                <w:szCs w:val="21"/>
                <w:highlight w:val="none"/>
              </w:rPr>
              <w:t>分；</w:t>
            </w:r>
          </w:p>
          <w:p>
            <w:pPr>
              <w:pStyle w:val="7"/>
              <w:rPr>
                <w:rFonts w:cs="宋体" w:asciiTheme="minorEastAsia" w:hAnsiTheme="minorEastAsia" w:eastAsiaTheme="minorEastAsia"/>
                <w:color w:val="auto"/>
                <w:highlight w:val="none"/>
              </w:rPr>
            </w:pPr>
            <w:r>
              <w:rPr>
                <w:rFonts w:ascii="宋体" w:hAnsi="宋体" w:cs="宋体"/>
                <w:color w:val="auto"/>
                <w:sz w:val="21"/>
                <w:szCs w:val="21"/>
                <w:highlight w:val="none"/>
              </w:rPr>
              <w:t>注</w:t>
            </w:r>
            <w:r>
              <w:rPr>
                <w:rFonts w:ascii="宋体" w:hAnsi="宋体" w:cs="宋体"/>
                <w:color w:val="auto"/>
                <w:spacing w:val="2"/>
                <w:sz w:val="21"/>
                <w:szCs w:val="21"/>
                <w:highlight w:val="none"/>
              </w:rPr>
              <w:t>：</w:t>
            </w:r>
            <w:r>
              <w:rPr>
                <w:rFonts w:ascii="宋体" w:hAnsi="宋体" w:cs="宋体"/>
                <w:color w:val="auto"/>
                <w:sz w:val="21"/>
                <w:szCs w:val="21"/>
                <w:highlight w:val="none"/>
              </w:rPr>
              <w:t>技</w:t>
            </w:r>
            <w:r>
              <w:rPr>
                <w:rFonts w:ascii="宋体" w:hAnsi="宋体" w:cs="宋体"/>
                <w:color w:val="auto"/>
                <w:spacing w:val="2"/>
                <w:sz w:val="21"/>
                <w:szCs w:val="21"/>
                <w:highlight w:val="none"/>
              </w:rPr>
              <w:t>术</w:t>
            </w:r>
            <w:r>
              <w:rPr>
                <w:rFonts w:ascii="宋体" w:hAnsi="宋体" w:cs="宋体"/>
                <w:color w:val="auto"/>
                <w:sz w:val="21"/>
                <w:szCs w:val="21"/>
                <w:highlight w:val="none"/>
              </w:rPr>
              <w:t>能</w:t>
            </w:r>
            <w:r>
              <w:rPr>
                <w:rFonts w:ascii="宋体" w:hAnsi="宋体" w:cs="宋体"/>
                <w:color w:val="auto"/>
                <w:spacing w:val="2"/>
                <w:sz w:val="21"/>
                <w:szCs w:val="21"/>
                <w:highlight w:val="none"/>
              </w:rPr>
              <w:t>力</w:t>
            </w:r>
            <w:r>
              <w:rPr>
                <w:rFonts w:ascii="宋体" w:hAnsi="宋体" w:cs="宋体"/>
                <w:color w:val="auto"/>
                <w:sz w:val="21"/>
                <w:szCs w:val="21"/>
                <w:highlight w:val="none"/>
              </w:rPr>
              <w:t>加</w:t>
            </w:r>
            <w:r>
              <w:rPr>
                <w:rFonts w:ascii="宋体" w:hAnsi="宋体" w:cs="宋体"/>
                <w:color w:val="auto"/>
                <w:spacing w:val="2"/>
                <w:sz w:val="21"/>
                <w:szCs w:val="21"/>
                <w:highlight w:val="none"/>
              </w:rPr>
              <w:t>分</w:t>
            </w:r>
            <w:r>
              <w:rPr>
                <w:rFonts w:ascii="宋体" w:hAnsi="宋体" w:cs="宋体"/>
                <w:color w:val="auto"/>
                <w:sz w:val="21"/>
                <w:szCs w:val="21"/>
                <w:highlight w:val="none"/>
              </w:rPr>
              <w:t>最</w:t>
            </w:r>
            <w:r>
              <w:rPr>
                <w:rFonts w:ascii="宋体" w:hAnsi="宋体" w:cs="宋体"/>
                <w:color w:val="auto"/>
                <w:spacing w:val="2"/>
                <w:sz w:val="21"/>
                <w:szCs w:val="21"/>
                <w:highlight w:val="none"/>
              </w:rPr>
              <w:t>高</w:t>
            </w:r>
            <w:r>
              <w:rPr>
                <w:rFonts w:hint="eastAsia" w:ascii="宋体" w:hAnsi="宋体" w:cs="宋体"/>
                <w:color w:val="auto"/>
                <w:sz w:val="21"/>
                <w:szCs w:val="21"/>
                <w:highlight w:val="none"/>
                <w:u w:val="single" w:color="000000"/>
              </w:rPr>
              <w:t>15</w:t>
            </w:r>
            <w:r>
              <w:rPr>
                <w:rFonts w:ascii="宋体" w:hAnsi="宋体" w:cs="宋体"/>
                <w:color w:val="auto"/>
                <w:sz w:val="21"/>
                <w:szCs w:val="21"/>
                <w:highlight w:val="none"/>
              </w:rPr>
              <w:t>分</w:t>
            </w:r>
            <w:r>
              <w:rPr>
                <w:rFonts w:ascii="宋体" w:hAnsi="宋体" w:cs="宋体"/>
                <w:color w:val="auto"/>
                <w:spacing w:val="2"/>
                <w:sz w:val="21"/>
                <w:szCs w:val="21"/>
                <w:highlight w:val="none"/>
              </w:rPr>
              <w:t>，</w:t>
            </w:r>
            <w:r>
              <w:rPr>
                <w:rFonts w:ascii="宋体" w:hAnsi="宋体" w:cs="宋体"/>
                <w:color w:val="auto"/>
                <w:sz w:val="21"/>
                <w:szCs w:val="21"/>
                <w:highlight w:val="none"/>
              </w:rPr>
              <w:t>同</w:t>
            </w:r>
            <w:r>
              <w:rPr>
                <w:rFonts w:ascii="宋体" w:hAnsi="宋体" w:cs="宋体"/>
                <w:color w:val="auto"/>
                <w:spacing w:val="2"/>
                <w:sz w:val="21"/>
                <w:szCs w:val="21"/>
                <w:highlight w:val="none"/>
              </w:rPr>
              <w:t>一</w:t>
            </w:r>
            <w:r>
              <w:rPr>
                <w:rFonts w:ascii="宋体" w:hAnsi="宋体" w:cs="宋体"/>
                <w:color w:val="auto"/>
                <w:sz w:val="21"/>
                <w:szCs w:val="21"/>
                <w:highlight w:val="none"/>
              </w:rPr>
              <w:t>事</w:t>
            </w:r>
            <w:r>
              <w:rPr>
                <w:rFonts w:ascii="宋体" w:hAnsi="宋体" w:cs="宋体"/>
                <w:color w:val="auto"/>
                <w:spacing w:val="2"/>
                <w:sz w:val="21"/>
                <w:szCs w:val="21"/>
                <w:highlight w:val="none"/>
              </w:rPr>
              <w:t>项</w:t>
            </w:r>
            <w:r>
              <w:rPr>
                <w:rFonts w:ascii="宋体" w:hAnsi="宋体" w:cs="宋体"/>
                <w:color w:val="auto"/>
                <w:sz w:val="21"/>
                <w:szCs w:val="21"/>
                <w:highlight w:val="none"/>
              </w:rPr>
              <w:t>按</w:t>
            </w:r>
            <w:r>
              <w:rPr>
                <w:rFonts w:ascii="宋体" w:hAnsi="宋体" w:cs="宋体"/>
                <w:color w:val="auto"/>
                <w:spacing w:val="2"/>
                <w:sz w:val="21"/>
                <w:szCs w:val="21"/>
                <w:highlight w:val="none"/>
              </w:rPr>
              <w:t>较</w:t>
            </w:r>
            <w:r>
              <w:rPr>
                <w:rFonts w:ascii="宋体" w:hAnsi="宋体" w:cs="宋体"/>
                <w:color w:val="auto"/>
                <w:sz w:val="21"/>
                <w:szCs w:val="21"/>
                <w:highlight w:val="none"/>
              </w:rPr>
              <w:t>高</w:t>
            </w:r>
            <w:r>
              <w:rPr>
                <w:rFonts w:ascii="宋体" w:hAnsi="宋体" w:cs="宋体"/>
                <w:color w:val="auto"/>
                <w:spacing w:val="2"/>
                <w:sz w:val="21"/>
                <w:szCs w:val="21"/>
                <w:highlight w:val="none"/>
              </w:rPr>
              <w:t>分</w:t>
            </w:r>
            <w:r>
              <w:rPr>
                <w:rFonts w:ascii="宋体" w:hAnsi="宋体" w:cs="宋体"/>
                <w:color w:val="auto"/>
                <w:sz w:val="21"/>
                <w:szCs w:val="21"/>
                <w:highlight w:val="none"/>
              </w:rPr>
              <w:t>只</w:t>
            </w:r>
            <w:r>
              <w:rPr>
                <w:rFonts w:ascii="宋体" w:hAnsi="宋体" w:cs="宋体"/>
                <w:color w:val="auto"/>
                <w:spacing w:val="2"/>
                <w:sz w:val="21"/>
                <w:szCs w:val="21"/>
                <w:highlight w:val="none"/>
              </w:rPr>
              <w:t>计</w:t>
            </w:r>
            <w:r>
              <w:rPr>
                <w:rFonts w:ascii="宋体" w:hAnsi="宋体" w:cs="宋体"/>
                <w:color w:val="auto"/>
                <w:sz w:val="21"/>
                <w:szCs w:val="21"/>
                <w:highlight w:val="none"/>
              </w:rPr>
              <w:t>一</w:t>
            </w:r>
            <w:r>
              <w:rPr>
                <w:rFonts w:ascii="宋体" w:hAnsi="宋体" w:cs="宋体"/>
                <w:color w:val="auto"/>
                <w:spacing w:val="2"/>
                <w:sz w:val="21"/>
                <w:szCs w:val="21"/>
                <w:highlight w:val="none"/>
              </w:rPr>
              <w:t>次</w:t>
            </w:r>
            <w:r>
              <w:rPr>
                <w:rFonts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51" w:type="dxa"/>
            <w:vMerge w:val="continue"/>
            <w:shd w:val="clear" w:color="auto" w:fill="FFFFFF"/>
            <w:vAlign w:val="center"/>
          </w:tcPr>
          <w:p>
            <w:pPr>
              <w:jc w:val="center"/>
              <w:rPr>
                <w:rFonts w:asciiTheme="minorEastAsia" w:hAnsiTheme="minorEastAsia" w:eastAsiaTheme="minorEastAsia"/>
                <w:color w:val="auto"/>
                <w:szCs w:val="21"/>
                <w:highlight w:val="none"/>
              </w:rPr>
            </w:pPr>
          </w:p>
        </w:tc>
        <w:tc>
          <w:tcPr>
            <w:tcW w:w="1134" w:type="dxa"/>
            <w:vMerge w:val="continue"/>
            <w:shd w:val="clear" w:color="auto" w:fill="FFFFFF"/>
            <w:vAlign w:val="center"/>
          </w:tcPr>
          <w:p>
            <w:pPr>
              <w:jc w:val="center"/>
              <w:rPr>
                <w:rFonts w:asciiTheme="minorEastAsia" w:hAnsiTheme="minorEastAsia" w:eastAsiaTheme="minorEastAsia"/>
                <w:bCs/>
                <w:color w:val="auto"/>
                <w:szCs w:val="21"/>
                <w:highlight w:val="none"/>
              </w:rPr>
            </w:pPr>
          </w:p>
        </w:tc>
        <w:tc>
          <w:tcPr>
            <w:tcW w:w="1842" w:type="dxa"/>
            <w:gridSpan w:val="2"/>
            <w:shd w:val="clear" w:color="auto" w:fill="FFFFFF"/>
            <w:vAlign w:val="center"/>
          </w:tcPr>
          <w:p>
            <w:pPr>
              <w:pStyle w:val="7"/>
              <w:ind w:left="116"/>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履约信誉</w:t>
            </w:r>
          </w:p>
        </w:tc>
        <w:tc>
          <w:tcPr>
            <w:tcW w:w="808" w:type="dxa"/>
            <w:shd w:val="clear" w:color="auto" w:fill="FFFFFF"/>
            <w:vAlign w:val="center"/>
          </w:tcPr>
          <w:p>
            <w:pPr>
              <w:pStyle w:val="7"/>
              <w:jc w:val="center"/>
              <w:rPr>
                <w:rFonts w:asciiTheme="minorEastAsia" w:hAnsiTheme="minorEastAsia" w:eastAsiaTheme="minorEastAsia"/>
                <w:color w:val="auto"/>
                <w:highlight w:val="none"/>
              </w:rPr>
            </w:pPr>
            <w:r>
              <w:rPr>
                <w:rFonts w:hint="eastAsia" w:ascii="宋体" w:hAnsi="宋体" w:cs="宋体"/>
                <w:color w:val="auto"/>
                <w:sz w:val="21"/>
                <w:szCs w:val="21"/>
                <w:highlight w:val="none"/>
              </w:rPr>
              <w:t>15分</w:t>
            </w:r>
          </w:p>
        </w:tc>
        <w:tc>
          <w:tcPr>
            <w:tcW w:w="5005" w:type="dxa"/>
            <w:shd w:val="clear" w:color="auto" w:fill="FFFFFF"/>
            <w:vAlign w:val="center"/>
          </w:tcPr>
          <w:p>
            <w:pPr>
              <w:pStyle w:val="7"/>
              <w:numPr>
                <w:ilvl w:val="0"/>
                <w:numId w:val="6"/>
              </w:numPr>
              <w:rPr>
                <w:rFonts w:hint="eastAsia" w:ascii="宋体" w:hAnsi="宋体" w:cs="宋体"/>
                <w:color w:val="auto"/>
                <w:sz w:val="21"/>
                <w:szCs w:val="21"/>
                <w:highlight w:val="none"/>
              </w:rPr>
            </w:pPr>
            <w:r>
              <w:rPr>
                <w:rFonts w:hint="eastAsia" w:ascii="宋体" w:hAnsi="宋体" w:cs="宋体"/>
                <w:color w:val="auto"/>
                <w:sz w:val="21"/>
                <w:szCs w:val="21"/>
                <w:highlight w:val="none"/>
              </w:rPr>
              <w:t>信用等级分值（10分）</w:t>
            </w:r>
          </w:p>
          <w:p>
            <w:pPr>
              <w:pStyle w:val="7"/>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AA、A、B、C级单位的信用等级分得分分别为10、9.5、8.9、7.3分。注：信用等级的确定原则遵循投标人须知前附表10.2款规定。</w:t>
            </w:r>
          </w:p>
          <w:p>
            <w:pPr>
              <w:pStyle w:val="7"/>
              <w:numPr>
                <w:ilvl w:val="0"/>
                <w:numId w:val="6"/>
              </w:numPr>
              <w:rPr>
                <w:rFonts w:hint="eastAsia" w:ascii="宋体" w:hAnsi="宋体" w:cs="宋体"/>
                <w:color w:val="auto"/>
                <w:sz w:val="21"/>
                <w:szCs w:val="21"/>
                <w:highlight w:val="none"/>
              </w:rPr>
            </w:pPr>
            <w:r>
              <w:rPr>
                <w:rFonts w:hint="eastAsia" w:ascii="宋体" w:hAnsi="宋体" w:cs="宋体"/>
                <w:color w:val="auto"/>
                <w:sz w:val="21"/>
                <w:szCs w:val="21"/>
                <w:highlight w:val="none"/>
              </w:rPr>
              <w:t>履约情况（5分）若没出现下述情形得满分；</w:t>
            </w:r>
          </w:p>
          <w:p>
            <w:pPr>
              <w:pStyle w:val="7"/>
              <w:ind w:firstLine="249" w:firstLineChars="119"/>
              <w:rPr>
                <w:rFonts w:hint="eastAsia" w:ascii="宋体" w:hAnsi="宋体" w:cs="宋体"/>
                <w:color w:val="auto"/>
                <w:sz w:val="21"/>
                <w:szCs w:val="21"/>
                <w:highlight w:val="none"/>
              </w:rPr>
            </w:pPr>
            <w:r>
              <w:rPr>
                <w:rFonts w:hint="eastAsia" w:ascii="宋体" w:hAnsi="宋体" w:cs="宋体"/>
                <w:color w:val="auto"/>
                <w:sz w:val="21"/>
                <w:szCs w:val="21"/>
                <w:highlight w:val="none"/>
              </w:rPr>
              <w:t>2023年1月1日</w:t>
            </w:r>
            <w:r>
              <w:rPr>
                <w:rFonts w:hint="eastAsia" w:ascii="宋体" w:hAnsi="宋体" w:cs="宋体"/>
                <w:color w:val="auto"/>
                <w:sz w:val="21"/>
                <w:szCs w:val="21"/>
                <w:highlight w:val="none"/>
                <w:lang w:val="en-US" w:eastAsia="zh-CN"/>
              </w:rPr>
              <w:t>至今</w:t>
            </w:r>
            <w:r>
              <w:rPr>
                <w:rFonts w:hint="eastAsia" w:ascii="宋体" w:hAnsi="宋体" w:cs="宋体"/>
                <w:color w:val="auto"/>
                <w:sz w:val="21"/>
                <w:szCs w:val="21"/>
                <w:highlight w:val="none"/>
              </w:rPr>
              <w:t>，投标人因公路工程（含附属设施）质量、安全、履约或招标投标问题等原因被：</w:t>
            </w:r>
          </w:p>
          <w:p>
            <w:pPr>
              <w:pStyle w:val="7"/>
              <w:ind w:left="250"/>
              <w:rPr>
                <w:rFonts w:hint="eastAsia" w:ascii="宋体" w:hAnsi="宋体" w:cs="宋体"/>
                <w:color w:val="auto"/>
                <w:sz w:val="21"/>
                <w:szCs w:val="21"/>
                <w:highlight w:val="none"/>
              </w:rPr>
            </w:pPr>
            <w:r>
              <w:rPr>
                <w:rFonts w:hint="eastAsia" w:ascii="宋体" w:hAnsi="宋体" w:cs="宋体"/>
                <w:color w:val="auto"/>
                <w:sz w:val="21"/>
                <w:szCs w:val="21"/>
                <w:highlight w:val="none"/>
              </w:rPr>
              <w:t>（1）交通运输部行政处罚的，扣5分/次。</w:t>
            </w:r>
          </w:p>
          <w:p>
            <w:pPr>
              <w:pStyle w:val="7"/>
              <w:ind w:left="250"/>
              <w:rPr>
                <w:rFonts w:hint="eastAsia" w:ascii="宋体" w:hAnsi="宋体" w:cs="宋体"/>
                <w:color w:val="auto"/>
                <w:sz w:val="21"/>
                <w:szCs w:val="21"/>
                <w:highlight w:val="none"/>
              </w:rPr>
            </w:pPr>
            <w:r>
              <w:rPr>
                <w:rFonts w:hint="eastAsia" w:ascii="宋体" w:hAnsi="宋体" w:cs="宋体"/>
                <w:color w:val="auto"/>
                <w:sz w:val="21"/>
                <w:szCs w:val="21"/>
                <w:highlight w:val="none"/>
              </w:rPr>
              <w:t>（2）广东省交通运输厅行政处罚的，扣3分/次。</w:t>
            </w:r>
          </w:p>
          <w:p>
            <w:pPr>
              <w:pStyle w:val="7"/>
              <w:ind w:left="250"/>
              <w:rPr>
                <w:rFonts w:hint="eastAsia" w:ascii="宋体" w:hAnsi="宋体" w:cs="宋体"/>
                <w:color w:val="auto"/>
                <w:sz w:val="21"/>
                <w:szCs w:val="21"/>
                <w:highlight w:val="none"/>
              </w:rPr>
            </w:pPr>
            <w:r>
              <w:rPr>
                <w:rFonts w:hint="eastAsia" w:ascii="宋体" w:hAnsi="宋体" w:cs="宋体"/>
                <w:color w:val="auto"/>
                <w:sz w:val="21"/>
                <w:szCs w:val="21"/>
                <w:highlight w:val="none"/>
              </w:rPr>
              <w:t>（3）招标项目所在地地级以上市交通运输局行政处罚的，扣 1.5 分/次。</w:t>
            </w:r>
          </w:p>
          <w:p>
            <w:pPr>
              <w:pStyle w:val="7"/>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（4）广东省交通运输厅正式约谈的，扣0.1 分/次。</w:t>
            </w:r>
          </w:p>
          <w:p>
            <w:pPr>
              <w:pStyle w:val="7"/>
              <w:rPr>
                <w:rFonts w:cs="宋体" w:asciiTheme="minorEastAsia" w:hAnsiTheme="minorEastAsia" w:eastAsiaTheme="minorEastAsia"/>
                <w:color w:val="auto"/>
                <w:highlight w:val="none"/>
              </w:rPr>
            </w:pPr>
            <w:r>
              <w:rPr>
                <w:rFonts w:hint="eastAsia" w:ascii="宋体" w:hAnsi="宋体" w:cs="宋体"/>
                <w:color w:val="auto"/>
                <w:sz w:val="21"/>
                <w:szCs w:val="21"/>
                <w:highlight w:val="none"/>
              </w:rPr>
              <w:t>同一事项同时被多个部门行政处罚或正式约谈只按最高的扣分计算1次。如果扣完本项分值，可以从总分中扣。以联合体形式投标的，若各联合体成员任何一方或均存在上述情形的，对联合体各成员进行累计扣分。</w:t>
            </w:r>
          </w:p>
        </w:tc>
      </w:tr>
    </w:tbl>
    <w:p>
      <w:pPr>
        <w:spacing w:before="91" w:line="213" w:lineRule="auto"/>
        <w:ind w:left="55"/>
        <w:rPr>
          <w:rFonts w:hint="eastAsia" w:asciiTheme="minorEastAsia" w:hAnsiTheme="minorEastAsia" w:eastAsiaTheme="minorEastAsia" w:cstheme="minorEastAsia"/>
          <w:color w:val="auto"/>
          <w:sz w:val="28"/>
          <w:szCs w:val="28"/>
          <w14:textOutline w14:w="5103" w14:cap="sq" w14:cmpd="sng">
            <w14:solidFill>
              <w14:srgbClr w14:val="000000"/>
            </w14:solidFill>
            <w14:prstDash w14:val="solid"/>
            <w14:bevel/>
          </w14:textOutline>
        </w:rPr>
      </w:pPr>
    </w:p>
    <w:p>
      <w:bookmarkStart w:id="0" w:name="_bookmark130"/>
      <w:bookmarkEnd w:id="0"/>
      <w:bookmarkStart w:id="1" w:name="_bookmark128"/>
      <w:bookmarkEnd w:id="1"/>
      <w:bookmarkStart w:id="2" w:name="_bookmark129"/>
      <w:bookmarkEnd w:id="2"/>
    </w:p>
    <w:sectPr>
      <w:headerReference r:id="rId5" w:type="default"/>
      <w:footerReference r:id="rId6" w:type="default"/>
      <w:pgSz w:w="11906" w:h="16838"/>
      <w:pgMar w:top="1440" w:right="1800" w:bottom="1440" w:left="11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6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ylZg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eylZg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5"/>
      <w:rPr>
        <w:rFonts w:ascii="宋体" w:hAnsi="宋体" w:eastAsia="宋体" w:cs="宋体"/>
        <w:sz w:val="17"/>
        <w:szCs w:val="17"/>
      </w:rPr>
    </w:pPr>
    <w:r>
      <mc:AlternateContent>
        <mc:Choice Requires="wps">
          <w:drawing>
            <wp:anchor distT="0" distB="0" distL="114300" distR="114300" simplePos="0" relativeHeight="251659264" behindDoc="0" locked="0" layoutInCell="0" allowOverlap="1">
              <wp:simplePos x="0" y="0"/>
              <wp:positionH relativeFrom="page">
                <wp:posOffset>899795</wp:posOffset>
              </wp:positionH>
              <wp:positionV relativeFrom="page">
                <wp:posOffset>592455</wp:posOffset>
              </wp:positionV>
              <wp:extent cx="575754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757545" cy="9525"/>
                      </a:xfrm>
                      <a:custGeom>
                        <a:avLst/>
                        <a:gdLst/>
                        <a:ahLst/>
                        <a:cxnLst/>
                        <a:pathLst>
                          <a:path w="9067" h="15">
                            <a:moveTo>
                              <a:pt x="0" y="0"/>
                            </a:moveTo>
                            <a:lnTo>
                              <a:pt x="9066" y="0"/>
                            </a:lnTo>
                            <a:lnTo>
                              <a:pt x="9066"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46.65pt;height:0.75pt;width:453.35pt;mso-position-horizontal-relative:page;mso-position-vertical-relative:page;z-index:251659264;mso-width-relative:page;mso-height-relative:page;" fillcolor="#000000" filled="t" stroked="f" coordsize="9067,15" o:allowincell="f" o:gfxdata="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bJPTHaAAAACgEAAA8AAAAA&#10;AAAAAQAgAAAAIgAAAGRycy9kb3ducmV2LnhtbFBLAQIUABQAAAAIAIdO4kAaUd1YEgIAAHsEAAAO&#10;AAAAAAAAAAEAIAAAACkBAABkcnMvZTJvRG9jLnhtbFBLBQYAAAAABgAGAFkBAACtBQAAAAA=&#10;" path="m0,0l9066,0,9066,14,0,14,0,0xe">
              <v:path/>
              <v:fill on="t" focussize="0,0"/>
              <v:stroke on="f"/>
              <v:imagedata o:title=""/>
              <o:lock v:ext="edit"/>
            </v:shape>
          </w:pict>
        </mc:Fallback>
      </mc:AlternateContent>
    </w:r>
    <w:r>
      <w:rPr>
        <w:rFonts w:ascii="宋体" w:hAnsi="宋体" w:eastAsia="宋体" w:cs="宋体"/>
        <w:spacing w:val="9"/>
        <w:sz w:val="17"/>
        <w:szCs w:val="17"/>
      </w:rPr>
      <w:t>广</w:t>
    </w:r>
    <w:r>
      <w:rPr>
        <w:rFonts w:ascii="宋体" w:hAnsi="宋体" w:eastAsia="宋体" w:cs="宋体"/>
        <w:spacing w:val="6"/>
        <w:sz w:val="17"/>
        <w:szCs w:val="17"/>
      </w:rPr>
      <w:t>东省公路工程施工招标文件范本 (2023 年版)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8763E"/>
    <w:multiLevelType w:val="singleLevel"/>
    <w:tmpl w:val="E788763E"/>
    <w:lvl w:ilvl="0" w:tentative="0">
      <w:start w:val="2"/>
      <w:numFmt w:val="decimal"/>
      <w:suff w:val="nothing"/>
      <w:lvlText w:val="（%1）"/>
      <w:lvlJc w:val="left"/>
    </w:lvl>
  </w:abstractNum>
  <w:abstractNum w:abstractNumId="1">
    <w:nsid w:val="0000000C"/>
    <w:multiLevelType w:val="singleLevel"/>
    <w:tmpl w:val="0000000C"/>
    <w:lvl w:ilvl="0" w:tentative="0">
      <w:start w:val="1"/>
      <w:numFmt w:val="decimal"/>
      <w:suff w:val="nothing"/>
      <w:lvlText w:val="（%1）"/>
      <w:lvlJc w:val="left"/>
    </w:lvl>
  </w:abstractNum>
  <w:abstractNum w:abstractNumId="2">
    <w:nsid w:val="0000000D"/>
    <w:multiLevelType w:val="singleLevel"/>
    <w:tmpl w:val="0000000D"/>
    <w:lvl w:ilvl="0" w:tentative="0">
      <w:start w:val="1"/>
      <w:numFmt w:val="decimal"/>
      <w:suff w:val="nothing"/>
      <w:lvlText w:val="（%1）"/>
      <w:lvlJc w:val="left"/>
    </w:lvl>
  </w:abstractNum>
  <w:abstractNum w:abstractNumId="3">
    <w:nsid w:val="0000000E"/>
    <w:multiLevelType w:val="singleLevel"/>
    <w:tmpl w:val="0000000E"/>
    <w:lvl w:ilvl="0" w:tentative="0">
      <w:start w:val="1"/>
      <w:numFmt w:val="decimal"/>
      <w:suff w:val="nothing"/>
      <w:lvlText w:val="（%1）"/>
      <w:lvlJc w:val="left"/>
    </w:lvl>
  </w:abstractNum>
  <w:abstractNum w:abstractNumId="4">
    <w:nsid w:val="0000000F"/>
    <w:multiLevelType w:val="singleLevel"/>
    <w:tmpl w:val="0000000F"/>
    <w:lvl w:ilvl="0" w:tentative="0">
      <w:start w:val="1"/>
      <w:numFmt w:val="decimal"/>
      <w:lvlText w:val="%1."/>
      <w:lvlJc w:val="left"/>
      <w:pPr>
        <w:tabs>
          <w:tab w:val="left" w:pos="312"/>
        </w:tabs>
      </w:pPr>
    </w:lvl>
  </w:abstractNum>
  <w:abstractNum w:abstractNumId="5">
    <w:nsid w:val="00000013"/>
    <w:multiLevelType w:val="singleLevel"/>
    <w:tmpl w:val="00000013"/>
    <w:lvl w:ilvl="0" w:tentative="0">
      <w:start w:val="1"/>
      <w:numFmt w:val="decimal"/>
      <w:suff w:val="nothing"/>
      <w:lvlText w:val="（%1）"/>
      <w:lvlJc w:val="left"/>
      <w:rPr>
        <w:rFonts w:hint="default"/>
        <w:strike w:val="0"/>
        <w:dstrike w:val="0"/>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xYjdlNGQ1YjU1NDJkMzMyZmIxMzc0MmZmMzAxYTQifQ=="/>
  </w:docVars>
  <w:rsids>
    <w:rsidRoot w:val="3A8A0841"/>
    <w:rsid w:val="3A8A0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正文文本 (2)1"/>
    <w:basedOn w:val="1"/>
    <w:autoRedefine/>
    <w:qFormat/>
    <w:uiPriority w:val="99"/>
    <w:pPr>
      <w:shd w:val="clear" w:color="auto" w:fill="FFFFFF"/>
      <w:spacing w:before="300" w:line="439" w:lineRule="exact"/>
      <w:jc w:val="distribute"/>
    </w:pPr>
    <w:rPr>
      <w:rFonts w:ascii="MingLiU" w:hAnsi="Times New Roman" w:eastAsia="MingLiU"/>
      <w:spacing w:val="20"/>
      <w:kern w:val="0"/>
      <w:sz w:val="22"/>
    </w:rPr>
  </w:style>
  <w:style w:type="character" w:customStyle="1" w:styleId="6">
    <w:name w:val="正文文本 (2) + 10 pt37"/>
    <w:autoRedefine/>
    <w:qFormat/>
    <w:uiPriority w:val="99"/>
    <w:rPr>
      <w:rFonts w:ascii="MingLiU" w:eastAsia="MingLiU" w:cs="MingLiU"/>
      <w:spacing w:val="0"/>
      <w:sz w:val="20"/>
      <w:szCs w:val="20"/>
      <w:u w:val="none"/>
    </w:rPr>
  </w:style>
  <w:style w:type="paragraph" w:customStyle="1" w:styleId="7">
    <w:name w:val="Table Paragraph"/>
    <w:basedOn w:val="8"/>
    <w:qFormat/>
    <w:uiPriority w:val="1"/>
  </w:style>
  <w:style w:type="paragraph" w:customStyle="1" w:styleId="8">
    <w:name w:val="正文 New New New New"/>
    <w:next w:val="9"/>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9">
    <w:name w:val="正文文本缩进 New New New New"/>
    <w:basedOn w:val="10"/>
    <w:unhideWhenUsed/>
    <w:qFormat/>
    <w:uiPriority w:val="99"/>
    <w:pPr>
      <w:ind w:left="420" w:leftChars="200"/>
    </w:pPr>
  </w:style>
  <w:style w:type="paragraph" w:customStyle="1" w:styleId="10">
    <w:name w:val="正文文本 New New New New"/>
    <w:basedOn w:val="11"/>
    <w:unhideWhenUsed/>
    <w:qFormat/>
    <w:uiPriority w:val="99"/>
    <w:pPr>
      <w:spacing w:before="32"/>
      <w:ind w:left="138"/>
    </w:pPr>
  </w:style>
  <w:style w:type="paragraph" w:customStyle="1" w:styleId="11">
    <w:name w:val="正文 New New New New New New"/>
    <w:next w:val="12"/>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2">
    <w:name w:val="正文文本缩进 New New New New New New"/>
    <w:basedOn w:val="13"/>
    <w:unhideWhenUsed/>
    <w:qFormat/>
    <w:uiPriority w:val="99"/>
    <w:pPr>
      <w:ind w:left="420" w:leftChars="200"/>
    </w:pPr>
  </w:style>
  <w:style w:type="paragraph" w:customStyle="1" w:styleId="13">
    <w:name w:val="正文文本 New New New New New New New New New New"/>
    <w:basedOn w:val="14"/>
    <w:unhideWhenUsed/>
    <w:qFormat/>
    <w:uiPriority w:val="99"/>
    <w:pPr>
      <w:spacing w:before="32"/>
      <w:ind w:left="138"/>
    </w:pPr>
  </w:style>
  <w:style w:type="paragraph" w:customStyle="1" w:styleId="14">
    <w:name w:val="正文 New New New New New New New New New New New"/>
    <w:next w:val="12"/>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customStyle="1" w:styleId="15">
    <w:name w:val="正文文本 (2) + 10 pt34"/>
    <w:autoRedefine/>
    <w:qFormat/>
    <w:uiPriority w:val="99"/>
    <w:rPr>
      <w:rFonts w:ascii="MingLiU" w:eastAsia="MingLiU" w:cs="MingLiU"/>
      <w:spacing w:val="-20"/>
      <w:sz w:val="20"/>
      <w:szCs w:val="20"/>
      <w:u w:val="none"/>
      <w:lang w:val="en-US" w:eastAsia="en-US"/>
    </w:rPr>
  </w:style>
  <w:style w:type="paragraph" w:customStyle="1" w:styleId="16">
    <w:name w:val="正文文本 (5)1"/>
    <w:basedOn w:val="1"/>
    <w:link w:val="18"/>
    <w:autoRedefine/>
    <w:qFormat/>
    <w:uiPriority w:val="99"/>
    <w:pPr>
      <w:shd w:val="clear" w:color="auto" w:fill="FFFFFF"/>
      <w:spacing w:before="5100" w:line="240" w:lineRule="atLeast"/>
      <w:jc w:val="left"/>
    </w:pPr>
    <w:rPr>
      <w:rFonts w:ascii="MingLiU" w:hAnsi="Times New Roman" w:eastAsia="MingLiU"/>
      <w:kern w:val="0"/>
      <w:sz w:val="20"/>
      <w:szCs w:val="20"/>
    </w:rPr>
  </w:style>
  <w:style w:type="character" w:customStyle="1" w:styleId="17">
    <w:name w:val="正文文本 (5) + 间距 -1 pt"/>
    <w:autoRedefine/>
    <w:qFormat/>
    <w:uiPriority w:val="99"/>
    <w:rPr>
      <w:rFonts w:ascii="MingLiU" w:eastAsia="MingLiU" w:cs="MingLiU"/>
      <w:spacing w:val="-20"/>
      <w:sz w:val="20"/>
      <w:szCs w:val="20"/>
      <w:u w:val="none"/>
      <w:lang w:val="en-US" w:eastAsia="en-US"/>
    </w:rPr>
  </w:style>
  <w:style w:type="character" w:customStyle="1" w:styleId="18">
    <w:name w:val="正文文本 (5)_"/>
    <w:link w:val="16"/>
    <w:autoRedefine/>
    <w:qFormat/>
    <w:locked/>
    <w:uiPriority w:val="99"/>
    <w:rPr>
      <w:rFonts w:ascii="MingLiU" w:hAnsi="Times New Roman" w:eastAsia="MingLiU"/>
      <w:kern w:val="0"/>
      <w:sz w:val="20"/>
      <w:szCs w:val="20"/>
    </w:rPr>
  </w:style>
  <w:style w:type="character" w:customStyle="1" w:styleId="19">
    <w:name w:val="正文文本 (17) + 间距 0 pt"/>
    <w:autoRedefine/>
    <w:qFormat/>
    <w:uiPriority w:val="99"/>
    <w:rPr>
      <w:rFonts w:ascii="MingLiU" w:eastAsia="MingLiU" w:cs="MingLiU"/>
      <w:spacing w:val="0"/>
      <w:sz w:val="22"/>
      <w:szCs w:val="22"/>
      <w:u w:val="single"/>
    </w:rPr>
  </w:style>
  <w:style w:type="character" w:customStyle="1" w:styleId="20">
    <w:name w:val="正文文本 (2) + 间距 0 pt5"/>
    <w:autoRedefine/>
    <w:qFormat/>
    <w:uiPriority w:val="99"/>
    <w:rPr>
      <w:rFonts w:ascii="MingLiU" w:eastAsia="MingLiU" w:cs="MingLiU"/>
      <w:spacing w:val="0"/>
      <w:sz w:val="22"/>
      <w:szCs w:val="22"/>
      <w:u w:val="none"/>
    </w:rPr>
  </w:style>
  <w:style w:type="character" w:customStyle="1" w:styleId="21">
    <w:name w:val="正文文本 (2) + 10 pt261"/>
    <w:autoRedefine/>
    <w:qFormat/>
    <w:uiPriority w:val="99"/>
    <w:rPr>
      <w:rFonts w:ascii="MingLiU" w:eastAsia="MingLiU" w:cs="MingLiU"/>
      <w:b/>
      <w:bCs/>
      <w:spacing w:val="-10"/>
      <w:sz w:val="20"/>
      <w:szCs w:val="20"/>
      <w:u w:val="none"/>
      <w:lang w:val="en-US" w:eastAsia="en-US"/>
    </w:rPr>
  </w:style>
  <w:style w:type="character" w:customStyle="1" w:styleId="22">
    <w:name w:val="正文文本 (2) + 间距 -1 pt3"/>
    <w:autoRedefine/>
    <w:qFormat/>
    <w:uiPriority w:val="99"/>
    <w:rPr>
      <w:rFonts w:ascii="MingLiU" w:eastAsia="MingLiU" w:cs="MingLiU"/>
      <w:spacing w:val="-30"/>
      <w:sz w:val="22"/>
      <w:szCs w:val="22"/>
      <w:u w:val="none"/>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2024-07-26T07:18:00Z</dcterms:created>
  <dc:creator>利记</dc:creator>
  <cp:lastModifiedBy>利记</cp:lastModifiedBy>
  <dcterms:modified xsi:type="dcterms:W3CDTF">2024-07-26T07:19:03Z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03E4C6A5CBC543228EAC48170D799A3B_11</vt:lpwstr>
  </property>
</Properties>
</file>